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55661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587F90D1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30E38A01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2432074E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287F4CF5" w14:textId="7E33B25C" w:rsidR="00861C47" w:rsidRPr="00981365" w:rsidRDefault="00861C47" w:rsidP="00B56F15">
      <w:pPr>
        <w:spacing w:line="800" w:lineRule="exact"/>
        <w:jc w:val="center"/>
        <w:rPr>
          <w:rFonts w:ascii="方正小标宋_GBK" w:eastAsia="方正小标宋_GBK" w:hAnsi="Times New Roman" w:cs="Times New Roman"/>
          <w:color w:val="000000" w:themeColor="text1"/>
          <w:sz w:val="48"/>
          <w:szCs w:val="48"/>
        </w:rPr>
      </w:pPr>
      <w:r w:rsidRPr="00981365">
        <w:rPr>
          <w:rFonts w:ascii="方正小标宋_GBK" w:eastAsia="方正小标宋_GBK" w:hAnsi="Times New Roman" w:cs="Times New Roman" w:hint="eastAsia"/>
          <w:color w:val="000000" w:themeColor="text1"/>
          <w:sz w:val="48"/>
          <w:szCs w:val="48"/>
        </w:rPr>
        <w:t>山海关区国土空间总体规划动态维护方案</w:t>
      </w:r>
    </w:p>
    <w:p w14:paraId="7B6DD160" w14:textId="688C05E1" w:rsidR="00861C47" w:rsidRPr="00981365" w:rsidRDefault="00861C47" w:rsidP="00861C47">
      <w:pPr>
        <w:spacing w:line="800" w:lineRule="exact"/>
        <w:jc w:val="center"/>
        <w:rPr>
          <w:rFonts w:ascii="Times New Roman" w:eastAsia="方正小标宋_GBK" w:hAnsi="Times New Roman" w:cs="Times New Roman"/>
          <w:color w:val="000000" w:themeColor="text1"/>
          <w:sz w:val="48"/>
          <w:szCs w:val="48"/>
        </w:rPr>
      </w:pPr>
      <w:r w:rsidRPr="00981365">
        <w:rPr>
          <w:rFonts w:ascii="Times New Roman" w:eastAsia="方正小标宋_GBK" w:hAnsi="Times New Roman" w:cs="Times New Roman" w:hint="eastAsia"/>
          <w:color w:val="000000" w:themeColor="text1"/>
          <w:sz w:val="48"/>
          <w:szCs w:val="48"/>
        </w:rPr>
        <w:t>（</w:t>
      </w:r>
      <w:r w:rsidRPr="00981365">
        <w:rPr>
          <w:rFonts w:ascii="方正小标宋_GBK" w:eastAsia="方正小标宋_GBK" w:hAnsi="Times New Roman" w:cs="Times New Roman" w:hint="eastAsia"/>
          <w:color w:val="000000" w:themeColor="text1"/>
          <w:sz w:val="48"/>
          <w:szCs w:val="48"/>
        </w:rPr>
        <w:t>2026年度</w:t>
      </w:r>
      <w:r w:rsidRPr="00981365">
        <w:rPr>
          <w:rFonts w:ascii="Times New Roman" w:eastAsia="方正小标宋_GBK" w:hAnsi="Times New Roman" w:cs="Times New Roman" w:hint="eastAsia"/>
          <w:color w:val="000000" w:themeColor="text1"/>
          <w:sz w:val="48"/>
          <w:szCs w:val="48"/>
        </w:rPr>
        <w:t>）</w:t>
      </w:r>
    </w:p>
    <w:p w14:paraId="36B80DD3" w14:textId="197EA80A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  <w:r w:rsidRPr="00981365"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  <w:t>（</w:t>
      </w:r>
      <w:r w:rsidRPr="00981365">
        <w:rPr>
          <w:rFonts w:ascii="Times New Roman" w:eastAsia="楷体_GB2312" w:hAnsi="Times New Roman" w:cs="Times New Roman" w:hint="eastAsia"/>
          <w:color w:val="000000" w:themeColor="text1"/>
          <w:sz w:val="36"/>
          <w:szCs w:val="36"/>
        </w:rPr>
        <w:t>公示稿</w:t>
      </w:r>
      <w:r w:rsidRPr="00981365"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  <w:t>）</w:t>
      </w:r>
    </w:p>
    <w:p w14:paraId="4DF721AE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1CD3FBBC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0B6D27E1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759F8846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043BE5B6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08E82966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4D88DCF6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169197F8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6A7FCD53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43F4C6E3" w14:textId="77777777" w:rsidR="00861C47" w:rsidRPr="00981365" w:rsidRDefault="00861C47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</w:p>
    <w:p w14:paraId="207ED539" w14:textId="7B076644" w:rsidR="00861C47" w:rsidRPr="00981365" w:rsidRDefault="00B56F15" w:rsidP="00861C47">
      <w:pPr>
        <w:spacing w:line="600" w:lineRule="exact"/>
        <w:jc w:val="center"/>
        <w:rPr>
          <w:rFonts w:ascii="Times New Roman" w:eastAsia="楷体_GB2312" w:hAnsi="Times New Roman" w:cs="Times New Roman"/>
          <w:color w:val="000000" w:themeColor="text1"/>
          <w:sz w:val="36"/>
          <w:szCs w:val="36"/>
        </w:rPr>
      </w:pPr>
      <w:r w:rsidRPr="00981365">
        <w:rPr>
          <w:rFonts w:ascii="Times New Roman" w:eastAsia="楷体_GB2312" w:hAnsi="Times New Roman" w:cs="Times New Roman" w:hint="eastAsia"/>
          <w:color w:val="000000" w:themeColor="text1"/>
          <w:sz w:val="36"/>
          <w:szCs w:val="36"/>
        </w:rPr>
        <w:t>山海关区人民政府</w:t>
      </w:r>
    </w:p>
    <w:p w14:paraId="23F53712" w14:textId="1D077141" w:rsidR="009C3170" w:rsidRPr="00981365" w:rsidRDefault="00861C47" w:rsidP="00861C47">
      <w:pPr>
        <w:jc w:val="center"/>
        <w:rPr>
          <w:rFonts w:ascii="Times New Roman" w:eastAsia="楷体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Times New Roman" w:eastAsia="楷体_GB2312" w:hAnsi="Times New Roman" w:cs="Times New Roman"/>
          <w:color w:val="000000" w:themeColor="text1"/>
          <w:sz w:val="32"/>
          <w:szCs w:val="32"/>
        </w:rPr>
        <w:t>2026</w:t>
      </w:r>
      <w:r w:rsidRPr="00981365">
        <w:rPr>
          <w:rFonts w:ascii="Times New Roman" w:eastAsia="楷体_GB2312" w:hAnsi="Times New Roman" w:cs="Times New Roman"/>
          <w:color w:val="000000" w:themeColor="text1"/>
          <w:sz w:val="32"/>
          <w:szCs w:val="32"/>
        </w:rPr>
        <w:t>年</w:t>
      </w:r>
      <w:r w:rsidRPr="00981365">
        <w:rPr>
          <w:rFonts w:ascii="Times New Roman" w:eastAsia="楷体_GB2312" w:hAnsi="Times New Roman" w:cs="Times New Roman" w:hint="eastAsia"/>
          <w:color w:val="000000" w:themeColor="text1"/>
          <w:sz w:val="32"/>
          <w:szCs w:val="32"/>
        </w:rPr>
        <w:t>4</w:t>
      </w:r>
      <w:r w:rsidRPr="00981365">
        <w:rPr>
          <w:rFonts w:ascii="Times New Roman" w:eastAsia="楷体_GB2312" w:hAnsi="Times New Roman" w:cs="Times New Roman"/>
          <w:color w:val="000000" w:themeColor="text1"/>
          <w:sz w:val="32"/>
          <w:szCs w:val="32"/>
        </w:rPr>
        <w:t>月</w:t>
      </w:r>
    </w:p>
    <w:p w14:paraId="431C47D2" w14:textId="77777777" w:rsidR="001B19A7" w:rsidRPr="00981365" w:rsidRDefault="001B19A7" w:rsidP="00861C47">
      <w:pPr>
        <w:jc w:val="center"/>
        <w:rPr>
          <w:rFonts w:ascii="Times New Roman" w:eastAsia="楷体_GB2312" w:hAnsi="Times New Roman" w:cs="Times New Roman"/>
          <w:color w:val="000000" w:themeColor="text1"/>
          <w:sz w:val="32"/>
          <w:szCs w:val="32"/>
        </w:rPr>
      </w:pPr>
    </w:p>
    <w:p w14:paraId="333E3482" w14:textId="5C40275E" w:rsidR="001B19A7" w:rsidRPr="00981365" w:rsidRDefault="001B19A7" w:rsidP="0036086B">
      <w:pPr>
        <w:spacing w:line="560" w:lineRule="exact"/>
        <w:ind w:firstLineChars="200" w:firstLine="640"/>
        <w:rPr>
          <w:rFonts w:ascii="Times New Roman" w:eastAsia="黑体" w:hAnsi="Times New Roman" w:cs="Times New Roman"/>
          <w:bCs/>
          <w:color w:val="000000" w:themeColor="text1"/>
          <w:kern w:val="44"/>
          <w:sz w:val="32"/>
          <w:szCs w:val="32"/>
        </w:rPr>
      </w:pPr>
      <w:r w:rsidRPr="00981365">
        <w:rPr>
          <w:rFonts w:ascii="Times New Roman" w:eastAsia="黑体" w:hAnsi="Times New Roman" w:cs="Times New Roman" w:hint="eastAsia"/>
          <w:bCs/>
          <w:color w:val="000000" w:themeColor="text1"/>
          <w:kern w:val="44"/>
          <w:sz w:val="32"/>
          <w:szCs w:val="32"/>
        </w:rPr>
        <w:t xml:space="preserve"> </w:t>
      </w:r>
    </w:p>
    <w:p w14:paraId="17C73D1C" w14:textId="77777777" w:rsidR="0036086B" w:rsidRPr="00981365" w:rsidRDefault="0036086B" w:rsidP="001B19A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</w:p>
    <w:p w14:paraId="25A9AB87" w14:textId="7B43B252" w:rsidR="001B19A7" w:rsidRPr="00981365" w:rsidRDefault="001B19A7" w:rsidP="001B19A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为贯彻落实党的二十届四中全会精神，在国土空间规划中落实“十五五”规划目标任务要求，优化国土空间发展格局，做好自然资源要素配置，按照自然资源部、河北省自然资源厅相关工作部署，我</w:t>
      </w:r>
      <w:r w:rsidR="000B305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区</w:t>
      </w:r>
      <w:r w:rsidRPr="009813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组织编制了《山海关区国土空间总体规划动态维护方案（2026年度）》（以下简称《方案》）。</w:t>
      </w:r>
    </w:p>
    <w:p w14:paraId="786F0F3B" w14:textId="77777777" w:rsidR="006B3C1C" w:rsidRPr="00981365" w:rsidRDefault="006B3C1C" w:rsidP="006B3C1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本次动态维护工作是在严守空间安全底线，不突破国务院审批的省级、市级国土空间总体规划确定的保护目标任务、空间结构和格局，充分对接各级“十五五”规划和行业相关专项规划，在相关部门项目生成阶段主动服务，协调统筹空间需求，协同推进重点建设项目落地，为全区经济社会发展做好规划保障支撑。</w:t>
      </w:r>
    </w:p>
    <w:p w14:paraId="79448DA2" w14:textId="77777777" w:rsidR="006B3C1C" w:rsidRPr="00981365" w:rsidRDefault="006B3C1C" w:rsidP="006B3C1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以下为《方案》的主要内容：</w:t>
      </w:r>
    </w:p>
    <w:p w14:paraId="62574985" w14:textId="77777777" w:rsidR="006B3C1C" w:rsidRPr="00586378" w:rsidRDefault="006B3C1C" w:rsidP="007178AA">
      <w:pPr>
        <w:spacing w:beforeLines="50" w:before="156" w:line="560" w:lineRule="exact"/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一、正向优化三条控制线</w:t>
      </w:r>
    </w:p>
    <w:p w14:paraId="26C5A658" w14:textId="15CB51A4" w:rsidR="006B3C1C" w:rsidRPr="002D7FC4" w:rsidRDefault="006B3C1C" w:rsidP="006B3C1C">
      <w:pPr>
        <w:spacing w:line="560" w:lineRule="exact"/>
        <w:ind w:firstLineChars="200" w:firstLine="640"/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1、 耕地和永久基本农田</w:t>
      </w:r>
    </w:p>
    <w:p w14:paraId="3CF74269" w14:textId="02E834E3" w:rsidR="006B3C1C" w:rsidRPr="002D7FC4" w:rsidRDefault="006B3C1C" w:rsidP="001B19A7">
      <w:pPr>
        <w:spacing w:line="560" w:lineRule="exact"/>
        <w:ind w:firstLineChars="200" w:firstLine="640"/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按照“数量不减少、质量生态有提升、布局更优化”的正向优化标准，加强与省级耕地保护和国土绿化空间专项规划的衔接，坚持问题导向和结果导向，一体化推动布局优化。优先将可长期稳定利用的优质耕地划入永久基本农田，将零星破碎、不适宜耕种、不稳定及损毁污染耕地等予以调出，实现永久基本农田内耕地</w:t>
      </w:r>
      <w:proofErr w:type="gramStart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优进劣</w:t>
      </w:r>
      <w:proofErr w:type="gramEnd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出、集中连片。</w:t>
      </w:r>
    </w:p>
    <w:p w14:paraId="6AC64770" w14:textId="77777777" w:rsidR="006B3C1C" w:rsidRPr="002D7FC4" w:rsidRDefault="006B3C1C" w:rsidP="006B3C1C">
      <w:pPr>
        <w:spacing w:line="560" w:lineRule="exact"/>
        <w:ind w:firstLineChars="200" w:firstLine="640"/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2、生态保护红线</w:t>
      </w:r>
    </w:p>
    <w:p w14:paraId="6726DE15" w14:textId="4754B53D" w:rsidR="009F6044" w:rsidRPr="002D7FC4" w:rsidRDefault="006B3C1C" w:rsidP="009F6044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按照“任务不减少、功能有提升、布局更完整”的原则，加强与自然保护地整合优化、重要湿地划定、生态保护红线勘界等相关工作的有效衔接，正向优化生态保护红线。巩固总体规划确定的生态保护格局，提高生态系统的连通度和完整性。</w:t>
      </w:r>
      <w:r w:rsidR="00D167DA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本次动态</w:t>
      </w:r>
      <w:r w:rsidR="00D167DA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维护涉及调出生态保护红线6</w:t>
      </w:r>
      <w:r w:rsidR="00146DBD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97</w:t>
      </w:r>
      <w:r w:rsidR="00D167DA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.29公顷，调入生态保护红线</w:t>
      </w:r>
      <w:r w:rsidR="00146DBD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0.75</w:t>
      </w:r>
      <w:r w:rsidR="00D167DA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公顷</w:t>
      </w:r>
      <w:r w:rsidR="009F6044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，调入生态保护红线不足的部分在全市范围内进行平衡。</w:t>
      </w:r>
    </w:p>
    <w:p w14:paraId="482081DD" w14:textId="77777777" w:rsidR="003801C8" w:rsidRPr="002D7FC4" w:rsidRDefault="003801C8" w:rsidP="003801C8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3、城镇开发边界</w:t>
      </w:r>
    </w:p>
    <w:p w14:paraId="4E9B26E0" w14:textId="0056C780" w:rsidR="003801C8" w:rsidRPr="002D7FC4" w:rsidRDefault="003801C8" w:rsidP="003801C8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按照“总量不突破、布局更集聚、功能品质有提高”的原则，将符合自然资源部《城镇开发边界管理办法（试行）》明确的局部优化情形、河北省城镇开发边界局部优化的情形、因“十五五” 规划重点项目建设等需要优化布局的，通过正向优化统筹纳入城镇开发边界，推动城镇开发边界集中连片、城镇建设用地节约集约，用地布局优化提升。城镇开发边界正向优化不突破新增城镇建设用地规模，保持总体稳定。同时，将城镇开发边界外“三区三线”划定成果启用之前已依法批准现状城镇建设用地、部监管系统已备案未建设土地、历史围填海城镇建设项目用地补充纳入城镇开发边界，不占城镇开发边界扩展倍数。</w:t>
      </w:r>
      <w:r w:rsidR="00C557E7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本次动态维护涉及调入城镇开发边界36.46公顷，安排独立城镇建设用地13.86公顷，调出城镇开发边界</w:t>
      </w:r>
      <w:r w:rsidR="006B5F5A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20.63公顷</w:t>
      </w:r>
      <w:r w:rsidR="00360005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，调出城镇开发边界不足</w:t>
      </w:r>
      <w:r w:rsidR="00360005" w:rsidRPr="009813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部分在海港区和秦皇岛经济技术开发区西区进行平衡。本次动态维护涉及补充城镇开发边界不计入扩展系数面积</w:t>
      </w:r>
      <w:r w:rsidR="003714F2" w:rsidRPr="009813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543.20公顷，补充独立城镇建设用地不计入扩展系数面积3.12公顷。</w:t>
      </w:r>
    </w:p>
    <w:p w14:paraId="11E6910C" w14:textId="77777777" w:rsidR="003801C8" w:rsidRPr="00586378" w:rsidRDefault="003801C8" w:rsidP="00586378">
      <w:pPr>
        <w:spacing w:beforeLines="50" w:before="156" w:line="560" w:lineRule="exact"/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二、动态维护规划分区</w:t>
      </w:r>
    </w:p>
    <w:p w14:paraId="49FFFA18" w14:textId="638D5BC6" w:rsidR="003801C8" w:rsidRPr="002D7FC4" w:rsidRDefault="003801C8" w:rsidP="003801C8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落实上位国土空间总体规划要求和主体功能定位，衔接三条控制线、中心城区规划用地用海布局优化，加强与风景名胜区、水源保护地、历史文化保护范围、生态环境分区、河湖管理范围等相关部门各类空间管理分区的衔接，联动调整规划用途分区。严守海洋生态保护红线，提升海域资源利用效率，统筹优化交通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运输用海、工矿通信用海、游憩用海以及生态保护区等海洋分区。</w:t>
      </w:r>
    </w:p>
    <w:p w14:paraId="7C2A48FA" w14:textId="77777777" w:rsidR="003801C8" w:rsidRPr="00586378" w:rsidRDefault="003801C8" w:rsidP="00586378">
      <w:pPr>
        <w:spacing w:beforeLines="50" w:before="156" w:line="560" w:lineRule="exact"/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三、调整中心城区用地用</w:t>
      </w:r>
      <w:proofErr w:type="gramStart"/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海规划</w:t>
      </w:r>
      <w:proofErr w:type="gramEnd"/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布局</w:t>
      </w:r>
    </w:p>
    <w:p w14:paraId="5D82E4B1" w14:textId="7D3E8BFD" w:rsidR="003801C8" w:rsidRPr="002D7FC4" w:rsidRDefault="003801C8" w:rsidP="003801C8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衔接落实“十五五”发展规划，推动满足城镇化发展水平和城市建设需求，加强与相关部门、相关专项规划的衔接对接，统筹优化中心城区规划用地用海，完善区域基础设施布局，加强历史文化保护和风貌管控，推进城市更新和国土综合整治修复，促进城乡融合和区域一体化发展。</w:t>
      </w:r>
    </w:p>
    <w:p w14:paraId="0E43E5B7" w14:textId="77777777" w:rsidR="00DE5A37" w:rsidRPr="002D7FC4" w:rsidRDefault="00DE5A37" w:rsidP="00DE5A3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统筹总体规划实施、详细规划编制和近期项目建设等相关工作，优先对已批详细规划深化细化且近期即将组织征收和实施建设的、涉及城镇开发边界调整和安排独立城镇建设用地的相关用地用</w:t>
      </w:r>
      <w:proofErr w:type="gramStart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海规划</w:t>
      </w:r>
      <w:proofErr w:type="gramEnd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布局进行调整。</w:t>
      </w:r>
    </w:p>
    <w:p w14:paraId="5DD05E84" w14:textId="77777777" w:rsidR="00DE5A37" w:rsidRPr="00586378" w:rsidRDefault="00DE5A37" w:rsidP="00586378">
      <w:pPr>
        <w:spacing w:beforeLines="50" w:before="156" w:line="560" w:lineRule="exact"/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</w:rPr>
      </w:pPr>
      <w:r w:rsidRPr="00586378">
        <w:rPr>
          <w:rFonts w:ascii="黑体" w:eastAsia="黑体" w:hAnsi="黑体" w:cs="Times New Roman" w:hint="eastAsia"/>
          <w:color w:val="000000" w:themeColor="text1"/>
          <w:sz w:val="32"/>
          <w:szCs w:val="32"/>
        </w:rPr>
        <w:t>四、更新规划重点建设项目清单</w:t>
      </w:r>
    </w:p>
    <w:p w14:paraId="1DC6E145" w14:textId="59861B3C" w:rsidR="00DE5A37" w:rsidRPr="002D7FC4" w:rsidRDefault="00DE5A37" w:rsidP="00DE5A3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结合国民经济和社会发展规划、相关专项规划实施情况及未来发展要求，将“十五五”规划重点项目统筹纳入规划清单，并根据项目谋划、推进中名称变化情况，更新维护清单</w:t>
      </w:r>
      <w:proofErr w:type="gramStart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中项目</w:t>
      </w:r>
      <w:proofErr w:type="gramEnd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具体名称、布局和建设时序等。</w:t>
      </w:r>
    </w:p>
    <w:p w14:paraId="71BCDC72" w14:textId="77777777" w:rsidR="00DE5A37" w:rsidRPr="002D7FC4" w:rsidRDefault="00DE5A37" w:rsidP="00DE5A3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结合《河北省单独选址项目目录》，做好清单更新工作，原则上用地项目不属于单独选址的不纳入。用</w:t>
      </w:r>
      <w:proofErr w:type="gramStart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海项目</w:t>
      </w:r>
      <w:proofErr w:type="gramEnd"/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根据需要纳入清单，不受项目目录限制。对于纳入“十五五”相关规划但无法按单独选址项目报批的民生、产业、旅游类项目，通过纳入城镇开发边界或安排独立城镇建设用地予以保障。</w:t>
      </w:r>
    </w:p>
    <w:p w14:paraId="1509A4D1" w14:textId="46A745FB" w:rsidR="00DE5A37" w:rsidRPr="002D7FC4" w:rsidRDefault="00DE5A37" w:rsidP="00DE5A37">
      <w:pPr>
        <w:spacing w:line="560" w:lineRule="exact"/>
        <w:ind w:firstLineChars="200"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本次动态维护重点建设项目清单共纳入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2</w:t>
      </w:r>
      <w:r w:rsidR="00C42FF0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9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 xml:space="preserve">个单独选址项目，其中能源矿产类 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3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个、交通类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13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个、水利类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4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个、城市基础设施类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8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个、防灾减灾类</w:t>
      </w:r>
      <w:r w:rsidR="00E0500C"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1</w:t>
      </w:r>
      <w:r w:rsidRPr="002D7FC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个。</w:t>
      </w:r>
    </w:p>
    <w:p w14:paraId="270D8C7F" w14:textId="2164DA66" w:rsidR="00DE5A37" w:rsidRPr="00981365" w:rsidRDefault="00DE5A37" w:rsidP="00DE5A37">
      <w:pPr>
        <w:pStyle w:val="1"/>
        <w:spacing w:beforeLines="300" w:before="936" w:afterLines="100" w:after="312" w:line="360" w:lineRule="auto"/>
        <w:jc w:val="center"/>
        <w:rPr>
          <w:rFonts w:ascii="Times New Roman" w:eastAsia="方正小标宋简体" w:hAnsi="Times New Roman" w:cs="Times New Roman"/>
          <w:bCs/>
          <w:color w:val="000000" w:themeColor="text1"/>
          <w:kern w:val="44"/>
          <w:sz w:val="40"/>
          <w:szCs w:val="40"/>
        </w:rPr>
      </w:pPr>
      <w:r w:rsidRPr="00981365">
        <w:rPr>
          <w:rFonts w:ascii="Times New Roman" w:eastAsia="方正小标宋简体" w:hAnsi="Times New Roman" w:cs="Times New Roman" w:hint="eastAsia"/>
          <w:bCs/>
          <w:color w:val="000000" w:themeColor="text1"/>
          <w:kern w:val="44"/>
          <w:sz w:val="40"/>
          <w:szCs w:val="40"/>
        </w:rPr>
        <w:lastRenderedPageBreak/>
        <w:t>附</w:t>
      </w:r>
      <w:r w:rsidRPr="00981365">
        <w:rPr>
          <w:rFonts w:ascii="Times New Roman" w:eastAsia="方正小标宋简体" w:hAnsi="Times New Roman" w:cs="Times New Roman" w:hint="eastAsia"/>
          <w:bCs/>
          <w:color w:val="000000" w:themeColor="text1"/>
          <w:kern w:val="44"/>
          <w:sz w:val="40"/>
          <w:szCs w:val="40"/>
        </w:rPr>
        <w:t xml:space="preserve"> </w:t>
      </w:r>
      <w:r w:rsidRPr="00981365">
        <w:rPr>
          <w:rFonts w:ascii="Times New Roman" w:eastAsia="方正小标宋简体" w:hAnsi="Times New Roman" w:cs="Times New Roman" w:hint="eastAsia"/>
          <w:bCs/>
          <w:color w:val="000000" w:themeColor="text1"/>
          <w:kern w:val="44"/>
          <w:sz w:val="40"/>
          <w:szCs w:val="40"/>
        </w:rPr>
        <w:t>图</w:t>
      </w:r>
    </w:p>
    <w:p w14:paraId="448929CE" w14:textId="77777777" w:rsidR="00DE5A37" w:rsidRPr="00981365" w:rsidRDefault="00DE5A37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图</w:t>
      </w: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1 </w:t>
      </w: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三条控制</w:t>
      </w:r>
      <w:proofErr w:type="gramStart"/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线维护</w:t>
      </w:r>
      <w:proofErr w:type="gramEnd"/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前图</w:t>
      </w:r>
    </w:p>
    <w:p w14:paraId="189A50CD" w14:textId="73169619" w:rsidR="001B19A7" w:rsidRPr="00981365" w:rsidRDefault="00DE5A37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图</w:t>
      </w: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 xml:space="preserve"> 2 </w:t>
      </w:r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三条控制</w:t>
      </w:r>
      <w:proofErr w:type="gramStart"/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线维护</w:t>
      </w:r>
      <w:proofErr w:type="gramEnd"/>
      <w:r w:rsidRPr="00981365"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后图</w:t>
      </w:r>
    </w:p>
    <w:p w14:paraId="4C73E3D5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34A7516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A097CF9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166F77F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301F250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B10A7C7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5E28E231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04C4F5B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5C0F8BD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23FC3071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BA7939D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55A951A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E1F85D1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2CDEFB87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B5F8B5F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814812C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BF481E0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DFE2A66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FCCA8D4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6D75C06F" w14:textId="768EDE62" w:rsidR="005F61B3" w:rsidRPr="00981365" w:rsidRDefault="009148E8" w:rsidP="00DE5A37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0E570951" wp14:editId="559C25D2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7526215" cy="10641864"/>
            <wp:effectExtent l="0" t="0" r="0" b="7620"/>
            <wp:wrapNone/>
            <wp:docPr id="10386799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79925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5" cy="106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73BDD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FDCDD0D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6C7B938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172AFAD3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2F7D183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D04240F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46BE3554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C3D2F92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242B44AF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552B0343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34FC881A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6AE05F1C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6BEF19D5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C3377BF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5F3DC39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6E59FAB4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BDFA5B0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4C9931EC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2AF5144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4C918611" w14:textId="77777777" w:rsidR="005F61B3" w:rsidRPr="00981365" w:rsidRDefault="005F61B3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0D89E289" w14:textId="77777777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14:paraId="71183745" w14:textId="53F438A0" w:rsidR="009C08EE" w:rsidRPr="00981365" w:rsidRDefault="00390DA8" w:rsidP="00DE5A37">
      <w:pPr>
        <w:spacing w:line="360" w:lineRule="auto"/>
        <w:ind w:firstLineChars="200" w:firstLine="42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81365">
        <w:rPr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50F4E3FF" wp14:editId="00EBBBFB">
            <wp:simplePos x="0" y="0"/>
            <wp:positionH relativeFrom="page">
              <wp:align>left</wp:align>
            </wp:positionH>
            <wp:positionV relativeFrom="paragraph">
              <wp:posOffset>-900632</wp:posOffset>
            </wp:positionV>
            <wp:extent cx="7526214" cy="10641864"/>
            <wp:effectExtent l="0" t="0" r="0" b="7620"/>
            <wp:wrapNone/>
            <wp:docPr id="19354070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07075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214" cy="106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0B289" w14:textId="4EFCD13F" w:rsidR="009C08EE" w:rsidRPr="00981365" w:rsidRDefault="009C08EE" w:rsidP="00DE5A37">
      <w:pPr>
        <w:spacing w:line="360" w:lineRule="auto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sectPr w:rsidR="009C08EE" w:rsidRPr="00981365" w:rsidSect="00861C47">
      <w:pgSz w:w="11906" w:h="16838"/>
      <w:pgMar w:top="1418" w:right="1418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707AC" w14:textId="77777777" w:rsidR="00865B77" w:rsidRDefault="00865B77" w:rsidP="00861C47">
      <w:pPr>
        <w:rPr>
          <w:rFonts w:hint="eastAsia"/>
        </w:rPr>
      </w:pPr>
      <w:r>
        <w:separator/>
      </w:r>
    </w:p>
  </w:endnote>
  <w:endnote w:type="continuationSeparator" w:id="0">
    <w:p w14:paraId="15740CA0" w14:textId="77777777" w:rsidR="00865B77" w:rsidRDefault="00865B77" w:rsidP="00861C4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17B82" w14:textId="77777777" w:rsidR="00865B77" w:rsidRDefault="00865B77" w:rsidP="00861C47">
      <w:pPr>
        <w:rPr>
          <w:rFonts w:hint="eastAsia"/>
        </w:rPr>
      </w:pPr>
      <w:r>
        <w:separator/>
      </w:r>
    </w:p>
  </w:footnote>
  <w:footnote w:type="continuationSeparator" w:id="0">
    <w:p w14:paraId="51D8B0A0" w14:textId="77777777" w:rsidR="00865B77" w:rsidRDefault="00865B77" w:rsidP="00861C4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BC3"/>
    <w:rsid w:val="0001471E"/>
    <w:rsid w:val="00043B8E"/>
    <w:rsid w:val="000B3052"/>
    <w:rsid w:val="000D6453"/>
    <w:rsid w:val="00146DBD"/>
    <w:rsid w:val="001550A5"/>
    <w:rsid w:val="001565FB"/>
    <w:rsid w:val="0016783D"/>
    <w:rsid w:val="001B19A7"/>
    <w:rsid w:val="001B6BCA"/>
    <w:rsid w:val="001E6C19"/>
    <w:rsid w:val="002D7FC4"/>
    <w:rsid w:val="00334087"/>
    <w:rsid w:val="00360005"/>
    <w:rsid w:val="0036086B"/>
    <w:rsid w:val="003714F2"/>
    <w:rsid w:val="003801C8"/>
    <w:rsid w:val="00390DA8"/>
    <w:rsid w:val="003B0D1E"/>
    <w:rsid w:val="004745DD"/>
    <w:rsid w:val="0048463D"/>
    <w:rsid w:val="004E0BC3"/>
    <w:rsid w:val="00512897"/>
    <w:rsid w:val="00586378"/>
    <w:rsid w:val="005F61B3"/>
    <w:rsid w:val="006A3326"/>
    <w:rsid w:val="006B3C1C"/>
    <w:rsid w:val="006B5F5A"/>
    <w:rsid w:val="006C3DFF"/>
    <w:rsid w:val="007178AA"/>
    <w:rsid w:val="007533E2"/>
    <w:rsid w:val="007633A5"/>
    <w:rsid w:val="00846FC0"/>
    <w:rsid w:val="00861C47"/>
    <w:rsid w:val="00865B77"/>
    <w:rsid w:val="009148E8"/>
    <w:rsid w:val="00981365"/>
    <w:rsid w:val="009954BA"/>
    <w:rsid w:val="009C08EE"/>
    <w:rsid w:val="009C3170"/>
    <w:rsid w:val="009F6044"/>
    <w:rsid w:val="00B56F15"/>
    <w:rsid w:val="00B97C32"/>
    <w:rsid w:val="00C122EF"/>
    <w:rsid w:val="00C42FF0"/>
    <w:rsid w:val="00C507B5"/>
    <w:rsid w:val="00C557E7"/>
    <w:rsid w:val="00C70A1D"/>
    <w:rsid w:val="00CD2983"/>
    <w:rsid w:val="00D167DA"/>
    <w:rsid w:val="00DE5A37"/>
    <w:rsid w:val="00E0500C"/>
    <w:rsid w:val="00E2385F"/>
    <w:rsid w:val="00E96642"/>
    <w:rsid w:val="00EB1BE1"/>
    <w:rsid w:val="00F116EE"/>
    <w:rsid w:val="00FE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7E36C"/>
  <w15:chartTrackingRefBased/>
  <w15:docId w15:val="{EEDFA49C-E137-417E-9F78-189F905D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C47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4E0B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4E0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B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BC3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BC3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BC3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BC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BC3"/>
    <w:pPr>
      <w:keepNext/>
      <w:keepLines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BC3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E0BC3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qFormat/>
    <w:rsid w:val="004E0BC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E0B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E0BC3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E0BC3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E0BC3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E0B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E0B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E0B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E0B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E0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E0B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E0B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E0BC3"/>
    <w:pPr>
      <w:spacing w:before="160" w:after="160"/>
      <w:jc w:val="center"/>
    </w:pPr>
    <w:rPr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4E0B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0BC3"/>
    <w:pPr>
      <w:ind w:left="720"/>
      <w:contextualSpacing/>
    </w:pPr>
    <w:rPr>
      <w:szCs w:val="22"/>
    </w:rPr>
  </w:style>
  <w:style w:type="character" w:styleId="aa">
    <w:name w:val="Intense Emphasis"/>
    <w:basedOn w:val="a0"/>
    <w:uiPriority w:val="21"/>
    <w:qFormat/>
    <w:rsid w:val="004E0BC3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0BC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4E0BC3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4E0BC3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61C4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61C4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61C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61C47"/>
    <w:rPr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1B19A7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1B19A7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7</Pages>
  <Words>291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65</cp:revision>
  <cp:lastPrinted>2026-04-08T07:12:00Z</cp:lastPrinted>
  <dcterms:created xsi:type="dcterms:W3CDTF">2026-04-08T00:06:00Z</dcterms:created>
  <dcterms:modified xsi:type="dcterms:W3CDTF">2026-04-08T07:14:00Z</dcterms:modified>
</cp:coreProperties>
</file>