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A7191">
      <w:pPr>
        <w:jc w:val="center"/>
        <w:rPr>
          <w:rFonts w:hint="eastAsia" w:ascii="宋体" w:hAnsi="宋体" w:cs="黑体"/>
          <w:b/>
          <w:color w:val="000000"/>
          <w:sz w:val="44"/>
        </w:rPr>
      </w:pPr>
      <w:r>
        <w:rPr>
          <w:rFonts w:hint="eastAsia" w:ascii="宋体" w:hAnsi="宋体" w:cs="黑体"/>
          <w:b/>
          <w:color w:val="000000"/>
          <w:sz w:val="44"/>
        </w:rPr>
        <w:t>山海关区</w:t>
      </w:r>
      <w:r>
        <w:rPr>
          <w:rFonts w:hint="eastAsia" w:ascii="宋体" w:hAnsi="宋体" w:cs="黑体"/>
          <w:b/>
          <w:color w:val="000000"/>
          <w:sz w:val="44"/>
          <w:lang w:eastAsia="zh-CN"/>
        </w:rPr>
        <w:t>财政</w:t>
      </w:r>
      <w:r>
        <w:rPr>
          <w:rFonts w:hint="eastAsia" w:ascii="宋体" w:hAnsi="宋体" w:cs="黑体"/>
          <w:b/>
          <w:color w:val="000000"/>
          <w:sz w:val="44"/>
        </w:rPr>
        <w:t>部门</w:t>
      </w:r>
      <w:r>
        <w:rPr>
          <w:rFonts w:hint="eastAsia" w:ascii="宋体" w:hAnsi="宋体" w:cs="黑体"/>
          <w:b/>
          <w:color w:val="000000"/>
          <w:sz w:val="44"/>
          <w:lang w:eastAsia="zh-CN"/>
        </w:rPr>
        <w:t>2022</w:t>
      </w:r>
      <w:r>
        <w:rPr>
          <w:rFonts w:hint="eastAsia" w:ascii="宋体" w:hAnsi="宋体" w:cs="黑体"/>
          <w:b/>
          <w:color w:val="000000"/>
          <w:sz w:val="44"/>
        </w:rPr>
        <w:t>年部门预算公开说明</w:t>
      </w:r>
    </w:p>
    <w:p w14:paraId="58DBEEE2">
      <w:pPr>
        <w:jc w:val="center"/>
        <w:rPr>
          <w:rFonts w:hint="eastAsia" w:ascii="黑体" w:hAnsi="黑体" w:eastAsia="黑体" w:cs="黑体"/>
          <w:color w:val="000000"/>
          <w:sz w:val="44"/>
        </w:rPr>
      </w:pPr>
    </w:p>
    <w:p w14:paraId="321EE24F">
      <w:pPr>
        <w:jc w:val="left"/>
        <w:rPr>
          <w:rFonts w:hint="eastAsia" w:ascii="仿宋_GB2312" w:eastAsia="仿宋_GB2312"/>
          <w:sz w:val="32"/>
          <w:szCs w:val="32"/>
        </w:rPr>
      </w:pPr>
      <w:r>
        <w:rPr>
          <w:rFonts w:hint="eastAsia" w:ascii="仿宋" w:hAnsi="仿宋" w:eastAsia="仿宋" w:cs="仿宋"/>
          <w:color w:val="000000"/>
          <w:sz w:val="32"/>
        </w:rPr>
        <w:t xml:space="preserve">    </w:t>
      </w:r>
      <w:r>
        <w:rPr>
          <w:rFonts w:hint="eastAsia" w:ascii="仿宋_GB2312" w:eastAsia="仿宋_GB2312"/>
          <w:sz w:val="32"/>
          <w:szCs w:val="32"/>
        </w:rPr>
        <w:t>按照《中华人民共和国预算法》、《地方预决算公开操作规程》和《河北省省级预算公开办法》规定，现将山海关区</w:t>
      </w:r>
      <w:r>
        <w:rPr>
          <w:rFonts w:hint="eastAsia" w:ascii="仿宋_GB2312" w:eastAsia="仿宋_GB2312"/>
          <w:sz w:val="32"/>
          <w:szCs w:val="32"/>
          <w:lang w:eastAsia="zh-CN"/>
        </w:rPr>
        <w:t>财政</w:t>
      </w:r>
      <w:r>
        <w:rPr>
          <w:rFonts w:hint="eastAsia" w:ascii="仿宋_GB2312" w:eastAsia="仿宋_GB2312"/>
          <w:sz w:val="32"/>
          <w:szCs w:val="32"/>
        </w:rPr>
        <w:t>部门</w:t>
      </w:r>
      <w:r>
        <w:rPr>
          <w:rFonts w:hint="eastAsia" w:ascii="仿宋_GB2312" w:eastAsia="仿宋_GB2312"/>
          <w:sz w:val="32"/>
          <w:szCs w:val="32"/>
          <w:lang w:eastAsia="zh-CN"/>
        </w:rPr>
        <w:t>2022</w:t>
      </w:r>
      <w:r>
        <w:rPr>
          <w:rFonts w:hint="eastAsia" w:ascii="仿宋_GB2312" w:eastAsia="仿宋_GB2312"/>
          <w:sz w:val="32"/>
          <w:szCs w:val="32"/>
        </w:rPr>
        <w:t>年部门预算公开如下：</w:t>
      </w:r>
    </w:p>
    <w:p w14:paraId="7FF9A1DB">
      <w:pPr>
        <w:jc w:val="left"/>
        <w:rPr>
          <w:rFonts w:hint="eastAsia" w:ascii="黑体" w:hAnsi="黑体" w:eastAsia="黑体" w:cs="黑体"/>
          <w:color w:val="000000"/>
          <w:sz w:val="32"/>
        </w:rPr>
      </w:pPr>
      <w:r>
        <w:rPr>
          <w:rFonts w:hint="eastAsia" w:ascii="仿宋" w:hAnsi="仿宋" w:eastAsia="仿宋" w:cs="仿宋"/>
          <w:color w:val="000000"/>
          <w:sz w:val="32"/>
        </w:rPr>
        <w:t xml:space="preserve">   </w:t>
      </w:r>
      <w:r>
        <w:rPr>
          <w:rFonts w:hint="eastAsia" w:ascii="黑体" w:hAnsi="黑体" w:eastAsia="黑体" w:cs="黑体"/>
          <w:color w:val="000000"/>
          <w:sz w:val="32"/>
        </w:rPr>
        <w:t xml:space="preserve"> 一、部门职责及机构设置情况</w:t>
      </w:r>
    </w:p>
    <w:p w14:paraId="49CAAFA7">
      <w:pPr>
        <w:ind w:firstLine="640"/>
        <w:jc w:val="left"/>
        <w:rPr>
          <w:rFonts w:hint="eastAsia" w:ascii="楷体_GB2312" w:hAnsi="楷体" w:eastAsia="楷体_GB2312" w:cs="楷体"/>
          <w:b/>
          <w:color w:val="000000"/>
          <w:sz w:val="32"/>
          <w:lang w:eastAsia="zh-CN"/>
        </w:rPr>
      </w:pPr>
      <w:r>
        <w:rPr>
          <w:rFonts w:hint="eastAsia" w:ascii="楷体_GB2312" w:hAnsi="楷体" w:eastAsia="楷体_GB2312" w:cs="楷体"/>
          <w:b/>
          <w:color w:val="000000"/>
          <w:sz w:val="32"/>
        </w:rPr>
        <w:t>部门职责：部门职责：</w:t>
      </w:r>
      <w:r>
        <w:rPr>
          <w:rFonts w:hint="eastAsia" w:ascii="楷体_GB2312" w:hAnsi="楷体" w:eastAsia="楷体_GB2312" w:cs="楷体"/>
          <w:b/>
          <w:color w:val="FF0000"/>
          <w:sz w:val="32"/>
          <w:lang w:val="en-US" w:eastAsia="zh-CN"/>
        </w:rPr>
        <w:t xml:space="preserve"> </w:t>
      </w:r>
    </w:p>
    <w:p w14:paraId="405F0F49">
      <w:pPr>
        <w:spacing w:line="500" w:lineRule="exact"/>
        <w:jc w:val="left"/>
        <w:rPr>
          <w:rFonts w:hint="eastAsia" w:ascii="仿宋_GB2312" w:hAnsi="仿宋_GB2312" w:eastAsia="仿宋_GB2312" w:cs="仿宋_GB2312"/>
          <w:sz w:val="32"/>
          <w:szCs w:val="32"/>
        </w:rPr>
      </w:pPr>
      <w:r>
        <w:rPr>
          <w:rFonts w:hint="eastAsia" w:ascii="仿宋" w:hAnsi="仿宋" w:eastAsia="仿宋" w:cs="仿宋"/>
          <w:color w:val="000000"/>
          <w:sz w:val="32"/>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sz w:val="32"/>
          <w:szCs w:val="32"/>
        </w:rPr>
        <w:t>1、承担财政预算管理的责任。负责编制年度区本级预决算草案并组织执行，汇编全区年度预决算草案；受区政府委托，向区人民代表大会报告全区及区本级预算及其执行情况，向区人大常委会报告决算；组织制定经费开支标准、定额，负责审核批复部门（单位）的年度预决算。</w:t>
      </w:r>
    </w:p>
    <w:p w14:paraId="348E66FF">
      <w:pPr>
        <w:spacing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2、承担财政体制管理的责任。负责拟订区乡财政管理体制，研究提出区乡财政管理体制实施细则。完善转移支付制度。</w:t>
      </w:r>
    </w:p>
    <w:p w14:paraId="170A8DD2">
      <w:pPr>
        <w:spacing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3、承担财政国库管理的责任。组织制定国库管理制度、国库集中收付制度并组织实施，指导和监督区本级国库</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业务，按规定开展国库现金管理；</w:t>
      </w:r>
    </w:p>
    <w:p w14:paraId="334855FA">
      <w:pPr>
        <w:spacing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4、负责政府非税收入和政府性基金管理，按规定管理行政事业性收费，管理财政票据。</w:t>
      </w:r>
    </w:p>
    <w:p w14:paraId="52A8C620">
      <w:pPr>
        <w:spacing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5、依照区国有资产</w:t>
      </w:r>
      <w:r>
        <w:rPr>
          <w:rFonts w:hint="eastAsia" w:ascii="仿宋_GB2312" w:hAnsi="仿宋_GB2312" w:eastAsia="仿宋_GB2312" w:cs="仿宋_GB2312"/>
          <w:sz w:val="32"/>
          <w:szCs w:val="32"/>
          <w:lang w:val="en-US" w:eastAsia="zh-CN"/>
        </w:rPr>
        <w:t>监督</w:t>
      </w:r>
      <w:bookmarkStart w:id="0" w:name="_GoBack"/>
      <w:bookmarkEnd w:id="0"/>
      <w:r>
        <w:rPr>
          <w:rFonts w:hint="eastAsia" w:ascii="仿宋_GB2312" w:hAnsi="仿宋_GB2312" w:eastAsia="仿宋_GB2312" w:cs="仿宋_GB2312"/>
          <w:sz w:val="32"/>
          <w:szCs w:val="32"/>
        </w:rPr>
        <w:t>管理委员会授权，制定本区国有资产管理的实施办法及相关实施细则，对执行情况进行监督检查，负责国有资产的授权监管。</w:t>
      </w:r>
    </w:p>
    <w:p w14:paraId="661CD980">
      <w:pPr>
        <w:spacing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6、参与产业结构调整、企业改革问题的研究，提出有关政策建议和措施。制定并组织实施企业财务制度。按规定管理地方金融类企业国有资产，参与拟订企业国有资产管理相关制度。</w:t>
      </w:r>
    </w:p>
    <w:p w14:paraId="5C9AEC58">
      <w:pPr>
        <w:spacing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全区政府性债务统计、分析，研究制定管理政策和制度；控制新增债务、管理使用债务资金、编制年度偿债计划和督促落实到期还款资金；牵头制定债务资金纳入预算管理制度，建立政府举债风险监测指标体系，对政府债务进行动态监控和风险预警。</w:t>
      </w:r>
    </w:p>
    <w:p w14:paraId="7D648867">
      <w:pPr>
        <w:spacing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8、负责办理和监督区级财政的经济社会发展支出、区投资项目的财政拨款，参与拟订区建设投资的有关政策，制定基本建设财务制度；负责有关政策性补贴和专项储备资金财政管理。</w:t>
      </w:r>
    </w:p>
    <w:p w14:paraId="2AC2E6B1">
      <w:pPr>
        <w:spacing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9、会同有关部门管理区级财政社会保障和就业及医疗卫生支出，会同有关部门拟订社会保障资金（基金）的财务管理制度，编制区级社会保障预决算草案。</w:t>
      </w:r>
    </w:p>
    <w:p w14:paraId="65C9C939">
      <w:pPr>
        <w:spacing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10、负责制定政府采购制度并监督管理。承担全区机关事业单位公务车辆编制管理职责。</w:t>
      </w:r>
    </w:p>
    <w:p w14:paraId="7C8DB3F4">
      <w:pPr>
        <w:spacing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11、负责管理全区会计工作，监督和规范会计行为，组织实施国家统一的会计制度，指导和管理社会审计。</w:t>
      </w:r>
    </w:p>
    <w:p w14:paraId="7FDEE6E7">
      <w:pPr>
        <w:spacing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12、监督检查财税法规、政策的执行情况，反映财政收支管理中的重大问题；制定绩效评价制度和办法，组织开展绩效评价工作。</w:t>
      </w:r>
    </w:p>
    <w:p w14:paraId="17F911F2">
      <w:pPr>
        <w:spacing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13、承办区政府交办的其他事项。</w:t>
      </w:r>
    </w:p>
    <w:p w14:paraId="1AD68BAA">
      <w:pPr>
        <w:spacing w:line="500" w:lineRule="exact"/>
        <w:ind w:firstLine="640"/>
        <w:jc w:val="left"/>
        <w:rPr>
          <w:rFonts w:hint="eastAsia" w:ascii="仿宋_GB2312" w:hAnsi="仿宋_GB2312" w:eastAsia="仿宋_GB2312" w:cs="仿宋_GB2312"/>
          <w:sz w:val="32"/>
          <w:szCs w:val="32"/>
        </w:rPr>
        <w:sectPr>
          <w:footerReference r:id="rId3" w:type="default"/>
          <w:pgSz w:w="11907" w:h="16839" w:orient="landscape"/>
          <w:pgMar w:top="1531" w:right="1134" w:bottom="1474" w:left="1134" w:header="851" w:footer="992" w:gutter="0"/>
          <w:pgNumType w:start="1"/>
          <w:cols w:space="1701" w:num="1"/>
        </w:sectPr>
      </w:pPr>
    </w:p>
    <w:p w14:paraId="3FA1D8C8">
      <w:pPr>
        <w:spacing w:line="620" w:lineRule="exact"/>
        <w:rPr>
          <w:rFonts w:ascii="仿宋_GB2312" w:hAnsi="楷体" w:eastAsia="仿宋_GB2312" w:cs="楷体"/>
          <w:color w:val="000000"/>
          <w:sz w:val="32"/>
          <w:lang w:val="en-US" w:eastAsia="zh-CN"/>
        </w:rPr>
      </w:pPr>
      <w:r>
        <w:rPr>
          <w:rFonts w:hint="eastAsia" w:ascii="仿宋_GB2312" w:hAnsi="楷体" w:eastAsia="仿宋_GB2312" w:cs="楷体"/>
          <w:color w:val="000000"/>
          <w:sz w:val="32"/>
          <w:lang w:val="en-US" w:eastAsia="zh-CN"/>
        </w:rPr>
        <w:t xml:space="preserve">                                      </w:t>
      </w:r>
    </w:p>
    <w:p w14:paraId="47610D8D">
      <w:pPr>
        <w:ind w:firstLine="640"/>
        <w:jc w:val="left"/>
        <w:rPr>
          <w:rFonts w:hint="eastAsia" w:ascii="楷体_GB2312" w:hAnsi="楷体" w:eastAsia="楷体_GB2312" w:cs="楷体"/>
          <w:b/>
          <w:color w:val="000000"/>
          <w:sz w:val="32"/>
        </w:rPr>
      </w:pPr>
      <w:r>
        <w:rPr>
          <w:rFonts w:hint="eastAsia" w:ascii="楷体_GB2312" w:hAnsi="楷体" w:eastAsia="楷体_GB2312" w:cs="楷体"/>
          <w:b/>
          <w:color w:val="000000"/>
          <w:sz w:val="32"/>
        </w:rPr>
        <w:t>机构设置：</w:t>
      </w:r>
    </w:p>
    <w:p w14:paraId="18C23940">
      <w:pPr>
        <w:ind w:firstLine="640"/>
        <w:jc w:val="center"/>
        <w:rPr>
          <w:rFonts w:hint="eastAsia" w:ascii="楷体_GB2312" w:hAnsi="楷体" w:eastAsia="楷体_GB2312" w:cs="楷体"/>
          <w:b/>
          <w:color w:val="000000"/>
          <w:sz w:val="32"/>
        </w:rPr>
      </w:pPr>
      <w:r>
        <w:rPr>
          <w:rFonts w:hint="eastAsia" w:ascii="楷体_GB2312" w:hAnsi="楷体" w:eastAsia="楷体_GB2312" w:cs="楷体"/>
          <w:b/>
          <w:color w:val="000000"/>
          <w:sz w:val="32"/>
        </w:rPr>
        <w:t>部门机构设置情况</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64"/>
        <w:gridCol w:w="1381"/>
        <w:gridCol w:w="1809"/>
        <w:gridCol w:w="4689"/>
      </w:tblGrid>
      <w:tr w14:paraId="139C6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7" w:hRule="atLeast"/>
          <w:tblHeader/>
          <w:jc w:val="center"/>
        </w:trPr>
        <w:tc>
          <w:tcPr>
            <w:tcW w:w="4564" w:type="dxa"/>
            <w:vMerge w:val="restart"/>
            <w:noWrap w:val="0"/>
            <w:vAlign w:val="center"/>
          </w:tcPr>
          <w:p w14:paraId="144CA56E">
            <w:pPr>
              <w:spacing w:line="300" w:lineRule="exact"/>
              <w:jc w:val="center"/>
              <w:rPr>
                <w:rFonts w:hint="eastAsia" w:ascii="仿宋_GB2312" w:hAnsi="仿宋" w:eastAsia="仿宋_GB2312" w:cs="仿宋"/>
                <w:b/>
                <w:sz w:val="28"/>
                <w:szCs w:val="28"/>
              </w:rPr>
            </w:pPr>
            <w:r>
              <w:rPr>
                <w:rFonts w:hint="eastAsia" w:ascii="仿宋_GB2312" w:hAnsi="仿宋" w:eastAsia="仿宋_GB2312" w:cs="仿宋"/>
                <w:b/>
                <w:sz w:val="28"/>
                <w:szCs w:val="28"/>
              </w:rPr>
              <w:t>单位名称</w:t>
            </w:r>
          </w:p>
        </w:tc>
        <w:tc>
          <w:tcPr>
            <w:tcW w:w="1381" w:type="dxa"/>
            <w:vMerge w:val="restart"/>
            <w:noWrap w:val="0"/>
            <w:vAlign w:val="center"/>
          </w:tcPr>
          <w:p w14:paraId="4987AF2A">
            <w:pPr>
              <w:spacing w:line="300" w:lineRule="exact"/>
              <w:jc w:val="center"/>
              <w:rPr>
                <w:rFonts w:hint="eastAsia" w:ascii="仿宋_GB2312" w:hAnsi="仿宋" w:eastAsia="仿宋_GB2312" w:cs="仿宋"/>
                <w:b/>
                <w:sz w:val="28"/>
                <w:szCs w:val="28"/>
              </w:rPr>
            </w:pPr>
            <w:r>
              <w:rPr>
                <w:rFonts w:hint="eastAsia" w:ascii="仿宋_GB2312" w:hAnsi="仿宋" w:eastAsia="仿宋_GB2312" w:cs="仿宋"/>
                <w:b/>
                <w:sz w:val="28"/>
                <w:szCs w:val="28"/>
              </w:rPr>
              <w:t>单位性质</w:t>
            </w:r>
          </w:p>
        </w:tc>
        <w:tc>
          <w:tcPr>
            <w:tcW w:w="1809" w:type="dxa"/>
            <w:vMerge w:val="restart"/>
            <w:noWrap w:val="0"/>
            <w:vAlign w:val="center"/>
          </w:tcPr>
          <w:p w14:paraId="192EFCB0">
            <w:pPr>
              <w:spacing w:line="300" w:lineRule="exact"/>
              <w:jc w:val="center"/>
              <w:rPr>
                <w:rFonts w:hint="eastAsia" w:ascii="仿宋_GB2312" w:hAnsi="仿宋" w:eastAsia="仿宋_GB2312" w:cs="仿宋"/>
                <w:b/>
                <w:sz w:val="28"/>
                <w:szCs w:val="28"/>
              </w:rPr>
            </w:pPr>
            <w:r>
              <w:rPr>
                <w:rFonts w:hint="eastAsia" w:ascii="仿宋_GB2312" w:hAnsi="仿宋" w:eastAsia="仿宋_GB2312" w:cs="仿宋"/>
                <w:b/>
                <w:sz w:val="28"/>
                <w:szCs w:val="28"/>
              </w:rPr>
              <w:t>单位规格</w:t>
            </w:r>
          </w:p>
        </w:tc>
        <w:tc>
          <w:tcPr>
            <w:tcW w:w="4689" w:type="dxa"/>
            <w:vMerge w:val="restart"/>
            <w:noWrap w:val="0"/>
            <w:vAlign w:val="center"/>
          </w:tcPr>
          <w:p w14:paraId="72E2052D">
            <w:pPr>
              <w:spacing w:line="300" w:lineRule="exact"/>
              <w:jc w:val="center"/>
              <w:rPr>
                <w:rFonts w:hint="eastAsia" w:ascii="仿宋_GB2312" w:hAnsi="仿宋" w:eastAsia="仿宋_GB2312" w:cs="仿宋"/>
                <w:b/>
                <w:sz w:val="28"/>
                <w:szCs w:val="28"/>
              </w:rPr>
            </w:pPr>
            <w:r>
              <w:rPr>
                <w:rFonts w:hint="eastAsia" w:ascii="仿宋_GB2312" w:hAnsi="仿宋" w:eastAsia="仿宋_GB2312" w:cs="仿宋"/>
                <w:b/>
                <w:sz w:val="28"/>
                <w:szCs w:val="28"/>
              </w:rPr>
              <w:t>经费保障形式</w:t>
            </w:r>
          </w:p>
        </w:tc>
      </w:tr>
      <w:tr w14:paraId="39F97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0" w:hRule="atLeast"/>
          <w:jc w:val="center"/>
        </w:trPr>
        <w:tc>
          <w:tcPr>
            <w:tcW w:w="4564" w:type="dxa"/>
            <w:noWrap w:val="0"/>
            <w:vAlign w:val="center"/>
          </w:tcPr>
          <w:p w14:paraId="6D3697C5">
            <w:pPr>
              <w:spacing w:line="300" w:lineRule="exact"/>
              <w:jc w:val="center"/>
              <w:rPr>
                <w:rFonts w:hint="eastAsia" w:ascii="仿宋_GB2312" w:eastAsia="仿宋_GB2312"/>
                <w:sz w:val="28"/>
                <w:szCs w:val="28"/>
                <w:lang w:eastAsia="zh-CN"/>
              </w:rPr>
            </w:pPr>
            <w:r>
              <w:rPr>
                <w:rFonts w:hint="eastAsia" w:ascii="仿宋_GB2312" w:eastAsia="仿宋_GB2312"/>
                <w:sz w:val="28"/>
                <w:szCs w:val="28"/>
                <w:lang w:eastAsia="zh-CN"/>
              </w:rPr>
              <w:t>山海关区财政局</w:t>
            </w:r>
          </w:p>
        </w:tc>
        <w:tc>
          <w:tcPr>
            <w:tcW w:w="1381" w:type="dxa"/>
            <w:noWrap w:val="0"/>
            <w:vAlign w:val="center"/>
          </w:tcPr>
          <w:p w14:paraId="096869E8">
            <w:pPr>
              <w:spacing w:line="300" w:lineRule="exact"/>
              <w:jc w:val="center"/>
              <w:rPr>
                <w:rFonts w:hint="eastAsia" w:ascii="仿宋_GB2312" w:eastAsia="仿宋_GB2312"/>
                <w:sz w:val="28"/>
                <w:szCs w:val="28"/>
              </w:rPr>
            </w:pPr>
            <w:r>
              <w:rPr>
                <w:rFonts w:hint="eastAsia" w:ascii="仿宋_GB2312" w:eastAsia="仿宋_GB2312"/>
                <w:sz w:val="28"/>
                <w:szCs w:val="28"/>
              </w:rPr>
              <w:t>行政</w:t>
            </w:r>
          </w:p>
        </w:tc>
        <w:tc>
          <w:tcPr>
            <w:tcW w:w="1809" w:type="dxa"/>
            <w:noWrap w:val="0"/>
            <w:vAlign w:val="center"/>
          </w:tcPr>
          <w:p w14:paraId="6C87B155">
            <w:pPr>
              <w:spacing w:line="300" w:lineRule="exact"/>
              <w:jc w:val="center"/>
              <w:rPr>
                <w:rFonts w:hint="eastAsia" w:ascii="仿宋_GB2312" w:eastAsia="仿宋_GB2312"/>
                <w:sz w:val="28"/>
                <w:szCs w:val="28"/>
              </w:rPr>
            </w:pPr>
            <w:r>
              <w:rPr>
                <w:rFonts w:hint="eastAsia" w:ascii="仿宋_GB2312" w:eastAsia="仿宋_GB2312"/>
                <w:sz w:val="28"/>
                <w:szCs w:val="28"/>
              </w:rPr>
              <w:t>正科级</w:t>
            </w:r>
          </w:p>
        </w:tc>
        <w:tc>
          <w:tcPr>
            <w:tcW w:w="4689" w:type="dxa"/>
            <w:noWrap w:val="0"/>
            <w:vAlign w:val="center"/>
          </w:tcPr>
          <w:p w14:paraId="7C20FB6B">
            <w:pPr>
              <w:spacing w:line="300" w:lineRule="exact"/>
              <w:jc w:val="center"/>
              <w:rPr>
                <w:rFonts w:hint="eastAsia" w:ascii="仿宋_GB2312" w:eastAsia="仿宋_GB2312"/>
                <w:sz w:val="28"/>
                <w:szCs w:val="28"/>
              </w:rPr>
            </w:pPr>
            <w:r>
              <w:rPr>
                <w:rFonts w:hint="eastAsia" w:ascii="仿宋_GB2312" w:eastAsia="仿宋_GB2312"/>
                <w:sz w:val="28"/>
                <w:szCs w:val="28"/>
              </w:rPr>
              <w:t>财政拨款</w:t>
            </w:r>
          </w:p>
        </w:tc>
      </w:tr>
      <w:tr w14:paraId="32866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5" w:hRule="atLeast"/>
          <w:jc w:val="center"/>
        </w:trPr>
        <w:tc>
          <w:tcPr>
            <w:tcW w:w="4564" w:type="dxa"/>
            <w:noWrap w:val="0"/>
            <w:vAlign w:val="center"/>
          </w:tcPr>
          <w:p w14:paraId="5E8E8A2B">
            <w:pPr>
              <w:spacing w:line="300" w:lineRule="exact"/>
              <w:jc w:val="center"/>
              <w:rPr>
                <w:rFonts w:hint="eastAsia" w:ascii="仿宋_GB2312" w:eastAsia="仿宋_GB2312"/>
                <w:sz w:val="28"/>
                <w:szCs w:val="28"/>
                <w:lang w:eastAsia="zh-CN"/>
              </w:rPr>
            </w:pPr>
            <w:r>
              <w:rPr>
                <w:rFonts w:hint="eastAsia" w:ascii="仿宋_GB2312" w:eastAsia="仿宋_GB2312"/>
                <w:sz w:val="28"/>
                <w:szCs w:val="28"/>
                <w:lang w:val="en-US" w:eastAsia="zh-CN"/>
              </w:rPr>
              <w:t xml:space="preserve"> </w:t>
            </w:r>
            <w:r>
              <w:rPr>
                <w:rFonts w:hint="eastAsia" w:ascii="仿宋_GB2312" w:hAnsi="仿宋_GB2312" w:eastAsia="仿宋_GB2312" w:cs="仿宋_GB2312"/>
                <w:sz w:val="28"/>
                <w:szCs w:val="28"/>
              </w:rPr>
              <w:t>秦皇岛市山海关区财政集中支付中心</w:t>
            </w:r>
          </w:p>
        </w:tc>
        <w:tc>
          <w:tcPr>
            <w:tcW w:w="1381" w:type="dxa"/>
            <w:noWrap w:val="0"/>
            <w:vAlign w:val="center"/>
          </w:tcPr>
          <w:p w14:paraId="19CF6AA6">
            <w:pPr>
              <w:spacing w:line="300" w:lineRule="exact"/>
              <w:jc w:val="center"/>
              <w:rPr>
                <w:rFonts w:hint="eastAsia" w:ascii="仿宋_GB2312" w:eastAsia="仿宋_GB2312"/>
                <w:sz w:val="28"/>
                <w:szCs w:val="28"/>
              </w:rPr>
            </w:pPr>
            <w:r>
              <w:rPr>
                <w:rFonts w:hint="eastAsia" w:ascii="仿宋_GB2312" w:eastAsia="仿宋_GB2312"/>
                <w:sz w:val="28"/>
                <w:szCs w:val="28"/>
              </w:rPr>
              <w:t>事业</w:t>
            </w:r>
          </w:p>
        </w:tc>
        <w:tc>
          <w:tcPr>
            <w:tcW w:w="1809" w:type="dxa"/>
            <w:noWrap w:val="0"/>
            <w:vAlign w:val="center"/>
          </w:tcPr>
          <w:p w14:paraId="0FB216B1">
            <w:pPr>
              <w:spacing w:line="300" w:lineRule="exact"/>
              <w:jc w:val="center"/>
              <w:rPr>
                <w:rFonts w:hint="eastAsia" w:ascii="仿宋_GB2312" w:eastAsia="仿宋_GB2312"/>
                <w:sz w:val="28"/>
                <w:szCs w:val="28"/>
                <w:lang w:eastAsia="zh-CN"/>
              </w:rPr>
            </w:pPr>
            <w:r>
              <w:rPr>
                <w:rFonts w:hint="eastAsia" w:ascii="仿宋_GB2312" w:eastAsia="仿宋_GB2312"/>
                <w:sz w:val="28"/>
                <w:szCs w:val="28"/>
                <w:lang w:eastAsia="zh-CN"/>
              </w:rPr>
              <w:t>正科级</w:t>
            </w:r>
          </w:p>
        </w:tc>
        <w:tc>
          <w:tcPr>
            <w:tcW w:w="4689" w:type="dxa"/>
            <w:noWrap w:val="0"/>
            <w:vAlign w:val="center"/>
          </w:tcPr>
          <w:p w14:paraId="763DFAC9">
            <w:pPr>
              <w:spacing w:line="300" w:lineRule="exact"/>
              <w:jc w:val="center"/>
              <w:rPr>
                <w:rFonts w:hint="eastAsia" w:ascii="仿宋_GB2312" w:eastAsia="仿宋_GB2312"/>
                <w:sz w:val="28"/>
                <w:szCs w:val="28"/>
              </w:rPr>
            </w:pPr>
            <w:r>
              <w:rPr>
                <w:rFonts w:hint="eastAsia" w:ascii="仿宋_GB2312" w:eastAsia="仿宋_GB2312"/>
                <w:sz w:val="28"/>
                <w:szCs w:val="28"/>
              </w:rPr>
              <w:t>财政性资金基本保证</w:t>
            </w:r>
          </w:p>
        </w:tc>
      </w:tr>
      <w:tr w14:paraId="466C2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2" w:hRule="atLeast"/>
          <w:jc w:val="center"/>
        </w:trPr>
        <w:tc>
          <w:tcPr>
            <w:tcW w:w="4564" w:type="dxa"/>
            <w:noWrap w:val="0"/>
            <w:vAlign w:val="center"/>
          </w:tcPr>
          <w:p w14:paraId="7411E5AE">
            <w:pPr>
              <w:spacing w:line="300" w:lineRule="exact"/>
              <w:jc w:val="center"/>
              <w:rPr>
                <w:rFonts w:hint="eastAsia" w:ascii="仿宋_GB2312" w:eastAsia="仿宋_GB2312"/>
                <w:sz w:val="28"/>
                <w:szCs w:val="28"/>
              </w:rPr>
            </w:pPr>
            <w:r>
              <w:rPr>
                <w:rFonts w:hint="eastAsia" w:ascii="仿宋_GB2312" w:hAnsi="仿宋_GB2312" w:eastAsia="仿宋_GB2312" w:cs="仿宋_GB2312"/>
                <w:sz w:val="28"/>
                <w:szCs w:val="28"/>
              </w:rPr>
              <w:t>山海关区综合治税领导小组办公室</w:t>
            </w:r>
          </w:p>
        </w:tc>
        <w:tc>
          <w:tcPr>
            <w:tcW w:w="1381" w:type="dxa"/>
            <w:noWrap w:val="0"/>
            <w:vAlign w:val="center"/>
          </w:tcPr>
          <w:p w14:paraId="20808FDC">
            <w:pPr>
              <w:spacing w:line="300" w:lineRule="exact"/>
              <w:jc w:val="center"/>
              <w:rPr>
                <w:rFonts w:hint="eastAsia" w:ascii="仿宋_GB2312" w:eastAsia="仿宋_GB2312"/>
                <w:sz w:val="28"/>
                <w:szCs w:val="28"/>
              </w:rPr>
            </w:pPr>
            <w:r>
              <w:rPr>
                <w:rFonts w:hint="eastAsia" w:ascii="仿宋_GB2312" w:eastAsia="仿宋_GB2312"/>
                <w:sz w:val="28"/>
                <w:szCs w:val="28"/>
              </w:rPr>
              <w:t>事业</w:t>
            </w:r>
          </w:p>
        </w:tc>
        <w:tc>
          <w:tcPr>
            <w:tcW w:w="1809" w:type="dxa"/>
            <w:noWrap w:val="0"/>
            <w:vAlign w:val="center"/>
          </w:tcPr>
          <w:p w14:paraId="13A9FA6C">
            <w:pPr>
              <w:spacing w:line="300" w:lineRule="exact"/>
              <w:jc w:val="center"/>
              <w:rPr>
                <w:rFonts w:hint="eastAsia" w:ascii="仿宋_GB2312" w:eastAsia="仿宋_GB2312"/>
                <w:sz w:val="28"/>
                <w:szCs w:val="28"/>
              </w:rPr>
            </w:pPr>
            <w:r>
              <w:rPr>
                <w:rFonts w:hint="eastAsia" w:ascii="仿宋_GB2312" w:eastAsia="仿宋_GB2312"/>
                <w:sz w:val="28"/>
                <w:szCs w:val="28"/>
                <w:lang w:eastAsia="zh-CN"/>
              </w:rPr>
              <w:t>副</w:t>
            </w:r>
            <w:r>
              <w:rPr>
                <w:rFonts w:hint="eastAsia" w:ascii="仿宋_GB2312" w:eastAsia="仿宋_GB2312"/>
                <w:sz w:val="28"/>
                <w:szCs w:val="28"/>
              </w:rPr>
              <w:t>科级</w:t>
            </w:r>
          </w:p>
        </w:tc>
        <w:tc>
          <w:tcPr>
            <w:tcW w:w="4689" w:type="dxa"/>
            <w:noWrap w:val="0"/>
            <w:vAlign w:val="center"/>
          </w:tcPr>
          <w:p w14:paraId="6D34B3F5">
            <w:pPr>
              <w:spacing w:line="300" w:lineRule="exact"/>
              <w:jc w:val="center"/>
              <w:rPr>
                <w:rFonts w:hint="eastAsia" w:ascii="仿宋_GB2312" w:eastAsia="仿宋_GB2312"/>
                <w:sz w:val="28"/>
                <w:szCs w:val="28"/>
              </w:rPr>
            </w:pPr>
            <w:r>
              <w:rPr>
                <w:rFonts w:hint="eastAsia" w:ascii="仿宋_GB2312" w:eastAsia="仿宋_GB2312"/>
                <w:sz w:val="28"/>
                <w:szCs w:val="28"/>
              </w:rPr>
              <w:t>财政性资金基本保证</w:t>
            </w:r>
          </w:p>
        </w:tc>
      </w:tr>
      <w:tr w14:paraId="2FA80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0" w:hRule="atLeast"/>
          <w:jc w:val="center"/>
        </w:trPr>
        <w:tc>
          <w:tcPr>
            <w:tcW w:w="4564" w:type="dxa"/>
            <w:noWrap w:val="0"/>
            <w:vAlign w:val="center"/>
          </w:tcPr>
          <w:p w14:paraId="19B23D99">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秦皇岛市山海关区社会公益项目建设管理中心</w:t>
            </w:r>
          </w:p>
        </w:tc>
        <w:tc>
          <w:tcPr>
            <w:tcW w:w="1381" w:type="dxa"/>
            <w:noWrap w:val="0"/>
            <w:vAlign w:val="center"/>
          </w:tcPr>
          <w:p w14:paraId="5234A717">
            <w:pPr>
              <w:spacing w:line="300" w:lineRule="exact"/>
              <w:jc w:val="center"/>
              <w:rPr>
                <w:rFonts w:hint="eastAsia" w:ascii="仿宋_GB2312" w:eastAsia="仿宋_GB2312"/>
                <w:sz w:val="28"/>
                <w:szCs w:val="28"/>
                <w:lang w:eastAsia="zh-CN"/>
              </w:rPr>
            </w:pPr>
            <w:r>
              <w:rPr>
                <w:rFonts w:hint="eastAsia" w:ascii="仿宋_GB2312" w:eastAsia="仿宋_GB2312"/>
                <w:sz w:val="28"/>
                <w:szCs w:val="28"/>
                <w:lang w:eastAsia="zh-CN"/>
              </w:rPr>
              <w:t>事业</w:t>
            </w:r>
          </w:p>
        </w:tc>
        <w:tc>
          <w:tcPr>
            <w:tcW w:w="1809" w:type="dxa"/>
            <w:noWrap w:val="0"/>
            <w:vAlign w:val="center"/>
          </w:tcPr>
          <w:p w14:paraId="4512DBDC">
            <w:pPr>
              <w:spacing w:line="300" w:lineRule="exact"/>
              <w:jc w:val="center"/>
              <w:rPr>
                <w:rFonts w:hint="eastAsia" w:ascii="仿宋_GB2312" w:eastAsia="仿宋_GB2312"/>
                <w:sz w:val="28"/>
                <w:szCs w:val="28"/>
                <w:lang w:eastAsia="zh-CN"/>
              </w:rPr>
            </w:pPr>
            <w:r>
              <w:rPr>
                <w:rFonts w:hint="eastAsia" w:ascii="仿宋_GB2312" w:eastAsia="仿宋_GB2312"/>
                <w:sz w:val="28"/>
                <w:szCs w:val="28"/>
                <w:lang w:eastAsia="zh-CN"/>
              </w:rPr>
              <w:t>正股级</w:t>
            </w:r>
          </w:p>
        </w:tc>
        <w:tc>
          <w:tcPr>
            <w:tcW w:w="4689" w:type="dxa"/>
            <w:noWrap w:val="0"/>
            <w:vAlign w:val="center"/>
          </w:tcPr>
          <w:p w14:paraId="246A4A1F">
            <w:pPr>
              <w:spacing w:line="300" w:lineRule="exact"/>
              <w:jc w:val="center"/>
              <w:rPr>
                <w:rFonts w:hint="eastAsia" w:ascii="仿宋_GB2312" w:eastAsia="仿宋_GB2312"/>
                <w:sz w:val="28"/>
                <w:szCs w:val="28"/>
              </w:rPr>
            </w:pPr>
            <w:r>
              <w:rPr>
                <w:rFonts w:hint="eastAsia" w:ascii="仿宋_GB2312" w:eastAsia="仿宋_GB2312"/>
                <w:sz w:val="28"/>
                <w:szCs w:val="28"/>
              </w:rPr>
              <w:t>财政性资金基本保证</w:t>
            </w:r>
          </w:p>
        </w:tc>
      </w:tr>
    </w:tbl>
    <w:p w14:paraId="15D31B7E">
      <w:pPr>
        <w:jc w:val="left"/>
        <w:rPr>
          <w:rFonts w:ascii="黑体" w:hAnsi="黑体" w:eastAsia="黑体"/>
          <w:color w:val="000000"/>
          <w:sz w:val="32"/>
        </w:rPr>
      </w:pPr>
      <w:r>
        <w:rPr>
          <w:rFonts w:hint="eastAsia" w:ascii="黑体" w:hAnsi="黑体" w:eastAsia="黑体"/>
          <w:color w:val="000000"/>
          <w:sz w:val="32"/>
        </w:rPr>
        <w:t xml:space="preserve">    </w:t>
      </w:r>
      <w:r>
        <w:rPr>
          <w:rFonts w:ascii="黑体" w:hAnsi="黑体" w:eastAsia="黑体"/>
          <w:color w:val="000000"/>
          <w:sz w:val="32"/>
        </w:rPr>
        <w:t>二、部门预算安排的总体情况</w:t>
      </w:r>
    </w:p>
    <w:p w14:paraId="7243BE36">
      <w:pPr>
        <w:jc w:val="left"/>
        <w:rPr>
          <w:rFonts w:hint="eastAsia" w:ascii="仿宋_GB2312" w:hAnsi="仿宋" w:eastAsia="仿宋_GB2312" w:cs="仿宋"/>
          <w:color w:val="000000"/>
          <w:sz w:val="32"/>
        </w:rPr>
      </w:pPr>
      <w:r>
        <w:rPr>
          <w:rFonts w:hint="eastAsia" w:ascii="仿宋" w:hAnsi="仿宋" w:eastAsia="仿宋" w:cs="仿宋"/>
          <w:color w:val="000000"/>
          <w:sz w:val="32"/>
        </w:rPr>
        <w:t xml:space="preserve">    </w:t>
      </w:r>
      <w:r>
        <w:rPr>
          <w:rFonts w:hint="eastAsia" w:ascii="仿宋_GB2312" w:hAnsi="仿宋" w:eastAsia="仿宋_GB2312" w:cs="仿宋"/>
          <w:color w:val="000000"/>
          <w:sz w:val="32"/>
        </w:rPr>
        <w:t>按照预算管理有关规定，目前我区部门预算的编制实行综合预算制度，即全部收入和支出都反映在预算中。山海关区</w:t>
      </w:r>
      <w:r>
        <w:rPr>
          <w:rFonts w:hint="eastAsia" w:ascii="仿宋_GB2312" w:hAnsi="仿宋" w:eastAsia="仿宋_GB2312" w:cs="仿宋"/>
          <w:color w:val="000000"/>
          <w:sz w:val="32"/>
          <w:lang w:eastAsia="zh-CN"/>
        </w:rPr>
        <w:t>财政局</w:t>
      </w:r>
      <w:r>
        <w:rPr>
          <w:rFonts w:hint="eastAsia" w:ascii="仿宋_GB2312" w:hAnsi="仿宋" w:eastAsia="仿宋_GB2312" w:cs="仿宋"/>
          <w:color w:val="000000"/>
          <w:sz w:val="32"/>
        </w:rPr>
        <w:t>机关及所属事业单位的收支包含在部门预算中。</w:t>
      </w:r>
    </w:p>
    <w:p w14:paraId="4AF6445F">
      <w:pPr>
        <w:jc w:val="left"/>
        <w:rPr>
          <w:rFonts w:hint="eastAsia" w:ascii="楷体" w:hAnsi="楷体" w:eastAsia="楷体" w:cs="楷体"/>
          <w:color w:val="000000"/>
          <w:sz w:val="32"/>
        </w:rPr>
      </w:pPr>
      <w:r>
        <w:rPr>
          <w:rFonts w:hint="eastAsia" w:ascii="楷体" w:hAnsi="楷体" w:eastAsia="楷体" w:cs="楷体"/>
          <w:color w:val="FF0000"/>
          <w:sz w:val="32"/>
        </w:rPr>
        <w:t xml:space="preserve">    </w:t>
      </w:r>
      <w:r>
        <w:rPr>
          <w:rFonts w:hint="eastAsia" w:ascii="楷体_GB2312" w:hAnsi="楷体" w:eastAsia="楷体_GB2312" w:cs="楷体"/>
          <w:b/>
          <w:color w:val="000000"/>
          <w:sz w:val="32"/>
        </w:rPr>
        <w:t>1、收入说明</w:t>
      </w:r>
    </w:p>
    <w:p w14:paraId="71B4A955">
      <w:pPr>
        <w:widowControl w:val="0"/>
        <w:spacing w:after="156"/>
        <w:ind w:firstLine="640"/>
        <w:rPr>
          <w:rFonts w:hint="eastAsia" w:ascii="仿宋_GB2312" w:eastAsia="仿宋_GB2312"/>
          <w:sz w:val="32"/>
          <w:szCs w:val="32"/>
        </w:rPr>
      </w:pPr>
      <w:r>
        <w:rPr>
          <w:rFonts w:hint="eastAsia" w:ascii="仿宋" w:hAnsi="仿宋" w:eastAsia="仿宋" w:cs="仿宋"/>
          <w:color w:val="000000"/>
          <w:sz w:val="32"/>
        </w:rPr>
        <w:t>反映本部门当年全部收入。</w:t>
      </w:r>
      <w:r>
        <w:rPr>
          <w:rFonts w:hint="eastAsia" w:ascii="仿宋_GB2312" w:eastAsia="仿宋_GB2312"/>
          <w:sz w:val="32"/>
          <w:szCs w:val="32"/>
          <w:lang w:eastAsia="zh-CN"/>
        </w:rPr>
        <w:t>2022</w:t>
      </w:r>
      <w:r>
        <w:rPr>
          <w:rFonts w:hint="eastAsia" w:ascii="仿宋_GB2312" w:eastAsia="仿宋_GB2312"/>
          <w:sz w:val="32"/>
          <w:szCs w:val="32"/>
        </w:rPr>
        <w:t>年预算收入为661</w:t>
      </w:r>
      <w:r>
        <w:rPr>
          <w:rFonts w:hint="eastAsia" w:ascii="仿宋_GB2312" w:eastAsia="仿宋_GB2312"/>
          <w:sz w:val="32"/>
          <w:szCs w:val="32"/>
          <w:lang w:eastAsia="zh-CN"/>
        </w:rPr>
        <w:t>万</w:t>
      </w:r>
      <w:r>
        <w:rPr>
          <w:rFonts w:hint="eastAsia" w:ascii="仿宋_GB2312" w:eastAsia="仿宋_GB2312"/>
          <w:sz w:val="32"/>
          <w:szCs w:val="32"/>
        </w:rPr>
        <w:t>元，其中：一般公共预算收入657</w:t>
      </w:r>
      <w:r>
        <w:rPr>
          <w:rFonts w:hint="eastAsia" w:ascii="仿宋_GB2312" w:eastAsia="仿宋_GB2312"/>
          <w:sz w:val="32"/>
          <w:szCs w:val="32"/>
          <w:lang w:eastAsia="zh-CN"/>
        </w:rPr>
        <w:t>万元</w:t>
      </w:r>
      <w:r>
        <w:rPr>
          <w:rFonts w:hint="eastAsia" w:ascii="仿宋_GB2312" w:eastAsia="仿宋_GB2312"/>
          <w:sz w:val="32"/>
          <w:szCs w:val="32"/>
        </w:rPr>
        <w:t>，基金预算收入</w:t>
      </w:r>
      <w:r>
        <w:rPr>
          <w:rFonts w:hint="eastAsia" w:ascii="仿宋_GB2312" w:eastAsia="仿宋_GB2312"/>
          <w:sz w:val="32"/>
          <w:szCs w:val="32"/>
          <w:lang w:val="en-US" w:eastAsia="zh-CN"/>
        </w:rPr>
        <w:t>0</w:t>
      </w:r>
      <w:r>
        <w:rPr>
          <w:rFonts w:hint="eastAsia" w:ascii="仿宋_GB2312" w:eastAsia="仿宋_GB2312"/>
          <w:sz w:val="32"/>
          <w:szCs w:val="32"/>
        </w:rPr>
        <w:t>元，财政专户核拨收入</w:t>
      </w:r>
      <w:r>
        <w:rPr>
          <w:rFonts w:hint="eastAsia" w:ascii="仿宋_GB2312" w:eastAsia="仿宋_GB2312"/>
          <w:sz w:val="32"/>
          <w:szCs w:val="32"/>
          <w:lang w:val="en-US" w:eastAsia="zh-CN"/>
        </w:rPr>
        <w:t>0</w:t>
      </w:r>
      <w:r>
        <w:rPr>
          <w:rFonts w:hint="eastAsia" w:ascii="仿宋_GB2312" w:eastAsia="仿宋_GB2312"/>
          <w:sz w:val="32"/>
          <w:szCs w:val="32"/>
        </w:rPr>
        <w:t>元，其他来源收入</w:t>
      </w:r>
      <w:r>
        <w:rPr>
          <w:rFonts w:hint="eastAsia" w:ascii="仿宋_GB2312" w:eastAsia="仿宋_GB2312"/>
          <w:sz w:val="32"/>
          <w:szCs w:val="32"/>
          <w:lang w:val="en-US" w:eastAsia="zh-CN"/>
        </w:rPr>
        <w:t>0</w:t>
      </w:r>
      <w:r>
        <w:rPr>
          <w:rFonts w:hint="eastAsia" w:ascii="仿宋_GB2312" w:eastAsia="仿宋_GB2312"/>
          <w:sz w:val="32"/>
          <w:szCs w:val="32"/>
        </w:rPr>
        <w:t>元</w:t>
      </w:r>
      <w:r>
        <w:rPr>
          <w:rFonts w:hint="eastAsia" w:ascii="仿宋_GB2312" w:eastAsia="仿宋_GB2312"/>
          <w:sz w:val="32"/>
          <w:szCs w:val="32"/>
          <w:lang w:eastAsia="zh-CN"/>
        </w:rPr>
        <w:t>，上年结转结余</w:t>
      </w:r>
      <w:r>
        <w:rPr>
          <w:rFonts w:hint="eastAsia" w:ascii="仿宋_GB2312" w:eastAsia="仿宋_GB2312"/>
          <w:sz w:val="32"/>
          <w:szCs w:val="32"/>
          <w:lang w:val="en-US" w:eastAsia="zh-CN"/>
        </w:rPr>
        <w:t>4万元</w:t>
      </w:r>
      <w:r>
        <w:rPr>
          <w:rFonts w:hint="eastAsia" w:ascii="仿宋_GB2312" w:eastAsia="仿宋_GB2312"/>
          <w:sz w:val="32"/>
          <w:szCs w:val="32"/>
        </w:rPr>
        <w:t>。</w:t>
      </w:r>
    </w:p>
    <w:p w14:paraId="71918030">
      <w:pPr>
        <w:jc w:val="left"/>
        <w:rPr>
          <w:rFonts w:hint="eastAsia" w:ascii="楷体_GB2312" w:hAnsi="仿宋" w:eastAsia="楷体_GB2312" w:cs="仿宋"/>
          <w:b/>
          <w:color w:val="000000"/>
          <w:sz w:val="32"/>
        </w:rPr>
      </w:pPr>
      <w:r>
        <w:rPr>
          <w:rFonts w:hint="eastAsia" w:ascii="仿宋" w:hAnsi="仿宋" w:eastAsia="仿宋" w:cs="仿宋"/>
          <w:color w:val="000000"/>
          <w:sz w:val="32"/>
        </w:rPr>
        <w:t xml:space="preserve">  </w:t>
      </w:r>
      <w:r>
        <w:rPr>
          <w:rFonts w:hint="eastAsia" w:ascii="仿宋" w:hAnsi="仿宋" w:eastAsia="仿宋" w:cs="仿宋"/>
          <w:b/>
          <w:color w:val="000000"/>
          <w:sz w:val="32"/>
        </w:rPr>
        <w:t xml:space="preserve"> </w:t>
      </w:r>
      <w:r>
        <w:rPr>
          <w:rFonts w:hint="eastAsia" w:ascii="楷体_GB2312" w:hAnsi="仿宋" w:eastAsia="楷体_GB2312" w:cs="仿宋"/>
          <w:b/>
          <w:color w:val="000000"/>
          <w:sz w:val="32"/>
        </w:rPr>
        <w:t xml:space="preserve"> </w:t>
      </w:r>
      <w:r>
        <w:rPr>
          <w:rFonts w:hint="eastAsia" w:ascii="楷体_GB2312" w:hAnsi="楷体" w:eastAsia="楷体_GB2312" w:cs="楷体"/>
          <w:b/>
          <w:color w:val="000000"/>
          <w:sz w:val="32"/>
        </w:rPr>
        <w:t>2、支出说明</w:t>
      </w:r>
    </w:p>
    <w:p w14:paraId="0F3FC819">
      <w:pPr>
        <w:ind w:firstLine="640"/>
        <w:jc w:val="left"/>
        <w:rPr>
          <w:rFonts w:hint="eastAsia" w:ascii="楷体" w:hAnsi="楷体" w:eastAsia="楷体" w:cs="楷体"/>
          <w:color w:val="000000"/>
          <w:sz w:val="32"/>
        </w:rPr>
      </w:pPr>
      <w:r>
        <w:rPr>
          <w:rFonts w:hint="eastAsia" w:ascii="仿宋_GB2312" w:hAnsi="仿宋" w:eastAsia="仿宋_GB2312" w:cs="仿宋"/>
          <w:b/>
          <w:color w:val="000000"/>
          <w:sz w:val="32"/>
        </w:rPr>
        <w:t>收支预算总表支出栏、基本支出表、项目支出表按经济分类和支出功能分类科目编制，反映山海关区</w:t>
      </w:r>
      <w:r>
        <w:rPr>
          <w:rFonts w:hint="eastAsia" w:ascii="仿宋_GB2312" w:hAnsi="仿宋" w:eastAsia="仿宋_GB2312" w:cs="仿宋"/>
          <w:b/>
          <w:color w:val="000000"/>
          <w:sz w:val="32"/>
          <w:lang w:val="en-US" w:eastAsia="zh-CN"/>
        </w:rPr>
        <w:t>2022</w:t>
      </w:r>
      <w:r>
        <w:rPr>
          <w:rFonts w:hint="eastAsia" w:ascii="仿宋_GB2312" w:hAnsi="仿宋" w:eastAsia="仿宋_GB2312" w:cs="仿宋"/>
          <w:b/>
          <w:color w:val="000000"/>
          <w:sz w:val="32"/>
        </w:rPr>
        <w:t>年度部门预算中支出预算的总体情况。</w:t>
      </w:r>
      <w:r>
        <w:rPr>
          <w:rFonts w:hint="eastAsia" w:ascii="仿宋_GB2312" w:eastAsia="仿宋_GB2312"/>
          <w:sz w:val="32"/>
          <w:szCs w:val="32"/>
          <w:lang w:eastAsia="zh-CN"/>
        </w:rPr>
        <w:t>2022</w:t>
      </w:r>
      <w:r>
        <w:rPr>
          <w:rFonts w:hint="eastAsia" w:ascii="仿宋_GB2312" w:eastAsia="仿宋_GB2312"/>
          <w:sz w:val="32"/>
          <w:szCs w:val="32"/>
        </w:rPr>
        <w:t>年预算支出为661</w:t>
      </w:r>
      <w:r>
        <w:rPr>
          <w:rFonts w:hint="eastAsia" w:ascii="仿宋_GB2312" w:eastAsia="仿宋_GB2312"/>
          <w:sz w:val="32"/>
          <w:szCs w:val="32"/>
          <w:lang w:eastAsia="zh-CN"/>
        </w:rPr>
        <w:t>万</w:t>
      </w:r>
      <w:r>
        <w:rPr>
          <w:rFonts w:hint="eastAsia" w:ascii="仿宋_GB2312" w:eastAsia="仿宋_GB2312"/>
          <w:sz w:val="32"/>
          <w:szCs w:val="32"/>
        </w:rPr>
        <w:t>元，其中：基本支出519.95</w:t>
      </w:r>
      <w:r>
        <w:rPr>
          <w:rFonts w:hint="eastAsia" w:ascii="仿宋_GB2312" w:eastAsia="仿宋_GB2312"/>
          <w:sz w:val="32"/>
          <w:szCs w:val="32"/>
          <w:lang w:eastAsia="zh-CN"/>
        </w:rPr>
        <w:t>万</w:t>
      </w:r>
      <w:r>
        <w:rPr>
          <w:rFonts w:hint="eastAsia" w:ascii="仿宋_GB2312" w:eastAsia="仿宋_GB2312"/>
          <w:sz w:val="32"/>
          <w:szCs w:val="32"/>
        </w:rPr>
        <w:t>元，主要是人员经费486.81</w:t>
      </w:r>
      <w:r>
        <w:rPr>
          <w:rFonts w:hint="eastAsia" w:ascii="仿宋_GB2312" w:eastAsia="仿宋_GB2312"/>
          <w:sz w:val="32"/>
          <w:szCs w:val="32"/>
          <w:lang w:eastAsia="zh-CN"/>
        </w:rPr>
        <w:t>万</w:t>
      </w:r>
      <w:r>
        <w:rPr>
          <w:rFonts w:hint="eastAsia" w:ascii="仿宋_GB2312" w:eastAsia="仿宋_GB2312"/>
          <w:sz w:val="32"/>
          <w:szCs w:val="32"/>
        </w:rPr>
        <w:t>元和日常公用经费33.14</w:t>
      </w:r>
      <w:r>
        <w:rPr>
          <w:rFonts w:hint="eastAsia" w:ascii="仿宋_GB2312" w:eastAsia="仿宋_GB2312"/>
          <w:sz w:val="32"/>
          <w:szCs w:val="32"/>
          <w:lang w:eastAsia="zh-CN"/>
        </w:rPr>
        <w:t>万</w:t>
      </w:r>
      <w:r>
        <w:rPr>
          <w:rFonts w:hint="eastAsia" w:ascii="仿宋_GB2312" w:eastAsia="仿宋_GB2312"/>
          <w:sz w:val="32"/>
          <w:szCs w:val="32"/>
        </w:rPr>
        <w:t>元；项目支出141.05</w:t>
      </w:r>
      <w:r>
        <w:rPr>
          <w:rFonts w:hint="eastAsia" w:ascii="仿宋_GB2312" w:eastAsia="仿宋_GB2312"/>
          <w:sz w:val="32"/>
          <w:szCs w:val="32"/>
          <w:lang w:eastAsia="zh-CN"/>
        </w:rPr>
        <w:t>万</w:t>
      </w:r>
      <w:r>
        <w:rPr>
          <w:rFonts w:hint="eastAsia" w:ascii="仿宋_GB2312" w:eastAsia="仿宋_GB2312"/>
          <w:sz w:val="32"/>
          <w:szCs w:val="32"/>
        </w:rPr>
        <w:t>元，</w:t>
      </w:r>
      <w:r>
        <w:rPr>
          <w:rFonts w:hint="eastAsia" w:ascii="仿宋_GB2312" w:hAnsi="仿宋_GB2312" w:eastAsia="仿宋_GB2312" w:cs="仿宋_GB2312"/>
          <w:sz w:val="32"/>
          <w:szCs w:val="32"/>
        </w:rPr>
        <w:t>主要为</w:t>
      </w:r>
      <w:r>
        <w:rPr>
          <w:rFonts w:hint="eastAsia" w:ascii="仿宋_GB2312" w:hAnsi="仿宋_GB2312" w:eastAsia="仿宋_GB2312" w:cs="仿宋_GB2312"/>
          <w:sz w:val="32"/>
          <w:szCs w:val="32"/>
          <w:lang w:eastAsia="zh-CN"/>
        </w:rPr>
        <w:t>专项补助安排</w:t>
      </w:r>
      <w:r>
        <w:rPr>
          <w:rFonts w:hint="eastAsia" w:ascii="仿宋_GB2312" w:hAnsi="仿宋_GB2312" w:eastAsia="仿宋_GB2312" w:cs="仿宋_GB2312"/>
          <w:sz w:val="32"/>
          <w:szCs w:val="32"/>
          <w:lang w:val="en-US" w:eastAsia="zh-CN"/>
        </w:rPr>
        <w:t>23万元，人事代理专项补助22万元，决算工作经费、国库支付电子化前置系统技术服务费8.05元,主要用于决算工作经费、国库支付电子化前置系统技术服务费等工作经费，</w:t>
      </w:r>
      <w:r>
        <w:rPr>
          <w:rFonts w:hint="eastAsia" w:ascii="仿宋_GB2312" w:hAnsi="仿宋_GB2312" w:eastAsia="仿宋_GB2312" w:cs="仿宋_GB2312"/>
          <w:sz w:val="32"/>
          <w:szCs w:val="32"/>
        </w:rPr>
        <w:t>提前下达</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省级农村财会人员培训一般转移支付指标</w:t>
      </w:r>
      <w:r>
        <w:rPr>
          <w:rFonts w:hint="eastAsia" w:ascii="仿宋_GB2312" w:hAnsi="仿宋_GB2312" w:eastAsia="仿宋_GB2312" w:cs="仿宋_GB2312"/>
          <w:sz w:val="32"/>
          <w:szCs w:val="32"/>
          <w:lang w:val="en-US" w:eastAsia="zh-CN"/>
        </w:rPr>
        <w:t>4万元，财政信息化建设50万元，一体化服务维护等费用、非预算单位资产管理系统运维费34万元</w:t>
      </w:r>
      <w:r>
        <w:rPr>
          <w:rFonts w:hint="eastAsia" w:ascii="楷体" w:hAnsi="楷体" w:eastAsia="楷体" w:cs="楷体"/>
          <w:color w:val="000000"/>
          <w:sz w:val="32"/>
          <w:lang w:eastAsia="zh-CN"/>
        </w:rPr>
        <w:t>。</w:t>
      </w:r>
      <w:r>
        <w:rPr>
          <w:rFonts w:hint="eastAsia" w:ascii="楷体" w:hAnsi="楷体" w:eastAsia="楷体" w:cs="楷体"/>
          <w:color w:val="000000"/>
          <w:sz w:val="32"/>
        </w:rPr>
        <w:t xml:space="preserve">  </w:t>
      </w:r>
    </w:p>
    <w:p w14:paraId="468AC9A8">
      <w:pPr>
        <w:ind w:firstLine="640"/>
        <w:jc w:val="left"/>
        <w:rPr>
          <w:rFonts w:hint="eastAsia" w:ascii="楷体_GB2312" w:hAnsi="楷体" w:eastAsia="楷体_GB2312" w:cs="楷体"/>
          <w:b/>
          <w:color w:val="000000"/>
          <w:sz w:val="32"/>
        </w:rPr>
      </w:pPr>
      <w:r>
        <w:rPr>
          <w:rFonts w:hint="eastAsia" w:ascii="楷体_GB2312" w:hAnsi="楷体" w:eastAsia="楷体_GB2312" w:cs="楷体"/>
          <w:b/>
          <w:color w:val="000000"/>
          <w:sz w:val="32"/>
        </w:rPr>
        <w:t xml:space="preserve"> 3、比上年增减情况</w:t>
      </w:r>
    </w:p>
    <w:p w14:paraId="2667E17E">
      <w:pPr>
        <w:ind w:firstLine="640"/>
        <w:jc w:val="left"/>
        <w:rPr>
          <w:rFonts w:hint="eastAsia" w:ascii="仿宋_GB2312" w:eastAsia="仿宋_GB2312"/>
          <w:sz w:val="32"/>
          <w:szCs w:val="32"/>
        </w:rPr>
      </w:pPr>
      <w:r>
        <w:rPr>
          <w:rFonts w:hint="eastAsia" w:ascii="仿宋_GB2312" w:eastAsia="仿宋_GB2312"/>
          <w:sz w:val="32"/>
          <w:szCs w:val="32"/>
          <w:lang w:eastAsia="zh-CN"/>
        </w:rPr>
        <w:t>2022</w:t>
      </w:r>
      <w:r>
        <w:rPr>
          <w:rFonts w:hint="eastAsia" w:ascii="仿宋_GB2312" w:eastAsia="仿宋_GB2312"/>
          <w:sz w:val="32"/>
          <w:szCs w:val="32"/>
        </w:rPr>
        <w:t>年预算支出安排</w:t>
      </w:r>
      <w:r>
        <w:rPr>
          <w:rFonts w:hint="eastAsia" w:ascii="仿宋_GB2312" w:eastAsia="仿宋_GB2312"/>
          <w:sz w:val="32"/>
          <w:szCs w:val="32"/>
          <w:lang w:val="en-US" w:eastAsia="zh-CN"/>
        </w:rPr>
        <w:t>661万</w:t>
      </w:r>
      <w:r>
        <w:rPr>
          <w:rFonts w:hint="eastAsia" w:ascii="仿宋_GB2312" w:eastAsia="仿宋_GB2312"/>
          <w:sz w:val="32"/>
          <w:szCs w:val="32"/>
        </w:rPr>
        <w:t>元，较202</w:t>
      </w:r>
      <w:r>
        <w:rPr>
          <w:rFonts w:hint="eastAsia" w:ascii="仿宋_GB2312" w:eastAsia="仿宋_GB2312"/>
          <w:sz w:val="32"/>
          <w:szCs w:val="32"/>
          <w:lang w:val="en-US" w:eastAsia="zh-CN"/>
        </w:rPr>
        <w:t>1</w:t>
      </w:r>
      <w:r>
        <w:rPr>
          <w:rFonts w:hint="eastAsia" w:ascii="仿宋_GB2312" w:eastAsia="仿宋_GB2312"/>
          <w:sz w:val="32"/>
          <w:szCs w:val="32"/>
        </w:rPr>
        <w:t>年预算</w:t>
      </w:r>
      <w:r>
        <w:rPr>
          <w:rFonts w:hint="eastAsia" w:ascii="仿宋_GB2312" w:eastAsia="仿宋_GB2312"/>
          <w:sz w:val="32"/>
          <w:szCs w:val="32"/>
          <w:lang w:eastAsia="zh-CN"/>
        </w:rPr>
        <w:t>增加</w:t>
      </w:r>
      <w:r>
        <w:rPr>
          <w:rFonts w:hint="eastAsia" w:ascii="仿宋_GB2312" w:eastAsia="仿宋_GB2312"/>
          <w:sz w:val="32"/>
          <w:szCs w:val="32"/>
          <w:lang w:val="en-US" w:eastAsia="zh-CN"/>
        </w:rPr>
        <w:t>75.68</w:t>
      </w:r>
      <w:r>
        <w:rPr>
          <w:rFonts w:hint="eastAsia" w:ascii="仿宋_GB2312" w:eastAsia="仿宋_GB2312"/>
          <w:sz w:val="32"/>
          <w:szCs w:val="32"/>
        </w:rPr>
        <w:t>元，其中：基本支出</w:t>
      </w:r>
      <w:r>
        <w:rPr>
          <w:rFonts w:hint="eastAsia" w:ascii="仿宋_GB2312" w:eastAsia="仿宋_GB2312"/>
          <w:sz w:val="32"/>
          <w:szCs w:val="32"/>
          <w:lang w:eastAsia="zh-CN"/>
        </w:rPr>
        <w:t>增加</w:t>
      </w:r>
      <w:r>
        <w:rPr>
          <w:rFonts w:hint="eastAsia" w:ascii="仿宋_GB2312" w:eastAsia="仿宋_GB2312"/>
          <w:sz w:val="32"/>
          <w:szCs w:val="32"/>
          <w:lang w:val="en-US" w:eastAsia="zh-CN"/>
        </w:rPr>
        <w:t>10.43万</w:t>
      </w:r>
      <w:r>
        <w:rPr>
          <w:rFonts w:hint="eastAsia" w:ascii="仿宋_GB2312" w:eastAsia="仿宋_GB2312"/>
          <w:sz w:val="32"/>
          <w:szCs w:val="32"/>
        </w:rPr>
        <w:t>元，主要</w:t>
      </w:r>
      <w:r>
        <w:rPr>
          <w:rFonts w:hint="eastAsia" w:ascii="仿宋_GB2312" w:eastAsia="仿宋_GB2312"/>
          <w:sz w:val="32"/>
          <w:szCs w:val="32"/>
          <w:lang w:eastAsia="zh-CN"/>
        </w:rPr>
        <w:t>因为新招录</w:t>
      </w:r>
      <w:r>
        <w:rPr>
          <w:rFonts w:hint="eastAsia" w:ascii="仿宋_GB2312" w:eastAsia="仿宋_GB2312"/>
          <w:sz w:val="32"/>
          <w:szCs w:val="32"/>
          <w:lang w:val="en-US" w:eastAsia="zh-CN"/>
        </w:rPr>
        <w:t>1名工作人员经费增加</w:t>
      </w:r>
      <w:r>
        <w:rPr>
          <w:rFonts w:hint="eastAsia" w:ascii="仿宋_GB2312" w:eastAsia="仿宋_GB2312"/>
          <w:sz w:val="32"/>
          <w:szCs w:val="32"/>
        </w:rPr>
        <w:t>；项目支出</w:t>
      </w:r>
      <w:r>
        <w:rPr>
          <w:rFonts w:hint="eastAsia" w:ascii="仿宋_GB2312" w:eastAsia="仿宋_GB2312"/>
          <w:sz w:val="32"/>
          <w:szCs w:val="32"/>
          <w:highlight w:val="none"/>
        </w:rPr>
        <w:t>增加</w:t>
      </w:r>
      <w:r>
        <w:rPr>
          <w:rFonts w:hint="eastAsia" w:ascii="仿宋_GB2312" w:eastAsia="仿宋_GB2312"/>
          <w:sz w:val="32"/>
          <w:szCs w:val="32"/>
          <w:highlight w:val="none"/>
          <w:lang w:val="en-US" w:eastAsia="zh-CN"/>
        </w:rPr>
        <w:t>65.25万</w:t>
      </w:r>
      <w:r>
        <w:rPr>
          <w:rFonts w:hint="eastAsia" w:ascii="仿宋_GB2312" w:eastAsia="仿宋_GB2312"/>
          <w:sz w:val="32"/>
          <w:szCs w:val="32"/>
        </w:rPr>
        <w:t>元，主要</w:t>
      </w:r>
      <w:r>
        <w:rPr>
          <w:rFonts w:hint="eastAsia" w:ascii="仿宋_GB2312" w:eastAsia="仿宋_GB2312"/>
          <w:sz w:val="32"/>
          <w:szCs w:val="32"/>
          <w:lang w:eastAsia="zh-CN"/>
        </w:rPr>
        <w:t>原因为以前年度财政自身建设经费由上级拨付今年由本级财政负担，新增</w:t>
      </w:r>
      <w:r>
        <w:rPr>
          <w:rFonts w:hint="eastAsia" w:ascii="仿宋_GB2312" w:eastAsia="仿宋_GB2312"/>
          <w:sz w:val="32"/>
          <w:szCs w:val="32"/>
          <w:lang w:val="en-US" w:eastAsia="zh-CN"/>
        </w:rPr>
        <w:t>财政财政信息化建设项目50万元，2021年省级农村财会人员培训一般转移支付上年结转4万元，其他项目累计增加11.25万元</w:t>
      </w:r>
      <w:r>
        <w:rPr>
          <w:rFonts w:hint="eastAsia" w:ascii="仿宋_GB2312" w:eastAsia="仿宋_GB2312"/>
          <w:sz w:val="32"/>
          <w:szCs w:val="32"/>
        </w:rPr>
        <w:t>。</w:t>
      </w:r>
    </w:p>
    <w:p w14:paraId="6F202AD8">
      <w:pPr>
        <w:jc w:val="left"/>
        <w:rPr>
          <w:rFonts w:ascii="黑体" w:hAnsi="黑体" w:eastAsia="黑体"/>
          <w:color w:val="000000"/>
          <w:sz w:val="32"/>
        </w:rPr>
      </w:pPr>
      <w:r>
        <w:rPr>
          <w:rFonts w:hint="eastAsia" w:ascii="黑体" w:hAnsi="黑体" w:eastAsia="黑体"/>
          <w:color w:val="000000"/>
          <w:sz w:val="32"/>
        </w:rPr>
        <w:t xml:space="preserve">    </w:t>
      </w:r>
      <w:r>
        <w:rPr>
          <w:rFonts w:ascii="黑体" w:hAnsi="黑体" w:eastAsia="黑体"/>
          <w:color w:val="000000"/>
          <w:sz w:val="32"/>
        </w:rPr>
        <w:t>三、机关运行经费安排情况</w:t>
      </w:r>
    </w:p>
    <w:p w14:paraId="30048CF8">
      <w:pPr>
        <w:ind w:firstLine="636"/>
        <w:rPr>
          <w:rFonts w:ascii="仿宋_GB2312" w:eastAsia="仿宋_GB2312"/>
          <w:sz w:val="32"/>
          <w:szCs w:val="32"/>
          <w:highlight w:val="none"/>
        </w:rPr>
      </w:pPr>
      <w:r>
        <w:rPr>
          <w:rFonts w:hint="eastAsia" w:ascii="仿宋_GB2312" w:eastAsia="仿宋_GB2312"/>
          <w:sz w:val="32"/>
          <w:szCs w:val="32"/>
        </w:rPr>
        <w:t>机关运行经费共计安排</w:t>
      </w:r>
      <w:r>
        <w:rPr>
          <w:rFonts w:hint="eastAsia" w:ascii="仿宋_GB2312" w:eastAsia="仿宋_GB2312"/>
          <w:sz w:val="32"/>
          <w:szCs w:val="32"/>
          <w:lang w:val="en-US" w:eastAsia="zh-CN"/>
        </w:rPr>
        <w:t>33.14万</w:t>
      </w:r>
      <w:r>
        <w:rPr>
          <w:rFonts w:hint="eastAsia" w:ascii="仿宋_GB2312" w:eastAsia="仿宋_GB2312"/>
          <w:sz w:val="32"/>
          <w:szCs w:val="32"/>
        </w:rPr>
        <w:t>元，主要用于</w:t>
      </w:r>
      <w:r>
        <w:rPr>
          <w:rFonts w:hint="eastAsia" w:ascii="仿宋_GB2312" w:eastAsia="仿宋_GB2312"/>
          <w:sz w:val="32"/>
          <w:szCs w:val="32"/>
          <w:highlight w:val="none"/>
        </w:rPr>
        <w:t>办公及印刷费</w:t>
      </w:r>
      <w:r>
        <w:rPr>
          <w:rFonts w:hint="eastAsia" w:ascii="仿宋_GB2312" w:eastAsia="仿宋_GB2312"/>
          <w:sz w:val="32"/>
          <w:szCs w:val="32"/>
          <w:highlight w:val="none"/>
          <w:lang w:val="en-US" w:eastAsia="zh-CN"/>
        </w:rPr>
        <w:t>3.32万</w:t>
      </w:r>
      <w:r>
        <w:rPr>
          <w:rFonts w:hint="eastAsia" w:ascii="仿宋_GB2312" w:eastAsia="仿宋_GB2312"/>
          <w:sz w:val="32"/>
          <w:szCs w:val="32"/>
          <w:highlight w:val="none"/>
        </w:rPr>
        <w:t>元、邮电费</w:t>
      </w:r>
      <w:r>
        <w:rPr>
          <w:rFonts w:hint="eastAsia" w:ascii="仿宋_GB2312" w:eastAsia="仿宋_GB2312"/>
          <w:sz w:val="32"/>
          <w:szCs w:val="32"/>
          <w:highlight w:val="none"/>
          <w:lang w:val="en-US" w:eastAsia="zh-CN"/>
        </w:rPr>
        <w:t>3.66万</w:t>
      </w:r>
      <w:r>
        <w:rPr>
          <w:rFonts w:hint="eastAsia" w:ascii="仿宋_GB2312" w:eastAsia="仿宋_GB2312"/>
          <w:sz w:val="32"/>
          <w:szCs w:val="32"/>
          <w:highlight w:val="none"/>
        </w:rPr>
        <w:t>元、差旅费</w:t>
      </w:r>
      <w:r>
        <w:rPr>
          <w:rFonts w:hint="eastAsia" w:ascii="仿宋_GB2312" w:eastAsia="仿宋_GB2312"/>
          <w:sz w:val="32"/>
          <w:szCs w:val="32"/>
          <w:highlight w:val="none"/>
          <w:lang w:val="en-US" w:eastAsia="zh-CN"/>
        </w:rPr>
        <w:t>2万</w:t>
      </w:r>
      <w:r>
        <w:rPr>
          <w:rFonts w:hint="eastAsia" w:ascii="仿宋_GB2312" w:eastAsia="仿宋_GB2312"/>
          <w:sz w:val="32"/>
          <w:szCs w:val="32"/>
          <w:highlight w:val="none"/>
        </w:rPr>
        <w:t>元、会议费</w:t>
      </w:r>
      <w:r>
        <w:rPr>
          <w:rFonts w:hint="eastAsia" w:ascii="仿宋_GB2312" w:eastAsia="仿宋_GB2312"/>
          <w:sz w:val="32"/>
          <w:szCs w:val="32"/>
          <w:highlight w:val="none"/>
          <w:lang w:val="en-US" w:eastAsia="zh-CN"/>
        </w:rPr>
        <w:t>0万</w:t>
      </w:r>
      <w:r>
        <w:rPr>
          <w:rFonts w:hint="eastAsia" w:ascii="仿宋_GB2312" w:eastAsia="仿宋_GB2312"/>
          <w:sz w:val="32"/>
          <w:szCs w:val="32"/>
          <w:highlight w:val="none"/>
        </w:rPr>
        <w:t>元、福利费</w:t>
      </w:r>
      <w:r>
        <w:rPr>
          <w:rFonts w:hint="eastAsia" w:ascii="仿宋_GB2312" w:eastAsia="仿宋_GB2312"/>
          <w:sz w:val="32"/>
          <w:szCs w:val="32"/>
          <w:highlight w:val="none"/>
          <w:lang w:val="en-US" w:eastAsia="zh-CN"/>
        </w:rPr>
        <w:t>4.02万</w:t>
      </w:r>
      <w:r>
        <w:rPr>
          <w:rFonts w:hint="eastAsia" w:ascii="仿宋_GB2312" w:eastAsia="仿宋_GB2312"/>
          <w:sz w:val="32"/>
          <w:szCs w:val="32"/>
          <w:highlight w:val="none"/>
        </w:rPr>
        <w:t>元、日常维修费</w:t>
      </w:r>
      <w:r>
        <w:rPr>
          <w:rFonts w:hint="eastAsia" w:ascii="仿宋_GB2312" w:eastAsia="仿宋_GB2312"/>
          <w:sz w:val="32"/>
          <w:szCs w:val="32"/>
          <w:highlight w:val="none"/>
          <w:lang w:val="en-US" w:eastAsia="zh-CN"/>
        </w:rPr>
        <w:t>0.39万</w:t>
      </w:r>
      <w:r>
        <w:rPr>
          <w:rFonts w:hint="eastAsia" w:ascii="仿宋_GB2312" w:eastAsia="仿宋_GB2312"/>
          <w:sz w:val="32"/>
          <w:szCs w:val="32"/>
          <w:highlight w:val="none"/>
        </w:rPr>
        <w:t>元、专用材料及一般设备购置费</w:t>
      </w:r>
      <w:r>
        <w:rPr>
          <w:rFonts w:hint="eastAsia" w:ascii="仿宋_GB2312" w:eastAsia="仿宋_GB2312"/>
          <w:sz w:val="32"/>
          <w:szCs w:val="32"/>
          <w:highlight w:val="none"/>
          <w:lang w:val="en-US" w:eastAsia="zh-CN"/>
        </w:rPr>
        <w:t>0.39万</w:t>
      </w:r>
      <w:r>
        <w:rPr>
          <w:rFonts w:hint="eastAsia" w:ascii="仿宋_GB2312" w:eastAsia="仿宋_GB2312"/>
          <w:sz w:val="32"/>
          <w:szCs w:val="32"/>
          <w:highlight w:val="none"/>
        </w:rPr>
        <w:t>元、办公用房水电费</w:t>
      </w:r>
      <w:r>
        <w:rPr>
          <w:rFonts w:hint="eastAsia" w:ascii="仿宋_GB2312" w:eastAsia="仿宋_GB2312"/>
          <w:sz w:val="32"/>
          <w:szCs w:val="32"/>
          <w:highlight w:val="none"/>
          <w:lang w:val="en-US" w:eastAsia="zh-CN"/>
        </w:rPr>
        <w:t>0万</w:t>
      </w:r>
      <w:r>
        <w:rPr>
          <w:rFonts w:hint="eastAsia" w:ascii="仿宋_GB2312" w:eastAsia="仿宋_GB2312"/>
          <w:sz w:val="32"/>
          <w:szCs w:val="32"/>
          <w:highlight w:val="none"/>
        </w:rPr>
        <w:t>元、办公用房取暖费</w:t>
      </w:r>
      <w:r>
        <w:rPr>
          <w:rFonts w:hint="eastAsia" w:ascii="仿宋_GB2312" w:eastAsia="仿宋_GB2312"/>
          <w:sz w:val="32"/>
          <w:szCs w:val="32"/>
          <w:highlight w:val="none"/>
          <w:lang w:val="en-US" w:eastAsia="zh-CN"/>
        </w:rPr>
        <w:t>0万</w:t>
      </w:r>
      <w:r>
        <w:rPr>
          <w:rFonts w:hint="eastAsia" w:ascii="仿宋_GB2312" w:eastAsia="仿宋_GB2312"/>
          <w:sz w:val="32"/>
          <w:szCs w:val="32"/>
          <w:highlight w:val="none"/>
        </w:rPr>
        <w:t>元、办公用房物业管理费</w:t>
      </w:r>
      <w:r>
        <w:rPr>
          <w:rFonts w:hint="eastAsia" w:ascii="仿宋_GB2312" w:eastAsia="仿宋_GB2312"/>
          <w:sz w:val="32"/>
          <w:szCs w:val="32"/>
          <w:highlight w:val="none"/>
          <w:lang w:val="en-US" w:eastAsia="zh-CN"/>
        </w:rPr>
        <w:t>0万</w:t>
      </w:r>
      <w:r>
        <w:rPr>
          <w:rFonts w:hint="eastAsia" w:ascii="仿宋_GB2312" w:eastAsia="仿宋_GB2312"/>
          <w:sz w:val="32"/>
          <w:szCs w:val="32"/>
          <w:highlight w:val="none"/>
        </w:rPr>
        <w:t>元、公务用车运行维护费</w:t>
      </w:r>
      <w:r>
        <w:rPr>
          <w:rFonts w:hint="eastAsia" w:ascii="仿宋_GB2312" w:eastAsia="仿宋_GB2312"/>
          <w:sz w:val="32"/>
          <w:szCs w:val="32"/>
          <w:highlight w:val="none"/>
          <w:lang w:val="en-US" w:eastAsia="zh-CN"/>
        </w:rPr>
        <w:t>0.6万元</w:t>
      </w:r>
      <w:r>
        <w:rPr>
          <w:rFonts w:hint="eastAsia" w:ascii="仿宋_GB2312" w:eastAsia="仿宋_GB2312"/>
          <w:sz w:val="32"/>
          <w:szCs w:val="32"/>
          <w:highlight w:val="none"/>
        </w:rPr>
        <w:t>以及其他费用</w:t>
      </w:r>
      <w:r>
        <w:rPr>
          <w:rFonts w:hint="eastAsia" w:ascii="仿宋_GB2312" w:eastAsia="仿宋_GB2312"/>
          <w:sz w:val="32"/>
          <w:szCs w:val="32"/>
          <w:highlight w:val="none"/>
          <w:lang w:val="en-US" w:eastAsia="zh-CN"/>
        </w:rPr>
        <w:t>18.76万</w:t>
      </w:r>
      <w:r>
        <w:rPr>
          <w:rFonts w:hint="eastAsia" w:ascii="仿宋_GB2312" w:eastAsia="仿宋_GB2312"/>
          <w:sz w:val="32"/>
          <w:szCs w:val="32"/>
          <w:highlight w:val="none"/>
        </w:rPr>
        <w:t>元等日常运行支出。（明细相加=机关运行经费安排数=预算公开表格中的日常公用经费合计）</w:t>
      </w:r>
    </w:p>
    <w:p w14:paraId="1CA37A5A">
      <w:pPr>
        <w:ind w:firstLine="640"/>
        <w:jc w:val="left"/>
        <w:rPr>
          <w:rFonts w:ascii="黑体" w:hAnsi="黑体" w:eastAsia="黑体"/>
          <w:color w:val="000000"/>
          <w:sz w:val="32"/>
        </w:rPr>
      </w:pPr>
      <w:r>
        <w:rPr>
          <w:rFonts w:ascii="黑体" w:hAnsi="黑体" w:eastAsia="黑体"/>
          <w:color w:val="000000"/>
          <w:sz w:val="32"/>
        </w:rPr>
        <w:t>四、财政拨款“三公”经费预算情况及增减变化原因</w:t>
      </w:r>
    </w:p>
    <w:p w14:paraId="4DFC4924">
      <w:pPr>
        <w:ind w:firstLine="640"/>
        <w:rPr>
          <w:rFonts w:hint="eastAsia" w:ascii="黑体" w:hAnsi="黑体" w:eastAsia="黑体"/>
          <w:color w:val="000000"/>
          <w:sz w:val="32"/>
        </w:rPr>
      </w:pPr>
      <w:r>
        <w:rPr>
          <w:rFonts w:hint="eastAsia" w:ascii="仿宋_GB2312" w:eastAsia="仿宋_GB2312"/>
          <w:sz w:val="32"/>
          <w:szCs w:val="32"/>
          <w:lang w:eastAsia="zh-CN"/>
        </w:rPr>
        <w:t>2022</w:t>
      </w:r>
      <w:r>
        <w:rPr>
          <w:rFonts w:hint="eastAsia" w:ascii="仿宋_GB2312" w:eastAsia="仿宋_GB2312"/>
          <w:sz w:val="32"/>
          <w:szCs w:val="32"/>
        </w:rPr>
        <w:t>年，我部门财政拨款“三公”经费预算安排</w:t>
      </w:r>
      <w:r>
        <w:rPr>
          <w:rFonts w:hint="eastAsia" w:ascii="仿宋_GB2312" w:eastAsia="仿宋_GB2312"/>
          <w:sz w:val="32"/>
          <w:szCs w:val="32"/>
          <w:lang w:val="en-US" w:eastAsia="zh-CN"/>
        </w:rPr>
        <w:t>0.74万</w:t>
      </w:r>
      <w:r>
        <w:rPr>
          <w:rFonts w:hint="eastAsia" w:ascii="仿宋_GB2312" w:eastAsia="仿宋_GB2312"/>
          <w:sz w:val="32"/>
          <w:szCs w:val="32"/>
        </w:rPr>
        <w:t>元，</w:t>
      </w:r>
      <w:r>
        <w:rPr>
          <w:rFonts w:hint="eastAsia" w:ascii="仿宋_GB2312" w:eastAsia="仿宋_GB2312"/>
          <w:sz w:val="32"/>
          <w:szCs w:val="32"/>
          <w:highlight w:val="none"/>
        </w:rPr>
        <w:t>与上年持平，无增减变化</w:t>
      </w:r>
      <w:r>
        <w:rPr>
          <w:rFonts w:hint="eastAsia" w:ascii="仿宋_GB2312" w:eastAsia="仿宋_GB2312"/>
          <w:sz w:val="32"/>
          <w:szCs w:val="32"/>
          <w:highlight w:val="none"/>
          <w:lang w:eastAsia="zh-CN"/>
        </w:rPr>
        <w:t>，</w:t>
      </w:r>
      <w:r>
        <w:rPr>
          <w:rFonts w:hint="eastAsia" w:ascii="仿宋_GB2312" w:hAnsi="Calibri" w:eastAsia="仿宋_GB2312" w:cs="Times New Roman"/>
          <w:sz w:val="32"/>
          <w:szCs w:val="32"/>
        </w:rPr>
        <w:t>主要原因是严格按照三公经费预算要求，切实落实勤俭节约各项规定，严格控制支出。</w:t>
      </w:r>
      <w:r>
        <w:rPr>
          <w:rFonts w:hint="eastAsia" w:ascii="仿宋_GB2312" w:eastAsia="仿宋_GB2312"/>
          <w:sz w:val="32"/>
          <w:szCs w:val="32"/>
          <w:highlight w:val="none"/>
        </w:rPr>
        <w:t>其中：因公出国（境）费</w:t>
      </w:r>
      <w:r>
        <w:rPr>
          <w:rFonts w:hint="eastAsia" w:ascii="仿宋_GB2312" w:eastAsia="仿宋_GB2312"/>
          <w:sz w:val="32"/>
          <w:szCs w:val="32"/>
          <w:highlight w:val="none"/>
          <w:lang w:val="en-US" w:eastAsia="zh-CN"/>
        </w:rPr>
        <w:t>0万</w:t>
      </w:r>
      <w:r>
        <w:rPr>
          <w:rFonts w:hint="eastAsia" w:ascii="仿宋_GB2312" w:eastAsia="仿宋_GB2312"/>
          <w:sz w:val="32"/>
          <w:szCs w:val="32"/>
          <w:highlight w:val="none"/>
        </w:rPr>
        <w:t>元，与上年持平，无增减变化；公务用车购置费</w:t>
      </w:r>
      <w:r>
        <w:rPr>
          <w:rFonts w:hint="eastAsia" w:ascii="仿宋_GB2312" w:eastAsia="仿宋_GB2312"/>
          <w:sz w:val="32"/>
          <w:szCs w:val="32"/>
          <w:highlight w:val="none"/>
          <w:lang w:val="en-US" w:eastAsia="zh-CN"/>
        </w:rPr>
        <w:t>0万</w:t>
      </w:r>
      <w:r>
        <w:rPr>
          <w:rFonts w:hint="eastAsia" w:ascii="仿宋_GB2312" w:eastAsia="仿宋_GB2312"/>
          <w:sz w:val="32"/>
          <w:szCs w:val="32"/>
          <w:highlight w:val="none"/>
        </w:rPr>
        <w:t>元，与上年持平，无增减变化；公务用车运行维护费</w:t>
      </w:r>
      <w:r>
        <w:rPr>
          <w:rFonts w:hint="eastAsia" w:ascii="仿宋_GB2312" w:eastAsia="仿宋_GB2312"/>
          <w:sz w:val="32"/>
          <w:szCs w:val="32"/>
          <w:highlight w:val="none"/>
          <w:lang w:val="en-US" w:eastAsia="zh-CN"/>
        </w:rPr>
        <w:t>0.6万</w:t>
      </w:r>
      <w:r>
        <w:rPr>
          <w:rFonts w:hint="eastAsia" w:ascii="仿宋_GB2312" w:eastAsia="仿宋_GB2312"/>
          <w:sz w:val="32"/>
          <w:szCs w:val="32"/>
          <w:highlight w:val="none"/>
        </w:rPr>
        <w:t>元，与上年持平，无增减变化；公务接待费</w:t>
      </w:r>
      <w:r>
        <w:rPr>
          <w:rFonts w:hint="eastAsia" w:ascii="仿宋_GB2312" w:eastAsia="仿宋_GB2312"/>
          <w:sz w:val="32"/>
          <w:szCs w:val="32"/>
          <w:highlight w:val="none"/>
          <w:lang w:val="en-US" w:eastAsia="zh-CN"/>
        </w:rPr>
        <w:t>0.14万</w:t>
      </w:r>
      <w:r>
        <w:rPr>
          <w:rFonts w:hint="eastAsia" w:ascii="仿宋_GB2312" w:eastAsia="仿宋_GB2312"/>
          <w:sz w:val="32"/>
          <w:szCs w:val="32"/>
          <w:highlight w:val="none"/>
        </w:rPr>
        <w:t>元，与上年持平，无增减变化。</w:t>
      </w:r>
    </w:p>
    <w:p w14:paraId="56CA3901">
      <w:pPr>
        <w:ind w:firstLine="640"/>
        <w:jc w:val="left"/>
        <w:rPr>
          <w:rFonts w:ascii="黑体" w:hAnsi="黑体" w:eastAsia="黑体"/>
          <w:color w:val="000000"/>
          <w:sz w:val="32"/>
        </w:rPr>
      </w:pPr>
    </w:p>
    <w:p w14:paraId="0B0D3F21">
      <w:pPr>
        <w:ind w:firstLine="640"/>
        <w:jc w:val="left"/>
        <w:rPr>
          <w:rFonts w:ascii="黑体" w:hAnsi="黑体" w:eastAsia="黑体"/>
          <w:color w:val="000000"/>
          <w:sz w:val="32"/>
        </w:rPr>
      </w:pPr>
    </w:p>
    <w:p w14:paraId="435F6F3C">
      <w:pPr>
        <w:ind w:firstLine="640"/>
        <w:jc w:val="left"/>
        <w:rPr>
          <w:rFonts w:ascii="黑体" w:hAnsi="黑体" w:eastAsia="黑体"/>
          <w:color w:val="000000"/>
          <w:sz w:val="32"/>
        </w:rPr>
      </w:pPr>
    </w:p>
    <w:p w14:paraId="52056B2D">
      <w:pPr>
        <w:ind w:firstLine="640"/>
        <w:jc w:val="left"/>
        <w:rPr>
          <w:rFonts w:ascii="黑体" w:hAnsi="黑体" w:eastAsia="黑体"/>
          <w:color w:val="000000"/>
          <w:sz w:val="32"/>
        </w:rPr>
      </w:pPr>
    </w:p>
    <w:p w14:paraId="433FF241">
      <w:pPr>
        <w:ind w:firstLine="640"/>
        <w:jc w:val="left"/>
        <w:rPr>
          <w:rFonts w:ascii="楷体_GB2312" w:eastAsia="楷体_GB2312"/>
          <w:b/>
          <w:sz w:val="32"/>
          <w:szCs w:val="32"/>
        </w:rPr>
      </w:pPr>
      <w:r>
        <w:rPr>
          <w:rFonts w:ascii="黑体" w:hAnsi="黑体" w:eastAsia="黑体"/>
          <w:color w:val="000000"/>
          <w:sz w:val="32"/>
        </w:rPr>
        <w:t>五、政府采购预算情况</w:t>
      </w:r>
    </w:p>
    <w:p w14:paraId="22DC2B9D">
      <w:pPr>
        <w:ind w:firstLine="640"/>
        <w:jc w:val="left"/>
        <w:rPr>
          <w:rFonts w:hint="eastAsia" w:ascii="仿宋_GB2312" w:eastAsia="仿宋_GB2312"/>
          <w:sz w:val="32"/>
          <w:szCs w:val="32"/>
        </w:rPr>
      </w:pPr>
      <w:r>
        <w:rPr>
          <w:rFonts w:hint="eastAsia" w:ascii="仿宋_GB2312" w:eastAsia="仿宋_GB2312"/>
          <w:sz w:val="32"/>
          <w:szCs w:val="32"/>
          <w:lang w:eastAsia="zh-CN"/>
        </w:rPr>
        <w:t>2022</w:t>
      </w:r>
      <w:r>
        <w:rPr>
          <w:rFonts w:hint="eastAsia" w:ascii="仿宋_GB2312" w:eastAsia="仿宋_GB2312"/>
          <w:sz w:val="32"/>
          <w:szCs w:val="32"/>
        </w:rPr>
        <w:t>年，我部门安排政府采购预算具体内容见下表。</w:t>
      </w:r>
    </w:p>
    <w:p w14:paraId="2FB45A68">
      <w:pPr>
        <w:jc w:val="center"/>
        <w:outlineLvl w:val="0"/>
        <w:rPr>
          <w:rFonts w:hint="eastAsia"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部门政府采购预算</w:t>
      </w:r>
    </w:p>
    <w:tbl>
      <w:tblPr>
        <w:tblStyle w:val="28"/>
        <w:tblW w:w="153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709"/>
        <w:gridCol w:w="897"/>
        <w:gridCol w:w="1018"/>
        <w:gridCol w:w="1112"/>
        <w:gridCol w:w="1017"/>
        <w:gridCol w:w="615"/>
        <w:gridCol w:w="1047"/>
        <w:gridCol w:w="898"/>
        <w:gridCol w:w="1017"/>
        <w:gridCol w:w="1017"/>
        <w:gridCol w:w="1017"/>
        <w:gridCol w:w="1017"/>
        <w:gridCol w:w="1017"/>
        <w:gridCol w:w="959"/>
      </w:tblGrid>
      <w:tr w14:paraId="2E21D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415" w:type="dxa"/>
            <w:gridSpan w:val="7"/>
            <w:noWrap w:val="0"/>
            <w:vAlign w:val="center"/>
          </w:tcPr>
          <w:p w14:paraId="29598C9E">
            <w:pPr>
              <w:spacing w:line="300" w:lineRule="exact"/>
              <w:jc w:val="left"/>
              <w:rPr>
                <w:rFonts w:hint="eastAsia" w:ascii="仿宋" w:hAnsi="仿宋" w:eastAsia="仿宋" w:cs="仿宋"/>
                <w:sz w:val="24"/>
              </w:rPr>
            </w:pPr>
          </w:p>
        </w:tc>
        <w:tc>
          <w:tcPr>
            <w:tcW w:w="6942" w:type="dxa"/>
            <w:gridSpan w:val="7"/>
            <w:noWrap w:val="0"/>
            <w:vAlign w:val="center"/>
          </w:tcPr>
          <w:p w14:paraId="6129261C">
            <w:pPr>
              <w:spacing w:line="300" w:lineRule="exact"/>
              <w:jc w:val="right"/>
              <w:rPr>
                <w:rFonts w:hint="eastAsia" w:ascii="仿宋" w:hAnsi="仿宋" w:eastAsia="仿宋" w:cs="仿宋"/>
                <w:sz w:val="24"/>
              </w:rPr>
            </w:pPr>
            <w:r>
              <w:rPr>
                <w:rFonts w:hint="eastAsia" w:ascii="仿宋" w:hAnsi="仿宋" w:eastAsia="仿宋" w:cs="仿宋"/>
                <w:sz w:val="24"/>
              </w:rPr>
              <w:t>单位：元</w:t>
            </w:r>
          </w:p>
        </w:tc>
      </w:tr>
      <w:tr w14:paraId="3DC45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606" w:type="dxa"/>
            <w:gridSpan w:val="2"/>
            <w:noWrap w:val="0"/>
            <w:vAlign w:val="center"/>
          </w:tcPr>
          <w:p w14:paraId="4CFA967A">
            <w:pPr>
              <w:spacing w:line="300" w:lineRule="exact"/>
              <w:jc w:val="center"/>
              <w:rPr>
                <w:rFonts w:hint="eastAsia" w:ascii="仿宋_GB2312" w:hAnsi="仿宋" w:eastAsia="仿宋_GB2312" w:cs="仿宋"/>
                <w:b/>
              </w:rPr>
            </w:pPr>
            <w:r>
              <w:rPr>
                <w:rFonts w:hint="eastAsia" w:ascii="仿宋_GB2312" w:hAnsi="仿宋" w:eastAsia="仿宋_GB2312" w:cs="仿宋"/>
                <w:b/>
              </w:rPr>
              <w:t>政府采购项目来源</w:t>
            </w:r>
          </w:p>
        </w:tc>
        <w:tc>
          <w:tcPr>
            <w:tcW w:w="1018" w:type="dxa"/>
            <w:vMerge w:val="restart"/>
            <w:noWrap w:val="0"/>
            <w:vAlign w:val="center"/>
          </w:tcPr>
          <w:p w14:paraId="78D14E03">
            <w:pPr>
              <w:spacing w:line="300" w:lineRule="exact"/>
              <w:jc w:val="center"/>
              <w:rPr>
                <w:rFonts w:hint="eastAsia" w:ascii="仿宋_GB2312" w:hAnsi="仿宋" w:eastAsia="仿宋_GB2312" w:cs="仿宋"/>
                <w:b/>
              </w:rPr>
            </w:pPr>
            <w:r>
              <w:rPr>
                <w:rFonts w:hint="eastAsia" w:ascii="仿宋_GB2312" w:hAnsi="仿宋" w:eastAsia="仿宋_GB2312" w:cs="仿宋"/>
                <w:b/>
              </w:rPr>
              <w:t>采购物品名称</w:t>
            </w:r>
          </w:p>
        </w:tc>
        <w:tc>
          <w:tcPr>
            <w:tcW w:w="1112" w:type="dxa"/>
            <w:vMerge w:val="restart"/>
            <w:noWrap w:val="0"/>
            <w:vAlign w:val="center"/>
          </w:tcPr>
          <w:p w14:paraId="1757164A">
            <w:pPr>
              <w:spacing w:line="300" w:lineRule="exact"/>
              <w:jc w:val="center"/>
              <w:rPr>
                <w:rFonts w:hint="eastAsia" w:ascii="仿宋_GB2312" w:hAnsi="仿宋" w:eastAsia="仿宋_GB2312" w:cs="仿宋"/>
                <w:b/>
              </w:rPr>
            </w:pPr>
            <w:r>
              <w:rPr>
                <w:rFonts w:hint="eastAsia" w:ascii="仿宋_GB2312" w:hAnsi="仿宋" w:eastAsia="仿宋_GB2312" w:cs="仿宋"/>
                <w:b/>
              </w:rPr>
              <w:t>政府采购目录序号</w:t>
            </w:r>
          </w:p>
        </w:tc>
        <w:tc>
          <w:tcPr>
            <w:tcW w:w="1017" w:type="dxa"/>
            <w:vMerge w:val="restart"/>
            <w:noWrap w:val="0"/>
            <w:vAlign w:val="center"/>
          </w:tcPr>
          <w:p w14:paraId="160104BC">
            <w:pPr>
              <w:spacing w:line="300" w:lineRule="exact"/>
              <w:jc w:val="center"/>
              <w:rPr>
                <w:rFonts w:hint="eastAsia" w:ascii="仿宋_GB2312" w:hAnsi="仿宋" w:eastAsia="仿宋_GB2312" w:cs="仿宋"/>
                <w:b/>
              </w:rPr>
            </w:pPr>
            <w:r>
              <w:rPr>
                <w:rFonts w:hint="eastAsia" w:ascii="仿宋_GB2312" w:hAnsi="仿宋" w:eastAsia="仿宋_GB2312" w:cs="仿宋"/>
                <w:b/>
              </w:rPr>
              <w:t>数量  单位</w:t>
            </w:r>
          </w:p>
        </w:tc>
        <w:tc>
          <w:tcPr>
            <w:tcW w:w="615" w:type="dxa"/>
            <w:vMerge w:val="restart"/>
            <w:noWrap w:val="0"/>
            <w:vAlign w:val="center"/>
          </w:tcPr>
          <w:p w14:paraId="02C1EFC3">
            <w:pPr>
              <w:spacing w:line="300" w:lineRule="exact"/>
              <w:jc w:val="center"/>
              <w:rPr>
                <w:rFonts w:hint="eastAsia" w:ascii="仿宋_GB2312" w:hAnsi="仿宋" w:eastAsia="仿宋_GB2312" w:cs="仿宋"/>
                <w:b/>
              </w:rPr>
            </w:pPr>
            <w:r>
              <w:rPr>
                <w:rFonts w:hint="eastAsia" w:ascii="仿宋_GB2312" w:hAnsi="仿宋" w:eastAsia="仿宋_GB2312" w:cs="仿宋"/>
                <w:b/>
              </w:rPr>
              <w:t>数量</w:t>
            </w:r>
          </w:p>
        </w:tc>
        <w:tc>
          <w:tcPr>
            <w:tcW w:w="1047" w:type="dxa"/>
            <w:vMerge w:val="restart"/>
            <w:noWrap w:val="0"/>
            <w:vAlign w:val="center"/>
          </w:tcPr>
          <w:p w14:paraId="6A0BF65B">
            <w:pPr>
              <w:spacing w:line="300" w:lineRule="exact"/>
              <w:jc w:val="center"/>
              <w:rPr>
                <w:rFonts w:hint="eastAsia" w:ascii="仿宋_GB2312" w:hAnsi="仿宋" w:eastAsia="仿宋_GB2312" w:cs="仿宋"/>
                <w:b/>
              </w:rPr>
            </w:pPr>
            <w:r>
              <w:rPr>
                <w:rFonts w:hint="eastAsia" w:ascii="仿宋_GB2312" w:hAnsi="仿宋" w:eastAsia="仿宋_GB2312" w:cs="仿宋"/>
                <w:b/>
              </w:rPr>
              <w:t>单价</w:t>
            </w:r>
          </w:p>
        </w:tc>
        <w:tc>
          <w:tcPr>
            <w:tcW w:w="6942" w:type="dxa"/>
            <w:gridSpan w:val="7"/>
            <w:noWrap w:val="0"/>
            <w:vAlign w:val="center"/>
          </w:tcPr>
          <w:p w14:paraId="76519E7D">
            <w:pPr>
              <w:spacing w:line="300" w:lineRule="exact"/>
              <w:jc w:val="center"/>
              <w:rPr>
                <w:rFonts w:hint="eastAsia" w:ascii="仿宋_GB2312" w:hAnsi="仿宋" w:eastAsia="仿宋_GB2312" w:cs="仿宋"/>
                <w:b/>
              </w:rPr>
            </w:pPr>
            <w:r>
              <w:rPr>
                <w:rFonts w:hint="eastAsia" w:ascii="仿宋_GB2312" w:hAnsi="仿宋" w:eastAsia="仿宋_GB2312" w:cs="仿宋"/>
                <w:b/>
              </w:rPr>
              <w:t>政府采购金额</w:t>
            </w:r>
          </w:p>
        </w:tc>
      </w:tr>
      <w:tr w14:paraId="77594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2" w:hRule="atLeast"/>
          <w:tblHeader/>
          <w:jc w:val="center"/>
        </w:trPr>
        <w:tc>
          <w:tcPr>
            <w:tcW w:w="2709" w:type="dxa"/>
            <w:vMerge w:val="restart"/>
            <w:noWrap w:val="0"/>
            <w:vAlign w:val="center"/>
          </w:tcPr>
          <w:p w14:paraId="260F2581">
            <w:pPr>
              <w:spacing w:line="300" w:lineRule="exact"/>
              <w:jc w:val="center"/>
              <w:rPr>
                <w:rFonts w:hint="eastAsia" w:ascii="仿宋_GB2312" w:hAnsi="仿宋" w:eastAsia="仿宋_GB2312" w:cs="仿宋"/>
                <w:b/>
              </w:rPr>
            </w:pPr>
            <w:r>
              <w:rPr>
                <w:rFonts w:hint="eastAsia" w:ascii="仿宋_GB2312" w:hAnsi="仿宋" w:eastAsia="仿宋_GB2312" w:cs="仿宋"/>
                <w:b/>
              </w:rPr>
              <w:t>项目名称</w:t>
            </w:r>
          </w:p>
        </w:tc>
        <w:tc>
          <w:tcPr>
            <w:tcW w:w="897" w:type="dxa"/>
            <w:vMerge w:val="restart"/>
            <w:noWrap w:val="0"/>
            <w:vAlign w:val="center"/>
          </w:tcPr>
          <w:p w14:paraId="25578E7F">
            <w:pPr>
              <w:spacing w:line="300" w:lineRule="exact"/>
              <w:jc w:val="center"/>
              <w:rPr>
                <w:rFonts w:hint="eastAsia" w:ascii="仿宋_GB2312" w:hAnsi="仿宋" w:eastAsia="仿宋_GB2312" w:cs="仿宋"/>
                <w:b/>
              </w:rPr>
            </w:pPr>
            <w:r>
              <w:rPr>
                <w:rFonts w:hint="eastAsia" w:ascii="仿宋_GB2312" w:hAnsi="仿宋" w:eastAsia="仿宋_GB2312" w:cs="仿宋"/>
                <w:b/>
              </w:rPr>
              <w:t>预算资金</w:t>
            </w:r>
          </w:p>
        </w:tc>
        <w:tc>
          <w:tcPr>
            <w:tcW w:w="1018" w:type="dxa"/>
            <w:vMerge w:val="continue"/>
            <w:noWrap w:val="0"/>
            <w:vAlign w:val="center"/>
          </w:tcPr>
          <w:p w14:paraId="51B493FE">
            <w:pPr>
              <w:spacing w:line="300" w:lineRule="exact"/>
              <w:jc w:val="left"/>
              <w:outlineLvl w:val="0"/>
              <w:rPr>
                <w:rFonts w:hint="eastAsia" w:ascii="仿宋_GB2312" w:hAnsi="仿宋" w:eastAsia="仿宋_GB2312" w:cs="仿宋"/>
              </w:rPr>
            </w:pPr>
          </w:p>
        </w:tc>
        <w:tc>
          <w:tcPr>
            <w:tcW w:w="1112" w:type="dxa"/>
            <w:vMerge w:val="continue"/>
            <w:noWrap w:val="0"/>
            <w:vAlign w:val="center"/>
          </w:tcPr>
          <w:p w14:paraId="57B6B7D4">
            <w:pPr>
              <w:spacing w:line="300" w:lineRule="exact"/>
              <w:jc w:val="left"/>
              <w:outlineLvl w:val="0"/>
              <w:rPr>
                <w:rFonts w:hint="eastAsia" w:ascii="仿宋_GB2312" w:hAnsi="仿宋" w:eastAsia="仿宋_GB2312" w:cs="仿宋"/>
              </w:rPr>
            </w:pPr>
          </w:p>
        </w:tc>
        <w:tc>
          <w:tcPr>
            <w:tcW w:w="1017" w:type="dxa"/>
            <w:vMerge w:val="continue"/>
            <w:noWrap w:val="0"/>
            <w:vAlign w:val="center"/>
          </w:tcPr>
          <w:p w14:paraId="4AE0DB10">
            <w:pPr>
              <w:spacing w:line="300" w:lineRule="exact"/>
              <w:jc w:val="left"/>
              <w:outlineLvl w:val="0"/>
              <w:rPr>
                <w:rFonts w:hint="eastAsia" w:ascii="仿宋_GB2312" w:hAnsi="仿宋" w:eastAsia="仿宋_GB2312" w:cs="仿宋"/>
              </w:rPr>
            </w:pPr>
          </w:p>
        </w:tc>
        <w:tc>
          <w:tcPr>
            <w:tcW w:w="615" w:type="dxa"/>
            <w:vMerge w:val="continue"/>
            <w:noWrap w:val="0"/>
            <w:vAlign w:val="center"/>
          </w:tcPr>
          <w:p w14:paraId="40CE090F">
            <w:pPr>
              <w:spacing w:line="300" w:lineRule="exact"/>
              <w:jc w:val="left"/>
              <w:outlineLvl w:val="0"/>
              <w:rPr>
                <w:rFonts w:hint="eastAsia" w:ascii="仿宋_GB2312" w:hAnsi="仿宋" w:eastAsia="仿宋_GB2312" w:cs="仿宋"/>
              </w:rPr>
            </w:pPr>
          </w:p>
        </w:tc>
        <w:tc>
          <w:tcPr>
            <w:tcW w:w="1047" w:type="dxa"/>
            <w:vMerge w:val="continue"/>
            <w:noWrap w:val="0"/>
            <w:vAlign w:val="center"/>
          </w:tcPr>
          <w:p w14:paraId="026FC0AB">
            <w:pPr>
              <w:spacing w:line="300" w:lineRule="exact"/>
              <w:jc w:val="left"/>
              <w:outlineLvl w:val="0"/>
              <w:rPr>
                <w:rFonts w:hint="eastAsia" w:ascii="仿宋_GB2312" w:hAnsi="仿宋" w:eastAsia="仿宋_GB2312" w:cs="仿宋"/>
              </w:rPr>
            </w:pPr>
          </w:p>
        </w:tc>
        <w:tc>
          <w:tcPr>
            <w:tcW w:w="898" w:type="dxa"/>
            <w:vMerge w:val="restart"/>
            <w:noWrap w:val="0"/>
            <w:vAlign w:val="center"/>
          </w:tcPr>
          <w:p w14:paraId="727B9D59">
            <w:pPr>
              <w:spacing w:line="300" w:lineRule="exact"/>
              <w:jc w:val="center"/>
              <w:rPr>
                <w:rFonts w:hint="eastAsia" w:ascii="仿宋_GB2312" w:hAnsi="仿宋" w:eastAsia="仿宋_GB2312" w:cs="仿宋"/>
                <w:b/>
              </w:rPr>
            </w:pPr>
            <w:r>
              <w:rPr>
                <w:rFonts w:hint="eastAsia" w:ascii="仿宋_GB2312" w:hAnsi="仿宋" w:eastAsia="仿宋_GB2312" w:cs="仿宋"/>
                <w:b/>
              </w:rPr>
              <w:t>总计</w:t>
            </w:r>
          </w:p>
        </w:tc>
        <w:tc>
          <w:tcPr>
            <w:tcW w:w="5085" w:type="dxa"/>
            <w:gridSpan w:val="5"/>
            <w:noWrap w:val="0"/>
            <w:vAlign w:val="center"/>
          </w:tcPr>
          <w:p w14:paraId="5EFF327E">
            <w:pPr>
              <w:spacing w:line="300" w:lineRule="exact"/>
              <w:jc w:val="center"/>
              <w:rPr>
                <w:rFonts w:hint="eastAsia" w:ascii="仿宋_GB2312" w:hAnsi="仿宋" w:eastAsia="仿宋_GB2312" w:cs="仿宋"/>
                <w:b/>
              </w:rPr>
            </w:pPr>
            <w:r>
              <w:rPr>
                <w:rFonts w:hint="eastAsia" w:ascii="仿宋_GB2312" w:hAnsi="仿宋" w:eastAsia="仿宋_GB2312" w:cs="仿宋"/>
                <w:b/>
              </w:rPr>
              <w:t>当年部门预算安排资金</w:t>
            </w:r>
          </w:p>
        </w:tc>
        <w:tc>
          <w:tcPr>
            <w:tcW w:w="959" w:type="dxa"/>
            <w:vMerge w:val="restart"/>
            <w:noWrap w:val="0"/>
            <w:vAlign w:val="center"/>
          </w:tcPr>
          <w:p w14:paraId="7702F439">
            <w:pPr>
              <w:spacing w:line="300" w:lineRule="exact"/>
              <w:jc w:val="center"/>
              <w:rPr>
                <w:rFonts w:hint="eastAsia" w:ascii="仿宋_GB2312" w:hAnsi="仿宋" w:eastAsia="仿宋_GB2312" w:cs="仿宋"/>
                <w:b/>
              </w:rPr>
            </w:pPr>
            <w:r>
              <w:rPr>
                <w:rFonts w:hint="eastAsia" w:ascii="仿宋_GB2312" w:hAnsi="仿宋" w:eastAsia="仿宋_GB2312" w:cs="仿宋"/>
                <w:b/>
              </w:rPr>
              <w:t>其他渠道资金</w:t>
            </w:r>
          </w:p>
        </w:tc>
      </w:tr>
      <w:tr w14:paraId="19568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709" w:type="dxa"/>
            <w:vMerge w:val="continue"/>
            <w:noWrap w:val="0"/>
            <w:vAlign w:val="center"/>
          </w:tcPr>
          <w:p w14:paraId="4CA479B8">
            <w:pPr>
              <w:spacing w:line="300" w:lineRule="exact"/>
              <w:jc w:val="left"/>
              <w:outlineLvl w:val="0"/>
              <w:rPr>
                <w:rFonts w:hint="eastAsia" w:ascii="仿宋_GB2312" w:hAnsi="仿宋" w:eastAsia="仿宋_GB2312" w:cs="仿宋"/>
              </w:rPr>
            </w:pPr>
          </w:p>
        </w:tc>
        <w:tc>
          <w:tcPr>
            <w:tcW w:w="897" w:type="dxa"/>
            <w:vMerge w:val="continue"/>
            <w:noWrap w:val="0"/>
            <w:vAlign w:val="center"/>
          </w:tcPr>
          <w:p w14:paraId="012CE81D">
            <w:pPr>
              <w:spacing w:line="300" w:lineRule="exact"/>
              <w:jc w:val="left"/>
              <w:outlineLvl w:val="0"/>
              <w:rPr>
                <w:rFonts w:hint="eastAsia" w:ascii="仿宋_GB2312" w:hAnsi="仿宋" w:eastAsia="仿宋_GB2312" w:cs="仿宋"/>
              </w:rPr>
            </w:pPr>
          </w:p>
        </w:tc>
        <w:tc>
          <w:tcPr>
            <w:tcW w:w="1018" w:type="dxa"/>
            <w:vMerge w:val="continue"/>
            <w:noWrap w:val="0"/>
            <w:vAlign w:val="center"/>
          </w:tcPr>
          <w:p w14:paraId="6E36DEFA">
            <w:pPr>
              <w:spacing w:line="300" w:lineRule="exact"/>
              <w:jc w:val="left"/>
              <w:outlineLvl w:val="0"/>
              <w:rPr>
                <w:rFonts w:hint="eastAsia" w:ascii="仿宋_GB2312" w:hAnsi="仿宋" w:eastAsia="仿宋_GB2312" w:cs="仿宋"/>
              </w:rPr>
            </w:pPr>
          </w:p>
        </w:tc>
        <w:tc>
          <w:tcPr>
            <w:tcW w:w="1112" w:type="dxa"/>
            <w:vMerge w:val="continue"/>
            <w:noWrap w:val="0"/>
            <w:vAlign w:val="center"/>
          </w:tcPr>
          <w:p w14:paraId="5DC41398">
            <w:pPr>
              <w:spacing w:line="300" w:lineRule="exact"/>
              <w:jc w:val="left"/>
              <w:outlineLvl w:val="0"/>
              <w:rPr>
                <w:rFonts w:hint="eastAsia" w:ascii="仿宋_GB2312" w:hAnsi="仿宋" w:eastAsia="仿宋_GB2312" w:cs="仿宋"/>
              </w:rPr>
            </w:pPr>
          </w:p>
        </w:tc>
        <w:tc>
          <w:tcPr>
            <w:tcW w:w="1017" w:type="dxa"/>
            <w:vMerge w:val="continue"/>
            <w:noWrap w:val="0"/>
            <w:vAlign w:val="center"/>
          </w:tcPr>
          <w:p w14:paraId="6459979B">
            <w:pPr>
              <w:spacing w:line="300" w:lineRule="exact"/>
              <w:jc w:val="left"/>
              <w:outlineLvl w:val="0"/>
              <w:rPr>
                <w:rFonts w:hint="eastAsia" w:ascii="仿宋_GB2312" w:hAnsi="仿宋" w:eastAsia="仿宋_GB2312" w:cs="仿宋"/>
              </w:rPr>
            </w:pPr>
          </w:p>
        </w:tc>
        <w:tc>
          <w:tcPr>
            <w:tcW w:w="615" w:type="dxa"/>
            <w:vMerge w:val="continue"/>
            <w:noWrap w:val="0"/>
            <w:vAlign w:val="center"/>
          </w:tcPr>
          <w:p w14:paraId="1E6DC229">
            <w:pPr>
              <w:spacing w:line="300" w:lineRule="exact"/>
              <w:jc w:val="left"/>
              <w:outlineLvl w:val="0"/>
              <w:rPr>
                <w:rFonts w:hint="eastAsia" w:ascii="仿宋_GB2312" w:hAnsi="仿宋" w:eastAsia="仿宋_GB2312" w:cs="仿宋"/>
              </w:rPr>
            </w:pPr>
          </w:p>
        </w:tc>
        <w:tc>
          <w:tcPr>
            <w:tcW w:w="1047" w:type="dxa"/>
            <w:vMerge w:val="continue"/>
            <w:noWrap w:val="0"/>
            <w:vAlign w:val="center"/>
          </w:tcPr>
          <w:p w14:paraId="384836C1">
            <w:pPr>
              <w:spacing w:line="300" w:lineRule="exact"/>
              <w:jc w:val="left"/>
              <w:outlineLvl w:val="0"/>
              <w:rPr>
                <w:rFonts w:hint="eastAsia" w:ascii="仿宋_GB2312" w:hAnsi="仿宋" w:eastAsia="仿宋_GB2312" w:cs="仿宋"/>
              </w:rPr>
            </w:pPr>
          </w:p>
        </w:tc>
        <w:tc>
          <w:tcPr>
            <w:tcW w:w="898" w:type="dxa"/>
            <w:vMerge w:val="continue"/>
            <w:noWrap w:val="0"/>
            <w:vAlign w:val="center"/>
          </w:tcPr>
          <w:p w14:paraId="7C4781E1">
            <w:pPr>
              <w:spacing w:line="300" w:lineRule="exact"/>
              <w:jc w:val="left"/>
              <w:outlineLvl w:val="0"/>
              <w:rPr>
                <w:rFonts w:hint="eastAsia" w:ascii="仿宋_GB2312" w:hAnsi="仿宋" w:eastAsia="仿宋_GB2312" w:cs="仿宋"/>
              </w:rPr>
            </w:pPr>
          </w:p>
        </w:tc>
        <w:tc>
          <w:tcPr>
            <w:tcW w:w="1017" w:type="dxa"/>
            <w:noWrap w:val="0"/>
            <w:vAlign w:val="center"/>
          </w:tcPr>
          <w:p w14:paraId="40EAE039">
            <w:pPr>
              <w:spacing w:line="300" w:lineRule="exact"/>
              <w:jc w:val="center"/>
              <w:rPr>
                <w:rFonts w:hint="eastAsia" w:ascii="仿宋_GB2312" w:hAnsi="仿宋" w:eastAsia="仿宋_GB2312" w:cs="仿宋"/>
                <w:b/>
              </w:rPr>
            </w:pPr>
            <w:r>
              <w:rPr>
                <w:rFonts w:hint="eastAsia" w:ascii="仿宋_GB2312" w:hAnsi="仿宋" w:eastAsia="仿宋_GB2312" w:cs="仿宋"/>
                <w:b/>
              </w:rPr>
              <w:t>合计</w:t>
            </w:r>
          </w:p>
        </w:tc>
        <w:tc>
          <w:tcPr>
            <w:tcW w:w="1017" w:type="dxa"/>
            <w:noWrap w:val="0"/>
            <w:vAlign w:val="center"/>
          </w:tcPr>
          <w:p w14:paraId="7BE3DF5B">
            <w:pPr>
              <w:spacing w:line="300" w:lineRule="exact"/>
              <w:jc w:val="center"/>
              <w:rPr>
                <w:rFonts w:hint="eastAsia" w:ascii="仿宋_GB2312" w:hAnsi="仿宋" w:eastAsia="仿宋_GB2312" w:cs="仿宋"/>
                <w:b/>
              </w:rPr>
            </w:pPr>
            <w:r>
              <w:rPr>
                <w:rFonts w:hint="eastAsia" w:ascii="仿宋_GB2312" w:hAnsi="仿宋" w:eastAsia="仿宋_GB2312" w:cs="仿宋"/>
                <w:b/>
              </w:rPr>
              <w:t>一般公共预算拨款</w:t>
            </w:r>
          </w:p>
        </w:tc>
        <w:tc>
          <w:tcPr>
            <w:tcW w:w="1017" w:type="dxa"/>
            <w:noWrap w:val="0"/>
            <w:vAlign w:val="center"/>
          </w:tcPr>
          <w:p w14:paraId="247C9AA8">
            <w:pPr>
              <w:spacing w:line="300" w:lineRule="exact"/>
              <w:jc w:val="center"/>
              <w:rPr>
                <w:rFonts w:hint="eastAsia" w:ascii="仿宋_GB2312" w:hAnsi="仿宋" w:eastAsia="仿宋_GB2312" w:cs="仿宋"/>
                <w:b/>
              </w:rPr>
            </w:pPr>
            <w:r>
              <w:rPr>
                <w:rFonts w:hint="eastAsia" w:ascii="仿宋_GB2312" w:hAnsi="仿宋" w:eastAsia="仿宋_GB2312" w:cs="仿宋"/>
                <w:b/>
              </w:rPr>
              <w:t>基金预算拨款</w:t>
            </w:r>
          </w:p>
        </w:tc>
        <w:tc>
          <w:tcPr>
            <w:tcW w:w="1017" w:type="dxa"/>
            <w:noWrap w:val="0"/>
            <w:vAlign w:val="center"/>
          </w:tcPr>
          <w:p w14:paraId="00DDDD00">
            <w:pPr>
              <w:spacing w:line="300" w:lineRule="exact"/>
              <w:jc w:val="center"/>
              <w:rPr>
                <w:rFonts w:hint="eastAsia" w:ascii="仿宋_GB2312" w:hAnsi="仿宋" w:eastAsia="仿宋_GB2312" w:cs="仿宋"/>
                <w:b/>
              </w:rPr>
            </w:pPr>
            <w:r>
              <w:rPr>
                <w:rFonts w:hint="eastAsia" w:ascii="仿宋_GB2312" w:hAnsi="仿宋" w:eastAsia="仿宋_GB2312" w:cs="仿宋"/>
                <w:b/>
              </w:rPr>
              <w:t>财政专户核拨</w:t>
            </w:r>
          </w:p>
        </w:tc>
        <w:tc>
          <w:tcPr>
            <w:tcW w:w="1017" w:type="dxa"/>
            <w:noWrap w:val="0"/>
            <w:vAlign w:val="center"/>
          </w:tcPr>
          <w:p w14:paraId="77E2150C">
            <w:pPr>
              <w:spacing w:line="300" w:lineRule="exact"/>
              <w:jc w:val="center"/>
              <w:rPr>
                <w:rFonts w:hint="eastAsia" w:ascii="仿宋_GB2312" w:hAnsi="仿宋" w:eastAsia="仿宋_GB2312" w:cs="仿宋"/>
                <w:b/>
              </w:rPr>
            </w:pPr>
            <w:r>
              <w:rPr>
                <w:rFonts w:hint="eastAsia" w:ascii="仿宋_GB2312" w:hAnsi="仿宋" w:eastAsia="仿宋_GB2312" w:cs="仿宋"/>
                <w:b/>
              </w:rPr>
              <w:t>其他来源收入</w:t>
            </w:r>
          </w:p>
        </w:tc>
        <w:tc>
          <w:tcPr>
            <w:tcW w:w="959" w:type="dxa"/>
            <w:vMerge w:val="continue"/>
            <w:noWrap w:val="0"/>
            <w:vAlign w:val="center"/>
          </w:tcPr>
          <w:p w14:paraId="0B403836">
            <w:pPr>
              <w:spacing w:line="300" w:lineRule="exact"/>
              <w:jc w:val="left"/>
              <w:outlineLvl w:val="0"/>
              <w:rPr>
                <w:rFonts w:hint="eastAsia" w:ascii="仿宋_GB2312" w:hAnsi="仿宋" w:eastAsia="仿宋_GB2312" w:cs="仿宋"/>
              </w:rPr>
            </w:pPr>
          </w:p>
        </w:tc>
      </w:tr>
      <w:tr w14:paraId="16358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709" w:type="dxa"/>
            <w:noWrap w:val="0"/>
            <w:vAlign w:val="center"/>
          </w:tcPr>
          <w:p w14:paraId="68789D33">
            <w:pPr>
              <w:spacing w:line="300" w:lineRule="exact"/>
              <w:jc w:val="center"/>
              <w:rPr>
                <w:rFonts w:hint="eastAsia" w:ascii="仿宋_GB2312" w:hAnsi="仿宋" w:eastAsia="仿宋_GB2312" w:cs="仿宋"/>
                <w:b/>
              </w:rPr>
            </w:pPr>
          </w:p>
        </w:tc>
        <w:tc>
          <w:tcPr>
            <w:tcW w:w="897" w:type="dxa"/>
            <w:noWrap w:val="0"/>
            <w:vAlign w:val="center"/>
          </w:tcPr>
          <w:p w14:paraId="28D6425F">
            <w:pPr>
              <w:spacing w:line="300" w:lineRule="exact"/>
              <w:jc w:val="right"/>
              <w:rPr>
                <w:rFonts w:hint="eastAsia" w:ascii="仿宋_GB2312" w:hAnsi="仿宋" w:eastAsia="仿宋_GB2312" w:cs="仿宋"/>
                <w:b/>
              </w:rPr>
            </w:pPr>
          </w:p>
        </w:tc>
        <w:tc>
          <w:tcPr>
            <w:tcW w:w="1018" w:type="dxa"/>
            <w:noWrap w:val="0"/>
            <w:vAlign w:val="center"/>
          </w:tcPr>
          <w:p w14:paraId="2A66050B">
            <w:pPr>
              <w:spacing w:line="300" w:lineRule="exact"/>
              <w:jc w:val="left"/>
              <w:rPr>
                <w:rFonts w:hint="eastAsia" w:ascii="仿宋_GB2312" w:hAnsi="仿宋" w:eastAsia="仿宋_GB2312" w:cs="仿宋"/>
                <w:b/>
              </w:rPr>
            </w:pPr>
          </w:p>
        </w:tc>
        <w:tc>
          <w:tcPr>
            <w:tcW w:w="1112" w:type="dxa"/>
            <w:noWrap w:val="0"/>
            <w:vAlign w:val="center"/>
          </w:tcPr>
          <w:p w14:paraId="73CE9D2F">
            <w:pPr>
              <w:spacing w:line="300" w:lineRule="exact"/>
              <w:jc w:val="left"/>
              <w:rPr>
                <w:rFonts w:hint="eastAsia" w:ascii="仿宋_GB2312" w:hAnsi="仿宋" w:eastAsia="仿宋_GB2312" w:cs="仿宋"/>
                <w:b/>
              </w:rPr>
            </w:pPr>
          </w:p>
        </w:tc>
        <w:tc>
          <w:tcPr>
            <w:tcW w:w="1017" w:type="dxa"/>
            <w:noWrap w:val="0"/>
            <w:vAlign w:val="center"/>
          </w:tcPr>
          <w:p w14:paraId="1C463CBA">
            <w:pPr>
              <w:spacing w:line="300" w:lineRule="exact"/>
              <w:jc w:val="left"/>
              <w:rPr>
                <w:rFonts w:hint="eastAsia" w:ascii="仿宋_GB2312" w:hAnsi="仿宋" w:eastAsia="仿宋_GB2312" w:cs="仿宋"/>
                <w:b/>
              </w:rPr>
            </w:pPr>
          </w:p>
        </w:tc>
        <w:tc>
          <w:tcPr>
            <w:tcW w:w="615" w:type="dxa"/>
            <w:noWrap w:val="0"/>
            <w:vAlign w:val="center"/>
          </w:tcPr>
          <w:p w14:paraId="030124EE">
            <w:pPr>
              <w:spacing w:line="300" w:lineRule="exact"/>
              <w:jc w:val="right"/>
              <w:rPr>
                <w:rFonts w:hint="eastAsia" w:ascii="仿宋_GB2312" w:hAnsi="仿宋" w:eastAsia="仿宋_GB2312" w:cs="仿宋"/>
                <w:b/>
              </w:rPr>
            </w:pPr>
          </w:p>
        </w:tc>
        <w:tc>
          <w:tcPr>
            <w:tcW w:w="1047" w:type="dxa"/>
            <w:noWrap w:val="0"/>
            <w:vAlign w:val="center"/>
          </w:tcPr>
          <w:p w14:paraId="60B1A27F">
            <w:pPr>
              <w:spacing w:line="300" w:lineRule="exact"/>
              <w:jc w:val="right"/>
              <w:rPr>
                <w:rFonts w:hint="eastAsia" w:ascii="仿宋_GB2312" w:hAnsi="仿宋" w:eastAsia="仿宋_GB2312" w:cs="仿宋"/>
                <w:b/>
              </w:rPr>
            </w:pPr>
          </w:p>
        </w:tc>
        <w:tc>
          <w:tcPr>
            <w:tcW w:w="898" w:type="dxa"/>
            <w:noWrap w:val="0"/>
            <w:vAlign w:val="center"/>
          </w:tcPr>
          <w:p w14:paraId="07B8CD20">
            <w:pPr>
              <w:spacing w:line="300" w:lineRule="exact"/>
              <w:jc w:val="right"/>
              <w:rPr>
                <w:rFonts w:hint="eastAsia" w:ascii="仿宋_GB2312" w:hAnsi="仿宋" w:eastAsia="仿宋_GB2312" w:cs="仿宋"/>
                <w:b/>
              </w:rPr>
            </w:pPr>
          </w:p>
        </w:tc>
        <w:tc>
          <w:tcPr>
            <w:tcW w:w="1017" w:type="dxa"/>
            <w:noWrap w:val="0"/>
            <w:vAlign w:val="center"/>
          </w:tcPr>
          <w:p w14:paraId="74E396EF">
            <w:pPr>
              <w:spacing w:line="300" w:lineRule="exact"/>
              <w:jc w:val="right"/>
              <w:rPr>
                <w:rFonts w:hint="eastAsia" w:ascii="仿宋_GB2312" w:hAnsi="仿宋" w:eastAsia="仿宋_GB2312" w:cs="仿宋"/>
                <w:b/>
              </w:rPr>
            </w:pPr>
          </w:p>
        </w:tc>
        <w:tc>
          <w:tcPr>
            <w:tcW w:w="1017" w:type="dxa"/>
            <w:noWrap w:val="0"/>
            <w:vAlign w:val="center"/>
          </w:tcPr>
          <w:p w14:paraId="05F162E2">
            <w:pPr>
              <w:spacing w:line="300" w:lineRule="exact"/>
              <w:jc w:val="right"/>
              <w:rPr>
                <w:rFonts w:hint="eastAsia" w:ascii="仿宋_GB2312" w:hAnsi="仿宋" w:eastAsia="仿宋_GB2312" w:cs="仿宋"/>
                <w:b/>
              </w:rPr>
            </w:pPr>
          </w:p>
        </w:tc>
        <w:tc>
          <w:tcPr>
            <w:tcW w:w="1017" w:type="dxa"/>
            <w:noWrap w:val="0"/>
            <w:vAlign w:val="center"/>
          </w:tcPr>
          <w:p w14:paraId="5ABEC6D8">
            <w:pPr>
              <w:spacing w:line="300" w:lineRule="exact"/>
              <w:jc w:val="right"/>
              <w:rPr>
                <w:rFonts w:hint="eastAsia" w:ascii="仿宋_GB2312" w:hAnsi="仿宋" w:eastAsia="仿宋_GB2312" w:cs="仿宋"/>
                <w:b/>
              </w:rPr>
            </w:pPr>
          </w:p>
        </w:tc>
        <w:tc>
          <w:tcPr>
            <w:tcW w:w="1017" w:type="dxa"/>
            <w:noWrap w:val="0"/>
            <w:vAlign w:val="center"/>
          </w:tcPr>
          <w:p w14:paraId="05F95495">
            <w:pPr>
              <w:spacing w:line="300" w:lineRule="exact"/>
              <w:jc w:val="right"/>
              <w:rPr>
                <w:rFonts w:hint="eastAsia" w:ascii="仿宋_GB2312" w:hAnsi="仿宋" w:eastAsia="仿宋_GB2312" w:cs="仿宋"/>
                <w:b/>
              </w:rPr>
            </w:pPr>
          </w:p>
        </w:tc>
        <w:tc>
          <w:tcPr>
            <w:tcW w:w="1017" w:type="dxa"/>
            <w:noWrap w:val="0"/>
            <w:vAlign w:val="center"/>
          </w:tcPr>
          <w:p w14:paraId="78C7EAC8">
            <w:pPr>
              <w:spacing w:line="300" w:lineRule="exact"/>
              <w:jc w:val="right"/>
              <w:rPr>
                <w:rFonts w:hint="eastAsia" w:ascii="仿宋_GB2312" w:hAnsi="仿宋" w:eastAsia="仿宋_GB2312" w:cs="仿宋"/>
                <w:b/>
              </w:rPr>
            </w:pPr>
          </w:p>
        </w:tc>
        <w:tc>
          <w:tcPr>
            <w:tcW w:w="959" w:type="dxa"/>
            <w:noWrap w:val="0"/>
            <w:vAlign w:val="center"/>
          </w:tcPr>
          <w:p w14:paraId="238B99EB">
            <w:pPr>
              <w:spacing w:line="300" w:lineRule="exact"/>
              <w:jc w:val="right"/>
              <w:rPr>
                <w:rFonts w:hint="eastAsia" w:ascii="仿宋_GB2312" w:hAnsi="仿宋" w:eastAsia="仿宋_GB2312" w:cs="仿宋"/>
                <w:b/>
              </w:rPr>
            </w:pPr>
          </w:p>
        </w:tc>
      </w:tr>
      <w:tr w14:paraId="0075F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709" w:type="dxa"/>
            <w:noWrap w:val="0"/>
            <w:vAlign w:val="center"/>
          </w:tcPr>
          <w:p w14:paraId="26009284">
            <w:pPr>
              <w:spacing w:line="300" w:lineRule="exact"/>
              <w:jc w:val="left"/>
              <w:rPr>
                <w:rFonts w:hint="eastAsia" w:ascii="仿宋" w:hAnsi="仿宋" w:eastAsia="仿宋" w:cs="仿宋"/>
              </w:rPr>
            </w:pPr>
          </w:p>
        </w:tc>
        <w:tc>
          <w:tcPr>
            <w:tcW w:w="897" w:type="dxa"/>
            <w:noWrap w:val="0"/>
            <w:vAlign w:val="center"/>
          </w:tcPr>
          <w:p w14:paraId="04F2BD8F">
            <w:pPr>
              <w:spacing w:line="300" w:lineRule="exact"/>
              <w:jc w:val="right"/>
              <w:rPr>
                <w:rFonts w:hint="eastAsia" w:ascii="仿宋" w:hAnsi="仿宋" w:eastAsia="仿宋" w:cs="仿宋"/>
              </w:rPr>
            </w:pPr>
          </w:p>
        </w:tc>
        <w:tc>
          <w:tcPr>
            <w:tcW w:w="1018" w:type="dxa"/>
            <w:noWrap w:val="0"/>
            <w:vAlign w:val="center"/>
          </w:tcPr>
          <w:p w14:paraId="5ADC21AE">
            <w:pPr>
              <w:spacing w:line="300" w:lineRule="exact"/>
              <w:jc w:val="left"/>
              <w:rPr>
                <w:rFonts w:hint="eastAsia" w:ascii="仿宋" w:hAnsi="仿宋" w:eastAsia="仿宋" w:cs="仿宋"/>
              </w:rPr>
            </w:pPr>
          </w:p>
        </w:tc>
        <w:tc>
          <w:tcPr>
            <w:tcW w:w="1112" w:type="dxa"/>
            <w:noWrap w:val="0"/>
            <w:vAlign w:val="center"/>
          </w:tcPr>
          <w:p w14:paraId="5BB70499">
            <w:pPr>
              <w:spacing w:line="300" w:lineRule="exact"/>
              <w:jc w:val="left"/>
              <w:rPr>
                <w:rFonts w:hint="eastAsia" w:ascii="仿宋" w:hAnsi="仿宋" w:eastAsia="仿宋" w:cs="仿宋"/>
              </w:rPr>
            </w:pPr>
          </w:p>
        </w:tc>
        <w:tc>
          <w:tcPr>
            <w:tcW w:w="1017" w:type="dxa"/>
            <w:noWrap w:val="0"/>
            <w:vAlign w:val="center"/>
          </w:tcPr>
          <w:p w14:paraId="1E7035CA">
            <w:pPr>
              <w:spacing w:line="300" w:lineRule="exact"/>
              <w:jc w:val="left"/>
              <w:rPr>
                <w:rFonts w:hint="eastAsia" w:ascii="仿宋" w:hAnsi="仿宋" w:eastAsia="仿宋" w:cs="仿宋"/>
              </w:rPr>
            </w:pPr>
          </w:p>
        </w:tc>
        <w:tc>
          <w:tcPr>
            <w:tcW w:w="615" w:type="dxa"/>
            <w:noWrap w:val="0"/>
            <w:vAlign w:val="center"/>
          </w:tcPr>
          <w:p w14:paraId="77C58051">
            <w:pPr>
              <w:spacing w:line="300" w:lineRule="exact"/>
              <w:jc w:val="right"/>
              <w:rPr>
                <w:rFonts w:hint="eastAsia" w:ascii="仿宋" w:hAnsi="仿宋" w:eastAsia="仿宋" w:cs="仿宋"/>
              </w:rPr>
            </w:pPr>
          </w:p>
        </w:tc>
        <w:tc>
          <w:tcPr>
            <w:tcW w:w="1047" w:type="dxa"/>
            <w:noWrap w:val="0"/>
            <w:vAlign w:val="center"/>
          </w:tcPr>
          <w:p w14:paraId="0D772C85">
            <w:pPr>
              <w:spacing w:line="300" w:lineRule="exact"/>
              <w:jc w:val="right"/>
              <w:rPr>
                <w:rFonts w:hint="eastAsia" w:ascii="仿宋" w:hAnsi="仿宋" w:eastAsia="仿宋" w:cs="仿宋"/>
              </w:rPr>
            </w:pPr>
          </w:p>
        </w:tc>
        <w:tc>
          <w:tcPr>
            <w:tcW w:w="898" w:type="dxa"/>
            <w:noWrap w:val="0"/>
            <w:vAlign w:val="center"/>
          </w:tcPr>
          <w:p w14:paraId="14A433D7">
            <w:pPr>
              <w:spacing w:line="300" w:lineRule="exact"/>
              <w:jc w:val="right"/>
              <w:rPr>
                <w:rFonts w:hint="eastAsia" w:ascii="仿宋" w:hAnsi="仿宋" w:eastAsia="仿宋" w:cs="仿宋"/>
              </w:rPr>
            </w:pPr>
          </w:p>
        </w:tc>
        <w:tc>
          <w:tcPr>
            <w:tcW w:w="1017" w:type="dxa"/>
            <w:noWrap w:val="0"/>
            <w:vAlign w:val="center"/>
          </w:tcPr>
          <w:p w14:paraId="11CBC835">
            <w:pPr>
              <w:spacing w:line="300" w:lineRule="exact"/>
              <w:jc w:val="right"/>
              <w:rPr>
                <w:rFonts w:hint="eastAsia" w:ascii="仿宋" w:hAnsi="仿宋" w:eastAsia="仿宋" w:cs="仿宋"/>
              </w:rPr>
            </w:pPr>
          </w:p>
        </w:tc>
        <w:tc>
          <w:tcPr>
            <w:tcW w:w="1017" w:type="dxa"/>
            <w:noWrap w:val="0"/>
            <w:vAlign w:val="center"/>
          </w:tcPr>
          <w:p w14:paraId="7FA3F8E6">
            <w:pPr>
              <w:spacing w:line="300" w:lineRule="exact"/>
              <w:jc w:val="right"/>
              <w:rPr>
                <w:rFonts w:hint="eastAsia" w:ascii="仿宋" w:hAnsi="仿宋" w:eastAsia="仿宋" w:cs="仿宋"/>
              </w:rPr>
            </w:pPr>
          </w:p>
        </w:tc>
        <w:tc>
          <w:tcPr>
            <w:tcW w:w="1017" w:type="dxa"/>
            <w:noWrap w:val="0"/>
            <w:vAlign w:val="center"/>
          </w:tcPr>
          <w:p w14:paraId="6F337F6B">
            <w:pPr>
              <w:spacing w:line="300" w:lineRule="exact"/>
              <w:jc w:val="right"/>
              <w:rPr>
                <w:rFonts w:hint="eastAsia" w:ascii="仿宋" w:hAnsi="仿宋" w:eastAsia="仿宋" w:cs="仿宋"/>
              </w:rPr>
            </w:pPr>
          </w:p>
        </w:tc>
        <w:tc>
          <w:tcPr>
            <w:tcW w:w="1017" w:type="dxa"/>
            <w:noWrap w:val="0"/>
            <w:vAlign w:val="center"/>
          </w:tcPr>
          <w:p w14:paraId="1673732B">
            <w:pPr>
              <w:spacing w:line="300" w:lineRule="exact"/>
              <w:jc w:val="right"/>
              <w:rPr>
                <w:rFonts w:hint="eastAsia" w:ascii="仿宋" w:hAnsi="仿宋" w:eastAsia="仿宋" w:cs="仿宋"/>
              </w:rPr>
            </w:pPr>
          </w:p>
        </w:tc>
        <w:tc>
          <w:tcPr>
            <w:tcW w:w="1017" w:type="dxa"/>
            <w:noWrap w:val="0"/>
            <w:vAlign w:val="center"/>
          </w:tcPr>
          <w:p w14:paraId="38127AD4">
            <w:pPr>
              <w:spacing w:line="300" w:lineRule="exact"/>
              <w:jc w:val="right"/>
              <w:rPr>
                <w:rFonts w:hint="eastAsia" w:ascii="仿宋" w:hAnsi="仿宋" w:eastAsia="仿宋" w:cs="仿宋"/>
              </w:rPr>
            </w:pPr>
          </w:p>
        </w:tc>
        <w:tc>
          <w:tcPr>
            <w:tcW w:w="959" w:type="dxa"/>
            <w:noWrap w:val="0"/>
            <w:vAlign w:val="center"/>
          </w:tcPr>
          <w:p w14:paraId="3E86B76A">
            <w:pPr>
              <w:spacing w:line="300" w:lineRule="exact"/>
              <w:jc w:val="right"/>
              <w:rPr>
                <w:rFonts w:hint="eastAsia" w:ascii="仿宋" w:hAnsi="仿宋" w:eastAsia="仿宋" w:cs="仿宋"/>
              </w:rPr>
            </w:pPr>
          </w:p>
        </w:tc>
      </w:tr>
      <w:tr w14:paraId="25057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709" w:type="dxa"/>
            <w:noWrap w:val="0"/>
            <w:vAlign w:val="center"/>
          </w:tcPr>
          <w:p w14:paraId="5D5174B4">
            <w:pPr>
              <w:spacing w:line="300" w:lineRule="exact"/>
              <w:jc w:val="left"/>
              <w:rPr>
                <w:rFonts w:hint="eastAsia" w:ascii="仿宋" w:hAnsi="仿宋" w:eastAsia="仿宋" w:cs="仿宋"/>
              </w:rPr>
            </w:pPr>
          </w:p>
        </w:tc>
        <w:tc>
          <w:tcPr>
            <w:tcW w:w="897" w:type="dxa"/>
            <w:noWrap w:val="0"/>
            <w:vAlign w:val="center"/>
          </w:tcPr>
          <w:p w14:paraId="2E9A5DE9">
            <w:pPr>
              <w:spacing w:line="300" w:lineRule="exact"/>
              <w:jc w:val="right"/>
              <w:rPr>
                <w:rFonts w:hint="eastAsia" w:ascii="仿宋" w:hAnsi="仿宋" w:eastAsia="仿宋" w:cs="仿宋"/>
              </w:rPr>
            </w:pPr>
          </w:p>
        </w:tc>
        <w:tc>
          <w:tcPr>
            <w:tcW w:w="1018" w:type="dxa"/>
            <w:noWrap w:val="0"/>
            <w:vAlign w:val="center"/>
          </w:tcPr>
          <w:p w14:paraId="6C5D9168">
            <w:pPr>
              <w:spacing w:line="300" w:lineRule="exact"/>
              <w:jc w:val="left"/>
              <w:rPr>
                <w:rFonts w:hint="eastAsia" w:ascii="仿宋" w:hAnsi="仿宋" w:eastAsia="仿宋" w:cs="仿宋"/>
              </w:rPr>
            </w:pPr>
          </w:p>
        </w:tc>
        <w:tc>
          <w:tcPr>
            <w:tcW w:w="1112" w:type="dxa"/>
            <w:noWrap w:val="0"/>
            <w:vAlign w:val="center"/>
          </w:tcPr>
          <w:p w14:paraId="3178D715">
            <w:pPr>
              <w:spacing w:line="300" w:lineRule="exact"/>
              <w:jc w:val="left"/>
              <w:rPr>
                <w:rFonts w:hint="eastAsia" w:ascii="仿宋" w:hAnsi="仿宋" w:eastAsia="仿宋" w:cs="仿宋"/>
              </w:rPr>
            </w:pPr>
          </w:p>
        </w:tc>
        <w:tc>
          <w:tcPr>
            <w:tcW w:w="1017" w:type="dxa"/>
            <w:noWrap w:val="0"/>
            <w:vAlign w:val="center"/>
          </w:tcPr>
          <w:p w14:paraId="2450DCCF">
            <w:pPr>
              <w:spacing w:line="300" w:lineRule="exact"/>
              <w:jc w:val="left"/>
              <w:rPr>
                <w:rFonts w:hint="eastAsia" w:ascii="仿宋" w:hAnsi="仿宋" w:eastAsia="仿宋" w:cs="仿宋"/>
              </w:rPr>
            </w:pPr>
          </w:p>
        </w:tc>
        <w:tc>
          <w:tcPr>
            <w:tcW w:w="615" w:type="dxa"/>
            <w:noWrap w:val="0"/>
            <w:vAlign w:val="center"/>
          </w:tcPr>
          <w:p w14:paraId="27746169">
            <w:pPr>
              <w:spacing w:line="300" w:lineRule="exact"/>
              <w:jc w:val="right"/>
              <w:rPr>
                <w:rFonts w:hint="eastAsia" w:ascii="仿宋" w:hAnsi="仿宋" w:eastAsia="仿宋" w:cs="仿宋"/>
              </w:rPr>
            </w:pPr>
          </w:p>
        </w:tc>
        <w:tc>
          <w:tcPr>
            <w:tcW w:w="1047" w:type="dxa"/>
            <w:noWrap w:val="0"/>
            <w:vAlign w:val="center"/>
          </w:tcPr>
          <w:p w14:paraId="23252B75">
            <w:pPr>
              <w:spacing w:line="300" w:lineRule="exact"/>
              <w:jc w:val="right"/>
              <w:rPr>
                <w:rFonts w:hint="eastAsia" w:ascii="仿宋" w:hAnsi="仿宋" w:eastAsia="仿宋" w:cs="仿宋"/>
              </w:rPr>
            </w:pPr>
          </w:p>
        </w:tc>
        <w:tc>
          <w:tcPr>
            <w:tcW w:w="898" w:type="dxa"/>
            <w:noWrap w:val="0"/>
            <w:vAlign w:val="center"/>
          </w:tcPr>
          <w:p w14:paraId="1F26A2AE">
            <w:pPr>
              <w:spacing w:line="300" w:lineRule="exact"/>
              <w:jc w:val="right"/>
              <w:rPr>
                <w:rFonts w:hint="eastAsia" w:ascii="仿宋" w:hAnsi="仿宋" w:eastAsia="仿宋" w:cs="仿宋"/>
              </w:rPr>
            </w:pPr>
          </w:p>
        </w:tc>
        <w:tc>
          <w:tcPr>
            <w:tcW w:w="1017" w:type="dxa"/>
            <w:noWrap w:val="0"/>
            <w:vAlign w:val="center"/>
          </w:tcPr>
          <w:p w14:paraId="5C97E952">
            <w:pPr>
              <w:spacing w:line="300" w:lineRule="exact"/>
              <w:jc w:val="right"/>
              <w:rPr>
                <w:rFonts w:hint="eastAsia" w:ascii="仿宋" w:hAnsi="仿宋" w:eastAsia="仿宋" w:cs="仿宋"/>
              </w:rPr>
            </w:pPr>
          </w:p>
        </w:tc>
        <w:tc>
          <w:tcPr>
            <w:tcW w:w="1017" w:type="dxa"/>
            <w:noWrap w:val="0"/>
            <w:vAlign w:val="center"/>
          </w:tcPr>
          <w:p w14:paraId="1143FAC3">
            <w:pPr>
              <w:spacing w:line="300" w:lineRule="exact"/>
              <w:jc w:val="right"/>
              <w:rPr>
                <w:rFonts w:hint="eastAsia" w:ascii="仿宋" w:hAnsi="仿宋" w:eastAsia="仿宋" w:cs="仿宋"/>
              </w:rPr>
            </w:pPr>
          </w:p>
        </w:tc>
        <w:tc>
          <w:tcPr>
            <w:tcW w:w="1017" w:type="dxa"/>
            <w:noWrap w:val="0"/>
            <w:vAlign w:val="center"/>
          </w:tcPr>
          <w:p w14:paraId="1CD63472">
            <w:pPr>
              <w:spacing w:line="300" w:lineRule="exact"/>
              <w:jc w:val="right"/>
              <w:rPr>
                <w:rFonts w:hint="eastAsia" w:ascii="仿宋" w:hAnsi="仿宋" w:eastAsia="仿宋" w:cs="仿宋"/>
              </w:rPr>
            </w:pPr>
          </w:p>
        </w:tc>
        <w:tc>
          <w:tcPr>
            <w:tcW w:w="1017" w:type="dxa"/>
            <w:noWrap w:val="0"/>
            <w:vAlign w:val="center"/>
          </w:tcPr>
          <w:p w14:paraId="32EF1446">
            <w:pPr>
              <w:spacing w:line="300" w:lineRule="exact"/>
              <w:jc w:val="right"/>
              <w:rPr>
                <w:rFonts w:hint="eastAsia" w:ascii="仿宋" w:hAnsi="仿宋" w:eastAsia="仿宋" w:cs="仿宋"/>
              </w:rPr>
            </w:pPr>
          </w:p>
        </w:tc>
        <w:tc>
          <w:tcPr>
            <w:tcW w:w="1017" w:type="dxa"/>
            <w:noWrap w:val="0"/>
            <w:vAlign w:val="center"/>
          </w:tcPr>
          <w:p w14:paraId="0D9D0676">
            <w:pPr>
              <w:spacing w:line="300" w:lineRule="exact"/>
              <w:jc w:val="right"/>
              <w:rPr>
                <w:rFonts w:hint="eastAsia" w:ascii="仿宋" w:hAnsi="仿宋" w:eastAsia="仿宋" w:cs="仿宋"/>
              </w:rPr>
            </w:pPr>
          </w:p>
        </w:tc>
        <w:tc>
          <w:tcPr>
            <w:tcW w:w="959" w:type="dxa"/>
            <w:noWrap w:val="0"/>
            <w:vAlign w:val="center"/>
          </w:tcPr>
          <w:p w14:paraId="1BA5EAFD">
            <w:pPr>
              <w:spacing w:line="300" w:lineRule="exact"/>
              <w:jc w:val="right"/>
              <w:rPr>
                <w:rFonts w:hint="eastAsia" w:ascii="仿宋" w:hAnsi="仿宋" w:eastAsia="仿宋" w:cs="仿宋"/>
              </w:rPr>
            </w:pPr>
          </w:p>
        </w:tc>
      </w:tr>
    </w:tbl>
    <w:p w14:paraId="1B8CDC1B">
      <w:pPr>
        <w:jc w:val="left"/>
        <w:rPr>
          <w:rFonts w:hint="eastAsia" w:ascii="黑体" w:hAnsi="黑体" w:eastAsia="黑体"/>
          <w:color w:val="000000"/>
          <w:sz w:val="32"/>
        </w:rPr>
      </w:pPr>
      <w:r>
        <w:rPr>
          <w:rFonts w:hint="eastAsia" w:ascii="仿宋_GB2312" w:eastAsia="仿宋_GB2312"/>
          <w:sz w:val="32"/>
          <w:szCs w:val="32"/>
          <w:highlight w:val="yellow"/>
        </w:rPr>
        <w:t>如果无政府采购预算则注明：（无此项公开内容，空表列示。</w:t>
      </w:r>
    </w:p>
    <w:p w14:paraId="695B4FED">
      <w:pPr>
        <w:ind w:firstLine="640"/>
        <w:jc w:val="left"/>
        <w:rPr>
          <w:rFonts w:hint="eastAsia" w:ascii="黑体" w:hAnsi="黑体" w:eastAsia="黑体"/>
          <w:color w:val="000000"/>
          <w:sz w:val="32"/>
        </w:rPr>
      </w:pPr>
    </w:p>
    <w:p w14:paraId="543FD033">
      <w:pPr>
        <w:ind w:firstLine="640"/>
        <w:jc w:val="left"/>
        <w:rPr>
          <w:rFonts w:hint="eastAsia" w:ascii="黑体" w:hAnsi="黑体" w:eastAsia="黑体"/>
          <w:color w:val="000000"/>
          <w:sz w:val="32"/>
        </w:rPr>
      </w:pPr>
    </w:p>
    <w:p w14:paraId="687F74E1">
      <w:pPr>
        <w:ind w:firstLine="640"/>
        <w:jc w:val="left"/>
        <w:rPr>
          <w:rFonts w:hint="eastAsia" w:ascii="黑体" w:hAnsi="黑体" w:eastAsia="黑体"/>
          <w:color w:val="000000"/>
          <w:sz w:val="32"/>
        </w:rPr>
      </w:pPr>
    </w:p>
    <w:p w14:paraId="4C73009B">
      <w:pPr>
        <w:ind w:firstLine="640"/>
        <w:jc w:val="left"/>
        <w:rPr>
          <w:rFonts w:hint="eastAsia" w:ascii="黑体" w:hAnsi="黑体" w:eastAsia="黑体"/>
          <w:color w:val="000000"/>
          <w:sz w:val="32"/>
        </w:rPr>
      </w:pPr>
    </w:p>
    <w:p w14:paraId="1C877AE1">
      <w:pPr>
        <w:ind w:firstLine="640"/>
        <w:jc w:val="left"/>
        <w:rPr>
          <w:rFonts w:hint="eastAsia" w:ascii="黑体" w:hAnsi="黑体" w:eastAsia="黑体"/>
          <w:color w:val="000000"/>
          <w:sz w:val="32"/>
        </w:rPr>
      </w:pPr>
    </w:p>
    <w:p w14:paraId="3BF9D300">
      <w:pPr>
        <w:ind w:firstLine="640"/>
        <w:jc w:val="left"/>
        <w:rPr>
          <w:rFonts w:hint="eastAsia" w:ascii="黑体" w:hAnsi="黑体" w:eastAsia="黑体"/>
          <w:color w:val="000000"/>
          <w:sz w:val="32"/>
        </w:rPr>
      </w:pPr>
    </w:p>
    <w:p w14:paraId="3851E1D8">
      <w:pPr>
        <w:ind w:firstLine="640"/>
        <w:jc w:val="left"/>
        <w:rPr>
          <w:rFonts w:ascii="黑体" w:hAnsi="黑体" w:eastAsia="黑体"/>
          <w:color w:val="000000"/>
          <w:sz w:val="32"/>
        </w:rPr>
      </w:pPr>
      <w:r>
        <w:rPr>
          <w:rFonts w:hint="eastAsia" w:ascii="黑体" w:hAnsi="黑体" w:eastAsia="黑体"/>
          <w:color w:val="000000"/>
          <w:sz w:val="32"/>
        </w:rPr>
        <w:t>六</w:t>
      </w:r>
      <w:r>
        <w:rPr>
          <w:rFonts w:ascii="黑体" w:hAnsi="黑体" w:eastAsia="黑体"/>
          <w:color w:val="000000"/>
          <w:sz w:val="32"/>
        </w:rPr>
        <w:t>、国有资产信息</w:t>
      </w:r>
    </w:p>
    <w:p w14:paraId="3A1EEFA5">
      <w:pPr>
        <w:widowControl w:val="0"/>
        <w:spacing w:after="156" w:line="360" w:lineRule="auto"/>
        <w:ind w:firstLine="640"/>
        <w:rPr>
          <w:rFonts w:hint="eastAsia" w:ascii="仿宋_GB2312" w:eastAsia="仿宋_GB2312"/>
          <w:sz w:val="32"/>
          <w:szCs w:val="32"/>
        </w:rPr>
      </w:pPr>
      <w:r>
        <w:rPr>
          <w:rFonts w:hint="eastAsia" w:ascii="仿宋_GB2312" w:eastAsia="仿宋_GB2312"/>
          <w:sz w:val="32"/>
          <w:szCs w:val="32"/>
        </w:rPr>
        <w:t>截至上年末，我单位固定资产总额</w:t>
      </w:r>
      <w:r>
        <w:rPr>
          <w:rFonts w:hint="eastAsia" w:ascii="仿宋_GB2312" w:eastAsia="仿宋_GB2312"/>
          <w:sz w:val="32"/>
          <w:szCs w:val="32"/>
          <w:lang w:val="en-US" w:eastAsia="zh-CN"/>
        </w:rPr>
        <w:t>335.80</w:t>
      </w:r>
      <w:r>
        <w:rPr>
          <w:rFonts w:hint="eastAsia" w:ascii="仿宋_GB2312" w:eastAsia="仿宋_GB2312"/>
          <w:sz w:val="32"/>
          <w:szCs w:val="32"/>
        </w:rPr>
        <w:t>元，本年度</w:t>
      </w:r>
      <w:r>
        <w:rPr>
          <w:rFonts w:hint="eastAsia" w:ascii="仿宋_GB2312" w:eastAsia="仿宋_GB2312"/>
          <w:sz w:val="32"/>
          <w:szCs w:val="32"/>
          <w:lang w:eastAsia="zh-CN"/>
        </w:rPr>
        <w:t>有</w:t>
      </w:r>
      <w:r>
        <w:rPr>
          <w:rFonts w:hint="eastAsia" w:ascii="仿宋_GB2312" w:eastAsia="仿宋_GB2312"/>
          <w:sz w:val="32"/>
          <w:szCs w:val="32"/>
        </w:rPr>
        <w:t>新增固定资产预算。本年度拟购置固定资产总额为</w:t>
      </w:r>
      <w:r>
        <w:rPr>
          <w:rFonts w:hint="eastAsia" w:ascii="仿宋_GB2312" w:eastAsia="仿宋_GB2312"/>
          <w:sz w:val="32"/>
          <w:szCs w:val="32"/>
          <w:lang w:val="en-US" w:eastAsia="zh-CN"/>
        </w:rPr>
        <w:t>0.39万</w:t>
      </w:r>
      <w:r>
        <w:rPr>
          <w:rFonts w:hint="eastAsia" w:ascii="仿宋_GB2312" w:eastAsia="仿宋_GB2312"/>
          <w:sz w:val="32"/>
          <w:szCs w:val="32"/>
        </w:rPr>
        <w:t>元，具体情况如下：</w:t>
      </w:r>
    </w:p>
    <w:tbl>
      <w:tblPr>
        <w:tblStyle w:val="28"/>
        <w:tblW w:w="13482" w:type="dxa"/>
        <w:tblInd w:w="-15" w:type="dxa"/>
        <w:tblLayout w:type="fixed"/>
        <w:tblCellMar>
          <w:top w:w="0" w:type="dxa"/>
          <w:left w:w="108" w:type="dxa"/>
          <w:bottom w:w="0" w:type="dxa"/>
          <w:right w:w="108" w:type="dxa"/>
        </w:tblCellMar>
      </w:tblPr>
      <w:tblGrid>
        <w:gridCol w:w="5224"/>
        <w:gridCol w:w="3155"/>
        <w:gridCol w:w="5103"/>
      </w:tblGrid>
      <w:tr w14:paraId="30E312AE">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noWrap w:val="0"/>
            <w:vAlign w:val="center"/>
          </w:tcPr>
          <w:p w14:paraId="6667C936">
            <w:pPr>
              <w:jc w:val="center"/>
              <w:rPr>
                <w:rFonts w:ascii="仿宋_GB2312" w:eastAsia="仿宋_GB2312"/>
                <w:sz w:val="32"/>
                <w:szCs w:val="32"/>
              </w:rPr>
            </w:pPr>
            <w:r>
              <w:rPr>
                <w:rFonts w:hint="eastAsia" w:ascii="仿宋_GB2312" w:eastAsia="仿宋_GB2312"/>
                <w:sz w:val="32"/>
                <w:szCs w:val="32"/>
              </w:rPr>
              <w:t>部门固定资产占用情况表</w:t>
            </w:r>
          </w:p>
        </w:tc>
      </w:tr>
      <w:tr w14:paraId="37D2A1AE">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noWrap w:val="0"/>
            <w:vAlign w:val="center"/>
          </w:tcPr>
          <w:p w14:paraId="02EF3623">
            <w:pPr>
              <w:jc w:val="left"/>
              <w:rPr>
                <w:rFonts w:ascii="宋体" w:hAnsi="宋体" w:cs="宋体"/>
                <w:sz w:val="22"/>
              </w:rPr>
            </w:pPr>
            <w:r>
              <w:rPr>
                <w:rFonts w:hint="eastAsia" w:ascii="宋体" w:hAnsi="宋体" w:cs="宋体"/>
                <w:sz w:val="22"/>
              </w:rPr>
              <w:t>编制部门：</w:t>
            </w:r>
          </w:p>
        </w:tc>
        <w:tc>
          <w:tcPr>
            <w:tcW w:w="5103" w:type="dxa"/>
            <w:tcBorders>
              <w:top w:val="nil"/>
              <w:left w:val="nil"/>
              <w:bottom w:val="nil"/>
              <w:right w:val="nil"/>
            </w:tcBorders>
            <w:noWrap w:val="0"/>
            <w:vAlign w:val="center"/>
          </w:tcPr>
          <w:p w14:paraId="16089F37">
            <w:pPr>
              <w:ind w:firstLine="1760"/>
              <w:jc w:val="left"/>
              <w:rPr>
                <w:rFonts w:ascii="宋体" w:hAnsi="宋体" w:cs="宋体"/>
                <w:sz w:val="22"/>
              </w:rPr>
            </w:pPr>
            <w:r>
              <w:rPr>
                <w:rFonts w:hint="eastAsia" w:ascii="宋体" w:hAnsi="宋体" w:cs="宋体"/>
                <w:sz w:val="22"/>
              </w:rPr>
              <w:t>截止时间：202</w:t>
            </w:r>
            <w:r>
              <w:rPr>
                <w:rFonts w:hint="eastAsia" w:ascii="宋体" w:hAnsi="宋体" w:cs="宋体"/>
                <w:sz w:val="22"/>
                <w:lang w:val="en-US" w:eastAsia="zh-CN"/>
              </w:rPr>
              <w:t>1</w:t>
            </w:r>
            <w:r>
              <w:rPr>
                <w:rFonts w:hint="eastAsia" w:ascii="宋体" w:hAnsi="宋体" w:cs="宋体"/>
                <w:sz w:val="22"/>
              </w:rPr>
              <w:t xml:space="preserve">年12月31日  </w:t>
            </w:r>
          </w:p>
        </w:tc>
      </w:tr>
      <w:tr w14:paraId="77D4E9C6">
        <w:tblPrEx>
          <w:tblCellMar>
            <w:top w:w="0" w:type="dxa"/>
            <w:left w:w="108" w:type="dxa"/>
            <w:bottom w:w="0" w:type="dxa"/>
            <w:right w:w="108" w:type="dxa"/>
          </w:tblCellMar>
        </w:tblPrEx>
        <w:trPr>
          <w:trHeight w:val="645" w:hRule="atLeast"/>
        </w:trPr>
        <w:tc>
          <w:tcPr>
            <w:tcW w:w="5224" w:type="dxa"/>
            <w:tcBorders>
              <w:top w:val="single" w:color="000000" w:sz="4" w:space="0"/>
              <w:left w:val="single" w:color="000000" w:sz="4" w:space="0"/>
              <w:bottom w:val="single" w:color="000000" w:sz="4" w:space="0"/>
              <w:right w:val="single" w:color="000000" w:sz="4" w:space="0"/>
            </w:tcBorders>
            <w:noWrap w:val="0"/>
            <w:vAlign w:val="center"/>
          </w:tcPr>
          <w:p w14:paraId="7B77EFE6">
            <w:pPr>
              <w:jc w:val="center"/>
              <w:rPr>
                <w:rFonts w:ascii="宋体" w:hAnsi="宋体" w:cs="宋体"/>
                <w:b/>
                <w:bCs/>
                <w:sz w:val="22"/>
              </w:rPr>
            </w:pPr>
            <w:r>
              <w:rPr>
                <w:rFonts w:hint="eastAsia" w:ascii="宋体" w:hAnsi="宋体" w:cs="宋体"/>
                <w:b/>
                <w:bCs/>
                <w:sz w:val="22"/>
              </w:rPr>
              <w:t>项   目</w:t>
            </w:r>
          </w:p>
        </w:tc>
        <w:tc>
          <w:tcPr>
            <w:tcW w:w="3155" w:type="dxa"/>
            <w:tcBorders>
              <w:top w:val="single" w:color="000000" w:sz="4" w:space="0"/>
              <w:left w:val="nil"/>
              <w:bottom w:val="single" w:color="000000" w:sz="4" w:space="0"/>
              <w:right w:val="single" w:color="000000" w:sz="4" w:space="0"/>
            </w:tcBorders>
            <w:noWrap w:val="0"/>
            <w:vAlign w:val="center"/>
          </w:tcPr>
          <w:p w14:paraId="04B7C757">
            <w:pPr>
              <w:jc w:val="center"/>
              <w:rPr>
                <w:rFonts w:ascii="宋体" w:hAnsi="宋体" w:cs="宋体"/>
                <w:b/>
                <w:bCs/>
                <w:sz w:val="22"/>
              </w:rPr>
            </w:pPr>
            <w:r>
              <w:rPr>
                <w:rFonts w:hint="eastAsia" w:ascii="宋体" w:hAnsi="宋体" w:cs="宋体"/>
                <w:b/>
                <w:bCs/>
                <w:sz w:val="22"/>
              </w:rPr>
              <w:t>数量</w:t>
            </w:r>
          </w:p>
        </w:tc>
        <w:tc>
          <w:tcPr>
            <w:tcW w:w="5103" w:type="dxa"/>
            <w:tcBorders>
              <w:top w:val="single" w:color="000000" w:sz="4" w:space="0"/>
              <w:left w:val="nil"/>
              <w:bottom w:val="single" w:color="000000" w:sz="4" w:space="0"/>
              <w:right w:val="single" w:color="000000" w:sz="4" w:space="0"/>
            </w:tcBorders>
            <w:noWrap w:val="0"/>
            <w:vAlign w:val="center"/>
          </w:tcPr>
          <w:p w14:paraId="1C83046D">
            <w:pPr>
              <w:jc w:val="center"/>
              <w:rPr>
                <w:rFonts w:ascii="宋体" w:hAnsi="宋体" w:cs="宋体"/>
                <w:b/>
                <w:bCs/>
                <w:sz w:val="22"/>
              </w:rPr>
            </w:pPr>
            <w:r>
              <w:rPr>
                <w:rFonts w:hint="eastAsia" w:ascii="宋体" w:hAnsi="宋体" w:cs="宋体"/>
                <w:b/>
                <w:bCs/>
                <w:sz w:val="22"/>
              </w:rPr>
              <w:t>价值（金额单位：</w:t>
            </w:r>
            <w:r>
              <w:rPr>
                <w:rFonts w:hint="eastAsia" w:ascii="宋体" w:hAnsi="宋体" w:cs="宋体"/>
                <w:b/>
                <w:bCs/>
                <w:sz w:val="22"/>
                <w:lang w:eastAsia="zh-CN"/>
              </w:rPr>
              <w:t>万</w:t>
            </w:r>
            <w:r>
              <w:rPr>
                <w:rFonts w:hint="eastAsia" w:ascii="宋体" w:hAnsi="宋体" w:cs="宋体"/>
                <w:b/>
                <w:bCs/>
                <w:sz w:val="22"/>
              </w:rPr>
              <w:t>元）</w:t>
            </w:r>
          </w:p>
        </w:tc>
      </w:tr>
      <w:tr w14:paraId="0EA5C0EA">
        <w:tblPrEx>
          <w:tblCellMar>
            <w:top w:w="0" w:type="dxa"/>
            <w:left w:w="108" w:type="dxa"/>
            <w:bottom w:w="0" w:type="dxa"/>
            <w:right w:w="108" w:type="dxa"/>
          </w:tblCellMar>
        </w:tblPrEx>
        <w:trPr>
          <w:trHeight w:val="645" w:hRule="atLeast"/>
        </w:trPr>
        <w:tc>
          <w:tcPr>
            <w:tcW w:w="5224" w:type="dxa"/>
            <w:tcBorders>
              <w:top w:val="nil"/>
              <w:left w:val="single" w:color="000000" w:sz="4" w:space="0"/>
              <w:bottom w:val="single" w:color="000000" w:sz="4" w:space="0"/>
              <w:right w:val="single" w:color="000000" w:sz="4" w:space="0"/>
            </w:tcBorders>
            <w:noWrap w:val="0"/>
            <w:vAlign w:val="center"/>
          </w:tcPr>
          <w:p w14:paraId="6C099A8B">
            <w:pPr>
              <w:jc w:val="center"/>
              <w:rPr>
                <w:rFonts w:ascii="宋体" w:hAnsi="宋体" w:cs="宋体"/>
                <w:sz w:val="22"/>
              </w:rPr>
            </w:pPr>
            <w:r>
              <w:rPr>
                <w:rFonts w:hint="eastAsia" w:ascii="宋体" w:hAnsi="宋体" w:cs="宋体"/>
                <w:sz w:val="22"/>
              </w:rPr>
              <w:t>资产总额</w:t>
            </w:r>
          </w:p>
        </w:tc>
        <w:tc>
          <w:tcPr>
            <w:tcW w:w="3155" w:type="dxa"/>
            <w:tcBorders>
              <w:top w:val="nil"/>
              <w:left w:val="nil"/>
              <w:bottom w:val="single" w:color="000000" w:sz="4" w:space="0"/>
              <w:right w:val="single" w:color="000000" w:sz="4" w:space="0"/>
            </w:tcBorders>
            <w:noWrap w:val="0"/>
            <w:vAlign w:val="center"/>
          </w:tcPr>
          <w:p w14:paraId="0E0E861E">
            <w:pPr>
              <w:jc w:val="center"/>
              <w:rPr>
                <w:rFonts w:ascii="宋体" w:hAnsi="宋体" w:eastAsia="宋体" w:cs="宋体"/>
                <w:sz w:val="22"/>
                <w:lang w:val="en-US" w:eastAsia="zh-CN"/>
              </w:rPr>
            </w:pPr>
            <w:r>
              <w:rPr>
                <w:rFonts w:hint="eastAsia" w:ascii="宋体" w:hAnsi="宋体" w:cs="宋体"/>
                <w:sz w:val="22"/>
                <w:lang w:val="en-US" w:eastAsia="zh-CN"/>
              </w:rPr>
              <w:t>522</w:t>
            </w:r>
          </w:p>
        </w:tc>
        <w:tc>
          <w:tcPr>
            <w:tcW w:w="5103" w:type="dxa"/>
            <w:tcBorders>
              <w:top w:val="nil"/>
              <w:left w:val="nil"/>
              <w:bottom w:val="single" w:color="000000" w:sz="4" w:space="0"/>
              <w:right w:val="single" w:color="000000" w:sz="4" w:space="0"/>
            </w:tcBorders>
            <w:noWrap w:val="0"/>
            <w:vAlign w:val="center"/>
          </w:tcPr>
          <w:p w14:paraId="3CB3629C">
            <w:pPr>
              <w:jc w:val="center"/>
              <w:rPr>
                <w:rFonts w:ascii="宋体" w:hAnsi="宋体" w:eastAsia="宋体" w:cs="宋体"/>
                <w:sz w:val="22"/>
                <w:lang w:val="en-US" w:eastAsia="zh-CN"/>
              </w:rPr>
            </w:pPr>
            <w:r>
              <w:rPr>
                <w:rFonts w:hint="eastAsia" w:ascii="宋体" w:hAnsi="宋体" w:cs="宋体"/>
                <w:sz w:val="22"/>
                <w:lang w:val="en-US" w:eastAsia="zh-CN"/>
              </w:rPr>
              <w:t>335.80</w:t>
            </w:r>
          </w:p>
        </w:tc>
      </w:tr>
      <w:tr w14:paraId="3DC9C214">
        <w:tblPrEx>
          <w:tblCellMar>
            <w:top w:w="0" w:type="dxa"/>
            <w:left w:w="108" w:type="dxa"/>
            <w:bottom w:w="0" w:type="dxa"/>
            <w:right w:w="108" w:type="dxa"/>
          </w:tblCellMar>
        </w:tblPrEx>
        <w:trPr>
          <w:trHeight w:val="645" w:hRule="atLeast"/>
        </w:trPr>
        <w:tc>
          <w:tcPr>
            <w:tcW w:w="5224" w:type="dxa"/>
            <w:tcBorders>
              <w:top w:val="nil"/>
              <w:left w:val="single" w:color="000000" w:sz="4" w:space="0"/>
              <w:bottom w:val="single" w:color="000000" w:sz="4" w:space="0"/>
              <w:right w:val="single" w:color="000000" w:sz="4" w:space="0"/>
            </w:tcBorders>
            <w:noWrap w:val="0"/>
            <w:vAlign w:val="center"/>
          </w:tcPr>
          <w:p w14:paraId="5FA7EFF2">
            <w:pPr>
              <w:jc w:val="left"/>
              <w:rPr>
                <w:rFonts w:ascii="宋体" w:hAnsi="宋体" w:cs="宋体"/>
                <w:sz w:val="22"/>
              </w:rPr>
            </w:pPr>
            <w:r>
              <w:rPr>
                <w:rFonts w:hint="eastAsia" w:ascii="宋体" w:hAnsi="宋体" w:cs="宋体"/>
                <w:sz w:val="22"/>
              </w:rPr>
              <w:t>1、房屋（平方米）</w:t>
            </w:r>
          </w:p>
        </w:tc>
        <w:tc>
          <w:tcPr>
            <w:tcW w:w="3155" w:type="dxa"/>
            <w:tcBorders>
              <w:top w:val="nil"/>
              <w:left w:val="nil"/>
              <w:bottom w:val="single" w:color="000000" w:sz="4" w:space="0"/>
              <w:right w:val="single" w:color="000000" w:sz="4" w:space="0"/>
            </w:tcBorders>
            <w:noWrap w:val="0"/>
            <w:vAlign w:val="center"/>
          </w:tcPr>
          <w:p w14:paraId="65C0BA7F">
            <w:pPr>
              <w:jc w:val="center"/>
              <w:rPr>
                <w:rFonts w:ascii="宋体" w:hAnsi="宋体" w:cs="宋体"/>
                <w:sz w:val="22"/>
              </w:rPr>
            </w:pPr>
          </w:p>
        </w:tc>
        <w:tc>
          <w:tcPr>
            <w:tcW w:w="5103" w:type="dxa"/>
            <w:tcBorders>
              <w:top w:val="nil"/>
              <w:left w:val="nil"/>
              <w:bottom w:val="single" w:color="000000" w:sz="4" w:space="0"/>
              <w:right w:val="single" w:color="000000" w:sz="4" w:space="0"/>
            </w:tcBorders>
            <w:noWrap w:val="0"/>
            <w:vAlign w:val="center"/>
          </w:tcPr>
          <w:p w14:paraId="3D6D8AC4">
            <w:pPr>
              <w:jc w:val="center"/>
              <w:rPr>
                <w:rFonts w:ascii="宋体" w:hAnsi="宋体" w:cs="宋体"/>
                <w:sz w:val="22"/>
              </w:rPr>
            </w:pPr>
          </w:p>
        </w:tc>
      </w:tr>
      <w:tr w14:paraId="0219B7DB">
        <w:tblPrEx>
          <w:tblCellMar>
            <w:top w:w="0" w:type="dxa"/>
            <w:left w:w="108" w:type="dxa"/>
            <w:bottom w:w="0" w:type="dxa"/>
            <w:right w:w="108" w:type="dxa"/>
          </w:tblCellMar>
        </w:tblPrEx>
        <w:trPr>
          <w:trHeight w:val="645" w:hRule="atLeast"/>
        </w:trPr>
        <w:tc>
          <w:tcPr>
            <w:tcW w:w="5224" w:type="dxa"/>
            <w:tcBorders>
              <w:top w:val="nil"/>
              <w:left w:val="single" w:color="000000" w:sz="4" w:space="0"/>
              <w:bottom w:val="single" w:color="000000" w:sz="4" w:space="0"/>
              <w:right w:val="single" w:color="000000" w:sz="4" w:space="0"/>
            </w:tcBorders>
            <w:noWrap w:val="0"/>
            <w:vAlign w:val="center"/>
          </w:tcPr>
          <w:p w14:paraId="74E35321">
            <w:pPr>
              <w:jc w:val="left"/>
              <w:rPr>
                <w:rFonts w:ascii="宋体" w:hAnsi="宋体" w:cs="宋体"/>
                <w:sz w:val="22"/>
              </w:rPr>
            </w:pPr>
            <w:r>
              <w:rPr>
                <w:rFonts w:hint="eastAsia" w:ascii="宋体" w:hAnsi="宋体" w:cs="宋体"/>
                <w:sz w:val="22"/>
              </w:rPr>
              <w:t>2、车辆（台、辆）</w:t>
            </w:r>
          </w:p>
        </w:tc>
        <w:tc>
          <w:tcPr>
            <w:tcW w:w="3155" w:type="dxa"/>
            <w:tcBorders>
              <w:top w:val="nil"/>
              <w:left w:val="nil"/>
              <w:bottom w:val="single" w:color="000000" w:sz="4" w:space="0"/>
              <w:right w:val="single" w:color="000000" w:sz="4" w:space="0"/>
            </w:tcBorders>
            <w:noWrap w:val="0"/>
            <w:vAlign w:val="center"/>
          </w:tcPr>
          <w:p w14:paraId="7A0F8F70">
            <w:pPr>
              <w:jc w:val="center"/>
              <w:rPr>
                <w:rFonts w:ascii="宋体" w:hAnsi="宋体" w:cs="宋体"/>
                <w:sz w:val="22"/>
              </w:rPr>
            </w:pPr>
          </w:p>
        </w:tc>
        <w:tc>
          <w:tcPr>
            <w:tcW w:w="5103" w:type="dxa"/>
            <w:tcBorders>
              <w:top w:val="nil"/>
              <w:left w:val="nil"/>
              <w:bottom w:val="single" w:color="000000" w:sz="4" w:space="0"/>
              <w:right w:val="single" w:color="000000" w:sz="4" w:space="0"/>
            </w:tcBorders>
            <w:noWrap w:val="0"/>
            <w:vAlign w:val="center"/>
          </w:tcPr>
          <w:p w14:paraId="5217C68F">
            <w:pPr>
              <w:jc w:val="center"/>
              <w:rPr>
                <w:rFonts w:ascii="宋体" w:hAnsi="宋体" w:cs="宋体"/>
                <w:sz w:val="22"/>
              </w:rPr>
            </w:pPr>
          </w:p>
        </w:tc>
      </w:tr>
      <w:tr w14:paraId="683C9FC2">
        <w:tblPrEx>
          <w:tblCellMar>
            <w:top w:w="0" w:type="dxa"/>
            <w:left w:w="108" w:type="dxa"/>
            <w:bottom w:w="0" w:type="dxa"/>
            <w:right w:w="108" w:type="dxa"/>
          </w:tblCellMar>
        </w:tblPrEx>
        <w:trPr>
          <w:trHeight w:val="645" w:hRule="atLeast"/>
        </w:trPr>
        <w:tc>
          <w:tcPr>
            <w:tcW w:w="5224" w:type="dxa"/>
            <w:tcBorders>
              <w:top w:val="nil"/>
              <w:left w:val="single" w:color="000000" w:sz="4" w:space="0"/>
              <w:bottom w:val="single" w:color="000000" w:sz="4" w:space="0"/>
              <w:right w:val="single" w:color="000000" w:sz="4" w:space="0"/>
            </w:tcBorders>
            <w:noWrap w:val="0"/>
            <w:vAlign w:val="center"/>
          </w:tcPr>
          <w:p w14:paraId="5A5BC0FF">
            <w:pPr>
              <w:jc w:val="left"/>
              <w:rPr>
                <w:rFonts w:ascii="宋体" w:hAnsi="宋体" w:cs="宋体"/>
                <w:sz w:val="22"/>
              </w:rPr>
            </w:pPr>
            <w:r>
              <w:rPr>
                <w:rFonts w:hint="eastAsia" w:ascii="宋体" w:hAnsi="宋体" w:cs="宋体"/>
                <w:sz w:val="22"/>
              </w:rPr>
              <w:t>3、单价在20</w:t>
            </w:r>
            <w:r>
              <w:rPr>
                <w:rFonts w:hint="eastAsia" w:ascii="宋体" w:hAnsi="宋体" w:cs="宋体"/>
                <w:sz w:val="22"/>
                <w:lang w:eastAsia="zh-CN"/>
              </w:rPr>
              <w:t>万元</w:t>
            </w:r>
            <w:r>
              <w:rPr>
                <w:rFonts w:hint="eastAsia" w:ascii="宋体" w:hAnsi="宋体" w:cs="宋体"/>
                <w:sz w:val="22"/>
              </w:rPr>
              <w:t>以上设备</w:t>
            </w:r>
          </w:p>
        </w:tc>
        <w:tc>
          <w:tcPr>
            <w:tcW w:w="3155" w:type="dxa"/>
            <w:tcBorders>
              <w:top w:val="nil"/>
              <w:left w:val="nil"/>
              <w:bottom w:val="single" w:color="000000" w:sz="4" w:space="0"/>
              <w:right w:val="single" w:color="000000" w:sz="4" w:space="0"/>
            </w:tcBorders>
            <w:noWrap w:val="0"/>
            <w:vAlign w:val="center"/>
          </w:tcPr>
          <w:p w14:paraId="627CDB95">
            <w:pPr>
              <w:jc w:val="center"/>
              <w:rPr>
                <w:rFonts w:ascii="宋体" w:hAnsi="宋体" w:cs="宋体"/>
                <w:sz w:val="22"/>
              </w:rPr>
            </w:pPr>
          </w:p>
        </w:tc>
        <w:tc>
          <w:tcPr>
            <w:tcW w:w="5103" w:type="dxa"/>
            <w:tcBorders>
              <w:top w:val="nil"/>
              <w:left w:val="nil"/>
              <w:bottom w:val="single" w:color="000000" w:sz="4" w:space="0"/>
              <w:right w:val="single" w:color="000000" w:sz="4" w:space="0"/>
            </w:tcBorders>
            <w:noWrap w:val="0"/>
            <w:vAlign w:val="center"/>
          </w:tcPr>
          <w:p w14:paraId="653357B4">
            <w:pPr>
              <w:jc w:val="center"/>
              <w:rPr>
                <w:rFonts w:ascii="宋体" w:hAnsi="宋体" w:cs="宋体"/>
                <w:sz w:val="22"/>
              </w:rPr>
            </w:pPr>
          </w:p>
        </w:tc>
      </w:tr>
      <w:tr w14:paraId="63750307">
        <w:tblPrEx>
          <w:tblCellMar>
            <w:top w:w="0" w:type="dxa"/>
            <w:left w:w="108" w:type="dxa"/>
            <w:bottom w:w="0" w:type="dxa"/>
            <w:right w:w="108" w:type="dxa"/>
          </w:tblCellMar>
        </w:tblPrEx>
        <w:trPr>
          <w:trHeight w:val="645" w:hRule="atLeast"/>
        </w:trPr>
        <w:tc>
          <w:tcPr>
            <w:tcW w:w="5224" w:type="dxa"/>
            <w:tcBorders>
              <w:top w:val="nil"/>
              <w:left w:val="single" w:color="000000" w:sz="4" w:space="0"/>
              <w:bottom w:val="single" w:color="000000" w:sz="4" w:space="0"/>
              <w:right w:val="single" w:color="000000" w:sz="4" w:space="0"/>
            </w:tcBorders>
            <w:noWrap w:val="0"/>
            <w:vAlign w:val="center"/>
          </w:tcPr>
          <w:p w14:paraId="7B5599C1">
            <w:pPr>
              <w:jc w:val="left"/>
              <w:rPr>
                <w:rFonts w:hint="eastAsia" w:ascii="宋体" w:hAnsi="宋体" w:cs="宋体"/>
                <w:sz w:val="22"/>
              </w:rPr>
            </w:pPr>
            <w:r>
              <w:rPr>
                <w:rFonts w:hint="eastAsia" w:ascii="宋体" w:hAnsi="宋体" w:cs="宋体"/>
                <w:sz w:val="22"/>
              </w:rPr>
              <w:t>4、</w:t>
            </w:r>
            <w:r>
              <w:rPr>
                <w:rFonts w:ascii="宋体" w:hAnsi="宋体" w:cs="宋体"/>
                <w:sz w:val="22"/>
              </w:rPr>
              <w:t>……………</w:t>
            </w:r>
          </w:p>
        </w:tc>
        <w:tc>
          <w:tcPr>
            <w:tcW w:w="3155" w:type="dxa"/>
            <w:tcBorders>
              <w:top w:val="nil"/>
              <w:left w:val="nil"/>
              <w:bottom w:val="single" w:color="000000" w:sz="4" w:space="0"/>
              <w:right w:val="single" w:color="000000" w:sz="4" w:space="0"/>
            </w:tcBorders>
            <w:noWrap w:val="0"/>
            <w:vAlign w:val="center"/>
          </w:tcPr>
          <w:p w14:paraId="607E6E7D">
            <w:pPr>
              <w:jc w:val="center"/>
              <w:rPr>
                <w:rFonts w:ascii="宋体" w:hAnsi="宋体" w:cs="宋体"/>
                <w:sz w:val="22"/>
              </w:rPr>
            </w:pPr>
          </w:p>
        </w:tc>
        <w:tc>
          <w:tcPr>
            <w:tcW w:w="5103" w:type="dxa"/>
            <w:tcBorders>
              <w:top w:val="nil"/>
              <w:left w:val="nil"/>
              <w:bottom w:val="single" w:color="000000" w:sz="4" w:space="0"/>
              <w:right w:val="single" w:color="000000" w:sz="4" w:space="0"/>
            </w:tcBorders>
            <w:noWrap w:val="0"/>
            <w:vAlign w:val="center"/>
          </w:tcPr>
          <w:p w14:paraId="5A6E024B">
            <w:pPr>
              <w:jc w:val="center"/>
              <w:rPr>
                <w:rFonts w:ascii="宋体" w:hAnsi="宋体" w:cs="宋体"/>
                <w:sz w:val="22"/>
              </w:rPr>
            </w:pPr>
          </w:p>
        </w:tc>
      </w:tr>
      <w:tr w14:paraId="35E11A4E">
        <w:tblPrEx>
          <w:tblCellMar>
            <w:top w:w="0" w:type="dxa"/>
            <w:left w:w="108" w:type="dxa"/>
            <w:bottom w:w="0" w:type="dxa"/>
            <w:right w:w="108" w:type="dxa"/>
          </w:tblCellMar>
        </w:tblPrEx>
        <w:trPr>
          <w:trHeight w:val="645" w:hRule="atLeast"/>
        </w:trPr>
        <w:tc>
          <w:tcPr>
            <w:tcW w:w="5224" w:type="dxa"/>
            <w:tcBorders>
              <w:top w:val="nil"/>
              <w:left w:val="single" w:color="000000" w:sz="4" w:space="0"/>
              <w:bottom w:val="single" w:color="000000" w:sz="4" w:space="0"/>
              <w:right w:val="single" w:color="000000" w:sz="4" w:space="0"/>
            </w:tcBorders>
            <w:noWrap w:val="0"/>
            <w:vAlign w:val="center"/>
          </w:tcPr>
          <w:p w14:paraId="17F6C1F6">
            <w:pPr>
              <w:jc w:val="left"/>
              <w:rPr>
                <w:rFonts w:ascii="宋体" w:hAnsi="宋体" w:cs="宋体"/>
                <w:sz w:val="22"/>
              </w:rPr>
            </w:pPr>
            <w:r>
              <w:rPr>
                <w:rFonts w:hint="eastAsia" w:ascii="宋体" w:hAnsi="宋体" w:cs="宋体"/>
                <w:sz w:val="22"/>
              </w:rPr>
              <w:t>5、其他固定资产</w:t>
            </w:r>
          </w:p>
        </w:tc>
        <w:tc>
          <w:tcPr>
            <w:tcW w:w="3155" w:type="dxa"/>
            <w:tcBorders>
              <w:top w:val="nil"/>
              <w:left w:val="nil"/>
              <w:bottom w:val="single" w:color="000000" w:sz="4" w:space="0"/>
              <w:right w:val="single" w:color="000000" w:sz="4" w:space="0"/>
            </w:tcBorders>
            <w:noWrap w:val="0"/>
            <w:vAlign w:val="center"/>
          </w:tcPr>
          <w:p w14:paraId="25CDCD89">
            <w:pPr>
              <w:jc w:val="both"/>
              <w:rPr>
                <w:rFonts w:ascii="宋体" w:hAnsi="宋体" w:eastAsia="宋体" w:cs="宋体"/>
                <w:sz w:val="22"/>
                <w:lang w:val="en-US" w:eastAsia="zh-CN"/>
              </w:rPr>
            </w:pPr>
            <w:r>
              <w:rPr>
                <w:rFonts w:hint="eastAsia" w:ascii="宋体" w:hAnsi="宋体" w:eastAsia="宋体" w:cs="宋体"/>
                <w:sz w:val="22"/>
                <w:lang w:val="en-US" w:eastAsia="zh-CN"/>
              </w:rPr>
              <w:t xml:space="preserve">         522</w:t>
            </w:r>
          </w:p>
        </w:tc>
        <w:tc>
          <w:tcPr>
            <w:tcW w:w="5103" w:type="dxa"/>
            <w:tcBorders>
              <w:top w:val="nil"/>
              <w:left w:val="nil"/>
              <w:bottom w:val="single" w:color="000000" w:sz="4" w:space="0"/>
              <w:right w:val="single" w:color="000000" w:sz="4" w:space="0"/>
            </w:tcBorders>
            <w:noWrap w:val="0"/>
            <w:vAlign w:val="center"/>
          </w:tcPr>
          <w:p w14:paraId="357DEEE7">
            <w:pPr>
              <w:jc w:val="center"/>
              <w:rPr>
                <w:rFonts w:ascii="宋体" w:hAnsi="宋体" w:cs="宋体"/>
                <w:sz w:val="22"/>
                <w:lang w:val="en-US" w:eastAsia="zh-CN"/>
              </w:rPr>
            </w:pPr>
            <w:r>
              <w:rPr>
                <w:rFonts w:hint="eastAsia" w:ascii="宋体" w:hAnsi="宋体" w:cs="宋体"/>
                <w:sz w:val="22"/>
                <w:lang w:val="en-US" w:eastAsia="zh-CN"/>
              </w:rPr>
              <w:t>335.80</w:t>
            </w:r>
          </w:p>
        </w:tc>
      </w:tr>
    </w:tbl>
    <w:p w14:paraId="0E611BFB">
      <w:pPr>
        <w:jc w:val="left"/>
        <w:rPr>
          <w:rFonts w:ascii="仿宋_GB2312" w:eastAsia="仿宋_GB2312"/>
          <w:sz w:val="32"/>
          <w:szCs w:val="32"/>
        </w:rPr>
      </w:pPr>
      <w:r>
        <w:rPr>
          <w:rFonts w:hint="eastAsia" w:ascii="仿宋_GB2312" w:eastAsia="仿宋_GB2312"/>
          <w:sz w:val="32"/>
          <w:szCs w:val="32"/>
          <w:highlight w:val="yellow"/>
        </w:rPr>
        <w:t>如果无国有资产信息则注明：（无此项公开内容，空表列示。）</w:t>
      </w:r>
    </w:p>
    <w:p w14:paraId="16561FF4">
      <w:pPr>
        <w:jc w:val="left"/>
        <w:rPr>
          <w:rFonts w:hint="eastAsia" w:ascii="黑体" w:hAnsi="黑体" w:eastAsia="黑体"/>
          <w:color w:val="000000"/>
          <w:sz w:val="32"/>
        </w:rPr>
      </w:pPr>
      <w:r>
        <w:rPr>
          <w:rFonts w:hint="eastAsia" w:ascii="黑体" w:hAnsi="黑体" w:eastAsia="黑体"/>
          <w:color w:val="000000"/>
          <w:sz w:val="32"/>
        </w:rPr>
        <w:t xml:space="preserve">    </w:t>
      </w:r>
    </w:p>
    <w:p w14:paraId="57155C13">
      <w:pPr>
        <w:jc w:val="left"/>
        <w:rPr>
          <w:rFonts w:hint="eastAsia" w:ascii="黑体" w:hAnsi="黑体" w:eastAsia="黑体"/>
          <w:color w:val="000000"/>
          <w:sz w:val="32"/>
        </w:rPr>
      </w:pPr>
    </w:p>
    <w:p w14:paraId="04BF1C88">
      <w:pPr>
        <w:ind w:firstLine="640"/>
        <w:jc w:val="left"/>
        <w:rPr>
          <w:rFonts w:ascii="黑体" w:hAnsi="黑体" w:eastAsia="黑体"/>
          <w:color w:val="000000"/>
          <w:sz w:val="32"/>
        </w:rPr>
      </w:pPr>
      <w:r>
        <w:rPr>
          <w:rFonts w:hint="eastAsia" w:ascii="黑体" w:hAnsi="黑体" w:eastAsia="黑体"/>
          <w:color w:val="000000"/>
          <w:sz w:val="32"/>
        </w:rPr>
        <w:t>七</w:t>
      </w:r>
      <w:r>
        <w:rPr>
          <w:rFonts w:ascii="黑体" w:hAnsi="黑体" w:eastAsia="黑体"/>
          <w:color w:val="000000"/>
          <w:sz w:val="32"/>
        </w:rPr>
        <w:t>、名词解释</w:t>
      </w:r>
    </w:p>
    <w:p w14:paraId="4C2A1AD2">
      <w:pPr>
        <w:rPr>
          <w:rFonts w:hint="eastAsia" w:ascii="仿宋_GB2312" w:eastAsia="仿宋_GB2312"/>
          <w:sz w:val="32"/>
          <w:szCs w:val="32"/>
        </w:rPr>
      </w:pPr>
      <w:r>
        <w:rPr>
          <w:rFonts w:hint="eastAsia" w:ascii="Times New Roman" w:hAnsi="Times New Roman"/>
          <w:b/>
          <w:color w:val="000000"/>
          <w:sz w:val="32"/>
        </w:rPr>
        <w:t xml:space="preserve">   </w:t>
      </w:r>
      <w:r>
        <w:rPr>
          <w:rFonts w:hint="eastAsia" w:ascii="仿宋" w:hAnsi="仿宋" w:eastAsia="仿宋" w:cs="仿宋"/>
          <w:b/>
          <w:color w:val="000000"/>
          <w:sz w:val="32"/>
        </w:rPr>
        <w:t xml:space="preserve"> </w:t>
      </w:r>
      <w:r>
        <w:rPr>
          <w:rFonts w:hint="eastAsia" w:ascii="仿宋_GB2312" w:eastAsia="仿宋_GB2312"/>
          <w:sz w:val="32"/>
          <w:szCs w:val="32"/>
        </w:rPr>
        <w:t>1、一般共预算拨款收入：指县级财政当年拨付的资金。</w:t>
      </w:r>
    </w:p>
    <w:p w14:paraId="71590783">
      <w:pPr>
        <w:jc w:val="left"/>
        <w:rPr>
          <w:rFonts w:hint="eastAsia" w:ascii="仿宋_GB2312" w:eastAsia="仿宋_GB2312"/>
          <w:sz w:val="32"/>
          <w:szCs w:val="32"/>
        </w:rPr>
      </w:pPr>
      <w:r>
        <w:rPr>
          <w:rFonts w:hint="eastAsia" w:ascii="仿宋_GB2312" w:eastAsia="仿宋_GB2312"/>
          <w:sz w:val="32"/>
          <w:szCs w:val="32"/>
        </w:rPr>
        <w:t xml:space="preserve">    2、事业收入：指事业单位开展专业业务活动及辅助活动所取得的收入。</w:t>
      </w:r>
    </w:p>
    <w:p w14:paraId="6803896A">
      <w:pPr>
        <w:jc w:val="left"/>
        <w:rPr>
          <w:rFonts w:hint="eastAsia" w:ascii="仿宋_GB2312" w:eastAsia="仿宋_GB2312"/>
          <w:sz w:val="32"/>
          <w:szCs w:val="32"/>
        </w:rPr>
      </w:pPr>
      <w:r>
        <w:rPr>
          <w:rFonts w:hint="eastAsia" w:ascii="仿宋_GB2312" w:eastAsia="仿宋_GB2312"/>
          <w:sz w:val="32"/>
          <w:szCs w:val="32"/>
        </w:rPr>
        <w:t xml:space="preserve">    3、其他收入：指除上述“财政拨款收入”、“事业收入”等以外的收入。主要是按规定动用的租房收入、存款利息收入等。</w:t>
      </w:r>
    </w:p>
    <w:p w14:paraId="7711CB99">
      <w:pPr>
        <w:jc w:val="left"/>
        <w:rPr>
          <w:rFonts w:hint="eastAsia" w:ascii="仿宋_GB2312" w:eastAsia="仿宋_GB2312"/>
          <w:sz w:val="32"/>
          <w:szCs w:val="32"/>
        </w:rPr>
      </w:pPr>
      <w:r>
        <w:rPr>
          <w:rFonts w:hint="eastAsia" w:ascii="仿宋_GB2312" w:eastAsia="仿宋_GB2312"/>
          <w:sz w:val="32"/>
          <w:szCs w:val="32"/>
        </w:rPr>
        <w:t xml:space="preserve">    4、基本支出：指为保障机构正常运转、完成日常工作任务而发生的人员支出和公用支出。</w:t>
      </w:r>
    </w:p>
    <w:p w14:paraId="08088799">
      <w:pPr>
        <w:jc w:val="left"/>
        <w:rPr>
          <w:rFonts w:hint="eastAsia" w:ascii="仿宋_GB2312" w:eastAsia="仿宋_GB2312"/>
          <w:sz w:val="32"/>
          <w:szCs w:val="32"/>
        </w:rPr>
      </w:pPr>
      <w:r>
        <w:rPr>
          <w:rFonts w:hint="eastAsia" w:ascii="仿宋_GB2312" w:eastAsia="仿宋_GB2312"/>
          <w:sz w:val="32"/>
          <w:szCs w:val="32"/>
        </w:rPr>
        <w:t xml:space="preserve">    5、项目支出：指在基本支出之外为完成特定行政任务和事业发展目标所发生的支出。</w:t>
      </w:r>
    </w:p>
    <w:p w14:paraId="6A078039">
      <w:pPr>
        <w:jc w:val="left"/>
        <w:rPr>
          <w:rFonts w:hint="eastAsia" w:ascii="仿宋_GB2312" w:eastAsia="仿宋_GB2312"/>
          <w:sz w:val="32"/>
          <w:szCs w:val="32"/>
        </w:rPr>
      </w:pPr>
      <w:r>
        <w:rPr>
          <w:rFonts w:hint="eastAsia" w:ascii="仿宋_GB2312" w:eastAsia="仿宋_GB2312"/>
          <w:sz w:val="32"/>
          <w:szCs w:val="32"/>
        </w:rPr>
        <w:t xml:space="preserve">    6、“三公”经费：纳入县级财政预算管理的“三公”经费，是指县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E31B747">
      <w:pPr>
        <w:ind w:firstLine="642"/>
        <w:rPr>
          <w:rFonts w:hint="eastAsia" w:ascii="仿宋_GB2312" w:eastAsia="仿宋_GB2312"/>
          <w:sz w:val="32"/>
          <w:szCs w:val="32"/>
        </w:rPr>
      </w:pPr>
      <w:r>
        <w:rPr>
          <w:rFonts w:hint="eastAsia" w:ascii="仿宋_GB2312" w:eastAsia="仿宋_GB2312"/>
          <w:sz w:val="32"/>
          <w:szCs w:val="32"/>
        </w:rPr>
        <w:t>7、机关运行费：是指各部门的公用经费，包括办公及印刷费、邮电费、差旅费、会议费、福利费、日常维修费、专用材料及一般设备购置费、办公用房水电费、办公用房取暖费、办公用房物业管理费、公务用车运行维护费以及其他费用。</w:t>
      </w:r>
    </w:p>
    <w:p w14:paraId="48C15151">
      <w:pPr>
        <w:jc w:val="left"/>
        <w:rPr>
          <w:rFonts w:ascii="黑体" w:hAnsi="黑体" w:eastAsia="黑体"/>
          <w:color w:val="000000"/>
          <w:sz w:val="32"/>
        </w:rPr>
      </w:pPr>
      <w:r>
        <w:rPr>
          <w:rFonts w:hint="eastAsia" w:ascii="黑体" w:hAnsi="黑体" w:eastAsia="黑体"/>
          <w:color w:val="000000"/>
          <w:sz w:val="32"/>
        </w:rPr>
        <w:t xml:space="preserve">    八</w:t>
      </w:r>
      <w:r>
        <w:rPr>
          <w:rFonts w:ascii="黑体" w:hAnsi="黑体" w:eastAsia="黑体"/>
          <w:color w:val="000000"/>
          <w:sz w:val="32"/>
        </w:rPr>
        <w:t>、</w:t>
      </w:r>
      <w:r>
        <w:rPr>
          <w:rFonts w:hint="eastAsia" w:ascii="黑体" w:hAnsi="黑体" w:eastAsia="黑体"/>
          <w:color w:val="000000"/>
          <w:sz w:val="32"/>
        </w:rPr>
        <w:t>其他需要说明的事项</w:t>
      </w:r>
    </w:p>
    <w:p w14:paraId="23CBCE14">
      <w:pPr>
        <w:ind w:firstLine="642"/>
        <w:rPr>
          <w:rFonts w:hint="eastAsia" w:ascii="仿宋_GB2312" w:eastAsia="仿宋_GB2312"/>
          <w:sz w:val="32"/>
          <w:szCs w:val="32"/>
        </w:rPr>
      </w:pPr>
      <w:r>
        <w:rPr>
          <w:rFonts w:hint="eastAsia" w:ascii="仿宋_GB2312" w:eastAsia="仿宋_GB2312"/>
          <w:sz w:val="32"/>
          <w:szCs w:val="32"/>
        </w:rPr>
        <w:t>无其他需要说明的事项。</w:t>
      </w:r>
    </w:p>
    <w:sectPr>
      <w:pgSz w:w="16838" w:h="12406"/>
      <w:pgMar w:top="1440" w:right="1800" w:bottom="1440" w:left="1800" w:header="720" w:footer="720" w:gutter="0"/>
      <w:lnNumType w:countBy="0" w:start="1"/>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F09C7">
    <w:pPr>
      <w:pStyle w:val="184"/>
      <w:framePr w:wrap="around" w:vAnchor="text" w:hAnchor="margin" w:xAlign="outside" w:y="1"/>
      <w:rPr>
        <w:rStyle w:val="188"/>
      </w:rPr>
    </w:pPr>
    <w:r>
      <w:fldChar w:fldCharType="begin"/>
    </w:r>
    <w:r>
      <w:rPr>
        <w:rStyle w:val="188"/>
      </w:rPr>
      <w:instrText xml:space="preserve">PAGE  </w:instrText>
    </w:r>
    <w:r>
      <w:fldChar w:fldCharType="separate"/>
    </w:r>
    <w:r>
      <w:rPr>
        <w:rStyle w:val="188"/>
      </w:rPr>
      <w:t>28</w:t>
    </w:r>
    <w:r>
      <w:fldChar w:fldCharType="end"/>
    </w:r>
  </w:p>
  <w:p w14:paraId="12C19A69">
    <w:pPr>
      <w:pStyle w:val="18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doNotExpandShiftReturn/>
    <w:useFELayout/>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7661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8"/>
    <w:qFormat/>
    <w:uiPriority w:val="0"/>
    <w:pPr>
      <w:jc w:val="both"/>
    </w:pPr>
    <w:rPr>
      <w:rFonts w:hint="default" w:ascii="Calibri" w:hAnsi="Calibri" w:eastAsia="宋体" w:cs="Times New Roman"/>
      <w:sz w:val="21"/>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uiPriority w:val="99"/>
    <w:pPr>
      <w:spacing w:after="0" w:line="240" w:lineRule="auto"/>
    </w:pPr>
    <w:rPr>
      <w:sz w:val="20"/>
    </w:rPr>
  </w:style>
  <w:style w:type="paragraph" w:styleId="17">
    <w:name w:val="footer"/>
    <w:basedOn w:val="1"/>
    <w:link w:val="53"/>
    <w:unhideWhenUsed/>
    <w:uiPriority w:val="99"/>
    <w:pPr>
      <w:tabs>
        <w:tab w:val="center" w:pos="7143"/>
        <w:tab w:val="right" w:pos="14287"/>
      </w:tabs>
      <w:spacing w:after="0" w:line="240" w:lineRule="auto"/>
    </w:pPr>
  </w:style>
  <w:style w:type="paragraph" w:styleId="18">
    <w:name w:val="header"/>
    <w:basedOn w:val="1"/>
    <w:link w:val="51"/>
    <w:unhideWhenUsed/>
    <w:uiPriority w:val="99"/>
    <w:pPr>
      <w:tabs>
        <w:tab w:val="center" w:pos="7143"/>
        <w:tab w:val="right" w:pos="14287"/>
      </w:tabs>
      <w:spacing w:after="0" w:line="240" w:lineRule="auto"/>
    </w:p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1">
    <w:name w:val="endnote reference"/>
    <w:semiHidden/>
    <w:unhideWhenUsed/>
    <w:uiPriority w:val="99"/>
    <w:rPr>
      <w:vertAlign w:val="superscript"/>
    </w:rPr>
  </w:style>
  <w:style w:type="character" w:styleId="32">
    <w:name w:val="Hyperlink"/>
    <w:unhideWhenUsed/>
    <w:uiPriority w:val="99"/>
    <w:rPr>
      <w:color w:val="0000FF" w:themeColor="hyperlink"/>
      <w:u w:val="single"/>
    </w:rPr>
  </w:style>
  <w:style w:type="character" w:styleId="33">
    <w:name w:val="footnote reference"/>
    <w:unhideWhenUsed/>
    <w:uiPriority w:val="99"/>
    <w:rPr>
      <w:vertAlign w:val="superscript"/>
    </w:rPr>
  </w:style>
  <w:style w:type="character" w:customStyle="1" w:styleId="34">
    <w:name w:val="Heading 1 Char"/>
    <w:link w:val="2"/>
    <w:uiPriority w:val="9"/>
    <w:rPr>
      <w:rFonts w:ascii="等线" w:hAnsi="等线" w:eastAsia="等线" w:cs="等线"/>
      <w:sz w:val="40"/>
      <w:szCs w:val="40"/>
    </w:rPr>
  </w:style>
  <w:style w:type="character" w:customStyle="1" w:styleId="35">
    <w:name w:val="Heading 2 Char"/>
    <w:link w:val="3"/>
    <w:uiPriority w:val="9"/>
    <w:rPr>
      <w:rFonts w:ascii="等线" w:hAnsi="等线" w:eastAsia="等线" w:cs="等线"/>
      <w:sz w:val="34"/>
    </w:rPr>
  </w:style>
  <w:style w:type="character" w:customStyle="1" w:styleId="36">
    <w:name w:val="Heading 3 Char"/>
    <w:link w:val="4"/>
    <w:uiPriority w:val="9"/>
    <w:rPr>
      <w:rFonts w:ascii="等线" w:hAnsi="等线" w:eastAsia="等线" w:cs="等线"/>
      <w:sz w:val="30"/>
      <w:szCs w:val="30"/>
    </w:rPr>
  </w:style>
  <w:style w:type="character" w:customStyle="1" w:styleId="37">
    <w:name w:val="Heading 4 Char"/>
    <w:link w:val="5"/>
    <w:uiPriority w:val="9"/>
    <w:rPr>
      <w:rFonts w:ascii="等线" w:hAnsi="等线" w:eastAsia="等线" w:cs="等线"/>
      <w:b/>
      <w:bCs/>
      <w:sz w:val="26"/>
      <w:szCs w:val="26"/>
    </w:rPr>
  </w:style>
  <w:style w:type="character" w:customStyle="1" w:styleId="38">
    <w:name w:val="Heading 5 Char"/>
    <w:link w:val="6"/>
    <w:uiPriority w:val="9"/>
    <w:rPr>
      <w:rFonts w:ascii="等线" w:hAnsi="等线" w:eastAsia="等线" w:cs="等线"/>
      <w:b/>
      <w:bCs/>
      <w:sz w:val="24"/>
      <w:szCs w:val="24"/>
    </w:rPr>
  </w:style>
  <w:style w:type="character" w:customStyle="1" w:styleId="39">
    <w:name w:val="Heading 6 Char"/>
    <w:link w:val="7"/>
    <w:uiPriority w:val="9"/>
    <w:rPr>
      <w:rFonts w:ascii="等线" w:hAnsi="等线" w:eastAsia="等线" w:cs="等线"/>
      <w:b/>
      <w:bCs/>
      <w:sz w:val="22"/>
      <w:szCs w:val="22"/>
    </w:rPr>
  </w:style>
  <w:style w:type="character" w:customStyle="1" w:styleId="40">
    <w:name w:val="Heading 7 Char"/>
    <w:link w:val="8"/>
    <w:uiPriority w:val="9"/>
    <w:rPr>
      <w:rFonts w:ascii="等线" w:hAnsi="等线" w:eastAsia="等线" w:cs="等线"/>
      <w:b/>
      <w:bCs/>
      <w:i/>
      <w:iCs/>
      <w:sz w:val="22"/>
      <w:szCs w:val="22"/>
    </w:rPr>
  </w:style>
  <w:style w:type="character" w:customStyle="1" w:styleId="41">
    <w:name w:val="Heading 8 Char"/>
    <w:link w:val="9"/>
    <w:uiPriority w:val="9"/>
    <w:rPr>
      <w:rFonts w:ascii="等线" w:hAnsi="等线" w:eastAsia="等线" w:cs="等线"/>
      <w:i/>
      <w:iCs/>
      <w:sz w:val="22"/>
      <w:szCs w:val="22"/>
    </w:rPr>
  </w:style>
  <w:style w:type="character" w:customStyle="1" w:styleId="42">
    <w:name w:val="Heading 9 Char"/>
    <w:link w:val="10"/>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Calibri" w:hAnsi="Calibri" w:eastAsia="宋体" w:cs="Times New Roman"/>
    </w:rPr>
  </w:style>
  <w:style w:type="character" w:customStyle="1" w:styleId="45">
    <w:name w:val="Title Char"/>
    <w:link w:val="27"/>
    <w:uiPriority w:val="10"/>
    <w:rPr>
      <w:sz w:val="48"/>
      <w:szCs w:val="48"/>
    </w:rPr>
  </w:style>
  <w:style w:type="character" w:customStyle="1" w:styleId="46">
    <w:name w:val="Subtitle Char"/>
    <w:link w:val="21"/>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link w:val="18"/>
    <w:uiPriority w:val="99"/>
  </w:style>
  <w:style w:type="character" w:customStyle="1" w:styleId="52">
    <w:name w:val="Footer Char"/>
    <w:link w:val="17"/>
    <w:uiPriority w:val="99"/>
  </w:style>
  <w:style w:type="character" w:customStyle="1" w:styleId="53">
    <w:name w:val="Caption Char"/>
    <w:link w:val="17"/>
    <w:uiPriority w:val="99"/>
  </w:style>
  <w:style w:type="table" w:customStyle="1" w:styleId="54">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5">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3"/>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4"/>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5"/>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blPr/>
      <w:tcPr>
        <w:tcBorders>
          <w:bottom w:val="single" w:color="7E7E7E" w:themeColor="text1" w:themeTint="80" w:sz="12" w:space="0"/>
        </w:tcBorders>
      </w:tcPr>
    </w:tblStylePr>
    <w:tblStylePr w:type="lastRow">
      <w:rPr>
        <w:b/>
        <w:color w:val="7E7E7E" w:themeColor="text1" w:themeShade="95" w:themeTint="80"/>
      </w:rPr>
      <w:tblPr/>
    </w:tblStylePr>
    <w:tblStylePr w:type="firstCol">
      <w:rPr>
        <w:b/>
        <w:color w:val="7E7E7E" w:themeColor="text1" w:themeShade="95" w:themeTint="80"/>
      </w:rPr>
      <w:tblPr/>
    </w:tblStylePr>
    <w:tblStylePr w:type="lastCol">
      <w:rPr>
        <w:b/>
        <w:color w:val="7E7E7E" w:themeColor="text1" w:themeShade="95" w:themeTint="80"/>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7E7E7E" w:themeColor="text1" w:themeShade="95" w:themeTint="80"/>
        <w:sz w:val="22"/>
      </w:rPr>
      <w:tblPr/>
      <w:tcPr>
        <w:shd w:val="clear" w:color="CACACA" w:themeColor="text1" w:themeTint="34" w:fill="CACACA" w:themeFill="text1" w:themeFillTint="34"/>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6">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blPr/>
      <w:tcPr>
        <w:tcBorders>
          <w:bottom w:val="single" w:color="A6BFDD" w:themeColor="accent1" w:themeTint="80" w:sz="12" w:space="0"/>
        </w:tcBorders>
      </w:tcPr>
    </w:tblStylePr>
    <w:tblStylePr w:type="lastRow">
      <w:rPr>
        <w:b/>
        <w:color w:val="A6BFDD" w:themeColor="accent1" w:themeShade="95" w:themeTint="80"/>
      </w:rPr>
      <w:tblPr/>
    </w:tblStylePr>
    <w:tblStylePr w:type="firstCol">
      <w:rPr>
        <w:b/>
        <w:color w:val="A6BFDD" w:themeColor="accent1" w:themeShade="95" w:themeTint="80"/>
      </w:rPr>
      <w:tblPr/>
    </w:tblStylePr>
    <w:tblStylePr w:type="lastCol">
      <w:rPr>
        <w:b/>
        <w:color w:val="A6BFDD" w:themeColor="accent1" w:themeShade="95" w:themeTint="80"/>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12" w:space="0"/>
        </w:tcBorders>
      </w:tcPr>
    </w:tblStylePr>
    <w:tblStylePr w:type="lastRow">
      <w:rPr>
        <w:b/>
        <w:color w:val="D99795" w:themeColor="accent2" w:themeShade="95" w:themeTint="97"/>
      </w:rPr>
      <w:tbl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blPr/>
      <w:tcPr>
        <w:tcBorders>
          <w:bottom w:val="single" w:color="9BBB59" w:themeColor="accent3" w:themeTint="FE" w:sz="12" w:space="0"/>
        </w:tcBorders>
      </w:tcPr>
    </w:tblStylePr>
    <w:tblStylePr w:type="lastRow">
      <w:rPr>
        <w:b/>
        <w:color w:val="9BBB59" w:themeColor="accent3" w:themeShade="95" w:themeTint="FE"/>
      </w:rPr>
      <w:tblPr/>
    </w:tblStylePr>
    <w:tblStylePr w:type="firstCol">
      <w:rPr>
        <w:b/>
        <w:color w:val="9BBB59" w:themeColor="accent3" w:themeShade="95" w:themeTint="FE"/>
      </w:rPr>
      <w:tblPr/>
    </w:tblStylePr>
    <w:tblStylePr w:type="lastCol">
      <w:rPr>
        <w:b/>
        <w:color w:val="9BBB59" w:themeColor="accent3" w:themeShade="95" w:themeTint="FE"/>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12" w:space="0"/>
        </w:tcBorders>
      </w:tcPr>
    </w:tblStylePr>
    <w:tblStylePr w:type="lastRow">
      <w:rPr>
        <w:b/>
        <w:color w:val="B2A1C6" w:themeColor="accent4" w:themeShade="95" w:themeTint="9A"/>
      </w:rPr>
      <w:tbl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9" w:themeColor="accent5" w:themeShade="95"/>
        <w:sz w:val="22"/>
      </w:rPr>
      <w:tblPr/>
      <w:tcPr>
        <w:shd w:val="clear" w:color="FDE9D9" w:themeColor="accent6" w:themeTint="34" w:fill="FDE9D9" w:themeFill="accent6"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7E7E7E" w:themeColor="text1" w:themeShade="95" w:themeTint="80"/>
        <w:sz w:val="22"/>
      </w:rPr>
      <w:tblPr/>
      <w:tcPr>
        <w:shd w:val="clear" w:color="F1F1F1" w:themeColor="text1" w:themeTint="0D" w:fill="F1F1F1" w:themeFill="text1" w:themeFillTint="0D"/>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15407" w:themeColor="accent6" w:themeShade="95"/>
        <w:sz w:val="22"/>
      </w:rPr>
      <w:tblPr/>
      <w:tcPr>
        <w:shd w:val="clear" w:color="FDE9D9" w:themeColor="accent6" w:themeTint="34" w:fill="FDE9D9" w:themeFill="accent6" w:themeFillTint="34"/>
      </w:tcPr>
    </w:tblStylePr>
    <w:tblStylePr w:type="band2Horz">
      <w:rPr>
        <w:rFonts w:ascii="Arial" w:hAnsi="Arial"/>
        <w:color w:val="B15407" w:themeColor="accent6" w:themeShade="95"/>
        <w:sz w:val="22"/>
      </w:rPr>
      <w:tblPr/>
    </w:tblStylePr>
    <w:tblStylePr w:type="neCell">
      <w:tblPr/>
    </w:tblStylePr>
    <w:tblStylePr w:type="nwCell">
      <w:tblPr/>
    </w:tblStylePr>
    <w:tblStylePr w:type="seCell">
      <w:tblPr/>
    </w:tblStylePr>
    <w:tblStylePr w:type="swCell">
      <w:tblPr/>
    </w:tblStylePr>
  </w:style>
  <w:style w:type="table" w:customStyle="1" w:styleId="109">
    <w:name w:val="List Table 1 Ligh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0">
    <w:name w:val="List Table 1 Light - Accent 1"/>
    <w:qFormat/>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2"/>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3"/>
    <w:qFormat/>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4"/>
    <w:qFormat/>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5"/>
    <w:qFormat/>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6"/>
    <w:qFormat/>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8">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39">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0">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1">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2">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4">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blPr/>
      <w:tcPr>
        <w:tcBorders>
          <w:bottom w:val="single" w:color="7E7E7E" w:themeColor="text1" w:themeTint="80" w:sz="4" w:space="0"/>
        </w:tcBorders>
      </w:tcPr>
    </w:tblStylePr>
    <w:tblStylePr w:type="lastRow">
      <w:rPr>
        <w:b/>
        <w:color w:val="000000" w:themeColor="text1"/>
      </w:rPr>
      <w:tblPr/>
      <w:tcPr>
        <w:tcBorders>
          <w:top w:val="single" w:color="7E7E7E" w:themeColor="text1" w:themeTint="80"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rPr>
      <w:tblPr/>
      <w:tcPr>
        <w:shd w:val="clear" w:color="BEBEBE" w:themeColor="text1" w:themeTint="40" w:fill="BEBEBE" w:themeFill="text1" w:themeFillTint="40"/>
      </w:tcPr>
    </w:tblStylePr>
    <w:tblStylePr w:type="band2Horz">
      <w:rPr>
        <w:rFonts w:ascii="Arial" w:hAnsi="Arial"/>
        <w:color w:val="000000" w:themeColor="text1"/>
        <w:sz w:val="22"/>
      </w:rPr>
      <w:tblPr/>
    </w:tblStylePr>
    <w:tblStylePr w:type="neCell">
      <w:tblPr/>
    </w:tblStylePr>
    <w:tblStylePr w:type="nwCell">
      <w:tblPr/>
    </w:tblStylePr>
    <w:tblStylePr w:type="seCell">
      <w:tblPr/>
    </w:tblStylePr>
    <w:tblStylePr w:type="swCell">
      <w:tblPr/>
    </w:tblStylePr>
  </w:style>
  <w:style w:type="table" w:customStyle="1" w:styleId="145">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blPr/>
      <w:tcPr>
        <w:tcBorders>
          <w:bottom w:val="single" w:color="4F81BD" w:themeColor="accent1" w:sz="4" w:space="0"/>
        </w:tcBorders>
      </w:tcPr>
    </w:tblStylePr>
    <w:tblStylePr w:type="lastRow">
      <w:rPr>
        <w:b/>
        <w:color w:val="2A4B71" w:themeColor="accent1" w:themeShade="95"/>
      </w:rPr>
      <w:tblPr/>
      <w:tcPr>
        <w:tcBorders>
          <w:top w:val="single" w:color="4F81BD" w:themeColor="accent1" w:sz="4" w:space="0"/>
        </w:tcBorders>
      </w:tcPr>
    </w:tblStylePr>
    <w:tblStylePr w:type="firstCol">
      <w:rPr>
        <w:b/>
        <w:color w:val="2A4B71" w:themeColor="accent1" w:themeShade="95"/>
      </w:rPr>
      <w:tblPr/>
    </w:tblStylePr>
    <w:tblStylePr w:type="lastCol">
      <w:rPr>
        <w:b/>
        <w:color w:val="2A4B71" w:themeColor="accent1" w:themeShade="95"/>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4" w:space="0"/>
        </w:tcBorders>
      </w:tcPr>
    </w:tblStylePr>
    <w:tblStylePr w:type="lastRow">
      <w:rPr>
        <w:b/>
        <w:color w:val="D99795" w:themeColor="accent2" w:themeShade="95" w:themeTint="97"/>
      </w:rPr>
      <w:tblPr/>
      <w:tcPr>
        <w:tcBorders>
          <w:top w:val="single" w:color="D99795" w:themeColor="accent2" w:themeTint="97" w:sz="4" w:space="0"/>
        </w:tcBorders>
      </w:tc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blPr/>
      <w:tcPr>
        <w:tcBorders>
          <w:bottom w:val="single" w:color="C3D69C" w:themeColor="accent3" w:themeTint="98" w:sz="4" w:space="0"/>
        </w:tcBorders>
      </w:tcPr>
    </w:tblStylePr>
    <w:tblStylePr w:type="lastRow">
      <w:rPr>
        <w:b/>
        <w:color w:val="C3D69C" w:themeColor="accent3" w:themeShade="95" w:themeTint="98"/>
      </w:rPr>
      <w:tblPr/>
      <w:tcPr>
        <w:tcBorders>
          <w:top w:val="single" w:color="C3D69C" w:themeColor="accent3" w:themeTint="98" w:sz="4" w:space="0"/>
        </w:tcBorders>
      </w:tcPr>
    </w:tblStylePr>
    <w:tblStylePr w:type="firstCol">
      <w:rPr>
        <w:b/>
        <w:color w:val="C3D69C" w:themeColor="accent3" w:themeShade="95" w:themeTint="98"/>
      </w:rPr>
      <w:tblPr/>
    </w:tblStylePr>
    <w:tblStylePr w:type="lastCol">
      <w:rPr>
        <w:b/>
        <w:color w:val="C3D69C" w:themeColor="accent3" w:themeShade="95" w:themeTint="98"/>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4" w:space="0"/>
        </w:tcBorders>
      </w:tcPr>
    </w:tblStylePr>
    <w:tblStylePr w:type="lastRow">
      <w:rPr>
        <w:b/>
        <w:color w:val="B2A1C6" w:themeColor="accent4" w:themeShade="95" w:themeTint="9A"/>
      </w:rPr>
      <w:tblPr/>
      <w:tcPr>
        <w:tcBorders>
          <w:top w:val="single" w:color="B2A1C6" w:themeColor="accent4" w:themeTint="9A" w:sz="4" w:space="0"/>
        </w:tcBorders>
      </w:tc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blPr/>
      <w:tcPr>
        <w:tcBorders>
          <w:bottom w:val="single" w:color="92CCDC" w:themeColor="accent5" w:themeTint="9A" w:sz="4" w:space="0"/>
        </w:tcBorders>
      </w:tcPr>
    </w:tblStylePr>
    <w:tblStylePr w:type="lastRow">
      <w:rPr>
        <w:b/>
        <w:color w:val="92CCDC" w:themeColor="accent5" w:themeShade="95" w:themeTint="9A"/>
      </w:rPr>
      <w:tblPr/>
      <w:tcPr>
        <w:tcBorders>
          <w:top w:val="single" w:color="92CCDC" w:themeColor="accent5" w:themeTint="9A" w:sz="4" w:space="0"/>
        </w:tcBorders>
      </w:tcPr>
    </w:tblStylePr>
    <w:tblStylePr w:type="firstCol">
      <w:rPr>
        <w:b/>
        <w:color w:val="92CCDC" w:themeColor="accent5" w:themeShade="95" w:themeTint="9A"/>
      </w:rPr>
      <w:tblPr/>
    </w:tblStylePr>
    <w:tblStylePr w:type="lastCol">
      <w:rPr>
        <w:b/>
        <w:color w:val="92CCDC" w:themeColor="accent5" w:themeShade="95" w:themeTint="9A"/>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blPr/>
      <w:tcPr>
        <w:tcBorders>
          <w:bottom w:val="single" w:color="FAC090" w:themeColor="accent6" w:themeTint="98" w:sz="4" w:space="0"/>
        </w:tcBorders>
      </w:tcPr>
    </w:tblStylePr>
    <w:tblStylePr w:type="lastRow">
      <w:rPr>
        <w:b/>
        <w:color w:val="FAC090" w:themeColor="accent6" w:themeShade="95" w:themeTint="98"/>
      </w:rPr>
      <w:tblPr/>
      <w:tcPr>
        <w:tcBorders>
          <w:top w:val="single" w:color="FAC090" w:themeColor="accent6" w:themeTint="98" w:sz="4" w:space="0"/>
        </w:tcBorders>
      </w:tcPr>
    </w:tblStylePr>
    <w:tblStylePr w:type="firstCol">
      <w:rPr>
        <w:b/>
        <w:color w:val="FAC090" w:themeColor="accent6" w:themeShade="95" w:themeTint="98"/>
      </w:rPr>
      <w:tblPr/>
    </w:tblStylePr>
    <w:tblStylePr w:type="lastCol">
      <w:rPr>
        <w:b/>
        <w:color w:val="FAC090" w:themeColor="accent6" w:themeShade="95" w:themeTint="98"/>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1">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7E7E7E" w:themeColor="text1" w:themeShade="95" w:themeTint="80"/>
        <w:sz w:val="22"/>
      </w:rPr>
      <w:tblPr/>
      <w:tcPr>
        <w:shd w:val="clear" w:color="BEBEBE" w:themeColor="text1" w:themeTint="40" w:fill="BEBEBE" w:themeFill="text1" w:themeFillTint="40"/>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8">
    <w:name w:val="Lined - Accen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59">
    <w:name w:val="Lined - Accent 1"/>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0">
    <w:name w:val="Lined - Accent 2"/>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1">
    <w:name w:val="Lined - Accent 3"/>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2">
    <w:name w:val="Lined - Accent 4"/>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5"/>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6"/>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5">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6">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7">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8">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9">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2">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3">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Calibri" w:hAnsi="Calibri" w:eastAsia="宋体" w:cs="Times New Roman"/>
    </w:rPr>
  </w:style>
  <w:style w:type="character" w:customStyle="1" w:styleId="182">
    <w:name w:val="默认段落字体1"/>
    <w:link w:val="1"/>
    <w:uiPriority w:val="0"/>
  </w:style>
  <w:style w:type="table" w:customStyle="1" w:styleId="183">
    <w:name w:val="普通表格1"/>
    <w:semiHidden/>
    <w:uiPriority w:val="0"/>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184">
    <w:name w:val="页脚1"/>
    <w:basedOn w:val="1"/>
    <w:link w:val="185"/>
    <w:uiPriority w:val="0"/>
    <w:pPr>
      <w:tabs>
        <w:tab w:val="center" w:pos="4153"/>
        <w:tab w:val="right" w:pos="8306"/>
      </w:tabs>
      <w:jc w:val="left"/>
    </w:pPr>
    <w:rPr>
      <w:sz w:val="18"/>
      <w:szCs w:val="18"/>
    </w:rPr>
  </w:style>
  <w:style w:type="character" w:customStyle="1" w:styleId="185">
    <w:name w:val="页脚 Char"/>
    <w:basedOn w:val="182"/>
    <w:link w:val="184"/>
    <w:uiPriority w:val="0"/>
    <w:rPr>
      <w:sz w:val="18"/>
      <w:szCs w:val="18"/>
    </w:rPr>
  </w:style>
  <w:style w:type="paragraph" w:customStyle="1" w:styleId="186">
    <w:name w:val="页眉1"/>
    <w:basedOn w:val="1"/>
    <w:link w:val="187"/>
    <w:uiPriority w:val="0"/>
    <w:pPr>
      <w:pBdr>
        <w:bottom w:val="single" w:color="000000" w:sz="6" w:space="1"/>
      </w:pBdr>
      <w:tabs>
        <w:tab w:val="center" w:pos="4153"/>
        <w:tab w:val="right" w:pos="8306"/>
      </w:tabs>
      <w:jc w:val="center"/>
    </w:pPr>
    <w:rPr>
      <w:sz w:val="18"/>
      <w:szCs w:val="18"/>
    </w:rPr>
  </w:style>
  <w:style w:type="character" w:customStyle="1" w:styleId="187">
    <w:name w:val="页眉 Char"/>
    <w:basedOn w:val="182"/>
    <w:link w:val="186"/>
    <w:uiPriority w:val="0"/>
    <w:rPr>
      <w:sz w:val="18"/>
      <w:szCs w:val="18"/>
    </w:rPr>
  </w:style>
  <w:style w:type="character" w:customStyle="1" w:styleId="188">
    <w:name w:val="页码1"/>
    <w:basedOn w:val="182"/>
    <w:link w:val="1"/>
    <w:uiPriority w:val="0"/>
  </w:style>
  <w:style w:type="paragraph" w:customStyle="1" w:styleId="189">
    <w:name w:val="Default"/>
    <w:uiPriority w:val="0"/>
    <w:pPr>
      <w:widowControl w:val="0"/>
    </w:pPr>
    <w:rPr>
      <w:rFonts w:hint="default" w:ascii="方正小标宋_GBK" w:hAnsi="方正小标宋_GBK" w:eastAsia="方正小标宋_GBK" w:cs="Times New Roman"/>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Template>
  <Pages>7</Pages>
  <TotalTime>0</TotalTime>
  <ScaleCrop>false</ScaleCrop>
  <LinksUpToDate>false</LinksUpToDate>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2017-03-11T08:36:00Z</dcterms:created>
  <dc:creator>Adminis</dc:creator>
  <cp:lastModifiedBy>Administrator</cp:lastModifiedBy>
  <dcterms:modified xsi:type="dcterms:W3CDTF">2026-03-17T01:41:20Z</dcterms:modified>
  <dc:title>注意</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9FAEE5DC67FE47E0954F3E6EC5E3478C_12</vt:lpwstr>
  </property>
</Properties>
</file>