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黑体"/>
          <w:b/>
          <w:color w:val="000000"/>
          <w:sz w:val="44"/>
        </w:rPr>
      </w:pPr>
      <w:r>
        <w:rPr>
          <w:rFonts w:hint="eastAsia" w:ascii="宋体" w:hAnsi="宋体" w:cs="黑体"/>
          <w:b/>
          <w:color w:val="000000"/>
          <w:sz w:val="44"/>
        </w:rPr>
        <w:t>山海关区组织部门2022年部门预算公开说明</w:t>
      </w:r>
    </w:p>
    <w:p>
      <w:pPr>
        <w:jc w:val="center"/>
        <w:rPr>
          <w:rFonts w:hint="eastAsia" w:ascii="黑体" w:hAnsi="黑体" w:eastAsia="黑体" w:cs="黑体"/>
          <w:color w:val="000000"/>
          <w:sz w:val="44"/>
        </w:rPr>
      </w:pPr>
    </w:p>
    <w:p>
      <w:pPr>
        <w:jc w:val="left"/>
        <w:rPr>
          <w:rFonts w:hint="eastAsia" w:ascii="仿宋_GB2312" w:eastAsia="仿宋_GB2312"/>
          <w:sz w:val="32"/>
          <w:szCs w:val="32"/>
        </w:rPr>
      </w:pPr>
      <w:r>
        <w:rPr>
          <w:rFonts w:hint="eastAsia" w:ascii="仿宋" w:hAnsi="仿宋" w:eastAsia="仿宋" w:cs="仿宋"/>
          <w:color w:val="000000"/>
          <w:sz w:val="32"/>
        </w:rPr>
        <w:t xml:space="preserve">    </w:t>
      </w:r>
      <w:r>
        <w:rPr>
          <w:rFonts w:hint="eastAsia" w:ascii="仿宋_GB2312" w:eastAsia="仿宋_GB2312"/>
          <w:sz w:val="32"/>
          <w:szCs w:val="32"/>
        </w:rPr>
        <w:t>按照《预算法》、《地方预决算公开操作规程》和《河北省省级预算公开办法》规定，现将山海关区组织部门2022年部门预算公开如下：</w:t>
      </w:r>
    </w:p>
    <w:p>
      <w:pPr>
        <w:jc w:val="left"/>
        <w:rPr>
          <w:rFonts w:hint="eastAsia" w:ascii="黑体" w:hAnsi="黑体" w:eastAsia="黑体" w:cs="黑体"/>
          <w:color w:val="000000"/>
          <w:sz w:val="32"/>
        </w:rPr>
      </w:pPr>
      <w:r>
        <w:rPr>
          <w:rFonts w:hint="eastAsia" w:ascii="仿宋" w:hAnsi="仿宋" w:eastAsia="仿宋" w:cs="仿宋"/>
          <w:color w:val="000000"/>
          <w:sz w:val="32"/>
        </w:rPr>
        <w:t xml:space="preserve">   </w:t>
      </w:r>
      <w:r>
        <w:rPr>
          <w:rFonts w:hint="eastAsia" w:ascii="黑体" w:hAnsi="黑体" w:eastAsia="黑体" w:cs="黑体"/>
          <w:color w:val="000000"/>
          <w:sz w:val="32"/>
        </w:rPr>
        <w:t xml:space="preserve"> 一、部门职责及机构设置情况</w:t>
      </w:r>
    </w:p>
    <w:p>
      <w:pPr>
        <w:ind w:firstLine="640"/>
        <w:jc w:val="left"/>
        <w:rPr>
          <w:rFonts w:hint="eastAsia" w:ascii="KaiTi_GB2312" w:hAnsi="楷体" w:eastAsia="KaiTi_GB2312" w:cs="楷体"/>
          <w:b/>
          <w:color w:val="000000"/>
          <w:sz w:val="32"/>
        </w:rPr>
      </w:pPr>
      <w:r>
        <w:rPr>
          <w:rFonts w:hint="eastAsia" w:ascii="KaiTi_GB2312" w:hAnsi="楷体" w:eastAsia="KaiTi_GB2312" w:cs="楷体"/>
          <w:b/>
          <w:color w:val="000000"/>
          <w:sz w:val="32"/>
        </w:rPr>
        <w:t xml:space="preserve">部门职责： </w:t>
      </w:r>
    </w:p>
    <w:p>
      <w:pPr>
        <w:spacing w:line="500" w:lineRule="exact"/>
        <w:ind w:firstLine="560"/>
        <w:rPr>
          <w:rFonts w:ascii="仿宋_GB2312" w:eastAsia="仿宋_GB2312"/>
          <w:sz w:val="32"/>
          <w:szCs w:val="32"/>
        </w:rPr>
      </w:pPr>
      <w:r>
        <w:rPr>
          <w:rFonts w:hint="eastAsia" w:ascii="仿宋" w:hAnsi="仿宋" w:eastAsia="仿宋" w:cs="仿宋"/>
          <w:color w:val="000000"/>
          <w:sz w:val="32"/>
        </w:rPr>
        <w:t xml:space="preserve"> </w:t>
      </w:r>
      <w:r>
        <w:rPr>
          <w:rFonts w:ascii="仿宋_GB2312" w:eastAsia="仿宋_GB2312"/>
          <w:sz w:val="32"/>
          <w:szCs w:val="32"/>
        </w:rPr>
        <w:t>根据《组织部门职能配置、内设机构和人员编制规定》，组织部门的主要职责是：</w:t>
      </w:r>
    </w:p>
    <w:p>
      <w:pPr>
        <w:pStyle w:val="189"/>
        <w:jc w:val="center"/>
        <w:rPr>
          <w:rFonts w:ascii="仿宋_GB2312" w:hAnsi="Calibri" w:eastAsia="仿宋_GB2312"/>
          <w:sz w:val="32"/>
          <w:szCs w:val="32"/>
          <w:lang w:eastAsia="zh-CN"/>
        </w:rPr>
      </w:pPr>
      <w:r>
        <w:rPr>
          <w:rFonts w:ascii="仿宋_GB2312" w:hAnsi="Calibri" w:eastAsia="仿宋_GB2312"/>
          <w:sz w:val="32"/>
          <w:szCs w:val="32"/>
          <w:lang w:eastAsia="zh-CN"/>
        </w:rPr>
        <w:t>中共山海关区委组织部部门职责情况说明</w:t>
      </w:r>
    </w:p>
    <w:p>
      <w:pPr>
        <w:pStyle w:val="189"/>
        <w:rPr>
          <w:rFonts w:ascii="仿宋_GB2312" w:hAnsi="Calibri" w:eastAsia="仿宋_GB2312"/>
          <w:sz w:val="32"/>
          <w:szCs w:val="32"/>
          <w:lang w:eastAsia="zh-CN"/>
        </w:rPr>
      </w:pPr>
      <w:r>
        <w:rPr>
          <w:rFonts w:ascii="仿宋_GB2312" w:hAnsi="Calibri" w:eastAsia="仿宋_GB2312"/>
          <w:sz w:val="32"/>
          <w:szCs w:val="32"/>
          <w:lang w:eastAsia="zh-CN"/>
        </w:rPr>
        <w:t>一、党员和党组织建设</w:t>
      </w:r>
    </w:p>
    <w:p>
      <w:pPr>
        <w:pStyle w:val="189"/>
        <w:rPr>
          <w:rFonts w:ascii="仿宋_GB2312" w:hAnsi="Calibri" w:eastAsia="仿宋_GB2312"/>
          <w:sz w:val="32"/>
          <w:szCs w:val="32"/>
          <w:lang w:eastAsia="zh-CN"/>
        </w:rPr>
      </w:pPr>
      <w:r>
        <w:rPr>
          <w:rFonts w:ascii="仿宋_GB2312" w:hAnsi="Calibri" w:eastAsia="仿宋_GB2312"/>
          <w:sz w:val="32"/>
          <w:szCs w:val="32"/>
          <w:lang w:eastAsia="zh-CN"/>
        </w:rPr>
        <w:t>主要职责：负责全区党组织建设；负责区委基层组织建设联席会议党的牵头抓总工作；研究和提出党内生活制度建设的意见；协调、规划和指导全区党员教育工作；主管党员的管理和发展工作；负责组织史征编工作。</w:t>
      </w:r>
    </w:p>
    <w:p>
      <w:pPr>
        <w:pStyle w:val="189"/>
        <w:rPr>
          <w:rFonts w:ascii="仿宋_GB2312" w:hAnsi="Calibri" w:eastAsia="仿宋_GB2312"/>
          <w:sz w:val="32"/>
          <w:szCs w:val="32"/>
          <w:lang w:eastAsia="zh-CN"/>
        </w:rPr>
      </w:pPr>
      <w:r>
        <w:rPr>
          <w:rFonts w:ascii="仿宋_GB2312" w:hAnsi="Calibri" w:eastAsia="仿宋_GB2312"/>
          <w:sz w:val="32"/>
          <w:szCs w:val="32"/>
          <w:lang w:eastAsia="zh-CN"/>
        </w:rPr>
        <w:t>二、干部管理</w:t>
      </w:r>
    </w:p>
    <w:p>
      <w:pPr>
        <w:pStyle w:val="189"/>
        <w:rPr>
          <w:rFonts w:ascii="仿宋_GB2312" w:hAnsi="Calibri" w:eastAsia="仿宋_GB2312"/>
          <w:sz w:val="32"/>
          <w:szCs w:val="32"/>
          <w:lang w:eastAsia="zh-CN"/>
        </w:rPr>
      </w:pPr>
      <w:r>
        <w:rPr>
          <w:rFonts w:ascii="仿宋_GB2312" w:hAnsi="Calibri" w:eastAsia="仿宋_GB2312"/>
          <w:sz w:val="32"/>
          <w:szCs w:val="32"/>
          <w:lang w:eastAsia="zh-CN"/>
        </w:rPr>
        <w:t>主要职责：负责区委管理干部及全区干部队伍管理、干部培养选拔、干部调配、交流和安置对区委管理领导班子和领导干部的考核工作，以及全区干部考核工作的宏观指导和督导检查；指导领导班子的思想作风建设；负责对全区组织部门干部监督工作的综合、协调和宏观指导。</w:t>
      </w:r>
    </w:p>
    <w:p>
      <w:pPr>
        <w:pStyle w:val="189"/>
        <w:rPr>
          <w:rFonts w:ascii="仿宋_GB2312" w:hAnsi="Calibri" w:eastAsia="仿宋_GB2312"/>
          <w:sz w:val="32"/>
          <w:szCs w:val="32"/>
          <w:lang w:eastAsia="zh-CN"/>
        </w:rPr>
      </w:pPr>
      <w:r>
        <w:rPr>
          <w:rFonts w:ascii="仿宋_GB2312" w:hAnsi="Calibri" w:eastAsia="仿宋_GB2312"/>
          <w:sz w:val="32"/>
          <w:szCs w:val="32"/>
          <w:lang w:eastAsia="zh-CN"/>
        </w:rPr>
        <w:t>三、人才工作及人才队伍建设</w:t>
      </w:r>
    </w:p>
    <w:p>
      <w:pPr>
        <w:pStyle w:val="189"/>
        <w:rPr>
          <w:rFonts w:ascii="仿宋_GB2312" w:hAnsi="Calibri" w:eastAsia="仿宋_GB2312"/>
          <w:sz w:val="32"/>
          <w:szCs w:val="32"/>
          <w:lang w:eastAsia="zh-CN"/>
        </w:rPr>
      </w:pPr>
      <w:r>
        <w:rPr>
          <w:rFonts w:ascii="仿宋_GB2312" w:hAnsi="Calibri" w:eastAsia="仿宋_GB2312"/>
          <w:sz w:val="32"/>
          <w:szCs w:val="32"/>
          <w:lang w:eastAsia="zh-CN"/>
        </w:rPr>
        <w:t>主要职责：负责全区人才工作的综合协调、检查指导，负责区管优秀人才的选拔管理；负责区级优秀人才、人才工作先进单位及先进个人的评比表彰工作；负责人才工作的信息反馈工作；负责全区人才信息库工作；会同有关部门做好优秀专家、享受政府特贴人员、省市有突出贡献的中青年专家、市级优秀人才的推荐工作。</w:t>
      </w:r>
    </w:p>
    <w:p>
      <w:pPr>
        <w:pStyle w:val="189"/>
        <w:rPr>
          <w:rFonts w:ascii="仿宋_GB2312" w:hAnsi="Calibri" w:eastAsia="仿宋_GB2312"/>
          <w:sz w:val="32"/>
          <w:szCs w:val="32"/>
          <w:lang w:eastAsia="zh-CN"/>
        </w:rPr>
      </w:pPr>
      <w:r>
        <w:rPr>
          <w:rFonts w:ascii="仿宋_GB2312" w:hAnsi="Calibri" w:eastAsia="仿宋_GB2312"/>
          <w:sz w:val="32"/>
          <w:szCs w:val="32"/>
          <w:lang w:eastAsia="zh-CN"/>
        </w:rPr>
        <w:t>四、组织事务管理</w:t>
      </w:r>
    </w:p>
    <w:p>
      <w:pPr>
        <w:pStyle w:val="189"/>
        <w:rPr>
          <w:rFonts w:ascii="仿宋_GB2312" w:hAnsi="Calibri" w:eastAsia="仿宋_GB2312"/>
          <w:sz w:val="32"/>
          <w:szCs w:val="32"/>
          <w:lang w:eastAsia="zh-CN"/>
        </w:rPr>
      </w:pPr>
      <w:r>
        <w:rPr>
          <w:rFonts w:ascii="仿宋_GB2312" w:hAnsi="Calibri" w:eastAsia="仿宋_GB2312"/>
          <w:sz w:val="32"/>
          <w:szCs w:val="32"/>
          <w:lang w:eastAsia="zh-CN"/>
        </w:rPr>
        <w:t>主要职责：负责做好部机关文秘、信访、会议等工作的计划安排和管理；负责机关自身建设；负责新闻工作网宣与舆情监控、处置；组织系统信息化建设；负责指导全区组织系统的调研工作。</w:t>
      </w:r>
    </w:p>
    <w:p>
      <w:pPr>
        <w:ind w:firstLine="640"/>
        <w:jc w:val="left"/>
        <w:rPr>
          <w:rFonts w:hint="eastAsia" w:ascii="KaiTi_GB2312" w:hAnsi="楷体" w:eastAsia="KaiTi_GB2312" w:cs="楷体"/>
          <w:b/>
          <w:color w:val="000000"/>
          <w:sz w:val="32"/>
        </w:rPr>
      </w:pPr>
      <w:r>
        <w:rPr>
          <w:rFonts w:hint="eastAsia" w:ascii="KaiTi_GB2312" w:hAnsi="楷体" w:eastAsia="KaiTi_GB2312" w:cs="楷体"/>
          <w:b/>
          <w:color w:val="000000"/>
          <w:sz w:val="32"/>
        </w:rPr>
        <w:t>机构设置：</w:t>
      </w:r>
    </w:p>
    <w:p>
      <w:pPr>
        <w:ind w:firstLine="640"/>
        <w:jc w:val="center"/>
        <w:rPr>
          <w:rFonts w:hint="eastAsia" w:ascii="KaiTi_GB2312" w:hAnsi="楷体" w:eastAsia="KaiTi_GB2312" w:cs="楷体"/>
          <w:b/>
          <w:color w:val="000000"/>
          <w:sz w:val="32"/>
        </w:rPr>
      </w:pPr>
      <w:r>
        <w:rPr>
          <w:rFonts w:hint="eastAsia" w:ascii="KaiTi_GB2312" w:hAnsi="楷体" w:eastAsia="KaiTi_GB2312" w:cs="楷体"/>
          <w:b/>
          <w:color w:val="000000"/>
          <w:sz w:val="32"/>
        </w:rPr>
        <w:t>部门机构设置情况</w:t>
      </w:r>
    </w:p>
    <w:tbl>
      <w:tblPr>
        <w:tblStyle w:val="28"/>
        <w:tblpPr w:leftFromText="180" w:rightFromText="180" w:vertAnchor="page" w:horzAnchor="page" w:tblpX="1" w:tblpY="4966"/>
        <w:tblW w:w="11933"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360"/>
        <w:gridCol w:w="1186"/>
        <w:gridCol w:w="1305"/>
        <w:gridCol w:w="5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tblHeader/>
        </w:trPr>
        <w:tc>
          <w:tcPr>
            <w:tcW w:w="4360" w:type="dxa"/>
            <w:vMerge w:val="restart"/>
            <w:noWrap w:val="0"/>
            <w:vAlign w:val="center"/>
          </w:tcPr>
          <w:p>
            <w:pPr>
              <w:spacing w:line="300" w:lineRule="exact"/>
              <w:jc w:val="center"/>
              <w:rPr>
                <w:rFonts w:hint="eastAsia" w:ascii="仿宋_GB2312" w:hAnsi="仿宋" w:eastAsia="仿宋_GB2312" w:cs="仿宋"/>
                <w:b/>
                <w:szCs w:val="21"/>
              </w:rPr>
            </w:pPr>
            <w:r>
              <w:rPr>
                <w:rFonts w:hint="eastAsia" w:ascii="仿宋_GB2312" w:hAnsi="仿宋" w:eastAsia="仿宋_GB2312" w:cs="仿宋"/>
                <w:b/>
                <w:szCs w:val="21"/>
              </w:rPr>
              <w:t>单位名称</w:t>
            </w:r>
          </w:p>
        </w:tc>
        <w:tc>
          <w:tcPr>
            <w:tcW w:w="1186" w:type="dxa"/>
            <w:vMerge w:val="restart"/>
            <w:noWrap w:val="0"/>
            <w:vAlign w:val="center"/>
          </w:tcPr>
          <w:p>
            <w:pPr>
              <w:spacing w:line="300" w:lineRule="exact"/>
              <w:jc w:val="center"/>
              <w:rPr>
                <w:rFonts w:hint="eastAsia" w:ascii="仿宋_GB2312" w:hAnsi="仿宋" w:eastAsia="仿宋_GB2312" w:cs="仿宋"/>
                <w:b/>
                <w:szCs w:val="21"/>
              </w:rPr>
            </w:pPr>
            <w:r>
              <w:rPr>
                <w:rFonts w:hint="eastAsia" w:ascii="仿宋_GB2312" w:hAnsi="仿宋" w:eastAsia="仿宋_GB2312" w:cs="仿宋"/>
                <w:b/>
                <w:szCs w:val="21"/>
              </w:rPr>
              <w:t>单位性质</w:t>
            </w:r>
          </w:p>
        </w:tc>
        <w:tc>
          <w:tcPr>
            <w:tcW w:w="1305" w:type="dxa"/>
            <w:vMerge w:val="restart"/>
            <w:noWrap w:val="0"/>
            <w:vAlign w:val="center"/>
          </w:tcPr>
          <w:p>
            <w:pPr>
              <w:spacing w:line="300" w:lineRule="exact"/>
              <w:jc w:val="center"/>
              <w:rPr>
                <w:rFonts w:hint="eastAsia" w:ascii="仿宋_GB2312" w:hAnsi="仿宋" w:eastAsia="仿宋_GB2312" w:cs="仿宋"/>
                <w:b/>
                <w:szCs w:val="21"/>
              </w:rPr>
            </w:pPr>
            <w:r>
              <w:rPr>
                <w:rFonts w:hint="eastAsia" w:ascii="仿宋_GB2312" w:hAnsi="仿宋" w:eastAsia="仿宋_GB2312" w:cs="仿宋"/>
                <w:b/>
                <w:szCs w:val="21"/>
              </w:rPr>
              <w:t>单位规格</w:t>
            </w:r>
          </w:p>
        </w:tc>
        <w:tc>
          <w:tcPr>
            <w:tcW w:w="5082" w:type="dxa"/>
            <w:vMerge w:val="restart"/>
            <w:noWrap w:val="0"/>
            <w:vAlign w:val="center"/>
          </w:tcPr>
          <w:p>
            <w:pPr>
              <w:spacing w:line="300" w:lineRule="exact"/>
              <w:jc w:val="center"/>
              <w:rPr>
                <w:rFonts w:hint="eastAsia" w:ascii="仿宋_GB2312" w:hAnsi="仿宋" w:eastAsia="仿宋_GB2312" w:cs="仿宋"/>
                <w:b/>
                <w:szCs w:val="21"/>
              </w:rPr>
            </w:pPr>
            <w:r>
              <w:rPr>
                <w:rFonts w:hint="eastAsia" w:ascii="仿宋_GB2312" w:hAnsi="仿宋" w:eastAsia="仿宋_GB2312" w:cs="仿宋"/>
                <w:b/>
                <w:szCs w:val="21"/>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trPr>
        <w:tc>
          <w:tcPr>
            <w:tcW w:w="4360" w:type="dxa"/>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中共秦皇岛市山海关区委组织部</w:t>
            </w:r>
          </w:p>
        </w:tc>
        <w:tc>
          <w:tcPr>
            <w:tcW w:w="1186" w:type="dxa"/>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行政</w:t>
            </w:r>
          </w:p>
        </w:tc>
        <w:tc>
          <w:tcPr>
            <w:tcW w:w="1305" w:type="dxa"/>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正科级</w:t>
            </w:r>
          </w:p>
        </w:tc>
        <w:tc>
          <w:tcPr>
            <w:tcW w:w="5082" w:type="dxa"/>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1" w:hRule="atLeast"/>
        </w:trPr>
        <w:tc>
          <w:tcPr>
            <w:tcW w:w="4360" w:type="dxa"/>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中共秦皇岛市山海关区委社区建设发展服务中心</w:t>
            </w:r>
          </w:p>
        </w:tc>
        <w:tc>
          <w:tcPr>
            <w:tcW w:w="1186" w:type="dxa"/>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事业</w:t>
            </w:r>
          </w:p>
        </w:tc>
        <w:tc>
          <w:tcPr>
            <w:tcW w:w="1305" w:type="dxa"/>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正科级</w:t>
            </w:r>
          </w:p>
        </w:tc>
        <w:tc>
          <w:tcPr>
            <w:tcW w:w="5082" w:type="dxa"/>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5" w:hRule="atLeast"/>
        </w:trPr>
        <w:tc>
          <w:tcPr>
            <w:tcW w:w="4360" w:type="dxa"/>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秦皇岛市山海关区老干部服务中心</w:t>
            </w:r>
          </w:p>
        </w:tc>
        <w:tc>
          <w:tcPr>
            <w:tcW w:w="1186" w:type="dxa"/>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事业</w:t>
            </w:r>
          </w:p>
        </w:tc>
        <w:tc>
          <w:tcPr>
            <w:tcW w:w="1305" w:type="dxa"/>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正股级</w:t>
            </w:r>
          </w:p>
        </w:tc>
        <w:tc>
          <w:tcPr>
            <w:tcW w:w="5082" w:type="dxa"/>
            <w:noWrap w:val="0"/>
            <w:vAlign w:val="center"/>
          </w:tcPr>
          <w:p>
            <w:pPr>
              <w:spacing w:line="300" w:lineRule="exact"/>
              <w:jc w:val="center"/>
              <w:rPr>
                <w:rFonts w:hint="eastAsia" w:ascii="仿宋_GB2312" w:eastAsia="仿宋_GB2312"/>
                <w:szCs w:val="21"/>
              </w:rPr>
            </w:pPr>
            <w:r>
              <w:rPr>
                <w:rFonts w:hint="eastAsia" w:ascii="仿宋_GB2312" w:eastAsia="仿宋_GB2312"/>
                <w:szCs w:val="21"/>
              </w:rPr>
              <w:t>财政性资金基本保证</w:t>
            </w:r>
          </w:p>
        </w:tc>
      </w:tr>
    </w:tbl>
    <w:p>
      <w:pPr>
        <w:jc w:val="left"/>
        <w:rPr>
          <w:rFonts w:hint="eastAsia" w:ascii="黑体" w:hAnsi="黑体" w:eastAsia="黑体"/>
          <w:color w:val="000000"/>
          <w:sz w:val="32"/>
        </w:rPr>
      </w:pPr>
    </w:p>
    <w:p>
      <w:pPr>
        <w:jc w:val="left"/>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二、部门预算安排的总体情况</w:t>
      </w:r>
    </w:p>
    <w:p>
      <w:pPr>
        <w:jc w:val="left"/>
        <w:rPr>
          <w:rFonts w:hint="eastAsia" w:ascii="仿宋_GB2312" w:hAnsi="仿宋" w:eastAsia="仿宋_GB2312" w:cs="仿宋"/>
          <w:color w:val="000000"/>
          <w:sz w:val="32"/>
        </w:rPr>
      </w:pPr>
      <w:r>
        <w:rPr>
          <w:rFonts w:hint="eastAsia" w:ascii="仿宋" w:hAnsi="仿宋" w:eastAsia="仿宋" w:cs="仿宋"/>
          <w:color w:val="000000"/>
          <w:sz w:val="32"/>
        </w:rPr>
        <w:t xml:space="preserve">    </w:t>
      </w:r>
      <w:r>
        <w:rPr>
          <w:rFonts w:hint="eastAsia" w:ascii="仿宋_GB2312" w:hAnsi="仿宋" w:eastAsia="仿宋_GB2312" w:cs="仿宋"/>
          <w:color w:val="000000"/>
          <w:sz w:val="32"/>
        </w:rPr>
        <w:t>按照预算管理有关规定，目前我区部门预算的编制实行综合预算制度，即全部收入和支出都反映在预算中。山海关区组织部门机关及所属事业单位的收支包含在部门预算中。</w:t>
      </w:r>
    </w:p>
    <w:p>
      <w:pPr>
        <w:jc w:val="left"/>
        <w:rPr>
          <w:rFonts w:hint="eastAsia" w:ascii="楷体" w:hAnsi="楷体" w:eastAsia="楷体" w:cs="楷体"/>
          <w:color w:val="000000"/>
          <w:sz w:val="32"/>
        </w:rPr>
      </w:pPr>
      <w:r>
        <w:rPr>
          <w:rFonts w:hint="eastAsia" w:ascii="楷体" w:hAnsi="楷体" w:eastAsia="楷体" w:cs="楷体"/>
          <w:color w:val="FF0000"/>
          <w:sz w:val="32"/>
        </w:rPr>
        <w:t xml:space="preserve">    </w:t>
      </w:r>
      <w:r>
        <w:rPr>
          <w:rFonts w:hint="eastAsia" w:ascii="KaiTi_GB2312" w:hAnsi="楷体" w:eastAsia="KaiTi_GB2312" w:cs="楷体"/>
          <w:b/>
          <w:color w:val="000000"/>
          <w:sz w:val="32"/>
        </w:rPr>
        <w:t>1、收入说明</w:t>
      </w:r>
    </w:p>
    <w:p>
      <w:pPr>
        <w:widowControl w:val="0"/>
        <w:spacing w:after="120"/>
        <w:ind w:firstLine="640"/>
        <w:rPr>
          <w:rFonts w:hint="eastAsia" w:ascii="仿宋_GB2312" w:eastAsia="仿宋_GB2312"/>
          <w:sz w:val="32"/>
          <w:szCs w:val="32"/>
        </w:rPr>
      </w:pPr>
      <w:r>
        <w:rPr>
          <w:rFonts w:hint="eastAsia" w:ascii="仿宋_GB2312" w:eastAsia="仿宋_GB2312"/>
          <w:sz w:val="32"/>
          <w:szCs w:val="32"/>
        </w:rPr>
        <w:t>2022年预算收入为1090.88万元，其中：一般公共预算收入1035.08万元，基金预算收入0万元，财政专户核拨收入0万元，其他来源收入0万元。</w:t>
      </w:r>
    </w:p>
    <w:p>
      <w:pPr>
        <w:jc w:val="left"/>
        <w:rPr>
          <w:rFonts w:hint="eastAsia" w:ascii="KaiTi_GB2312" w:hAnsi="仿宋" w:eastAsia="KaiTi_GB2312" w:cs="仿宋"/>
          <w:b/>
          <w:color w:val="000000"/>
          <w:sz w:val="32"/>
        </w:rPr>
      </w:pPr>
      <w:r>
        <w:rPr>
          <w:rFonts w:hint="eastAsia" w:ascii="仿宋" w:hAnsi="仿宋" w:eastAsia="仿宋" w:cs="仿宋"/>
          <w:color w:val="000000"/>
          <w:sz w:val="32"/>
        </w:rPr>
        <w:t xml:space="preserve">  </w:t>
      </w:r>
      <w:r>
        <w:rPr>
          <w:rFonts w:hint="eastAsia" w:ascii="仿宋" w:hAnsi="仿宋" w:eastAsia="仿宋" w:cs="仿宋"/>
          <w:b/>
          <w:color w:val="000000"/>
          <w:sz w:val="32"/>
        </w:rPr>
        <w:t xml:space="preserve"> </w:t>
      </w:r>
      <w:r>
        <w:rPr>
          <w:rFonts w:hint="eastAsia" w:ascii="KaiTi_GB2312" w:hAnsi="仿宋" w:eastAsia="KaiTi_GB2312" w:cs="仿宋"/>
          <w:b/>
          <w:color w:val="000000"/>
          <w:sz w:val="32"/>
        </w:rPr>
        <w:t xml:space="preserve"> </w:t>
      </w:r>
      <w:r>
        <w:rPr>
          <w:rFonts w:hint="eastAsia" w:ascii="KaiTi_GB2312" w:hAnsi="楷体" w:eastAsia="KaiTi_GB2312" w:cs="楷体"/>
          <w:b/>
          <w:color w:val="000000"/>
          <w:sz w:val="32"/>
        </w:rPr>
        <w:t>2、支出说明</w:t>
      </w:r>
    </w:p>
    <w:p>
      <w:pPr>
        <w:jc w:val="left"/>
        <w:rPr>
          <w:rFonts w:hint="eastAsia" w:ascii="仿宋" w:hAnsi="仿宋" w:eastAsia="仿宋" w:cs="仿宋"/>
          <w:color w:val="FF0000"/>
          <w:sz w:val="32"/>
        </w:rPr>
      </w:pPr>
      <w:r>
        <w:rPr>
          <w:rFonts w:hint="eastAsia" w:ascii="仿宋" w:hAnsi="仿宋" w:eastAsia="仿宋" w:cs="仿宋"/>
          <w:color w:val="000000"/>
          <w:sz w:val="32"/>
        </w:rPr>
        <w:t xml:space="preserve">    </w:t>
      </w:r>
      <w:r>
        <w:rPr>
          <w:rFonts w:hint="eastAsia" w:ascii="仿宋_GB2312" w:hAnsi="仿宋" w:eastAsia="仿宋_GB2312" w:cs="仿宋"/>
          <w:b/>
          <w:color w:val="000000"/>
          <w:sz w:val="32"/>
        </w:rPr>
        <w:t>收支预算总表支出栏、基本支出表、项目支出表按经济分类和支出功能分类科目编制，反映山海关区组织部门2022年度部门预算中支出预算的总体情况。</w:t>
      </w:r>
      <w:r>
        <w:rPr>
          <w:rFonts w:hint="eastAsia" w:ascii="仿宋_GB2312" w:eastAsia="仿宋_GB2312"/>
          <w:sz w:val="32"/>
          <w:szCs w:val="32"/>
        </w:rPr>
        <w:t>2022年预算支出为1090.88万元，其中：基本支出518.68万元，主要是人员经费466.58万元和日常公用经费52.1万元；项目支出572.2万元，主要为党员远程教育站点服务费项目安排5万元、干部教育培训经费项目安排5万元、关于结算下达到村任职高校毕业生中央财政补助资金的通知项目安排14.4万元、基层党员教育管理、制片经费项目安排5万元、老干部活动及关心下一代经费项目安排15万元、离休干部医药费项目安排350万元、区重点工作大督查经费项目安排30万元、人才工作经费项目安排18万元、提前下达选聘高校毕业生到村任职中央补助资金项目安排28.34万元、综合事务经费项目安排15万元、2021年度干部考核经费项目安排40万元、关于结算下达2021年选调生到村工作中央财政补助资金项目安排2.35万元、关于下达2021年建国前老党员生活补贴市级补助资金项目安排0.4万元、提前下达2021年度下派选调生到村工作中央财政补助资金项目安排10.31万元、提前下达2022年度下派选调生到村工作中央财政补助资金项目安排13.6万元、车辆保险费项目安排1.2万元、非公党建工作经费项目安排2万元、基层党建工作经费项目安排15万元、老年大学培训经费项目安排1.6万元。</w:t>
      </w:r>
    </w:p>
    <w:p>
      <w:pPr>
        <w:jc w:val="left"/>
        <w:rPr>
          <w:rFonts w:hint="eastAsia" w:ascii="KaiTi_GB2312" w:hAnsi="楷体" w:eastAsia="KaiTi_GB2312" w:cs="楷体"/>
          <w:b/>
          <w:color w:val="000000"/>
          <w:sz w:val="32"/>
        </w:rPr>
      </w:pPr>
      <w:r>
        <w:rPr>
          <w:rFonts w:hint="eastAsia" w:ascii="楷体" w:hAnsi="楷体" w:eastAsia="楷体" w:cs="楷体"/>
          <w:color w:val="000000"/>
          <w:sz w:val="32"/>
        </w:rPr>
        <w:t xml:space="preserve">   </w:t>
      </w:r>
      <w:r>
        <w:rPr>
          <w:rFonts w:hint="eastAsia" w:ascii="KaiTi_GB2312" w:hAnsi="楷体" w:eastAsia="KaiTi_GB2312" w:cs="楷体"/>
          <w:b/>
          <w:color w:val="000000"/>
          <w:sz w:val="32"/>
        </w:rPr>
        <w:t xml:space="preserve"> 3、比上年增减情况</w:t>
      </w:r>
    </w:p>
    <w:p>
      <w:pPr>
        <w:jc w:val="left"/>
        <w:rPr>
          <w:rFonts w:ascii="仿宋_GB2312" w:eastAsia="仿宋_GB2312"/>
          <w:sz w:val="32"/>
          <w:szCs w:val="32"/>
        </w:rPr>
      </w:pPr>
      <w:r>
        <w:rPr>
          <w:rFonts w:hint="eastAsia" w:ascii="Times New Roman" w:hAnsi="Times New Roman"/>
          <w:color w:val="000000"/>
          <w:sz w:val="32"/>
        </w:rPr>
        <w:t xml:space="preserve">   </w:t>
      </w:r>
      <w:r>
        <w:rPr>
          <w:rFonts w:hint="eastAsia" w:ascii="仿宋_GB2312" w:eastAsia="仿宋_GB2312"/>
          <w:sz w:val="32"/>
          <w:szCs w:val="32"/>
        </w:rPr>
        <w:t xml:space="preserve"> 2022年预算支出安排1090.88万元，较2021年预算减少130.78万元，其中：基本支出减少52.76万元，主要为人员经费支出减少44万元及日常公用经费支出减少8.76万元；项目支出减少78.02万元，主要为离休医药费项目安排资金减少。</w:t>
      </w:r>
    </w:p>
    <w:p>
      <w:pPr>
        <w:jc w:val="left"/>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三、机关运行经费安排情况</w:t>
      </w:r>
    </w:p>
    <w:p>
      <w:pPr>
        <w:ind w:firstLine="355"/>
        <w:rPr>
          <w:rFonts w:ascii="仿宋" w:hAnsi="仿宋" w:eastAsia="仿宋"/>
          <w:color w:val="0000FF"/>
          <w:szCs w:val="32"/>
        </w:rPr>
      </w:pPr>
      <w:r>
        <w:rPr>
          <w:rFonts w:hint="eastAsia" w:ascii="方正仿宋_GBK" w:hAnsi="方正仿宋_GBK"/>
          <w:color w:val="000000"/>
          <w:sz w:val="32"/>
        </w:rPr>
        <w:t xml:space="preserve"> </w:t>
      </w:r>
      <w:r>
        <w:rPr>
          <w:rFonts w:hint="eastAsia" w:ascii="仿宋_GB2312" w:eastAsia="仿宋_GB2312"/>
          <w:color w:val="000000"/>
          <w:sz w:val="32"/>
          <w:szCs w:val="32"/>
          <w:u w:val="none"/>
        </w:rPr>
        <w:t>机关运行经费共计安排</w:t>
      </w:r>
      <w:r>
        <w:rPr>
          <w:rFonts w:hint="eastAsia" w:ascii="仿宋_GB2312" w:eastAsia="仿宋_GB2312"/>
          <w:color w:val="000000"/>
          <w:sz w:val="32"/>
          <w:szCs w:val="32"/>
          <w:u w:val="none"/>
          <w:lang w:val="en-US" w:eastAsia="zh-CN"/>
        </w:rPr>
        <w:t>52.1万元，主要用于：办公费11.66万元、水费0.13万元、电费0.64万元、邮电费2.64万元、办公取暖费6.43万元、差旅费1万元、公务用车运行维护费1.8万元、离退休干部经费1.39万元、公务交通补贴13.14万元、印刷费0.33万元、培训费2.17万元、公务接待费0.31万元、工会经费3.5万元、工会经费（代扣）2.33万元、福利费3.61万元、党组织活动经费0.57万元、网络运行维护费0.45万元。</w:t>
      </w:r>
    </w:p>
    <w:p>
      <w:pPr>
        <w:ind w:firstLine="640"/>
        <w:jc w:val="left"/>
        <w:rPr>
          <w:rFonts w:ascii="黑体" w:hAnsi="黑体" w:eastAsia="黑体"/>
          <w:color w:val="000000"/>
          <w:sz w:val="32"/>
        </w:rPr>
      </w:pPr>
      <w:r>
        <w:rPr>
          <w:rFonts w:ascii="黑体" w:hAnsi="黑体" w:eastAsia="黑体"/>
          <w:color w:val="000000"/>
          <w:sz w:val="32"/>
        </w:rPr>
        <w:t>四、财政拨款“三公”经费预算情况及增减变化原因</w:t>
      </w:r>
    </w:p>
    <w:p>
      <w:pPr>
        <w:ind w:firstLine="640"/>
        <w:rPr>
          <w:rFonts w:hint="eastAsia" w:ascii="仿宋_GB2312" w:eastAsia="仿宋_GB2312"/>
          <w:sz w:val="32"/>
          <w:szCs w:val="32"/>
        </w:rPr>
      </w:pPr>
      <w:r>
        <w:rPr>
          <w:rFonts w:hint="eastAsia" w:ascii="仿宋_GB2312" w:eastAsia="仿宋_GB2312"/>
          <w:sz w:val="32"/>
          <w:szCs w:val="32"/>
        </w:rPr>
        <w:t>2022年，我部门财政拨款“三公”经费预算安排11.31万元，其中因公出国（境）费0万元；公务用车购置及运维费11万元（其中：公务用车购置费为0万元，公务用车运行费11万元)；公务接待费0.31万元。较去年减少0.03万元，其中：公务接待费减少0.03万元，主要是人员减少。</w:t>
      </w:r>
    </w:p>
    <w:p>
      <w:pPr>
        <w:jc w:val="left"/>
        <w:rPr>
          <w:rFonts w:ascii="黑体" w:hAnsi="黑体" w:eastAsia="黑体"/>
          <w:color w:val="000000"/>
          <w:sz w:val="32"/>
        </w:rPr>
      </w:pPr>
      <w:r>
        <w:rPr>
          <w:rFonts w:hint="eastAsia" w:ascii="黑体" w:hAnsi="黑体" w:eastAsia="黑体"/>
          <w:color w:val="000000"/>
          <w:sz w:val="32"/>
        </w:rPr>
        <w:t xml:space="preserve"> </w:t>
      </w:r>
      <w:r>
        <w:rPr>
          <w:rFonts w:ascii="黑体" w:hAnsi="黑体" w:eastAsia="黑体"/>
          <w:color w:val="000000"/>
          <w:sz w:val="32"/>
        </w:rPr>
        <w:t>五、绩效预算信息</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left"/>
        <w:rPr>
          <w:rFonts w:hint="eastAsia" w:ascii="KaiTi_GB2312" w:hAnsi="KaiTi_GB2312"/>
          <w:color w:val="000000"/>
          <w:sz w:val="32"/>
        </w:rPr>
      </w:pPr>
      <w:r>
        <w:rPr>
          <w:rFonts w:hint="eastAsia" w:ascii="楷体" w:hAnsi="楷体" w:eastAsia="楷体" w:cs="楷体"/>
          <w:color w:val="000000"/>
          <w:sz w:val="32"/>
        </w:rPr>
        <w:t xml:space="preserve">    </w:t>
      </w:r>
      <w:r>
        <w:rPr>
          <w:rFonts w:hint="eastAsia" w:ascii="KaiTi_GB2312" w:eastAsia="KaiTi_GB2312"/>
          <w:b/>
          <w:sz w:val="32"/>
          <w:szCs w:val="32"/>
        </w:rPr>
        <w:t>总体绩效目标：</w:t>
      </w:r>
      <w:r>
        <w:rPr>
          <w:rFonts w:hint="eastAsia" w:ascii="KaiTi_GB2312" w:hAnsi="KaiTi_GB2312"/>
          <w:color w:val="000000"/>
          <w:sz w:val="32"/>
        </w:rPr>
        <w:t xml:space="preserve"> </w:t>
      </w:r>
    </w:p>
    <w:p>
      <w:pPr>
        <w:spacing w:before="10" w:after="10"/>
        <w:ind w:firstLine="560"/>
        <w:outlineLvl w:val="1"/>
        <w:rPr>
          <w:rFonts w:ascii="仿宋_GB2312" w:eastAsia="仿宋_GB2312"/>
          <w:sz w:val="32"/>
          <w:szCs w:val="32"/>
        </w:rPr>
      </w:pPr>
      <w:bookmarkStart w:id="0" w:name="_Toc_2_2_0000000001"/>
      <w:r>
        <w:rPr>
          <w:rFonts w:ascii="仿宋_GB2312" w:eastAsia="仿宋_GB2312"/>
          <w:sz w:val="32"/>
          <w:szCs w:val="32"/>
        </w:rPr>
        <w:t>一、总体绩效目标</w:t>
      </w:r>
      <w:bookmarkEnd w:id="0"/>
    </w:p>
    <w:p>
      <w:pPr>
        <w:pStyle w:val="190"/>
        <w:rPr>
          <w:rFonts w:ascii="仿宋_GB2312" w:hAnsi="Calibri" w:eastAsia="仿宋_GB2312"/>
          <w:sz w:val="32"/>
          <w:szCs w:val="32"/>
          <w:lang w:eastAsia="zh-CN"/>
        </w:rPr>
      </w:pPr>
      <w:r>
        <w:rPr>
          <w:rFonts w:ascii="仿宋_GB2312" w:hAnsi="Calibri" w:eastAsia="仿宋_GB2312"/>
          <w:sz w:val="32"/>
          <w:szCs w:val="32"/>
          <w:lang w:eastAsia="zh-CN"/>
        </w:rPr>
        <w:t>中共山海关区委组织部</w:t>
      </w:r>
    </w:p>
    <w:p>
      <w:pPr>
        <w:pStyle w:val="190"/>
        <w:rPr>
          <w:rFonts w:hint="eastAsia" w:ascii="仿宋_GB2312" w:hAnsi="Calibri" w:eastAsia="仿宋_GB2312"/>
          <w:sz w:val="32"/>
          <w:szCs w:val="32"/>
          <w:lang w:eastAsia="zh-CN"/>
        </w:rPr>
      </w:pPr>
      <w:r>
        <w:rPr>
          <w:rFonts w:ascii="仿宋_GB2312" w:hAnsi="Calibri" w:eastAsia="仿宋_GB2312"/>
          <w:sz w:val="32"/>
          <w:szCs w:val="32"/>
          <w:lang w:eastAsia="zh-CN"/>
        </w:rPr>
        <w:t>部门年度发展规划目标</w:t>
      </w:r>
    </w:p>
    <w:p>
      <w:pPr>
        <w:pStyle w:val="190"/>
        <w:rPr>
          <w:rFonts w:hint="eastAsia" w:ascii="仿宋_GB2312" w:hAnsi="Calibri" w:eastAsia="仿宋_GB2312"/>
          <w:sz w:val="32"/>
          <w:szCs w:val="32"/>
          <w:lang w:eastAsia="zh-CN"/>
        </w:rPr>
      </w:pPr>
      <w:r>
        <w:rPr>
          <w:rFonts w:ascii="仿宋_GB2312" w:hAnsi="Calibri" w:eastAsia="仿宋_GB2312"/>
          <w:sz w:val="32"/>
          <w:szCs w:val="32"/>
          <w:lang w:eastAsia="zh-CN"/>
        </w:rPr>
        <w:t>山海关区委组织部将深入学习</w:t>
      </w:r>
      <w:r>
        <w:rPr>
          <w:rFonts w:hint="eastAsia" w:ascii="仿宋_GB2312" w:hAnsi="Calibri" w:eastAsia="仿宋_GB2312"/>
          <w:sz w:val="32"/>
          <w:szCs w:val="32"/>
          <w:lang w:val="en-US" w:eastAsia="zh-CN"/>
        </w:rPr>
        <w:t>贯彻</w:t>
      </w:r>
      <w:r>
        <w:rPr>
          <w:rFonts w:ascii="仿宋_GB2312" w:hAnsi="Calibri" w:eastAsia="仿宋_GB2312"/>
          <w:sz w:val="32"/>
          <w:szCs w:val="32"/>
          <w:lang w:eastAsia="zh-CN"/>
        </w:rPr>
        <w:t>党的十九大精神，扎实开展“</w:t>
      </w:r>
      <w:bookmarkStart w:id="18" w:name="_GoBack"/>
      <w:bookmarkEnd w:id="18"/>
      <w:r>
        <w:rPr>
          <w:rFonts w:ascii="仿宋_GB2312" w:hAnsi="Calibri" w:eastAsia="仿宋_GB2312"/>
          <w:sz w:val="32"/>
          <w:szCs w:val="32"/>
          <w:lang w:eastAsia="zh-CN"/>
        </w:rPr>
        <w:t>不忘初心、牢记使命”</w:t>
      </w:r>
      <w:r>
        <w:rPr>
          <w:rFonts w:hint="eastAsia" w:ascii="仿宋_GB2312" w:hAnsi="Calibri" w:eastAsia="仿宋_GB2312"/>
          <w:sz w:val="32"/>
          <w:szCs w:val="32"/>
          <w:lang w:val="en-US" w:eastAsia="zh-CN"/>
        </w:rPr>
        <w:t>主题</w:t>
      </w:r>
      <w:r>
        <w:rPr>
          <w:rFonts w:ascii="仿宋_GB2312" w:hAnsi="Calibri" w:eastAsia="仿宋_GB2312"/>
          <w:sz w:val="32"/>
          <w:szCs w:val="32"/>
          <w:lang w:eastAsia="zh-CN"/>
        </w:rPr>
        <w:t>教育更加紧密地团结在以习近平同志为核心的党中央周围，认真践行新时代党的组织路线，为山海关区的跨越发展提供组织保障和人才支撑：一是在提升干部队伍素质能力上有新突破。按照因需设班、科学施教的原则，综合全区干部教育培训需求，抓好后备干部、科级干部，特别是党政主要负责人的教育培训，着力提高干部服务发展、促进和谐、维护稳定的能力和水平。二是在建设一支优秀的干部队伍上有新突破。认真落实中央的决策部署和省、市委的关于机构改革的工作要求，准确把握正确改革方向，坚持新时期好干部标准，坚持“三坚持三重用”，突出市委“凭业绩用干部，为工作选干部”用人标准，切实让坚强有力的干部队伍激活一片热情，带动一方发展。三是在考核监督工作水平上有新突破。坚持定量考核与定性评价相结合、平时考核和年终考核相结合、过程考核和结果考核相结合，实现常态化、动态化管理，更全面客观准确地评价干部的德才表现和工作实绩，激励鞭策干部更好地履行职责。四是在发挥基层党组织坚强堡垒作用上有新突破。把加强党员干部教育培训、强化思想理论武装摆在首要位置，引导全体党员干部真正在学懂弄通做实上下功夫，切实把学习成效转化为推动全区快速发展的实际行动。启动实施“323”典型培养计划，充分发挥典型的辐射示范作用，营造学比赶超的浓厚氛围，展示全区基层党建工作成效，塑造基层党建工作品牌。五是在完善机制、人才培养上有新突破。将学习贯彻党的十九大精神作为加强人才工作的科学引领，坚持党管人才原则，进一步完善人才工作联席会议制度，强化上下联动、整体推进的人才工作机制。</w:t>
      </w:r>
    </w:p>
    <w:p>
      <w:pPr>
        <w:spacing w:before="10" w:after="10"/>
        <w:ind w:firstLine="560"/>
        <w:outlineLvl w:val="1"/>
        <w:rPr>
          <w:rFonts w:ascii="仿宋_GB2312" w:eastAsia="仿宋_GB2312"/>
          <w:sz w:val="32"/>
          <w:szCs w:val="32"/>
        </w:rPr>
      </w:pPr>
      <w:bookmarkStart w:id="1" w:name="_Toc_2_2_0000000002"/>
      <w:r>
        <w:rPr>
          <w:rFonts w:ascii="仿宋_GB2312" w:eastAsia="仿宋_GB2312"/>
          <w:sz w:val="32"/>
          <w:szCs w:val="32"/>
        </w:rPr>
        <w:t>二、分项绩效目标</w:t>
      </w:r>
      <w:bookmarkEnd w:id="1"/>
    </w:p>
    <w:p>
      <w:pPr>
        <w:pStyle w:val="191"/>
        <w:rPr>
          <w:rFonts w:ascii="仿宋_GB2312" w:hAnsi="Calibri" w:eastAsia="仿宋_GB2312"/>
          <w:sz w:val="32"/>
          <w:szCs w:val="32"/>
          <w:lang w:eastAsia="zh-CN"/>
        </w:rPr>
      </w:pPr>
      <w:r>
        <w:rPr>
          <w:rFonts w:ascii="仿宋_GB2312" w:hAnsi="Calibri" w:eastAsia="仿宋_GB2312"/>
          <w:sz w:val="32"/>
          <w:szCs w:val="32"/>
          <w:lang w:eastAsia="zh-CN"/>
        </w:rPr>
        <w:t>中共山海关区委组织部</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部门职责分类绩效目标情况说明</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一、党员和党组织建设</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主要职责：负责全区党组织建设；负责区委基层组织建设联席会议党的牵头抓总工作；研究和提出党内生活制度建设的意见；协调、规划和指导全区党员教育工作；主管党员的管理和发展工作；负责组织史征编工作。</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职责目标：加强基层领导班子建设；加强全区大学生村官队伍建设；健全全区党的组织制度、党内生活制度建设；加强民主集中制建设和民主生活会宏观指导；组织和指导区党代会、人代会、政协会和乡镇党代会、人代会；做好代表补选、罢免等事宜。完成组织史征编工作。</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绩效目标：加强党组织建设,不断提高执政能力和领导水平；加强党员队伍建设，提高党员素质；加强基层党组织建设；加强党员管理,不断提高党员队伍的素质；全区党员电教工作。</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绩效指标：专题学习教育实践活动和“解放思想”大讨论工作完成率；基层党建平台建设完成率；组织史征编工作完成率；党建规范化建设、基层党建考核、党建述职等活动完成率；非公经济组织和社会组织党建工作完成率；各级党组织换届工作完成率；指导区直属党组织发展党员工作完成率；农村、社区党组织换届率；党费管理和党员统计完成情况；上级组织部门培训工作完成率；素质工程培训完成率；基层党员教育培训完成率；党建工作先进经验的宣传覆盖率；现代远程教育课时量完成率；电教片的购置、翻录和发行工作及电教设备的维护和保管工作完成率。</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绩效标准：90%以上的为优； 80%-90%的为良； 70%-80%的为中； 70%以下的为差。</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二、干部管理</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主要职责：负责区委管理干部及全区干部队伍管理、干部培养选拔、干部调配、交流和安置对区委管理领导班子和领导干部的考核工作，以及全区干部考核工作的宏观指导和督导检查；指导领导班子的思想作风建设；负责对全区组织部门干部监督工作的综合、协调和宏观指导。</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职责目标：落实国家工资政策和涉及领导干部收入分配的相关政策，准确高效办理区委管理干部的工资及退休费审批；培养锻炼干部，提高干部整体素质；为各级领导班子储配人才；落实援边人才各项政策待遇；进一步增强我区干部教育培训工作的统筹性、针对性、有效性，不断提高干部素质和业务能力。</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绩效目标：区管干部管理工作；区管干部管理工作；区管干部管理工作；培养锻炼干部，提高干部整体素质；组织落实培养选拔后备干部、妇女干部、少数民族干部工作；全区干部流转调配工作政策严谨、规范有序、责权明确、公开透明，优化干部队伍结构、保证事业发展需要。培养锻炼干部，提高干部整体素质；组织落实培养选拔后备干部、妇女干部、少数民族干部工作；全区干部流转调配工作政策严谨、规范有序、责权明确、公开透明，优化干部队伍结构、保证事业发展需要。培养锻炼干部，提高干部整体素质；组织落实培养选拔后备干部、妇女干部、少数民族干部工作；全区干部流转调配工作政策严谨、规范有序、责权明确、公开透明，优化干部队伍结构、保证事业发展需要。及时完成新提拔科级领导干部任前公示工作；完成领导干部经济责任审计工作；严格落实全区科级干部出国（境）政审相关问题。及时完成新提拔科级领导干部任前公示工作；完成领导干部经济责任审计工作；严格落实全区科级干部出国（境）政审相关问题。及时完成新提拔科级领导干部任前公示工作；完成领导干部经济责任审计工作；严格落实全区科级干部出国（境）政审相关问题。区管干部的日常考核和年底考核工作。区管干部的日常考核和年底考核工作。做好市管干部日常考核和年底考核工作。建立规范的干部教育培训体系，加强干部教育培训基地建设，进一步增强我区干部教育培训工作的统筹性、针对性、有效性，克服多头调训、重复培训、多年不训等问题，不断提高工作的科学化、制度化、规范化水平。建立规范的干部教育培训体系，加强干部教育培训基地建设，进一步增强我区干部教育培训工作的统筹性、针对性、有效性，克服多头调训、重复培训、多年不训等问题，不断提高工作的科学化、制度化、规范化水平。建立规范的干部教育培训体系，加强干部教育培训基地建设，进一步增强我区干部教育培训工作的统筹性、针对性、有效性，克服多头调训、重复培训、多年不训等问题，不断提高工作的科学化、制度化、规范化水平。</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绩效指标：区管干部个人待遇政策落实率；市管干部和区管干部规范管理率；干部任职档案考察工作完成率；优化干部队伍结构完成率；后备干部、妇女干部、少数民族干部选拔工作完成率；干部选拔、调配、交流工作完成率；新提拔科级领导干部任前公示完成率；领导干部经济责任审计工作完成率；全区科级干部出国（境）政审工作完成率；区管干部考核工作完成率；区委干部考核领导小组交办任务完成率；协助市委组织部对市管干部考核的完成率；干部培训参训率；上级组织部门培训工作完成率；干部培训完成率。</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绩效标准：90%以上的为优； 80%-90%的为良； 70%-80%的为中； 70%以下的为差。</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三、人才工作及人才队伍建设</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主要职责：负责全区人才工作的综合协调、检查指导，负责区管优秀人才的选拔管理；负责区级优秀人才、人才工作先进单位及先进个人的评比表彰工作；负责人才工作的信息反馈工作；负责全区人才信息库工作；会同有关部门做好优秀专家、享受政府特贴人员、省市有突出贡献的中青年专家、市级优秀人才的推荐工作。</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职责目标：加强高层次人才队伍建设，建立完善全区高层次人才队伍信息库；评选区管优秀人才队伍，并给予生活保障；加强重点人才工程建设、建立专业门类齐全的全区高层次专家人才队伍。</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绩效目标：加强高层次人才队伍建设，建立完善全区高层次人才队伍信息库；评选第二批区管“五类”优秀人才；加强重点人才工程建设，促进经济发展。</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绩效指标：第二批“五类”优秀人才选拔完成率；人才引进量；全区重点人才工程进度管理规范度；行政后勤保障率；车辆保障率。</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绩效标准：90%以上的为优； 80%-90%的为良； 70%-80%的为中； 70%以下的为差。</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四、组织事务管理</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主要职责：负责做好部机关文秘、信访、会议等工作的计划安排和管理；负责机关自身建设；负责新闻工作网宣与舆情监控、处置；组织系统信息化建设；负责指导全区组织系统的调研工作。</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职责目标：做好部机关文秘、信访、会议等工作的计划安排和管理；做到新闻工作网宣与舆情监控到位、处置及时；信息系统运行无障碍。</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绩效目标：组织、指导、协调全区组织系统互联网宣传工作；保障机关工作正常高效运转。组织、指导、协调全区组织系统互联网宣传工作；保障机关工作正常高效运转。组织党建信息上报工作；完成机关自身建设任务；高质高效完成年度各项工作；做好后勤保障工作，确保机关高效运转。</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绩效指标：组织系统互联网建设率；大组工网安全运行率；组织党建信息上报的数量；机关自身建设任务完成率；机关工作正常高效运转率；做好后勤保障工作，确保机关高效运转。</w:t>
      </w:r>
    </w:p>
    <w:p>
      <w:pPr>
        <w:pStyle w:val="191"/>
        <w:rPr>
          <w:rFonts w:ascii="仿宋_GB2312" w:hAnsi="Calibri" w:eastAsia="仿宋_GB2312"/>
          <w:sz w:val="32"/>
          <w:szCs w:val="32"/>
          <w:lang w:eastAsia="zh-CN"/>
        </w:rPr>
      </w:pPr>
      <w:r>
        <w:rPr>
          <w:rFonts w:ascii="仿宋_GB2312" w:hAnsi="Calibri" w:eastAsia="仿宋_GB2312"/>
          <w:sz w:val="32"/>
          <w:szCs w:val="32"/>
          <w:lang w:eastAsia="zh-CN"/>
        </w:rPr>
        <w:t>绩效标准：90%以上的为优； 80%-90%的为良； 70%-80%的为中； 70%以下的为差。5篇为优；4篇为良；3篇为中；1篇为差。</w:t>
      </w:r>
    </w:p>
    <w:p>
      <w:pPr>
        <w:spacing w:before="10" w:after="10"/>
        <w:ind w:firstLine="560"/>
        <w:outlineLvl w:val="1"/>
        <w:rPr>
          <w:rFonts w:ascii="仿宋_GB2312" w:eastAsia="仿宋_GB2312"/>
          <w:sz w:val="32"/>
          <w:szCs w:val="32"/>
        </w:rPr>
      </w:pPr>
      <w:bookmarkStart w:id="2" w:name="_Toc_2_2_0000000003"/>
      <w:r>
        <w:rPr>
          <w:rFonts w:ascii="仿宋_GB2312" w:eastAsia="仿宋_GB2312"/>
          <w:sz w:val="32"/>
          <w:szCs w:val="32"/>
        </w:rPr>
        <w:t>三、工作保障措施</w:t>
      </w:r>
      <w:bookmarkEnd w:id="2"/>
    </w:p>
    <w:p>
      <w:pPr>
        <w:pStyle w:val="192"/>
        <w:rPr>
          <w:rFonts w:ascii="仿宋_GB2312" w:hAnsi="Calibri" w:eastAsia="仿宋_GB2312"/>
          <w:sz w:val="32"/>
          <w:szCs w:val="32"/>
          <w:lang w:eastAsia="zh-CN"/>
        </w:rPr>
      </w:pPr>
      <w:r>
        <w:rPr>
          <w:rFonts w:ascii="仿宋_GB2312" w:hAnsi="Calibri" w:eastAsia="仿宋_GB2312"/>
          <w:sz w:val="32"/>
          <w:szCs w:val="32"/>
          <w:lang w:eastAsia="zh-CN"/>
        </w:rPr>
        <w:t>中共山海关区委组织部</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实现本年度发展规划目标的保障措施</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在市委组织部的具体指导和区委的正确领导下，坚持在全局中定位、在大局下行动，认真贯彻落实习近平新时代中国特色社会主义思想，围绕推动全面从严治党向纵深发展，紧跟中央和省市区委重大决策部署，干部选育、基层党建等工作不断取得新成绩，相关经验做法先后被中央、省、市主要媒体刊登报道，组织工作水平得到进一步提升，工作效果进一步凸显，为全区又好又快发展做出积极贡献。</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一、坚持高站位加强思想政治建设，党员干部素质进一步提升</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坚持把干部培训作为提高党的执政能力和推进全区经济社会发展的基础性工作，通过实施“三项工程”不断提升干部培训工作科学化、规范化和实效化水平。一是提升思想素质水平，着力推进干部培训“理论武装”工程。以习近平新时代中国特色社会主义思想为指导，利用河北干部网络学院，开设学习党的十九大精神等专题网班7期，全面提升了干部用党的十九大精神武装头脑、指导实践的能力和法治思维、法制观念。全年共完成省市级调训28批次，涉及县级领导干部37人次，科级干部16人次。二是突出重点明确导向，着力推进干部培训“能力提升”工程。开展“加强平台培育，提升双创水平”、“‘互联网+’背景下的大数据应用技术”及城市建设和旅游产业发展干部精准化培训班3期，重点落实48篇课题研究报告，提出的167条建议，其中关于古城繁荣发展、旅游基础设施打造等方面具体举措已由相关单位进行落实。组织开展新任职农村党组织书记培训班，突出深化农村信任村党组织干部思想认识，不断提升服务发展等各方面本领。三是探索务实有效途径，着力推进干部培训“创新发展”工程。在全区年轻干部中探索建立“六式一定”培育选拔新机制，按照聚焦式制定方案、组合式筛选学员、答题式参加培训、推介式考核选拔、提案式转化成果、跟进式培养管理、定岗位加大选任的方式，打通干部培育、选拔、管理、使用完整链条，形成源头培养、跟踪培养、全程培养的素质培养体系。通过召开推介会，一批具有思想性、创新意识的优秀年轻干部脱颖而出，推荐给干部管理部门进行深入考察研判，21名优秀年轻干部已被区委提拔使用。</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二、坚持高标准抓好干部选育工作，干部队伍建设进一步深化</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不断探索干部选拔任用工作新途径，扩大干部工作中的民主，建立和完善干部工作制度，为区委干部选拔任用工作提供了准确依据和有力保障。一是以省委巡视整改暨“一问责八清理”回头看为切入点，从严规范干部选任工作。建立健全长效机制，不断深化巩固巡察整改成果，年内涉及巡视整改调整干部24人，健全完善干部选任机制3项，积极探索干部管理工作机制2项，顺利通过省委巡视整改暨“一问责八清理”回头看评估验收。二是以年轻干部培养为着力点，不断强化干部队伍建设。坚持选调生的源头培养，把今年招录的6名选调生分配到乡镇工作锻炼。持续推进“三提名一推荐两考察”的后备干部集中遴选工作，不断优化队伍知识结构和专业结构，切实建强后备干部人才库。推选出2名副县级、4名正科级优秀年轻干部，为市委及时发现储备优秀年轻干部提供人才支持。先后抽调40余名优秀年干部参与创建文明城市、创建卫生城市、村“两委”换届、佳龙项目、古城取暖改造等工作中，进一步拓宽干部视野，丰富成长阅历。三是以干部工作精细化为立足点，扎实管理干部日常工作。创新开展专人“1+1”档案培训，即“理论学习+改版实践操作”，切实提高查档审档能力，对区委组织部管理的700余卷干部人事档案系统梳理。持续推行公务员登记、事业编制干部转正、公务员职务职级并行、公务交通补贴政策的实施。</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三、坚持高要求创新干部选贤任能，监督考核能力进一步完善</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严格执行《干部任用条例》和干部选拔任用工作四项监督制度等法规规定，突出重点，创新举措，不断完善干部“考、管”结合机制，激发干部干事创业热情。一是以考促干，切实发挥考核工作导向作用。组织2017年度区管领导班子和领导干部考核工作及全区党群系统公务员、事业单位工作人员年度考核，对全区96个科级单位、476名科级干部进行了综合考核，对考核优秀的34名公务员、事业单位工作人员进行了表彰。建立完善考核结果与干部使用管理全程对接、全面结合制度，建立考核结果入库建档、沟通衔接和信息资源共享等制度。研究修改《区管领导班子和领导干部年度综合考核评价办法（试行）》，提高了考核评价的客观性和公正性。二是从严治吏，着力推动干部监管常态化。探索建立了“考察反馈”制度，在干部考察结束后，就考察对象存在的问题及时向其所在单位及本人反馈，督促其及时纠正。完善党员和国家公职人员因私出国（境）证照集中管理制度，确保登记备案工作在全区全覆盖，全年共审批因私出国（境）领导干部15人。加强配偶已移居国（境）外国家工作人员任职岗位管理，对全区配偶已移居国（境）外的科级干部进行全面摸底。制定我区组织系统及区第二专项小组专项整治工作整改方案，组织整改落实，确保中央巡视反馈问题整改到位。完善“新调整干部廉政培训制度”，坚持利用党员干部主体培训班、干部廉政法规考试等渠道，开展任前廉政教育，将干部监督“关口”前移，事先预防，防止带“病”上岗。</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四、坚持高质量打造基层党建堡垒，基层党组织建设进一步巩固</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坚持抓规范、强组织、激活力、重实效，固本强基、统筹结合、创新载体，不断提升全区基层党建工作整体水平。一是抓好村（社区）“两委”换届，全面加强农村、社区基层组织建设。圆满完成村（社区）“两委”换届工作，全区村和社区书记年龄、学历、“一人兼”比例创历史新高，50周岁以下67人占比70%，高中以上学历84人占88%，“一人兼”89个村占比93%；社区书记50岁以下14人占比93.3%，高中以上学历15人占100%、“一人兼”15个社区占比100%。96个村全部建立了健全村务监督委员会，并进一步完善了共青团、妇联等配套组织建设。大力开展“夺旗争先”活动，明确“五有一好”打造标准，全区共打造“农村红旗党支部”10个。在戴河古城培训基地和区委党校举办了3期村党组织书记培训班，进一步提高了村党组织书记作为乡村振兴“火车头”、“领头雁”的素质能力。重点围绕理顺社区治理权责清单、规范社区服务事项等内容，在全区4个街道、5个社区开展试点，促进全区城乡社区治理体系和治理能力现代化。积极推进“一居一品”社区建设，已打造出西河社区、东城社区、服远社区等高标准党建精品示范社区。二是着力强化教育管理举措，全面提升基层党建规范化水平。制定《山海关区基层党建规范化、标准化、精细化管理细则（试行）》，进一步加强基层党工委规范化、基层支部标准化、党员队伍精细化管理。结合“我到基层讲党课”活动，先后举办基层党务干部、非公企业和社会组织党组织书记等培训班，举办农村干部全员大轮训，进一步提高基层党员干部理论水平和工作能力。全区已建立党组织的非公企业157家，覆盖率达到92.35%；已建立党组织的社会组织65家，覆盖率达到97%，61个非公企业和社会组织党组织活动场所均已经达到“六有”标准。深入开展党员志愿服务和“接力沈汝波，为民进社区”活动，将每个月第一个星期六作为“党员固定服务日”，涌现出古城街道“及时雨”、西关街道“蒲公英”等一大批志愿服务团队。不断深化内涵，科学指导，双拥工作呈现整体推进、持续发展的喜人局面。三是优化“雄关旗帜”基层党建管理系统，全面激发基层党建新活力。打造“基层党建信息化数据管理平台”，进一步完善“雄关旗帜”基层党建管理系统，实现了对基层党组织党建工作运行情况的实时监督掌控和党建工作动态化精准管理。设置党建动态、党员信箱、党员加油站、支部之间、交流园地、积分管理、业余生活等20余项功能模块，形成了集数据管理、学习教育、互动交流、宣传展示、动态预警、便捷服务、激励约束、拓展应用于一体的“八大平台”，实现了“智慧党建点对点，从严治党一对一”，推动了党的一切工作到支部、到党员，有效提升组织生活规范化水平。</w:t>
      </w:r>
      <w:r>
        <w:rPr>
          <w:rFonts w:hint="eastAsia" w:ascii="仿宋_GB2312" w:hAnsi="Calibri" w:eastAsia="仿宋_GB2312"/>
          <w:sz w:val="32"/>
          <w:szCs w:val="32"/>
          <w:lang w:eastAsia="zh-CN"/>
        </w:rPr>
        <w:t>截至目前</w:t>
      </w:r>
      <w:r>
        <w:rPr>
          <w:rFonts w:ascii="仿宋_GB2312" w:hAnsi="Calibri" w:eastAsia="仿宋_GB2312"/>
          <w:sz w:val="32"/>
          <w:szCs w:val="32"/>
          <w:lang w:eastAsia="zh-CN"/>
        </w:rPr>
        <w:t>，系统已覆盖全区367个支部，注册党员达到5200余人，推送发布各类资讯文章共计862篇，党支部上传“三会一课”等组织活动预警信息3294条，组织各类支部活动300余场次，党员撰写学习心得221篇，提出建设性意见建议173条，累计参与答题竞赛人数1900余人次，发布业余生活和志愿服务动态信息302篇。“雄关旗帜”——基层党建手机管理系统的先进经验做法，先后被新华社内参、中国组织人事报、人民网、河北日报等多家中央、省、市媒体刊发，引起了较大社会影响。</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五、坚持高水平实施聚智引才工程，人才资源开发能力进一步拓展</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大力实施人才强区战略，不断创新人才工作机制，加大对各类人才的培育、选拔、引进和服务工作，为全区经济建设提供了强有力的人才保障。一是坚持党管人才原则，充分发挥牵头抓总作用。建立人才工作分析例会制度，加强各成员单位之间的联系，充分调动各单位、各部门的主观能动性。制定《山海关区2018年人才工作要点》和《2018年人才工作目标责任分解》，明确本年度全区人才发展的工作思路、战略目标和主要任务。二是创新人才培养模式，提升人才队伍整体水平。实施“凤还巢”人才助力工程，优化环境培植“还巢”沃土，积极鼓励和扶持“凤还巢”人员创业就业。实施紧缺人才引进工程，引进医疗卫生系统急需专业技术人才4人，全区各中小学共交流教师52名，进一步优化专业人才队伍结构。实施乡土人才提升工程，组织召开培训班7期，培训农户1000余人次，同时组织农业产业专家入户指导24人次，带领农村实用技术人才赴绥中、青龙等地学习3期并成功组织召开2018年京津冀大樱桃蜜蜂授粉与绿色防控技术观摩研讨会，进一步提高农民生产专业技能水平。三是搭好人才服务平台，强化人才服务发展成效。部署开展全区“人才工作大调研、人才需求大摸底、人才难题大破解”，“高层次专家信息统计”和“四大两特”产业人才状况调研等活动。全面落实人才安居政策，按照全市统一部署，通过社会面广泛宣传、组织开展全面调研、点对点政策答疑等方式，累计调研6000余人。四是健全人才工作机制，筑牢人才培养管理体系。进一步细化《人才工作综合考核评价办法（征求意见稿）》，推行量化管理考核，将各项重点人才工作目标任务细化分解到各牵头单位和责任单位，明确人才工作任务、责任分工，提高人才工作专项考核权重，对人才工作薄弱环节、年度重点工作实行定期推进和</w:t>
      </w:r>
      <w:r>
        <w:rPr>
          <w:rFonts w:hint="eastAsia" w:ascii="仿宋_GB2312" w:hAnsi="Calibri" w:eastAsia="仿宋_GB2312"/>
          <w:sz w:val="32"/>
          <w:szCs w:val="32"/>
          <w:lang w:eastAsia="zh-CN"/>
        </w:rPr>
        <w:t>挂账</w:t>
      </w:r>
      <w:r>
        <w:rPr>
          <w:rFonts w:ascii="仿宋_GB2312" w:hAnsi="Calibri" w:eastAsia="仿宋_GB2312"/>
          <w:sz w:val="32"/>
          <w:szCs w:val="32"/>
          <w:lang w:eastAsia="zh-CN"/>
        </w:rPr>
        <w:t>督导。完善人才工作反馈机制，有关人才工作的重要会议、重要活动和重要事项及时向区人才工作领导小组汇报；落实人才工作联络员制度，确保有专人负责做好本部门本系统的人才工作。</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步完善了共青团、妇联等配套组织建设。大力开展“夺旗争先”活动，明确“五有一好”打造标准，全区共打造“农村红旗党支部”10个。在戴河古城培训基地和区委党校举办了3期村党组织书记培训班，进一步提高了村党组织书记作为乡村振兴“火车头”、“领头雁”的素质能力。重点围绕理顺社区治理权责清单、规范社区服务事项等内容，在全区4个街道、5个社区开展试点，促进全区城乡社区治理体系和治理能力现代化。积极推进“一居一品”社区建设，已打造出西河社区、东城社区、服远社区等高标准党建精品示范社区。二是着力强化教育管理举措，全面提升基层党建规范化水平。制定《山海关区基层党建规范化、标准化、精细化管理细则（试行）》，进一步加强基层党工委规范化、基层支部标准化、党员队伍精细化管理。结合“我到基层讲党课”活动，先后举办基层党务干部、非公企业和社会组织党组织书记等培训班，举办农村干部全员大轮训，进一步提高基层党员干部理论水平和工作能力。全区已建立党组织的非公企业157家，覆盖率达到92.35%；已建立党组织的社会组织65家，覆盖率达到97%，61个非公企业和社会组织党组织活动场所均已经达到“六有”标准。深入开展党员志愿服务和“接力沈汝波，为民进社区”活动，将每个月第一个星期六作为“党员固定服务日”，涌现出古城街道“及时雨”、西关街道“蒲公英”等一大批志愿服务团队。不断深化内涵，科学指导，双拥工作呈现整体推进、持续发展的喜人局面。三是优化“雄关旗帜”基层党建管理系统，全面激发基层党建新活力。打造“基层党建信息化数据管理平台”，进一步完善“雄关旗帜”基层党建管理系统，实现了对基层党组织党建工作运行情况的实时监督掌控和党建工作动态化精准管理。设置党建动态、党员信箱、党员加油站、支部之间、交流园地、积分管理、业余生活等20余项功能模块，形成了集数据管理、学习教育、互动交流、宣传展示、动态预警、便捷服务、激励约束、拓展应用于一体的“八大平台”，实现了“智慧党建点对点，从严治党一对一”，推动了党的一切工作到支部、到党员，有效提升组织生活规范化水平。</w:t>
      </w:r>
      <w:r>
        <w:rPr>
          <w:rFonts w:hint="eastAsia" w:ascii="仿宋_GB2312" w:hAnsi="Calibri" w:eastAsia="仿宋_GB2312"/>
          <w:sz w:val="32"/>
          <w:szCs w:val="32"/>
          <w:lang w:eastAsia="zh-CN"/>
        </w:rPr>
        <w:t>截至目前</w:t>
      </w:r>
      <w:r>
        <w:rPr>
          <w:rFonts w:ascii="仿宋_GB2312" w:hAnsi="Calibri" w:eastAsia="仿宋_GB2312"/>
          <w:sz w:val="32"/>
          <w:szCs w:val="32"/>
          <w:lang w:eastAsia="zh-CN"/>
        </w:rPr>
        <w:t>，系统已覆盖全区367个支部，注册党员达到5200余人，推送发布各类资讯文章共计862篇，党支部上传“三会一课”等组织活动预警信息3294条，组织各类支部活动300余场次，党员撰写学习心得221篇，提出建设性意见建议173条，累计参与答题竞赛人数1900余人次，发布业余生活和志愿服务动态信息302篇。“雄关旗帜”——基层党建手机管理系统的先进经验做法，先后被新华社内参、中国组织人事报、人民网、河北日报等多家中央、省、市媒体刊发，引起了较大社会影响。</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五、坚持高水平实施聚智引才工程，人才资源开发能力进一步拓展</w:t>
      </w:r>
    </w:p>
    <w:p>
      <w:pPr>
        <w:pStyle w:val="192"/>
        <w:rPr>
          <w:rFonts w:ascii="仿宋_GB2312" w:hAnsi="Calibri" w:eastAsia="仿宋_GB2312"/>
          <w:sz w:val="32"/>
          <w:szCs w:val="32"/>
          <w:lang w:eastAsia="zh-CN"/>
        </w:rPr>
      </w:pPr>
      <w:r>
        <w:rPr>
          <w:rFonts w:ascii="仿宋_GB2312" w:hAnsi="Calibri" w:eastAsia="仿宋_GB2312"/>
          <w:sz w:val="32"/>
          <w:szCs w:val="32"/>
          <w:lang w:eastAsia="zh-CN"/>
        </w:rPr>
        <w:t>大力实施人才强区战略，不断创新人才工作机制，加大对各类人才的培育、选拔、引进和服务工作，为全区经济建设提供了强有力的人才保障。一是坚持党管人才原则，充分发挥牵头抓总作用。建立人才工作分析例会制度，加强各成员单位之间的联系，充分调动各单位、各部门的主观能动性。制定《山海关区2018年人才工作要点》和《2018年人才工作目标责任分解》，明确本年度全区人才发展的工作思路、战略目标和主要任务。二是创新人才培养模式，提升人才队伍整体水平。实施“凤还巢”人才助力工程，优化环境培植“还巢”沃土，积极鼓励和扶持“凤还巢”人员创业就业。实施紧缺人才引进工程，引进医疗卫生系统急需专业技术人才4人，全区各中小学共交流教师52名，进一步优化专业人才队伍结构。实施乡土人才提升工程，组织召开培训班7期，培训农户1000余人次，同时组织农业产业专家入户指导24人次，带领农村实用技术人才赴绥中、青龙等地学习3期并成功组织召开2018年京津冀大樱桃蜜蜂授粉与绿色防控技术观摩研讨会，进一步提高农民生产专业技能水平。三是搭好人才服务平台，强化人才服务发展成效。部署开展全区“人才工作大调研、人才需求大摸底、人才难题大破解”，“高层次专家信息统计”和“四大两特”产业人才状况调研等活动。全面落实人才安居政策，按照全市统一部署，通过社会面广泛宣传、组织开展全面调研、点对点政策答疑等方式，累计调研6000余人。四是健全人才工作机制，筑牢人才培养管理体系。进一步细化《人才工作综合考核评价办法（征求意见稿）》，推行量化管理考核，将各项重点人才工作目标任务细化分解到各牵头单位和责任单位，明确人才工作任务、责任分工，提高人才工作专项考核权重，对人才工作薄弱环节、年度重点工作实行定期推进和</w:t>
      </w:r>
      <w:r>
        <w:rPr>
          <w:rFonts w:hint="eastAsia" w:ascii="仿宋_GB2312" w:hAnsi="Calibri" w:eastAsia="仿宋_GB2312"/>
          <w:sz w:val="32"/>
          <w:szCs w:val="32"/>
          <w:lang w:eastAsia="zh-CN"/>
        </w:rPr>
        <w:t>挂账</w:t>
      </w:r>
      <w:r>
        <w:rPr>
          <w:rFonts w:ascii="仿宋_GB2312" w:hAnsi="Calibri" w:eastAsia="仿宋_GB2312"/>
          <w:sz w:val="32"/>
          <w:szCs w:val="32"/>
          <w:lang w:eastAsia="zh-CN"/>
        </w:rPr>
        <w:t>督导。完善人才工作反馈机制，有关人才工作的重要会议、重要活动和重要事项及时向区人才工作领导小组汇报；落实人才工作联络员制度，确保有专人负责做好本部门本系统的人才工作。</w:t>
      </w:r>
    </w:p>
    <w:p>
      <w:pPr>
        <w:pStyle w:val="192"/>
        <w:rPr>
          <w:rFonts w:ascii="仿宋_GB2312" w:hAnsi="Calibri" w:eastAsia="仿宋_GB2312"/>
          <w:sz w:val="32"/>
          <w:szCs w:val="32"/>
          <w:lang w:eastAsia="zh-CN"/>
        </w:rPr>
      </w:pPr>
    </w:p>
    <w:p>
      <w:pPr>
        <w:jc w:val="center"/>
        <w:rPr>
          <w:rFonts w:ascii="仿宋_GB2312" w:eastAsia="仿宋_GB2312"/>
          <w:sz w:val="32"/>
          <w:szCs w:val="32"/>
        </w:rPr>
        <w:sectPr>
          <w:pgSz w:w="11900" w:h="16840" w:orient="landscape"/>
          <w:pgMar w:top="1984" w:right="1304" w:bottom="1134" w:left="1304" w:header="720" w:footer="720" w:gutter="0"/>
          <w:pgNumType w:start="1"/>
          <w:cols w:space="1701" w:num="1"/>
        </w:sectPr>
      </w:pPr>
    </w:p>
    <w:p>
      <w:pPr>
        <w:pStyle w:val="190"/>
        <w:rPr>
          <w:rFonts w:hint="eastAsia" w:ascii="仿宋_GB2312" w:hAnsi="Calibri" w:eastAsia="仿宋_GB2312"/>
          <w:sz w:val="32"/>
          <w:szCs w:val="32"/>
          <w:lang w:eastAsia="zh-CN"/>
        </w:rPr>
      </w:pPr>
    </w:p>
    <w:p>
      <w:pPr>
        <w:ind w:firstLine="630"/>
        <w:rPr>
          <w:rFonts w:hint="eastAsia" w:ascii="KaiTi_GB2312" w:hAnsi="楷体" w:eastAsia="KaiTi_GB2312" w:cs="楷体"/>
          <w:color w:val="FF0000"/>
          <w:sz w:val="32"/>
        </w:rPr>
      </w:pPr>
      <w:r>
        <w:rPr>
          <w:rFonts w:hint="eastAsia" w:ascii="KaiTi_GB2312" w:eastAsia="KaiTi_GB2312"/>
          <w:b/>
          <w:sz w:val="32"/>
          <w:szCs w:val="32"/>
        </w:rPr>
        <w:t>部门职责及工作活动绩效目标指标</w:t>
      </w:r>
      <w:r>
        <w:rPr>
          <w:rFonts w:hint="eastAsia" w:ascii="KaiTi_GB2312" w:hAnsi="楷体" w:eastAsia="KaiTi_GB2312" w:cs="楷体"/>
          <w:color w:val="000000"/>
          <w:sz w:val="32"/>
        </w:rPr>
        <w:t>：</w:t>
      </w:r>
      <w:bookmarkStart w:id="3" w:name="_Toc475348078"/>
      <w:r>
        <w:rPr>
          <w:rFonts w:hint="eastAsia" w:ascii="KaiTi_GB2312" w:hAnsi="楷体" w:eastAsia="KaiTi_GB2312" w:cs="楷体"/>
          <w:color w:val="FF0000"/>
          <w:sz w:val="32"/>
        </w:rPr>
        <w:t xml:space="preserve"> </w:t>
      </w:r>
    </w:p>
    <w:p>
      <w:pPr>
        <w:ind w:firstLine="560"/>
        <w:outlineLvl w:val="3"/>
      </w:pPr>
      <w:bookmarkStart w:id="4" w:name="_Toc_4_4_0000000004"/>
      <w:r>
        <w:rPr>
          <w:rFonts w:ascii="方正仿宋_GBK" w:hAnsi="方正仿宋_GBK" w:eastAsia="方正仿宋_GBK" w:cs="方正仿宋_GBK"/>
          <w:color w:val="000000"/>
          <w:sz w:val="28"/>
        </w:rPr>
        <w:t>1.车辆保险费绩效目标表</w:t>
      </w:r>
      <w:bookmarkEnd w:id="3"/>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13030322P003970100068</w:t>
            </w:r>
          </w:p>
        </w:tc>
        <w:tc>
          <w:tcPr>
            <w:tcW w:w="1587" w:type="dxa"/>
            <w:noWrap w:val="0"/>
            <w:vAlign w:val="center"/>
          </w:tcPr>
          <w:p>
            <w:pPr>
              <w:pStyle w:val="196"/>
            </w:pPr>
            <w:r>
              <w:t>项目名称</w:t>
            </w:r>
          </w:p>
        </w:tc>
        <w:tc>
          <w:tcPr>
            <w:tcW w:w="4423" w:type="dxa"/>
            <w:gridSpan w:val="3"/>
            <w:noWrap w:val="0"/>
            <w:vAlign w:val="center"/>
          </w:tcPr>
          <w:p>
            <w:pPr>
              <w:pStyle w:val="195"/>
            </w:pPr>
            <w:r>
              <w:t>车辆保险费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1.20</w:t>
            </w:r>
          </w:p>
        </w:tc>
        <w:tc>
          <w:tcPr>
            <w:tcW w:w="1587" w:type="dxa"/>
            <w:noWrap w:val="0"/>
            <w:vAlign w:val="center"/>
          </w:tcPr>
          <w:p>
            <w:pPr>
              <w:pStyle w:val="196"/>
            </w:pPr>
            <w:r>
              <w:t>其中：财政    资金</w:t>
            </w:r>
          </w:p>
        </w:tc>
        <w:tc>
          <w:tcPr>
            <w:tcW w:w="1304" w:type="dxa"/>
            <w:noWrap w:val="0"/>
            <w:vAlign w:val="center"/>
          </w:tcPr>
          <w:p>
            <w:pPr>
              <w:pStyle w:val="195"/>
            </w:pPr>
            <w:r>
              <w:t>1.20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车辆保险费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p>
        </w:tc>
        <w:tc>
          <w:tcPr>
            <w:tcW w:w="1587" w:type="dxa"/>
            <w:noWrap w:val="0"/>
            <w:vAlign w:val="center"/>
          </w:tcPr>
          <w:p>
            <w:pPr>
              <w:pStyle w:val="197"/>
            </w:pPr>
            <w:r>
              <w:t>30%</w:t>
            </w:r>
          </w:p>
        </w:tc>
        <w:tc>
          <w:tcPr>
            <w:tcW w:w="1304" w:type="dxa"/>
            <w:noWrap w:val="0"/>
            <w:vAlign w:val="center"/>
          </w:tcPr>
          <w:p>
            <w:pPr>
              <w:pStyle w:val="197"/>
            </w:pPr>
            <w:r>
              <w:t>60%</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1.保障办公车辆正常运行</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投保车辆数</w:t>
            </w:r>
          </w:p>
        </w:tc>
        <w:tc>
          <w:tcPr>
            <w:tcW w:w="2891" w:type="dxa"/>
            <w:noWrap w:val="0"/>
            <w:vAlign w:val="center"/>
          </w:tcPr>
          <w:p>
            <w:pPr>
              <w:pStyle w:val="195"/>
            </w:pPr>
            <w:r>
              <w:t>确保投保车辆数量</w:t>
            </w:r>
          </w:p>
        </w:tc>
        <w:tc>
          <w:tcPr>
            <w:tcW w:w="1276" w:type="dxa"/>
            <w:noWrap w:val="0"/>
            <w:vAlign w:val="center"/>
          </w:tcPr>
          <w:p>
            <w:pPr>
              <w:pStyle w:val="195"/>
            </w:pPr>
            <w:r>
              <w:t>≥90确保投保车辆数量</w:t>
            </w:r>
          </w:p>
        </w:tc>
        <w:tc>
          <w:tcPr>
            <w:tcW w:w="1843" w:type="dxa"/>
            <w:noWrap w:val="0"/>
            <w:vAlign w:val="center"/>
          </w:tcPr>
          <w:p>
            <w:pPr>
              <w:pStyle w:val="195"/>
            </w:pPr>
            <w:r>
              <w:t>确保投保车辆数量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保障紧急处置到位率</w:t>
            </w:r>
          </w:p>
        </w:tc>
        <w:tc>
          <w:tcPr>
            <w:tcW w:w="2891" w:type="dxa"/>
            <w:noWrap w:val="0"/>
            <w:vAlign w:val="center"/>
          </w:tcPr>
          <w:p>
            <w:pPr>
              <w:pStyle w:val="195"/>
            </w:pPr>
            <w:r>
              <w:t>保障紧急处置到位率</w:t>
            </w:r>
          </w:p>
        </w:tc>
        <w:tc>
          <w:tcPr>
            <w:tcW w:w="1276" w:type="dxa"/>
            <w:noWrap w:val="0"/>
            <w:vAlign w:val="center"/>
          </w:tcPr>
          <w:p>
            <w:pPr>
              <w:pStyle w:val="195"/>
            </w:pPr>
            <w:r>
              <w:t>≥90保障紧急处置到位率</w:t>
            </w:r>
          </w:p>
        </w:tc>
        <w:tc>
          <w:tcPr>
            <w:tcW w:w="1843" w:type="dxa"/>
            <w:noWrap w:val="0"/>
            <w:vAlign w:val="center"/>
          </w:tcPr>
          <w:p>
            <w:pPr>
              <w:pStyle w:val="195"/>
            </w:pPr>
            <w:r>
              <w:t>保障紧急处置到位率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及时投保率</w:t>
            </w:r>
          </w:p>
        </w:tc>
        <w:tc>
          <w:tcPr>
            <w:tcW w:w="2891" w:type="dxa"/>
            <w:noWrap w:val="0"/>
            <w:vAlign w:val="center"/>
          </w:tcPr>
          <w:p>
            <w:pPr>
              <w:pStyle w:val="195"/>
            </w:pPr>
            <w:r>
              <w:t>及时投保率</w:t>
            </w:r>
          </w:p>
        </w:tc>
        <w:tc>
          <w:tcPr>
            <w:tcW w:w="1276" w:type="dxa"/>
            <w:noWrap w:val="0"/>
            <w:vAlign w:val="center"/>
          </w:tcPr>
          <w:p>
            <w:pPr>
              <w:pStyle w:val="195"/>
            </w:pPr>
            <w:r>
              <w:t>≥90及时投保率</w:t>
            </w:r>
          </w:p>
        </w:tc>
        <w:tc>
          <w:tcPr>
            <w:tcW w:w="1843" w:type="dxa"/>
            <w:noWrap w:val="0"/>
            <w:vAlign w:val="center"/>
          </w:tcPr>
          <w:p>
            <w:pPr>
              <w:pStyle w:val="195"/>
            </w:pPr>
            <w:r>
              <w:t>及时投保率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投保完成率</w:t>
            </w:r>
          </w:p>
        </w:tc>
        <w:tc>
          <w:tcPr>
            <w:tcW w:w="2891" w:type="dxa"/>
            <w:noWrap w:val="0"/>
            <w:vAlign w:val="center"/>
          </w:tcPr>
          <w:p>
            <w:pPr>
              <w:pStyle w:val="195"/>
            </w:pPr>
            <w:r>
              <w:t>投保完成率</w:t>
            </w:r>
          </w:p>
        </w:tc>
        <w:tc>
          <w:tcPr>
            <w:tcW w:w="1276" w:type="dxa"/>
            <w:noWrap w:val="0"/>
            <w:vAlign w:val="center"/>
          </w:tcPr>
          <w:p>
            <w:pPr>
              <w:pStyle w:val="195"/>
            </w:pPr>
            <w:r>
              <w:t>≥90投保完成率</w:t>
            </w:r>
          </w:p>
        </w:tc>
        <w:tc>
          <w:tcPr>
            <w:tcW w:w="1843" w:type="dxa"/>
            <w:noWrap w:val="0"/>
            <w:vAlign w:val="center"/>
          </w:tcPr>
          <w:p>
            <w:pPr>
              <w:pStyle w:val="195"/>
            </w:pPr>
            <w:r>
              <w:t>投保完成率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可持续影响指标</w:t>
            </w:r>
          </w:p>
        </w:tc>
        <w:tc>
          <w:tcPr>
            <w:tcW w:w="1332" w:type="dxa"/>
            <w:noWrap w:val="0"/>
            <w:vAlign w:val="center"/>
          </w:tcPr>
          <w:p>
            <w:pPr>
              <w:pStyle w:val="195"/>
            </w:pPr>
            <w:r>
              <w:t>长期使用性</w:t>
            </w:r>
          </w:p>
        </w:tc>
        <w:tc>
          <w:tcPr>
            <w:tcW w:w="2891" w:type="dxa"/>
            <w:noWrap w:val="0"/>
            <w:vAlign w:val="center"/>
          </w:tcPr>
          <w:p>
            <w:pPr>
              <w:pStyle w:val="195"/>
            </w:pPr>
            <w:r>
              <w:t>长期使用性</w:t>
            </w:r>
          </w:p>
        </w:tc>
        <w:tc>
          <w:tcPr>
            <w:tcW w:w="1276" w:type="dxa"/>
            <w:noWrap w:val="0"/>
            <w:vAlign w:val="center"/>
          </w:tcPr>
          <w:p>
            <w:pPr>
              <w:pStyle w:val="195"/>
            </w:pPr>
            <w:r>
              <w:t>≥90长期使用性</w:t>
            </w:r>
          </w:p>
        </w:tc>
        <w:tc>
          <w:tcPr>
            <w:tcW w:w="1843" w:type="dxa"/>
            <w:noWrap w:val="0"/>
            <w:vAlign w:val="center"/>
          </w:tcPr>
          <w:p>
            <w:pPr>
              <w:pStyle w:val="195"/>
            </w:pPr>
            <w:r>
              <w:t>长期使用性</w:t>
            </w:r>
          </w:p>
        </w:tc>
      </w:tr>
    </w:tbl>
    <w:p>
      <w:pPr>
        <w:sectPr>
          <w:pgSz w:w="11900" w:h="16840" w:orient="landscape"/>
          <w:pgMar w:top="1984" w:right="1304" w:bottom="1134" w:left="1304" w:header="720" w:footer="720" w:gutter="0"/>
          <w:cols w:space="1701" w:num="1"/>
        </w:sectPr>
      </w:pPr>
    </w:p>
    <w:p>
      <w:pPr>
        <w:jc w:val="center"/>
      </w:pPr>
    </w:p>
    <w:p>
      <w:pPr>
        <w:ind w:firstLine="560"/>
        <w:outlineLvl w:val="3"/>
      </w:pPr>
      <w:bookmarkStart w:id="5" w:name="_Toc_4_4_0000000005"/>
      <w:r>
        <w:rPr>
          <w:rFonts w:ascii="方正仿宋_GBK" w:hAnsi="方正仿宋_GBK" w:eastAsia="方正仿宋_GBK" w:cs="方正仿宋_GBK"/>
          <w:color w:val="000000"/>
          <w:sz w:val="28"/>
        </w:rPr>
        <w:t>2.非公党建工作经费绩效目标表</w:t>
      </w:r>
      <w:bookmarkEnd w:id="4"/>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13030322P00401110001D</w:t>
            </w:r>
          </w:p>
        </w:tc>
        <w:tc>
          <w:tcPr>
            <w:tcW w:w="1587" w:type="dxa"/>
            <w:noWrap w:val="0"/>
            <w:vAlign w:val="center"/>
          </w:tcPr>
          <w:p>
            <w:pPr>
              <w:pStyle w:val="196"/>
            </w:pPr>
            <w:r>
              <w:t>项目名称</w:t>
            </w:r>
          </w:p>
        </w:tc>
        <w:tc>
          <w:tcPr>
            <w:tcW w:w="4423" w:type="dxa"/>
            <w:gridSpan w:val="3"/>
            <w:noWrap w:val="0"/>
            <w:vAlign w:val="center"/>
          </w:tcPr>
          <w:p>
            <w:pPr>
              <w:pStyle w:val="195"/>
            </w:pPr>
            <w:r>
              <w:t>非公党建工作经费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2.00</w:t>
            </w:r>
          </w:p>
        </w:tc>
        <w:tc>
          <w:tcPr>
            <w:tcW w:w="1587" w:type="dxa"/>
            <w:noWrap w:val="0"/>
            <w:vAlign w:val="center"/>
          </w:tcPr>
          <w:p>
            <w:pPr>
              <w:pStyle w:val="196"/>
            </w:pPr>
            <w:r>
              <w:t>其中：财政    资金</w:t>
            </w:r>
          </w:p>
        </w:tc>
        <w:tc>
          <w:tcPr>
            <w:tcW w:w="1304" w:type="dxa"/>
            <w:noWrap w:val="0"/>
            <w:vAlign w:val="center"/>
          </w:tcPr>
          <w:p>
            <w:pPr>
              <w:pStyle w:val="195"/>
            </w:pPr>
            <w:r>
              <w:t>2.00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非公党建工作经费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1.加强党员队伍建设，提高党员素质</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发展党员工作完成率</w:t>
            </w:r>
          </w:p>
        </w:tc>
        <w:tc>
          <w:tcPr>
            <w:tcW w:w="2891" w:type="dxa"/>
            <w:noWrap w:val="0"/>
            <w:vAlign w:val="center"/>
          </w:tcPr>
          <w:p>
            <w:pPr>
              <w:pStyle w:val="195"/>
            </w:pPr>
            <w:r>
              <w:t>发展党员工作完成率</w:t>
            </w:r>
          </w:p>
        </w:tc>
        <w:tc>
          <w:tcPr>
            <w:tcW w:w="1276" w:type="dxa"/>
            <w:noWrap w:val="0"/>
            <w:vAlign w:val="center"/>
          </w:tcPr>
          <w:p>
            <w:pPr>
              <w:pStyle w:val="195"/>
            </w:pPr>
            <w:r>
              <w:t>≥90发展党员工作完成率</w:t>
            </w:r>
          </w:p>
        </w:tc>
        <w:tc>
          <w:tcPr>
            <w:tcW w:w="1843" w:type="dxa"/>
            <w:noWrap w:val="0"/>
            <w:vAlign w:val="center"/>
          </w:tcPr>
          <w:p>
            <w:pPr>
              <w:pStyle w:val="195"/>
            </w:pPr>
            <w:r>
              <w:t>发展党员工作完成率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工作完成率</w:t>
            </w:r>
          </w:p>
        </w:tc>
        <w:tc>
          <w:tcPr>
            <w:tcW w:w="2891" w:type="dxa"/>
            <w:noWrap w:val="0"/>
            <w:vAlign w:val="center"/>
          </w:tcPr>
          <w:p>
            <w:pPr>
              <w:pStyle w:val="195"/>
            </w:pPr>
            <w:r>
              <w:t>工作完成率</w:t>
            </w:r>
          </w:p>
        </w:tc>
        <w:tc>
          <w:tcPr>
            <w:tcW w:w="1276" w:type="dxa"/>
            <w:noWrap w:val="0"/>
            <w:vAlign w:val="center"/>
          </w:tcPr>
          <w:p>
            <w:pPr>
              <w:pStyle w:val="195"/>
            </w:pPr>
            <w:r>
              <w:t>≥90工作完成率</w:t>
            </w:r>
          </w:p>
        </w:tc>
        <w:tc>
          <w:tcPr>
            <w:tcW w:w="1843" w:type="dxa"/>
            <w:noWrap w:val="0"/>
            <w:vAlign w:val="center"/>
          </w:tcPr>
          <w:p>
            <w:pPr>
              <w:pStyle w:val="195"/>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各项工作完成及时率</w:t>
            </w:r>
          </w:p>
        </w:tc>
        <w:tc>
          <w:tcPr>
            <w:tcW w:w="2891" w:type="dxa"/>
            <w:noWrap w:val="0"/>
            <w:vAlign w:val="center"/>
          </w:tcPr>
          <w:p>
            <w:pPr>
              <w:pStyle w:val="195"/>
            </w:pPr>
            <w:r>
              <w:t>各项工作完成及时率</w:t>
            </w:r>
          </w:p>
        </w:tc>
        <w:tc>
          <w:tcPr>
            <w:tcW w:w="1276" w:type="dxa"/>
            <w:noWrap w:val="0"/>
            <w:vAlign w:val="center"/>
          </w:tcPr>
          <w:p>
            <w:pPr>
              <w:pStyle w:val="195"/>
            </w:pPr>
            <w:r>
              <w:t>≥90各项工作完成及时率</w:t>
            </w:r>
          </w:p>
        </w:tc>
        <w:tc>
          <w:tcPr>
            <w:tcW w:w="1843" w:type="dxa"/>
            <w:noWrap w:val="0"/>
            <w:vAlign w:val="center"/>
          </w:tcPr>
          <w:p>
            <w:pPr>
              <w:pStyle w:val="195"/>
            </w:pPr>
            <w:r>
              <w:t>各项工作完成及时率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按预算资金完成率</w:t>
            </w:r>
          </w:p>
        </w:tc>
        <w:tc>
          <w:tcPr>
            <w:tcW w:w="2891" w:type="dxa"/>
            <w:noWrap w:val="0"/>
            <w:vAlign w:val="center"/>
          </w:tcPr>
          <w:p>
            <w:pPr>
              <w:pStyle w:val="195"/>
            </w:pPr>
            <w:r>
              <w:t>按预算资金完成率</w:t>
            </w:r>
          </w:p>
        </w:tc>
        <w:tc>
          <w:tcPr>
            <w:tcW w:w="1276" w:type="dxa"/>
            <w:noWrap w:val="0"/>
            <w:vAlign w:val="center"/>
          </w:tcPr>
          <w:p>
            <w:pPr>
              <w:pStyle w:val="195"/>
            </w:pPr>
            <w:r>
              <w:t>≥90按预算资金完成率</w:t>
            </w:r>
          </w:p>
        </w:tc>
        <w:tc>
          <w:tcPr>
            <w:tcW w:w="1843" w:type="dxa"/>
            <w:noWrap w:val="0"/>
            <w:vAlign w:val="center"/>
          </w:tcPr>
          <w:p>
            <w:pPr>
              <w:pStyle w:val="195"/>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可持续影响指标</w:t>
            </w:r>
          </w:p>
        </w:tc>
        <w:tc>
          <w:tcPr>
            <w:tcW w:w="1332" w:type="dxa"/>
            <w:noWrap w:val="0"/>
            <w:vAlign w:val="center"/>
          </w:tcPr>
          <w:p>
            <w:pPr>
              <w:pStyle w:val="195"/>
            </w:pPr>
            <w:r>
              <w:t>提高基层党建工作水平</w:t>
            </w:r>
          </w:p>
        </w:tc>
        <w:tc>
          <w:tcPr>
            <w:tcW w:w="2891" w:type="dxa"/>
            <w:noWrap w:val="0"/>
            <w:vAlign w:val="center"/>
          </w:tcPr>
          <w:p>
            <w:pPr>
              <w:pStyle w:val="195"/>
            </w:pPr>
            <w:r>
              <w:t>提高基层党建工作水平</w:t>
            </w:r>
          </w:p>
        </w:tc>
        <w:tc>
          <w:tcPr>
            <w:tcW w:w="1276" w:type="dxa"/>
            <w:noWrap w:val="0"/>
            <w:vAlign w:val="center"/>
          </w:tcPr>
          <w:p>
            <w:pPr>
              <w:pStyle w:val="195"/>
            </w:pPr>
            <w:r>
              <w:t>≥90提高基层党建工作水平</w:t>
            </w:r>
          </w:p>
        </w:tc>
        <w:tc>
          <w:tcPr>
            <w:tcW w:w="1843" w:type="dxa"/>
            <w:noWrap w:val="0"/>
            <w:vAlign w:val="center"/>
          </w:tcPr>
          <w:p>
            <w:pPr>
              <w:pStyle w:val="195"/>
            </w:pPr>
            <w:r>
              <w:t>提高基层党建工作水平</w:t>
            </w:r>
          </w:p>
        </w:tc>
      </w:tr>
    </w:tbl>
    <w:p>
      <w:pPr>
        <w:sectPr>
          <w:pgSz w:w="11900" w:h="16840" w:orient="landscape"/>
          <w:pgMar w:top="1984" w:right="1304" w:bottom="1134" w:left="1304" w:header="720" w:footer="720" w:gutter="0"/>
          <w:cols w:space="1701" w:num="1"/>
        </w:sectPr>
      </w:pPr>
    </w:p>
    <w:p>
      <w:pPr>
        <w:jc w:val="center"/>
      </w:pPr>
    </w:p>
    <w:p>
      <w:pPr>
        <w:ind w:firstLine="560"/>
        <w:outlineLvl w:val="3"/>
      </w:pPr>
      <w:bookmarkStart w:id="6" w:name="_Toc_4_4_0000000006"/>
      <w:r>
        <w:rPr>
          <w:rFonts w:ascii="方正仿宋_GBK" w:hAnsi="方正仿宋_GBK" w:eastAsia="方正仿宋_GBK" w:cs="方正仿宋_GBK"/>
          <w:color w:val="000000"/>
          <w:sz w:val="28"/>
        </w:rPr>
        <w:t>3.基层党建工作经费绩效目标表</w:t>
      </w:r>
      <w:bookmarkEnd w:id="5"/>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13030322P00400310001H</w:t>
            </w:r>
          </w:p>
        </w:tc>
        <w:tc>
          <w:tcPr>
            <w:tcW w:w="1587" w:type="dxa"/>
            <w:noWrap w:val="0"/>
            <w:vAlign w:val="center"/>
          </w:tcPr>
          <w:p>
            <w:pPr>
              <w:pStyle w:val="196"/>
            </w:pPr>
            <w:r>
              <w:t>项目名称</w:t>
            </w:r>
          </w:p>
        </w:tc>
        <w:tc>
          <w:tcPr>
            <w:tcW w:w="4423" w:type="dxa"/>
            <w:gridSpan w:val="3"/>
            <w:noWrap w:val="0"/>
            <w:vAlign w:val="center"/>
          </w:tcPr>
          <w:p>
            <w:pPr>
              <w:pStyle w:val="195"/>
            </w:pPr>
            <w:r>
              <w:t>基层党建工作经费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15.00</w:t>
            </w:r>
          </w:p>
        </w:tc>
        <w:tc>
          <w:tcPr>
            <w:tcW w:w="1587" w:type="dxa"/>
            <w:noWrap w:val="0"/>
            <w:vAlign w:val="center"/>
          </w:tcPr>
          <w:p>
            <w:pPr>
              <w:pStyle w:val="196"/>
            </w:pPr>
            <w:r>
              <w:t>其中：财政    资金</w:t>
            </w:r>
          </w:p>
        </w:tc>
        <w:tc>
          <w:tcPr>
            <w:tcW w:w="1304" w:type="dxa"/>
            <w:noWrap w:val="0"/>
            <w:vAlign w:val="center"/>
          </w:tcPr>
          <w:p>
            <w:pPr>
              <w:pStyle w:val="195"/>
            </w:pPr>
            <w:r>
              <w:t>15.00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基层党建工作经费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1.加强党组织建设，不断提高基层党组织执政能力。</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发展党员工作完成率</w:t>
            </w:r>
          </w:p>
        </w:tc>
        <w:tc>
          <w:tcPr>
            <w:tcW w:w="2891" w:type="dxa"/>
            <w:noWrap w:val="0"/>
            <w:vAlign w:val="center"/>
          </w:tcPr>
          <w:p>
            <w:pPr>
              <w:pStyle w:val="195"/>
            </w:pPr>
            <w:r>
              <w:t>发展党员工作完成率</w:t>
            </w:r>
          </w:p>
        </w:tc>
        <w:tc>
          <w:tcPr>
            <w:tcW w:w="1276" w:type="dxa"/>
            <w:noWrap w:val="0"/>
            <w:vAlign w:val="center"/>
          </w:tcPr>
          <w:p>
            <w:pPr>
              <w:pStyle w:val="195"/>
            </w:pPr>
            <w:r>
              <w:t>≥90发展党员工作完成率</w:t>
            </w:r>
          </w:p>
        </w:tc>
        <w:tc>
          <w:tcPr>
            <w:tcW w:w="1843" w:type="dxa"/>
            <w:noWrap w:val="0"/>
            <w:vAlign w:val="center"/>
          </w:tcPr>
          <w:p>
            <w:pPr>
              <w:pStyle w:val="195"/>
            </w:pPr>
            <w:r>
              <w:t>发展党员工作完成率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工作完成率</w:t>
            </w:r>
          </w:p>
        </w:tc>
        <w:tc>
          <w:tcPr>
            <w:tcW w:w="2891" w:type="dxa"/>
            <w:noWrap w:val="0"/>
            <w:vAlign w:val="center"/>
          </w:tcPr>
          <w:p>
            <w:pPr>
              <w:pStyle w:val="195"/>
            </w:pPr>
            <w:r>
              <w:t>工作完成率</w:t>
            </w:r>
          </w:p>
        </w:tc>
        <w:tc>
          <w:tcPr>
            <w:tcW w:w="1276" w:type="dxa"/>
            <w:noWrap w:val="0"/>
            <w:vAlign w:val="center"/>
          </w:tcPr>
          <w:p>
            <w:pPr>
              <w:pStyle w:val="195"/>
            </w:pPr>
            <w:r>
              <w:t>≥90工作完成率</w:t>
            </w:r>
          </w:p>
        </w:tc>
        <w:tc>
          <w:tcPr>
            <w:tcW w:w="1843" w:type="dxa"/>
            <w:noWrap w:val="0"/>
            <w:vAlign w:val="center"/>
          </w:tcPr>
          <w:p>
            <w:pPr>
              <w:pStyle w:val="195"/>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各项工作完成及时率</w:t>
            </w:r>
          </w:p>
        </w:tc>
        <w:tc>
          <w:tcPr>
            <w:tcW w:w="2891" w:type="dxa"/>
            <w:noWrap w:val="0"/>
            <w:vAlign w:val="center"/>
          </w:tcPr>
          <w:p>
            <w:pPr>
              <w:pStyle w:val="195"/>
            </w:pPr>
            <w:r>
              <w:t>各项工作完成及时率</w:t>
            </w:r>
          </w:p>
        </w:tc>
        <w:tc>
          <w:tcPr>
            <w:tcW w:w="1276" w:type="dxa"/>
            <w:noWrap w:val="0"/>
            <w:vAlign w:val="center"/>
          </w:tcPr>
          <w:p>
            <w:pPr>
              <w:pStyle w:val="195"/>
            </w:pPr>
            <w:r>
              <w:t>≥90各项工作完成及时率</w:t>
            </w:r>
          </w:p>
        </w:tc>
        <w:tc>
          <w:tcPr>
            <w:tcW w:w="1843" w:type="dxa"/>
            <w:noWrap w:val="0"/>
            <w:vAlign w:val="center"/>
          </w:tcPr>
          <w:p>
            <w:pPr>
              <w:pStyle w:val="195"/>
            </w:pPr>
            <w:r>
              <w:t>各项工作完成及时率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按预算资金完成率</w:t>
            </w:r>
          </w:p>
        </w:tc>
        <w:tc>
          <w:tcPr>
            <w:tcW w:w="2891" w:type="dxa"/>
            <w:noWrap w:val="0"/>
            <w:vAlign w:val="center"/>
          </w:tcPr>
          <w:p>
            <w:pPr>
              <w:pStyle w:val="195"/>
            </w:pPr>
            <w:r>
              <w:t>按预算资金完成率</w:t>
            </w:r>
          </w:p>
        </w:tc>
        <w:tc>
          <w:tcPr>
            <w:tcW w:w="1276" w:type="dxa"/>
            <w:noWrap w:val="0"/>
            <w:vAlign w:val="center"/>
          </w:tcPr>
          <w:p>
            <w:pPr>
              <w:pStyle w:val="195"/>
            </w:pPr>
            <w:r>
              <w:t>≥90按预算资金完成率</w:t>
            </w:r>
          </w:p>
        </w:tc>
        <w:tc>
          <w:tcPr>
            <w:tcW w:w="1843" w:type="dxa"/>
            <w:noWrap w:val="0"/>
            <w:vAlign w:val="center"/>
          </w:tcPr>
          <w:p>
            <w:pPr>
              <w:pStyle w:val="195"/>
            </w:pPr>
            <w:r>
              <w:t>按预算资金完成率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可持续影响指标</w:t>
            </w:r>
          </w:p>
        </w:tc>
        <w:tc>
          <w:tcPr>
            <w:tcW w:w="1332" w:type="dxa"/>
            <w:noWrap w:val="0"/>
            <w:vAlign w:val="center"/>
          </w:tcPr>
          <w:p>
            <w:pPr>
              <w:pStyle w:val="195"/>
            </w:pPr>
            <w:r>
              <w:t>提高基层党建工作水平</w:t>
            </w:r>
          </w:p>
        </w:tc>
        <w:tc>
          <w:tcPr>
            <w:tcW w:w="2891" w:type="dxa"/>
            <w:noWrap w:val="0"/>
            <w:vAlign w:val="center"/>
          </w:tcPr>
          <w:p>
            <w:pPr>
              <w:pStyle w:val="195"/>
            </w:pPr>
            <w:r>
              <w:t>提高基层党建工作水平</w:t>
            </w:r>
          </w:p>
        </w:tc>
        <w:tc>
          <w:tcPr>
            <w:tcW w:w="1276" w:type="dxa"/>
            <w:noWrap w:val="0"/>
            <w:vAlign w:val="center"/>
          </w:tcPr>
          <w:p>
            <w:pPr>
              <w:pStyle w:val="195"/>
            </w:pPr>
            <w:r>
              <w:t>≥90提高基层党建工作水平</w:t>
            </w:r>
          </w:p>
        </w:tc>
        <w:tc>
          <w:tcPr>
            <w:tcW w:w="1843" w:type="dxa"/>
            <w:noWrap w:val="0"/>
            <w:vAlign w:val="center"/>
          </w:tcPr>
          <w:p>
            <w:pPr>
              <w:pStyle w:val="195"/>
            </w:pPr>
            <w:r>
              <w:t>提高基层党建工作水平</w:t>
            </w:r>
          </w:p>
        </w:tc>
      </w:tr>
    </w:tbl>
    <w:p>
      <w:pPr>
        <w:sectPr>
          <w:pgSz w:w="11900" w:h="16840" w:orient="landscape"/>
          <w:pgMar w:top="1984" w:right="1304" w:bottom="1134" w:left="1304" w:header="720" w:footer="720" w:gutter="0"/>
          <w:cols w:space="1701" w:num="1"/>
        </w:sectPr>
      </w:pPr>
    </w:p>
    <w:p>
      <w:pPr>
        <w:jc w:val="center"/>
      </w:pPr>
    </w:p>
    <w:p>
      <w:pPr>
        <w:ind w:firstLine="560"/>
        <w:outlineLvl w:val="3"/>
      </w:pPr>
      <w:bookmarkStart w:id="7" w:name="_Toc_4_4_0000000007"/>
      <w:r>
        <w:rPr>
          <w:rFonts w:ascii="方正仿宋_GBK" w:hAnsi="方正仿宋_GBK" w:eastAsia="方正仿宋_GBK" w:cs="方正仿宋_GBK"/>
          <w:color w:val="000000"/>
          <w:sz w:val="28"/>
        </w:rPr>
        <w:t>4.老年大学培训费绩效目标表</w:t>
      </w:r>
      <w:bookmarkEnd w:id="6"/>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13030322P004015100014</w:t>
            </w:r>
          </w:p>
        </w:tc>
        <w:tc>
          <w:tcPr>
            <w:tcW w:w="1587" w:type="dxa"/>
            <w:noWrap w:val="0"/>
            <w:vAlign w:val="center"/>
          </w:tcPr>
          <w:p>
            <w:pPr>
              <w:pStyle w:val="196"/>
            </w:pPr>
            <w:r>
              <w:t>项目名称</w:t>
            </w:r>
          </w:p>
        </w:tc>
        <w:tc>
          <w:tcPr>
            <w:tcW w:w="4423" w:type="dxa"/>
            <w:gridSpan w:val="3"/>
            <w:noWrap w:val="0"/>
            <w:vAlign w:val="center"/>
          </w:tcPr>
          <w:p>
            <w:pPr>
              <w:pStyle w:val="195"/>
            </w:pPr>
            <w:r>
              <w:t>老年大学培训费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1.60</w:t>
            </w:r>
          </w:p>
        </w:tc>
        <w:tc>
          <w:tcPr>
            <w:tcW w:w="1587" w:type="dxa"/>
            <w:noWrap w:val="0"/>
            <w:vAlign w:val="center"/>
          </w:tcPr>
          <w:p>
            <w:pPr>
              <w:pStyle w:val="196"/>
            </w:pPr>
            <w:r>
              <w:t>其中：财政    资金</w:t>
            </w:r>
          </w:p>
        </w:tc>
        <w:tc>
          <w:tcPr>
            <w:tcW w:w="1304" w:type="dxa"/>
            <w:noWrap w:val="0"/>
            <w:vAlign w:val="center"/>
          </w:tcPr>
          <w:p>
            <w:pPr>
              <w:pStyle w:val="195"/>
            </w:pPr>
            <w:r>
              <w:t>1.60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老年大学教务教学经费支出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1.老年大学教务教学管理，组织校园文化活动经费</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老年学员覆盖率</w:t>
            </w:r>
          </w:p>
        </w:tc>
        <w:tc>
          <w:tcPr>
            <w:tcW w:w="2891" w:type="dxa"/>
            <w:noWrap w:val="0"/>
            <w:vAlign w:val="center"/>
          </w:tcPr>
          <w:p>
            <w:pPr>
              <w:pStyle w:val="195"/>
            </w:pPr>
            <w:r>
              <w:t>参加老年教育学员覆盖率</w:t>
            </w:r>
          </w:p>
        </w:tc>
        <w:tc>
          <w:tcPr>
            <w:tcW w:w="1276" w:type="dxa"/>
            <w:noWrap w:val="0"/>
            <w:vAlign w:val="center"/>
          </w:tcPr>
          <w:p>
            <w:pPr>
              <w:pStyle w:val="195"/>
            </w:pPr>
            <w:r>
              <w:t>≥70参加老年教育学员覆盖率</w:t>
            </w:r>
          </w:p>
        </w:tc>
        <w:tc>
          <w:tcPr>
            <w:tcW w:w="1843" w:type="dxa"/>
            <w:noWrap w:val="0"/>
            <w:vAlign w:val="center"/>
          </w:tcPr>
          <w:p>
            <w:pPr>
              <w:pStyle w:val="195"/>
            </w:pPr>
            <w:r>
              <w:t>老年学员覆盖率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优秀学员比率</w:t>
            </w:r>
          </w:p>
        </w:tc>
        <w:tc>
          <w:tcPr>
            <w:tcW w:w="2891" w:type="dxa"/>
            <w:noWrap w:val="0"/>
            <w:vAlign w:val="center"/>
          </w:tcPr>
          <w:p>
            <w:pPr>
              <w:pStyle w:val="195"/>
            </w:pPr>
            <w:r>
              <w:t>优秀学员占学员总人数比率</w:t>
            </w:r>
          </w:p>
        </w:tc>
        <w:tc>
          <w:tcPr>
            <w:tcW w:w="1276" w:type="dxa"/>
            <w:noWrap w:val="0"/>
            <w:vAlign w:val="center"/>
          </w:tcPr>
          <w:p>
            <w:pPr>
              <w:pStyle w:val="195"/>
            </w:pPr>
            <w:r>
              <w:t>≥70优秀学员占学员总人数比率</w:t>
            </w:r>
          </w:p>
        </w:tc>
        <w:tc>
          <w:tcPr>
            <w:tcW w:w="1843" w:type="dxa"/>
            <w:noWrap w:val="0"/>
            <w:vAlign w:val="center"/>
          </w:tcPr>
          <w:p>
            <w:pPr>
              <w:pStyle w:val="195"/>
            </w:pPr>
            <w:r>
              <w:t>优秀学员比率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教学任务完成率</w:t>
            </w:r>
          </w:p>
        </w:tc>
        <w:tc>
          <w:tcPr>
            <w:tcW w:w="2891" w:type="dxa"/>
            <w:noWrap w:val="0"/>
            <w:vAlign w:val="center"/>
          </w:tcPr>
          <w:p>
            <w:pPr>
              <w:pStyle w:val="195"/>
            </w:pPr>
            <w:r>
              <w:t>教学任务完成率</w:t>
            </w:r>
          </w:p>
        </w:tc>
        <w:tc>
          <w:tcPr>
            <w:tcW w:w="1276" w:type="dxa"/>
            <w:noWrap w:val="0"/>
            <w:vAlign w:val="center"/>
          </w:tcPr>
          <w:p>
            <w:pPr>
              <w:pStyle w:val="195"/>
            </w:pPr>
            <w:r>
              <w:t>≥70教学任务完成率</w:t>
            </w:r>
          </w:p>
        </w:tc>
        <w:tc>
          <w:tcPr>
            <w:tcW w:w="1843" w:type="dxa"/>
            <w:noWrap w:val="0"/>
            <w:vAlign w:val="center"/>
          </w:tcPr>
          <w:p>
            <w:pPr>
              <w:pStyle w:val="195"/>
            </w:pPr>
            <w:r>
              <w:t>教学任务完成率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经费开支</w:t>
            </w:r>
          </w:p>
        </w:tc>
        <w:tc>
          <w:tcPr>
            <w:tcW w:w="2891" w:type="dxa"/>
            <w:noWrap w:val="0"/>
            <w:vAlign w:val="center"/>
          </w:tcPr>
          <w:p>
            <w:pPr>
              <w:pStyle w:val="195"/>
            </w:pPr>
            <w:r>
              <w:t>节约经费开支，保障基本运转</w:t>
            </w:r>
          </w:p>
        </w:tc>
        <w:tc>
          <w:tcPr>
            <w:tcW w:w="1276" w:type="dxa"/>
            <w:noWrap w:val="0"/>
            <w:vAlign w:val="center"/>
          </w:tcPr>
          <w:p>
            <w:pPr>
              <w:pStyle w:val="195"/>
            </w:pPr>
            <w:r>
              <w:t>≥70节约经费开支，保障基本运转</w:t>
            </w:r>
          </w:p>
        </w:tc>
        <w:tc>
          <w:tcPr>
            <w:tcW w:w="1843" w:type="dxa"/>
            <w:noWrap w:val="0"/>
            <w:vAlign w:val="center"/>
          </w:tcPr>
          <w:p>
            <w:pPr>
              <w:pStyle w:val="195"/>
            </w:pPr>
            <w:r>
              <w:t>经费开支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社会效益指标</w:t>
            </w:r>
          </w:p>
        </w:tc>
        <w:tc>
          <w:tcPr>
            <w:tcW w:w="1332" w:type="dxa"/>
            <w:noWrap w:val="0"/>
            <w:vAlign w:val="center"/>
          </w:tcPr>
          <w:p>
            <w:pPr>
              <w:pStyle w:val="195"/>
            </w:pPr>
            <w:r>
              <w:t>社会影响力</w:t>
            </w:r>
          </w:p>
        </w:tc>
        <w:tc>
          <w:tcPr>
            <w:tcW w:w="2891" w:type="dxa"/>
            <w:noWrap w:val="0"/>
            <w:vAlign w:val="center"/>
          </w:tcPr>
          <w:p>
            <w:pPr>
              <w:pStyle w:val="195"/>
            </w:pPr>
            <w:r>
              <w:t>使老年人“老有所学、老有所乐、老有所为”</w:t>
            </w:r>
          </w:p>
        </w:tc>
        <w:tc>
          <w:tcPr>
            <w:tcW w:w="1276" w:type="dxa"/>
            <w:noWrap w:val="0"/>
            <w:vAlign w:val="center"/>
          </w:tcPr>
          <w:p>
            <w:pPr>
              <w:pStyle w:val="195"/>
            </w:pPr>
            <w:r>
              <w:t>≥70使老年人“老有所学、老有所乐、老有所为”</w:t>
            </w:r>
          </w:p>
        </w:tc>
        <w:tc>
          <w:tcPr>
            <w:tcW w:w="1843" w:type="dxa"/>
            <w:noWrap w:val="0"/>
            <w:vAlign w:val="center"/>
          </w:tcPr>
          <w:p>
            <w:pPr>
              <w:pStyle w:val="195"/>
            </w:pPr>
            <w:r>
              <w:t>社会影响力</w:t>
            </w:r>
          </w:p>
        </w:tc>
      </w:tr>
    </w:tbl>
    <w:p>
      <w:pPr>
        <w:sectPr>
          <w:pgSz w:w="11900" w:h="16840" w:orient="landscape"/>
          <w:pgMar w:top="1984" w:right="1304" w:bottom="1134" w:left="1304" w:header="720" w:footer="720" w:gutter="0"/>
          <w:cols w:space="1701" w:num="1"/>
        </w:sectPr>
      </w:pPr>
    </w:p>
    <w:p>
      <w:pPr>
        <w:jc w:val="center"/>
      </w:pPr>
    </w:p>
    <w:p>
      <w:pPr>
        <w:ind w:firstLine="560"/>
        <w:outlineLvl w:val="3"/>
      </w:pPr>
      <w:bookmarkStart w:id="8" w:name="_Toc_4_4_0000000008"/>
      <w:r>
        <w:rPr>
          <w:rFonts w:ascii="方正仿宋_GBK" w:hAnsi="方正仿宋_GBK" w:eastAsia="方正仿宋_GBK" w:cs="方正仿宋_GBK"/>
          <w:color w:val="000000"/>
          <w:sz w:val="28"/>
        </w:rPr>
        <w:t>5.2021年度干部考核经费绩效目标表</w:t>
      </w:r>
      <w:bookmarkEnd w:id="7"/>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13030322P00401310001Q</w:t>
            </w:r>
          </w:p>
        </w:tc>
        <w:tc>
          <w:tcPr>
            <w:tcW w:w="1587" w:type="dxa"/>
            <w:noWrap w:val="0"/>
            <w:vAlign w:val="center"/>
          </w:tcPr>
          <w:p>
            <w:pPr>
              <w:pStyle w:val="196"/>
            </w:pPr>
            <w:r>
              <w:t>项目名称</w:t>
            </w:r>
          </w:p>
        </w:tc>
        <w:tc>
          <w:tcPr>
            <w:tcW w:w="4423" w:type="dxa"/>
            <w:gridSpan w:val="3"/>
            <w:noWrap w:val="0"/>
            <w:vAlign w:val="center"/>
          </w:tcPr>
          <w:p>
            <w:pPr>
              <w:pStyle w:val="195"/>
            </w:pPr>
            <w:r>
              <w:t>2021年度干部考核经费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40.00</w:t>
            </w:r>
          </w:p>
        </w:tc>
        <w:tc>
          <w:tcPr>
            <w:tcW w:w="1587" w:type="dxa"/>
            <w:noWrap w:val="0"/>
            <w:vAlign w:val="center"/>
          </w:tcPr>
          <w:p>
            <w:pPr>
              <w:pStyle w:val="196"/>
            </w:pPr>
            <w:r>
              <w:t>其中：财政    资金</w:t>
            </w:r>
          </w:p>
        </w:tc>
        <w:tc>
          <w:tcPr>
            <w:tcW w:w="1304" w:type="dxa"/>
            <w:noWrap w:val="0"/>
            <w:vAlign w:val="center"/>
          </w:tcPr>
          <w:p>
            <w:pPr>
              <w:pStyle w:val="195"/>
            </w:pPr>
            <w:r>
              <w:t>40.00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为全区2021年度考核优秀干部发放奖励金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100%</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1.2021年度干部考核经费</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干部考核人数</w:t>
            </w:r>
          </w:p>
        </w:tc>
        <w:tc>
          <w:tcPr>
            <w:tcW w:w="2891" w:type="dxa"/>
            <w:noWrap w:val="0"/>
            <w:vAlign w:val="center"/>
          </w:tcPr>
          <w:p>
            <w:pPr>
              <w:pStyle w:val="195"/>
            </w:pPr>
            <w:r>
              <w:t>干部考核人数</w:t>
            </w:r>
          </w:p>
        </w:tc>
        <w:tc>
          <w:tcPr>
            <w:tcW w:w="1276" w:type="dxa"/>
            <w:noWrap w:val="0"/>
            <w:vAlign w:val="center"/>
          </w:tcPr>
          <w:p>
            <w:pPr>
              <w:pStyle w:val="195"/>
            </w:pPr>
            <w:r>
              <w:t>≥90干部考核人数</w:t>
            </w:r>
          </w:p>
        </w:tc>
        <w:tc>
          <w:tcPr>
            <w:tcW w:w="1843" w:type="dxa"/>
            <w:noWrap w:val="0"/>
            <w:vAlign w:val="center"/>
          </w:tcPr>
          <w:p>
            <w:pPr>
              <w:pStyle w:val="195"/>
            </w:pPr>
            <w:r>
              <w:t>干部考核人数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考核完成率</w:t>
            </w:r>
          </w:p>
        </w:tc>
        <w:tc>
          <w:tcPr>
            <w:tcW w:w="2891" w:type="dxa"/>
            <w:noWrap w:val="0"/>
            <w:vAlign w:val="center"/>
          </w:tcPr>
          <w:p>
            <w:pPr>
              <w:pStyle w:val="195"/>
            </w:pPr>
            <w:r>
              <w:t>考核完成率</w:t>
            </w:r>
          </w:p>
        </w:tc>
        <w:tc>
          <w:tcPr>
            <w:tcW w:w="1276" w:type="dxa"/>
            <w:noWrap w:val="0"/>
            <w:vAlign w:val="center"/>
          </w:tcPr>
          <w:p>
            <w:pPr>
              <w:pStyle w:val="195"/>
            </w:pPr>
            <w:r>
              <w:t>≥90考核完成率</w:t>
            </w:r>
          </w:p>
        </w:tc>
        <w:tc>
          <w:tcPr>
            <w:tcW w:w="1843" w:type="dxa"/>
            <w:noWrap w:val="0"/>
            <w:vAlign w:val="center"/>
          </w:tcPr>
          <w:p>
            <w:pPr>
              <w:pStyle w:val="195"/>
            </w:pPr>
            <w:r>
              <w:t>考核完成率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及时率</w:t>
            </w:r>
          </w:p>
        </w:tc>
        <w:tc>
          <w:tcPr>
            <w:tcW w:w="2891" w:type="dxa"/>
            <w:noWrap w:val="0"/>
            <w:vAlign w:val="center"/>
          </w:tcPr>
          <w:p>
            <w:pPr>
              <w:pStyle w:val="195"/>
            </w:pPr>
            <w:r>
              <w:t>及时率</w:t>
            </w:r>
          </w:p>
        </w:tc>
        <w:tc>
          <w:tcPr>
            <w:tcW w:w="1276" w:type="dxa"/>
            <w:noWrap w:val="0"/>
            <w:vAlign w:val="center"/>
          </w:tcPr>
          <w:p>
            <w:pPr>
              <w:pStyle w:val="195"/>
            </w:pPr>
            <w:r>
              <w:t>≥90及时率</w:t>
            </w:r>
          </w:p>
        </w:tc>
        <w:tc>
          <w:tcPr>
            <w:tcW w:w="1843" w:type="dxa"/>
            <w:noWrap w:val="0"/>
            <w:vAlign w:val="center"/>
          </w:tcPr>
          <w:p>
            <w:pPr>
              <w:pStyle w:val="195"/>
            </w:pPr>
            <w:r>
              <w:t>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预算控制数</w:t>
            </w:r>
          </w:p>
        </w:tc>
        <w:tc>
          <w:tcPr>
            <w:tcW w:w="2891" w:type="dxa"/>
            <w:noWrap w:val="0"/>
            <w:vAlign w:val="center"/>
          </w:tcPr>
          <w:p>
            <w:pPr>
              <w:pStyle w:val="195"/>
            </w:pPr>
            <w:r>
              <w:t>预算控制数</w:t>
            </w:r>
          </w:p>
        </w:tc>
        <w:tc>
          <w:tcPr>
            <w:tcW w:w="1276" w:type="dxa"/>
            <w:noWrap w:val="0"/>
            <w:vAlign w:val="center"/>
          </w:tcPr>
          <w:p>
            <w:pPr>
              <w:pStyle w:val="195"/>
            </w:pPr>
            <w:r>
              <w:t>≥90预算控制数</w:t>
            </w:r>
          </w:p>
        </w:tc>
        <w:tc>
          <w:tcPr>
            <w:tcW w:w="1843" w:type="dxa"/>
            <w:noWrap w:val="0"/>
            <w:vAlign w:val="center"/>
          </w:tcPr>
          <w:p>
            <w:pPr>
              <w:pStyle w:val="195"/>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社会效益指标</w:t>
            </w:r>
          </w:p>
        </w:tc>
        <w:tc>
          <w:tcPr>
            <w:tcW w:w="1332" w:type="dxa"/>
            <w:noWrap w:val="0"/>
            <w:vAlign w:val="center"/>
          </w:tcPr>
          <w:p>
            <w:pPr>
              <w:pStyle w:val="195"/>
            </w:pPr>
            <w:r>
              <w:t>工作完成率</w:t>
            </w:r>
          </w:p>
        </w:tc>
        <w:tc>
          <w:tcPr>
            <w:tcW w:w="2891" w:type="dxa"/>
            <w:noWrap w:val="0"/>
            <w:vAlign w:val="center"/>
          </w:tcPr>
          <w:p>
            <w:pPr>
              <w:pStyle w:val="195"/>
            </w:pPr>
            <w:r>
              <w:t>工作完成率</w:t>
            </w:r>
          </w:p>
        </w:tc>
        <w:tc>
          <w:tcPr>
            <w:tcW w:w="1276" w:type="dxa"/>
            <w:noWrap w:val="0"/>
            <w:vAlign w:val="center"/>
          </w:tcPr>
          <w:p>
            <w:pPr>
              <w:pStyle w:val="195"/>
            </w:pPr>
            <w:r>
              <w:t>≥90工作完成率</w:t>
            </w:r>
          </w:p>
        </w:tc>
        <w:tc>
          <w:tcPr>
            <w:tcW w:w="1843" w:type="dxa"/>
            <w:noWrap w:val="0"/>
            <w:vAlign w:val="center"/>
          </w:tcPr>
          <w:p>
            <w:pPr>
              <w:pStyle w:val="195"/>
            </w:pPr>
            <w:r>
              <w:t>工作完成率</w:t>
            </w:r>
          </w:p>
        </w:tc>
      </w:tr>
    </w:tbl>
    <w:p>
      <w:pPr>
        <w:sectPr>
          <w:pgSz w:w="11900" w:h="16840" w:orient="landscape"/>
          <w:pgMar w:top="1984" w:right="1304" w:bottom="1134" w:left="1304" w:header="720" w:footer="720" w:gutter="0"/>
          <w:cols w:space="1701" w:num="1"/>
        </w:sectPr>
      </w:pPr>
    </w:p>
    <w:p>
      <w:pPr>
        <w:jc w:val="center"/>
      </w:pPr>
    </w:p>
    <w:p>
      <w:pPr>
        <w:ind w:firstLine="560"/>
        <w:outlineLvl w:val="3"/>
      </w:pPr>
      <w:bookmarkStart w:id="9" w:name="_Toc_4_4_0000000009"/>
      <w:r>
        <w:rPr>
          <w:rFonts w:ascii="方正仿宋_GBK" w:hAnsi="方正仿宋_GBK" w:eastAsia="方正仿宋_GBK" w:cs="方正仿宋_GBK"/>
          <w:color w:val="000000"/>
          <w:sz w:val="28"/>
        </w:rPr>
        <w:t>6.党员远程教育站点服务费绩效目标表</w:t>
      </w:r>
      <w:bookmarkEnd w:id="8"/>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13030322P004007100018</w:t>
            </w:r>
          </w:p>
        </w:tc>
        <w:tc>
          <w:tcPr>
            <w:tcW w:w="1587" w:type="dxa"/>
            <w:noWrap w:val="0"/>
            <w:vAlign w:val="center"/>
          </w:tcPr>
          <w:p>
            <w:pPr>
              <w:pStyle w:val="196"/>
            </w:pPr>
            <w:r>
              <w:t>项目名称</w:t>
            </w:r>
          </w:p>
        </w:tc>
        <w:tc>
          <w:tcPr>
            <w:tcW w:w="4423" w:type="dxa"/>
            <w:gridSpan w:val="3"/>
            <w:noWrap w:val="0"/>
            <w:vAlign w:val="center"/>
          </w:tcPr>
          <w:p>
            <w:pPr>
              <w:pStyle w:val="195"/>
            </w:pPr>
            <w:r>
              <w:t>党员远程教育站点服务费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5.00</w:t>
            </w:r>
          </w:p>
        </w:tc>
        <w:tc>
          <w:tcPr>
            <w:tcW w:w="1587" w:type="dxa"/>
            <w:noWrap w:val="0"/>
            <w:vAlign w:val="center"/>
          </w:tcPr>
          <w:p>
            <w:pPr>
              <w:pStyle w:val="196"/>
            </w:pPr>
            <w:r>
              <w:t>其中：财政    资金</w:t>
            </w:r>
          </w:p>
        </w:tc>
        <w:tc>
          <w:tcPr>
            <w:tcW w:w="1304" w:type="dxa"/>
            <w:noWrap w:val="0"/>
            <w:vAlign w:val="center"/>
          </w:tcPr>
          <w:p>
            <w:pPr>
              <w:pStyle w:val="195"/>
            </w:pPr>
            <w:r>
              <w:t>5.00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远程教育站点费用及设备维护等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1.远程教育站点费用及设备维护等</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站点覆盖率</w:t>
            </w:r>
          </w:p>
        </w:tc>
        <w:tc>
          <w:tcPr>
            <w:tcW w:w="2891" w:type="dxa"/>
            <w:noWrap w:val="0"/>
            <w:vAlign w:val="center"/>
          </w:tcPr>
          <w:p>
            <w:pPr>
              <w:pStyle w:val="195"/>
            </w:pPr>
            <w:r>
              <w:t>各村（社区）远程教育站点覆盖率</w:t>
            </w:r>
          </w:p>
        </w:tc>
        <w:tc>
          <w:tcPr>
            <w:tcW w:w="1276" w:type="dxa"/>
            <w:noWrap w:val="0"/>
            <w:vAlign w:val="center"/>
          </w:tcPr>
          <w:p>
            <w:pPr>
              <w:pStyle w:val="195"/>
            </w:pPr>
            <w:r>
              <w:t>≥90各村（社区）远程教育站点覆盖率</w:t>
            </w:r>
          </w:p>
        </w:tc>
        <w:tc>
          <w:tcPr>
            <w:tcW w:w="1843" w:type="dxa"/>
            <w:noWrap w:val="0"/>
            <w:vAlign w:val="center"/>
          </w:tcPr>
          <w:p>
            <w:pPr>
              <w:pStyle w:val="195"/>
            </w:pPr>
            <w:r>
              <w:t>各村（社区）远程教育站点覆盖率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站点通畅率</w:t>
            </w:r>
          </w:p>
        </w:tc>
        <w:tc>
          <w:tcPr>
            <w:tcW w:w="2891" w:type="dxa"/>
            <w:noWrap w:val="0"/>
            <w:vAlign w:val="center"/>
          </w:tcPr>
          <w:p>
            <w:pPr>
              <w:pStyle w:val="195"/>
            </w:pPr>
            <w:r>
              <w:t>正常运行站点占总站点的比例</w:t>
            </w:r>
          </w:p>
        </w:tc>
        <w:tc>
          <w:tcPr>
            <w:tcW w:w="1276" w:type="dxa"/>
            <w:noWrap w:val="0"/>
            <w:vAlign w:val="center"/>
          </w:tcPr>
          <w:p>
            <w:pPr>
              <w:pStyle w:val="195"/>
            </w:pPr>
            <w:r>
              <w:t>≥90正常运行站点占总站点的比例</w:t>
            </w:r>
          </w:p>
        </w:tc>
        <w:tc>
          <w:tcPr>
            <w:tcW w:w="1843" w:type="dxa"/>
            <w:noWrap w:val="0"/>
            <w:vAlign w:val="center"/>
          </w:tcPr>
          <w:p>
            <w:pPr>
              <w:pStyle w:val="195"/>
            </w:pPr>
            <w:r>
              <w:t>正常运行站点占总站点的比例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及时性</w:t>
            </w:r>
          </w:p>
        </w:tc>
        <w:tc>
          <w:tcPr>
            <w:tcW w:w="2891" w:type="dxa"/>
            <w:noWrap w:val="0"/>
            <w:vAlign w:val="center"/>
          </w:tcPr>
          <w:p>
            <w:pPr>
              <w:pStyle w:val="195"/>
            </w:pPr>
            <w:r>
              <w:t>及时性</w:t>
            </w:r>
          </w:p>
        </w:tc>
        <w:tc>
          <w:tcPr>
            <w:tcW w:w="1276" w:type="dxa"/>
            <w:noWrap w:val="0"/>
            <w:vAlign w:val="center"/>
          </w:tcPr>
          <w:p>
            <w:pPr>
              <w:pStyle w:val="195"/>
            </w:pPr>
            <w:r>
              <w:t>≥90及时性</w:t>
            </w:r>
          </w:p>
        </w:tc>
        <w:tc>
          <w:tcPr>
            <w:tcW w:w="1843" w:type="dxa"/>
            <w:noWrap w:val="0"/>
            <w:vAlign w:val="center"/>
          </w:tcPr>
          <w:p>
            <w:pPr>
              <w:pStyle w:val="195"/>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总成本控制数</w:t>
            </w:r>
          </w:p>
        </w:tc>
        <w:tc>
          <w:tcPr>
            <w:tcW w:w="2891" w:type="dxa"/>
            <w:noWrap w:val="0"/>
            <w:vAlign w:val="center"/>
          </w:tcPr>
          <w:p>
            <w:pPr>
              <w:pStyle w:val="195"/>
            </w:pPr>
            <w:r>
              <w:t>总成本控制数</w:t>
            </w:r>
          </w:p>
        </w:tc>
        <w:tc>
          <w:tcPr>
            <w:tcW w:w="1276" w:type="dxa"/>
            <w:noWrap w:val="0"/>
            <w:vAlign w:val="center"/>
          </w:tcPr>
          <w:p>
            <w:pPr>
              <w:pStyle w:val="195"/>
            </w:pPr>
            <w:r>
              <w:t>≥90总成本控制数</w:t>
            </w:r>
          </w:p>
        </w:tc>
        <w:tc>
          <w:tcPr>
            <w:tcW w:w="1843" w:type="dxa"/>
            <w:noWrap w:val="0"/>
            <w:vAlign w:val="center"/>
          </w:tcPr>
          <w:p>
            <w:pPr>
              <w:pStyle w:val="195"/>
            </w:pPr>
            <w:r>
              <w:t>总成本控制数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生态效益指标</w:t>
            </w:r>
          </w:p>
        </w:tc>
        <w:tc>
          <w:tcPr>
            <w:tcW w:w="1332" w:type="dxa"/>
            <w:noWrap w:val="0"/>
            <w:vAlign w:val="center"/>
          </w:tcPr>
          <w:p>
            <w:pPr>
              <w:pStyle w:val="195"/>
            </w:pPr>
            <w:r>
              <w:t>党员教育参与率</w:t>
            </w:r>
          </w:p>
        </w:tc>
        <w:tc>
          <w:tcPr>
            <w:tcW w:w="2891" w:type="dxa"/>
            <w:noWrap w:val="0"/>
            <w:vAlign w:val="center"/>
          </w:tcPr>
          <w:p>
            <w:pPr>
              <w:pStyle w:val="195"/>
            </w:pPr>
            <w:r>
              <w:t>党员教育参与率</w:t>
            </w:r>
          </w:p>
        </w:tc>
        <w:tc>
          <w:tcPr>
            <w:tcW w:w="1276" w:type="dxa"/>
            <w:noWrap w:val="0"/>
            <w:vAlign w:val="center"/>
          </w:tcPr>
          <w:p>
            <w:pPr>
              <w:pStyle w:val="195"/>
            </w:pPr>
            <w:r>
              <w:t>≥90党员教育参与率</w:t>
            </w:r>
          </w:p>
        </w:tc>
        <w:tc>
          <w:tcPr>
            <w:tcW w:w="1843" w:type="dxa"/>
            <w:noWrap w:val="0"/>
            <w:vAlign w:val="center"/>
          </w:tcPr>
          <w:p>
            <w:pPr>
              <w:pStyle w:val="195"/>
            </w:pPr>
            <w:r>
              <w:t>党员教育参与率</w:t>
            </w:r>
          </w:p>
        </w:tc>
      </w:tr>
    </w:tbl>
    <w:p>
      <w:pPr>
        <w:sectPr>
          <w:pgSz w:w="11900" w:h="16840" w:orient="landscape"/>
          <w:pgMar w:top="1984" w:right="1304" w:bottom="1134" w:left="1304" w:header="720" w:footer="720" w:gutter="0"/>
          <w:cols w:space="1701" w:num="1"/>
        </w:sectPr>
      </w:pPr>
    </w:p>
    <w:p>
      <w:pPr>
        <w:jc w:val="center"/>
      </w:pPr>
    </w:p>
    <w:p>
      <w:pPr>
        <w:ind w:firstLine="560"/>
        <w:outlineLvl w:val="3"/>
      </w:pPr>
      <w:bookmarkStart w:id="10" w:name="_Toc_4_4_0000000010"/>
      <w:r>
        <w:rPr>
          <w:rFonts w:ascii="方正仿宋_GBK" w:hAnsi="方正仿宋_GBK" w:eastAsia="方正仿宋_GBK" w:cs="方正仿宋_GBK"/>
          <w:color w:val="000000"/>
          <w:sz w:val="28"/>
        </w:rPr>
        <w:t>7.干部教育培训经费绩效目标表</w:t>
      </w:r>
      <w:bookmarkEnd w:id="9"/>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13030322P00400810001X</w:t>
            </w:r>
          </w:p>
        </w:tc>
        <w:tc>
          <w:tcPr>
            <w:tcW w:w="1587" w:type="dxa"/>
            <w:noWrap w:val="0"/>
            <w:vAlign w:val="center"/>
          </w:tcPr>
          <w:p>
            <w:pPr>
              <w:pStyle w:val="196"/>
            </w:pPr>
            <w:r>
              <w:t>项目名称</w:t>
            </w:r>
          </w:p>
        </w:tc>
        <w:tc>
          <w:tcPr>
            <w:tcW w:w="4423" w:type="dxa"/>
            <w:gridSpan w:val="3"/>
            <w:noWrap w:val="0"/>
            <w:vAlign w:val="center"/>
          </w:tcPr>
          <w:p>
            <w:pPr>
              <w:pStyle w:val="195"/>
            </w:pPr>
            <w:r>
              <w:t>干部教育培训经费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5.00</w:t>
            </w:r>
          </w:p>
        </w:tc>
        <w:tc>
          <w:tcPr>
            <w:tcW w:w="1587" w:type="dxa"/>
            <w:noWrap w:val="0"/>
            <w:vAlign w:val="center"/>
          </w:tcPr>
          <w:p>
            <w:pPr>
              <w:pStyle w:val="196"/>
            </w:pPr>
            <w:r>
              <w:t>其中：财政    资金</w:t>
            </w:r>
          </w:p>
        </w:tc>
        <w:tc>
          <w:tcPr>
            <w:tcW w:w="1304" w:type="dxa"/>
            <w:noWrap w:val="0"/>
            <w:vAlign w:val="center"/>
          </w:tcPr>
          <w:p>
            <w:pPr>
              <w:pStyle w:val="195"/>
            </w:pPr>
            <w:r>
              <w:t>5.00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2022年度干部教育培训经费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1.提高中青年干部政策理论及业务水平</w:t>
            </w:r>
          </w:p>
          <w:p>
            <w:pPr>
              <w:pStyle w:val="195"/>
            </w:pPr>
            <w:r>
              <w:t>2.提高中青年干部的执政能力</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参加培训人数</w:t>
            </w:r>
          </w:p>
        </w:tc>
        <w:tc>
          <w:tcPr>
            <w:tcW w:w="2891" w:type="dxa"/>
            <w:noWrap w:val="0"/>
            <w:vAlign w:val="center"/>
          </w:tcPr>
          <w:p>
            <w:pPr>
              <w:pStyle w:val="195"/>
            </w:pPr>
            <w:r>
              <w:t>参加培训人数</w:t>
            </w:r>
          </w:p>
        </w:tc>
        <w:tc>
          <w:tcPr>
            <w:tcW w:w="1276" w:type="dxa"/>
            <w:noWrap w:val="0"/>
            <w:vAlign w:val="center"/>
          </w:tcPr>
          <w:p>
            <w:pPr>
              <w:pStyle w:val="195"/>
            </w:pPr>
            <w:r>
              <w:t>≥90参加培训人数</w:t>
            </w:r>
          </w:p>
        </w:tc>
        <w:tc>
          <w:tcPr>
            <w:tcW w:w="1843" w:type="dxa"/>
            <w:noWrap w:val="0"/>
            <w:vAlign w:val="center"/>
          </w:tcPr>
          <w:p>
            <w:pPr>
              <w:pStyle w:val="195"/>
            </w:pPr>
            <w:r>
              <w:t>参加培训人数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提高干部业务水平</w:t>
            </w:r>
          </w:p>
        </w:tc>
        <w:tc>
          <w:tcPr>
            <w:tcW w:w="2891" w:type="dxa"/>
            <w:noWrap w:val="0"/>
            <w:vAlign w:val="center"/>
          </w:tcPr>
          <w:p>
            <w:pPr>
              <w:pStyle w:val="195"/>
            </w:pPr>
            <w:r>
              <w:t>提高干部业务水平</w:t>
            </w:r>
          </w:p>
        </w:tc>
        <w:tc>
          <w:tcPr>
            <w:tcW w:w="1276" w:type="dxa"/>
            <w:noWrap w:val="0"/>
            <w:vAlign w:val="center"/>
          </w:tcPr>
          <w:p>
            <w:pPr>
              <w:pStyle w:val="195"/>
            </w:pPr>
            <w:r>
              <w:t>≥90提高干部业务水平</w:t>
            </w:r>
          </w:p>
        </w:tc>
        <w:tc>
          <w:tcPr>
            <w:tcW w:w="1843" w:type="dxa"/>
            <w:noWrap w:val="0"/>
            <w:vAlign w:val="center"/>
          </w:tcPr>
          <w:p>
            <w:pPr>
              <w:pStyle w:val="195"/>
            </w:pPr>
            <w:r>
              <w:t>提高干部业务水平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工作完成及时率</w:t>
            </w:r>
          </w:p>
        </w:tc>
        <w:tc>
          <w:tcPr>
            <w:tcW w:w="2891" w:type="dxa"/>
            <w:noWrap w:val="0"/>
            <w:vAlign w:val="center"/>
          </w:tcPr>
          <w:p>
            <w:pPr>
              <w:pStyle w:val="195"/>
            </w:pPr>
            <w:r>
              <w:t>工作完成及时率</w:t>
            </w:r>
          </w:p>
        </w:tc>
        <w:tc>
          <w:tcPr>
            <w:tcW w:w="1276" w:type="dxa"/>
            <w:noWrap w:val="0"/>
            <w:vAlign w:val="center"/>
          </w:tcPr>
          <w:p>
            <w:pPr>
              <w:pStyle w:val="195"/>
            </w:pPr>
            <w:r>
              <w:t>≥90工作完成及时率</w:t>
            </w:r>
          </w:p>
        </w:tc>
        <w:tc>
          <w:tcPr>
            <w:tcW w:w="1843" w:type="dxa"/>
            <w:noWrap w:val="0"/>
            <w:vAlign w:val="center"/>
          </w:tcPr>
          <w:p>
            <w:pPr>
              <w:pStyle w:val="195"/>
            </w:pPr>
            <w:r>
              <w:t>工作完成及时率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经费控制数</w:t>
            </w:r>
          </w:p>
        </w:tc>
        <w:tc>
          <w:tcPr>
            <w:tcW w:w="2891" w:type="dxa"/>
            <w:noWrap w:val="0"/>
            <w:vAlign w:val="center"/>
          </w:tcPr>
          <w:p>
            <w:pPr>
              <w:pStyle w:val="195"/>
            </w:pPr>
            <w:r>
              <w:t>经费控制数</w:t>
            </w:r>
          </w:p>
        </w:tc>
        <w:tc>
          <w:tcPr>
            <w:tcW w:w="1276" w:type="dxa"/>
            <w:noWrap w:val="0"/>
            <w:vAlign w:val="center"/>
          </w:tcPr>
          <w:p>
            <w:pPr>
              <w:pStyle w:val="195"/>
            </w:pPr>
            <w:r>
              <w:t>≥90经费控制数</w:t>
            </w:r>
          </w:p>
        </w:tc>
        <w:tc>
          <w:tcPr>
            <w:tcW w:w="1843" w:type="dxa"/>
            <w:noWrap w:val="0"/>
            <w:vAlign w:val="center"/>
          </w:tcPr>
          <w:p>
            <w:pPr>
              <w:pStyle w:val="195"/>
            </w:pPr>
            <w:r>
              <w:t>经费控制数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社会效益指标</w:t>
            </w:r>
          </w:p>
        </w:tc>
        <w:tc>
          <w:tcPr>
            <w:tcW w:w="1332" w:type="dxa"/>
            <w:noWrap w:val="0"/>
            <w:vAlign w:val="center"/>
          </w:tcPr>
          <w:p>
            <w:pPr>
              <w:pStyle w:val="195"/>
            </w:pPr>
            <w:r>
              <w:t>提高干部政策理论水平</w:t>
            </w:r>
          </w:p>
        </w:tc>
        <w:tc>
          <w:tcPr>
            <w:tcW w:w="2891" w:type="dxa"/>
            <w:noWrap w:val="0"/>
            <w:vAlign w:val="center"/>
          </w:tcPr>
          <w:p>
            <w:pPr>
              <w:pStyle w:val="195"/>
            </w:pPr>
            <w:r>
              <w:t>提高干部政策理论水平</w:t>
            </w:r>
          </w:p>
        </w:tc>
        <w:tc>
          <w:tcPr>
            <w:tcW w:w="1276" w:type="dxa"/>
            <w:noWrap w:val="0"/>
            <w:vAlign w:val="center"/>
          </w:tcPr>
          <w:p>
            <w:pPr>
              <w:pStyle w:val="195"/>
            </w:pPr>
            <w:r>
              <w:t>≥90提高干部政策理论水平</w:t>
            </w:r>
          </w:p>
        </w:tc>
        <w:tc>
          <w:tcPr>
            <w:tcW w:w="1843" w:type="dxa"/>
            <w:noWrap w:val="0"/>
            <w:vAlign w:val="center"/>
          </w:tcPr>
          <w:p>
            <w:pPr>
              <w:pStyle w:val="195"/>
            </w:pPr>
            <w:r>
              <w:t>提高干部政策理论水平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满意度指标</w:t>
            </w:r>
          </w:p>
        </w:tc>
        <w:tc>
          <w:tcPr>
            <w:tcW w:w="1276" w:type="dxa"/>
            <w:noWrap w:val="0"/>
            <w:vAlign w:val="center"/>
          </w:tcPr>
          <w:p>
            <w:pPr>
              <w:pStyle w:val="195"/>
            </w:pPr>
            <w:r>
              <w:t>服务对象满意度指标</w:t>
            </w:r>
          </w:p>
        </w:tc>
        <w:tc>
          <w:tcPr>
            <w:tcW w:w="1332" w:type="dxa"/>
            <w:noWrap w:val="0"/>
            <w:vAlign w:val="center"/>
          </w:tcPr>
          <w:p>
            <w:pPr>
              <w:pStyle w:val="195"/>
            </w:pPr>
            <w:r>
              <w:t>参训人员满意度</w:t>
            </w:r>
          </w:p>
        </w:tc>
        <w:tc>
          <w:tcPr>
            <w:tcW w:w="2891" w:type="dxa"/>
            <w:noWrap w:val="0"/>
            <w:vAlign w:val="center"/>
          </w:tcPr>
          <w:p>
            <w:pPr>
              <w:pStyle w:val="195"/>
            </w:pPr>
            <w:r>
              <w:t>参训人员满意度</w:t>
            </w:r>
          </w:p>
        </w:tc>
        <w:tc>
          <w:tcPr>
            <w:tcW w:w="1276" w:type="dxa"/>
            <w:noWrap w:val="0"/>
            <w:vAlign w:val="center"/>
          </w:tcPr>
          <w:p>
            <w:pPr>
              <w:pStyle w:val="195"/>
            </w:pPr>
            <w:r>
              <w:t>≥90参训人员满意度</w:t>
            </w:r>
          </w:p>
        </w:tc>
        <w:tc>
          <w:tcPr>
            <w:tcW w:w="1843" w:type="dxa"/>
            <w:noWrap w:val="0"/>
            <w:vAlign w:val="center"/>
          </w:tcPr>
          <w:p>
            <w:pPr>
              <w:pStyle w:val="195"/>
            </w:pPr>
            <w:r>
              <w:t>参训人员满意度</w:t>
            </w:r>
          </w:p>
        </w:tc>
      </w:tr>
    </w:tbl>
    <w:p>
      <w:pPr>
        <w:sectPr>
          <w:pgSz w:w="11900" w:h="16840" w:orient="landscape"/>
          <w:pgMar w:top="1984" w:right="1304" w:bottom="1134" w:left="1304" w:header="720" w:footer="720" w:gutter="0"/>
          <w:cols w:space="1701" w:num="1"/>
        </w:sectPr>
      </w:pPr>
    </w:p>
    <w:p>
      <w:pPr>
        <w:jc w:val="center"/>
      </w:pPr>
    </w:p>
    <w:p>
      <w:pPr>
        <w:ind w:firstLine="560"/>
        <w:outlineLvl w:val="3"/>
      </w:pPr>
      <w:bookmarkStart w:id="11" w:name="_Toc_4_4_0000000011"/>
      <w:r>
        <w:rPr>
          <w:rFonts w:ascii="方正仿宋_GBK" w:hAnsi="方正仿宋_GBK" w:eastAsia="方正仿宋_GBK" w:cs="方正仿宋_GBK"/>
          <w:color w:val="000000"/>
          <w:sz w:val="28"/>
        </w:rPr>
        <w:t>8.高校毕业生到村任职补助经费绩效目标表</w:t>
      </w:r>
      <w:bookmarkEnd w:id="10"/>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13030321WHQEOZO1FP5GP</w:t>
            </w:r>
          </w:p>
        </w:tc>
        <w:tc>
          <w:tcPr>
            <w:tcW w:w="1587" w:type="dxa"/>
            <w:noWrap w:val="0"/>
            <w:vAlign w:val="center"/>
          </w:tcPr>
          <w:p>
            <w:pPr>
              <w:pStyle w:val="196"/>
            </w:pPr>
            <w:r>
              <w:t>项目名称</w:t>
            </w:r>
          </w:p>
        </w:tc>
        <w:tc>
          <w:tcPr>
            <w:tcW w:w="4423" w:type="dxa"/>
            <w:gridSpan w:val="3"/>
            <w:noWrap w:val="0"/>
            <w:vAlign w:val="center"/>
          </w:tcPr>
          <w:p>
            <w:pPr>
              <w:pStyle w:val="195"/>
            </w:pPr>
            <w:r>
              <w:t>高校毕业生到村任职补助经费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28.34</w:t>
            </w:r>
          </w:p>
        </w:tc>
        <w:tc>
          <w:tcPr>
            <w:tcW w:w="1587" w:type="dxa"/>
            <w:noWrap w:val="0"/>
            <w:vAlign w:val="center"/>
          </w:tcPr>
          <w:p>
            <w:pPr>
              <w:pStyle w:val="196"/>
            </w:pPr>
            <w:r>
              <w:t>其中：财政    资金</w:t>
            </w:r>
          </w:p>
        </w:tc>
        <w:tc>
          <w:tcPr>
            <w:tcW w:w="1304" w:type="dxa"/>
            <w:noWrap w:val="0"/>
            <w:vAlign w:val="center"/>
          </w:tcPr>
          <w:p>
            <w:pPr>
              <w:pStyle w:val="195"/>
            </w:pPr>
            <w:r>
              <w:t>28.34</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高校毕业生到村任职补助经费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1.按时发放。及时将选聘高校毕业生到村任职升级补助资金发放到位。</w:t>
            </w:r>
          </w:p>
          <w:p>
            <w:pPr>
              <w:pStyle w:val="195"/>
            </w:pPr>
            <w:r>
              <w:t>2.按标准发放。严格按照现行有关规定标准，足额将补助发放到到村任职高校毕业生手中。</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保障补贴对象人数占人保人数之比</w:t>
            </w:r>
          </w:p>
        </w:tc>
        <w:tc>
          <w:tcPr>
            <w:tcW w:w="2891" w:type="dxa"/>
            <w:noWrap w:val="0"/>
            <w:vAlign w:val="center"/>
          </w:tcPr>
          <w:p>
            <w:pPr>
              <w:pStyle w:val="195"/>
            </w:pPr>
            <w:r>
              <w:t>保障补贴对象人数占人保人数之比</w:t>
            </w:r>
          </w:p>
        </w:tc>
        <w:tc>
          <w:tcPr>
            <w:tcW w:w="1276" w:type="dxa"/>
            <w:noWrap w:val="0"/>
            <w:vAlign w:val="center"/>
          </w:tcPr>
          <w:p>
            <w:pPr>
              <w:pStyle w:val="195"/>
            </w:pPr>
            <w:r>
              <w:t>100保障补贴对象人数占人保人数之比</w:t>
            </w:r>
          </w:p>
        </w:tc>
        <w:tc>
          <w:tcPr>
            <w:tcW w:w="1843" w:type="dxa"/>
            <w:noWrap w:val="0"/>
            <w:vAlign w:val="center"/>
          </w:tcPr>
          <w:p>
            <w:pPr>
              <w:pStyle w:val="195"/>
            </w:pPr>
            <w:r>
              <w:t>保障补贴对象人数占人保人数之比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对各类补贴对象补贴标准按规定执行</w:t>
            </w:r>
          </w:p>
        </w:tc>
        <w:tc>
          <w:tcPr>
            <w:tcW w:w="2891" w:type="dxa"/>
            <w:noWrap w:val="0"/>
            <w:vAlign w:val="center"/>
          </w:tcPr>
          <w:p>
            <w:pPr>
              <w:pStyle w:val="195"/>
            </w:pPr>
            <w:r>
              <w:t>对各类补贴对象补贴标准按规定执行</w:t>
            </w:r>
          </w:p>
        </w:tc>
        <w:tc>
          <w:tcPr>
            <w:tcW w:w="1276" w:type="dxa"/>
            <w:noWrap w:val="0"/>
            <w:vAlign w:val="center"/>
          </w:tcPr>
          <w:p>
            <w:pPr>
              <w:pStyle w:val="195"/>
            </w:pPr>
            <w:r>
              <w:t>100对各类补贴对象补贴标准按规定执行</w:t>
            </w:r>
          </w:p>
        </w:tc>
        <w:tc>
          <w:tcPr>
            <w:tcW w:w="1843" w:type="dxa"/>
            <w:noWrap w:val="0"/>
            <w:vAlign w:val="center"/>
          </w:tcPr>
          <w:p>
            <w:pPr>
              <w:pStyle w:val="195"/>
            </w:pPr>
            <w:r>
              <w:t>对各类补贴对象补贴标准按规定执行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工作任务完成及时率</w:t>
            </w:r>
          </w:p>
        </w:tc>
        <w:tc>
          <w:tcPr>
            <w:tcW w:w="2891" w:type="dxa"/>
            <w:noWrap w:val="0"/>
            <w:vAlign w:val="center"/>
          </w:tcPr>
          <w:p>
            <w:pPr>
              <w:pStyle w:val="195"/>
            </w:pPr>
            <w:r>
              <w:t>工作任务完成及时率</w:t>
            </w:r>
          </w:p>
        </w:tc>
        <w:tc>
          <w:tcPr>
            <w:tcW w:w="1276" w:type="dxa"/>
            <w:noWrap w:val="0"/>
            <w:vAlign w:val="center"/>
          </w:tcPr>
          <w:p>
            <w:pPr>
              <w:pStyle w:val="195"/>
            </w:pPr>
            <w:r>
              <w:t>≥90工作任务完成及时率</w:t>
            </w:r>
          </w:p>
        </w:tc>
        <w:tc>
          <w:tcPr>
            <w:tcW w:w="1843" w:type="dxa"/>
            <w:noWrap w:val="0"/>
            <w:vAlign w:val="center"/>
          </w:tcPr>
          <w:p>
            <w:pPr>
              <w:pStyle w:val="195"/>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预算控制数</w:t>
            </w:r>
          </w:p>
        </w:tc>
        <w:tc>
          <w:tcPr>
            <w:tcW w:w="2891" w:type="dxa"/>
            <w:noWrap w:val="0"/>
            <w:vAlign w:val="center"/>
          </w:tcPr>
          <w:p>
            <w:pPr>
              <w:pStyle w:val="195"/>
            </w:pPr>
            <w:r>
              <w:t>预算控制数</w:t>
            </w:r>
          </w:p>
        </w:tc>
        <w:tc>
          <w:tcPr>
            <w:tcW w:w="1276" w:type="dxa"/>
            <w:noWrap w:val="0"/>
            <w:vAlign w:val="center"/>
          </w:tcPr>
          <w:p>
            <w:pPr>
              <w:pStyle w:val="195"/>
            </w:pPr>
            <w:r>
              <w:t>≥90预算控制数</w:t>
            </w:r>
          </w:p>
        </w:tc>
        <w:tc>
          <w:tcPr>
            <w:tcW w:w="1843" w:type="dxa"/>
            <w:noWrap w:val="0"/>
            <w:vAlign w:val="center"/>
          </w:tcPr>
          <w:p>
            <w:pPr>
              <w:pStyle w:val="195"/>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社会效益指标</w:t>
            </w:r>
          </w:p>
        </w:tc>
        <w:tc>
          <w:tcPr>
            <w:tcW w:w="1332" w:type="dxa"/>
            <w:noWrap w:val="0"/>
            <w:vAlign w:val="center"/>
          </w:tcPr>
          <w:p>
            <w:pPr>
              <w:pStyle w:val="195"/>
            </w:pPr>
            <w:r>
              <w:t>激发到村任职高校毕业生在农村干事创业积极性</w:t>
            </w:r>
          </w:p>
        </w:tc>
        <w:tc>
          <w:tcPr>
            <w:tcW w:w="2891" w:type="dxa"/>
            <w:noWrap w:val="0"/>
            <w:vAlign w:val="center"/>
          </w:tcPr>
          <w:p>
            <w:pPr>
              <w:pStyle w:val="195"/>
            </w:pPr>
            <w:r>
              <w:t>激发到村任职高校毕业生在农村干事创业积极性</w:t>
            </w:r>
          </w:p>
        </w:tc>
        <w:tc>
          <w:tcPr>
            <w:tcW w:w="1276" w:type="dxa"/>
            <w:noWrap w:val="0"/>
            <w:vAlign w:val="center"/>
          </w:tcPr>
          <w:p>
            <w:pPr>
              <w:pStyle w:val="195"/>
            </w:pPr>
            <w:r>
              <w:t>≥90激发到村任职高校毕业生在农村干事创业积极性</w:t>
            </w:r>
          </w:p>
        </w:tc>
        <w:tc>
          <w:tcPr>
            <w:tcW w:w="1843" w:type="dxa"/>
            <w:noWrap w:val="0"/>
            <w:vAlign w:val="center"/>
          </w:tcPr>
          <w:p>
            <w:pPr>
              <w:pStyle w:val="195"/>
            </w:pPr>
            <w:r>
              <w:t>激发到村任职高校毕业生在农村干事创业积极性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满意度指标</w:t>
            </w:r>
          </w:p>
        </w:tc>
        <w:tc>
          <w:tcPr>
            <w:tcW w:w="1276" w:type="dxa"/>
            <w:noWrap w:val="0"/>
            <w:vAlign w:val="center"/>
          </w:tcPr>
          <w:p>
            <w:pPr>
              <w:pStyle w:val="195"/>
            </w:pPr>
            <w:r>
              <w:t>服务对象满意度指标</w:t>
            </w:r>
          </w:p>
        </w:tc>
        <w:tc>
          <w:tcPr>
            <w:tcW w:w="1332" w:type="dxa"/>
            <w:noWrap w:val="0"/>
            <w:vAlign w:val="center"/>
          </w:tcPr>
          <w:p>
            <w:pPr>
              <w:pStyle w:val="195"/>
            </w:pPr>
            <w:r>
              <w:t>到村任职高校毕业生满意度</w:t>
            </w:r>
          </w:p>
        </w:tc>
        <w:tc>
          <w:tcPr>
            <w:tcW w:w="2891" w:type="dxa"/>
            <w:noWrap w:val="0"/>
            <w:vAlign w:val="center"/>
          </w:tcPr>
          <w:p>
            <w:pPr>
              <w:pStyle w:val="195"/>
            </w:pPr>
            <w:r>
              <w:t>到村任职高校毕业生满意度</w:t>
            </w:r>
          </w:p>
        </w:tc>
        <w:tc>
          <w:tcPr>
            <w:tcW w:w="1276" w:type="dxa"/>
            <w:noWrap w:val="0"/>
            <w:vAlign w:val="center"/>
          </w:tcPr>
          <w:p>
            <w:pPr>
              <w:pStyle w:val="195"/>
            </w:pPr>
            <w:r>
              <w:t>≥90到村任职高校毕业生满意度</w:t>
            </w:r>
          </w:p>
        </w:tc>
        <w:tc>
          <w:tcPr>
            <w:tcW w:w="1843" w:type="dxa"/>
            <w:noWrap w:val="0"/>
            <w:vAlign w:val="center"/>
          </w:tcPr>
          <w:p>
            <w:pPr>
              <w:pStyle w:val="195"/>
            </w:pPr>
            <w:r>
              <w:t>到村任职高校毕业生满意度</w:t>
            </w:r>
          </w:p>
        </w:tc>
      </w:tr>
    </w:tbl>
    <w:p>
      <w:pPr>
        <w:sectPr>
          <w:pgSz w:w="11900" w:h="16840" w:orient="landscape"/>
          <w:pgMar w:top="1984" w:right="1304" w:bottom="1134" w:left="1304" w:header="720" w:footer="720" w:gutter="0"/>
          <w:cols w:space="1701" w:num="1"/>
        </w:sectPr>
      </w:pPr>
    </w:p>
    <w:p>
      <w:pPr>
        <w:jc w:val="center"/>
      </w:pPr>
    </w:p>
    <w:p>
      <w:pPr>
        <w:ind w:firstLine="560"/>
        <w:outlineLvl w:val="3"/>
      </w:pPr>
      <w:bookmarkStart w:id="12" w:name="_Toc_4_4_0000000012"/>
      <w:r>
        <w:rPr>
          <w:rFonts w:ascii="方正仿宋_GBK" w:hAnsi="方正仿宋_GBK" w:eastAsia="方正仿宋_GBK" w:cs="方正仿宋_GBK"/>
          <w:color w:val="000000"/>
          <w:sz w:val="28"/>
        </w:rPr>
        <w:t>9.关于结算下达2021年选调生到村工作中央财政补助资金的通知绩效目标表</w:t>
      </w:r>
      <w:bookmarkEnd w:id="11"/>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13030321P003964100017</w:t>
            </w:r>
          </w:p>
        </w:tc>
        <w:tc>
          <w:tcPr>
            <w:tcW w:w="1587" w:type="dxa"/>
            <w:noWrap w:val="0"/>
            <w:vAlign w:val="center"/>
          </w:tcPr>
          <w:p>
            <w:pPr>
              <w:pStyle w:val="196"/>
            </w:pPr>
            <w:r>
              <w:t>项目名称</w:t>
            </w:r>
          </w:p>
        </w:tc>
        <w:tc>
          <w:tcPr>
            <w:tcW w:w="4423" w:type="dxa"/>
            <w:gridSpan w:val="3"/>
            <w:noWrap w:val="0"/>
            <w:vAlign w:val="center"/>
          </w:tcPr>
          <w:p>
            <w:pPr>
              <w:pStyle w:val="195"/>
            </w:pPr>
            <w:r>
              <w:t>关于结算下达2021年选调生到村工作中央财政补助资金的通知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2.35</w:t>
            </w:r>
          </w:p>
        </w:tc>
        <w:tc>
          <w:tcPr>
            <w:tcW w:w="1587" w:type="dxa"/>
            <w:noWrap w:val="0"/>
            <w:vAlign w:val="center"/>
          </w:tcPr>
          <w:p>
            <w:pPr>
              <w:pStyle w:val="196"/>
            </w:pPr>
            <w:r>
              <w:t>其中：财政    资金</w:t>
            </w:r>
          </w:p>
        </w:tc>
        <w:tc>
          <w:tcPr>
            <w:tcW w:w="1304" w:type="dxa"/>
            <w:noWrap w:val="0"/>
            <w:vAlign w:val="center"/>
          </w:tcPr>
          <w:p>
            <w:pPr>
              <w:pStyle w:val="195"/>
            </w:pPr>
            <w:r>
              <w:t>2.35</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2021年选调生到村工作中央财政补助资金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1.解决到村任职选调生的后顾之忧，帮助他们尽快适应基层工作。</w:t>
            </w:r>
          </w:p>
          <w:p>
            <w:pPr>
              <w:pStyle w:val="195"/>
            </w:pPr>
            <w:r>
              <w:t>2.加强对到村任职选调生的教育培训，按要求组织开展国情调研，组织他们多参与化解复杂矛盾和问题，让他们在基层真正经受实践锻炼。</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rPr>
                <w:sz w:val="18"/>
                <w:szCs w:val="18"/>
              </w:rPr>
            </w:pPr>
            <w:r>
              <w:rPr>
                <w:sz w:val="18"/>
                <w:szCs w:val="18"/>
              </w:rPr>
              <w:t>数量指标</w:t>
            </w:r>
          </w:p>
        </w:tc>
        <w:tc>
          <w:tcPr>
            <w:tcW w:w="1332" w:type="dxa"/>
            <w:noWrap w:val="0"/>
            <w:vAlign w:val="center"/>
          </w:tcPr>
          <w:p>
            <w:pPr>
              <w:pStyle w:val="195"/>
              <w:rPr>
                <w:sz w:val="18"/>
                <w:szCs w:val="18"/>
              </w:rPr>
            </w:pPr>
            <w:r>
              <w:rPr>
                <w:sz w:val="18"/>
                <w:szCs w:val="18"/>
              </w:rPr>
              <w:t>保障补贴对象人数占应保人数之比</w:t>
            </w:r>
          </w:p>
        </w:tc>
        <w:tc>
          <w:tcPr>
            <w:tcW w:w="2891" w:type="dxa"/>
            <w:noWrap w:val="0"/>
            <w:vAlign w:val="center"/>
          </w:tcPr>
          <w:p>
            <w:pPr>
              <w:pStyle w:val="195"/>
              <w:rPr>
                <w:sz w:val="18"/>
                <w:szCs w:val="18"/>
              </w:rPr>
            </w:pPr>
            <w:r>
              <w:rPr>
                <w:sz w:val="18"/>
                <w:szCs w:val="18"/>
              </w:rPr>
              <w:t>保障补贴对象人数占应保人数之比</w:t>
            </w:r>
          </w:p>
        </w:tc>
        <w:tc>
          <w:tcPr>
            <w:tcW w:w="1276" w:type="dxa"/>
            <w:noWrap w:val="0"/>
            <w:vAlign w:val="center"/>
          </w:tcPr>
          <w:p>
            <w:pPr>
              <w:pStyle w:val="195"/>
              <w:rPr>
                <w:sz w:val="18"/>
                <w:szCs w:val="18"/>
              </w:rPr>
            </w:pPr>
            <w:r>
              <w:rPr>
                <w:sz w:val="18"/>
                <w:szCs w:val="18"/>
              </w:rPr>
              <w:t>100保障补贴对象人数占应保人数之比</w:t>
            </w:r>
          </w:p>
        </w:tc>
        <w:tc>
          <w:tcPr>
            <w:tcW w:w="1843" w:type="dxa"/>
            <w:noWrap w:val="0"/>
            <w:vAlign w:val="center"/>
          </w:tcPr>
          <w:p>
            <w:pPr>
              <w:pStyle w:val="195"/>
              <w:rPr>
                <w:sz w:val="18"/>
                <w:szCs w:val="18"/>
              </w:rPr>
            </w:pPr>
            <w:r>
              <w:rPr>
                <w:sz w:val="18"/>
                <w:szCs w:val="18"/>
              </w:rPr>
              <w:t>保障补贴对象人数占应保人数之比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rPr>
                <w:sz w:val="18"/>
                <w:szCs w:val="18"/>
              </w:rPr>
            </w:pPr>
            <w:r>
              <w:rPr>
                <w:sz w:val="18"/>
                <w:szCs w:val="18"/>
              </w:rPr>
              <w:t>质量指标</w:t>
            </w:r>
          </w:p>
        </w:tc>
        <w:tc>
          <w:tcPr>
            <w:tcW w:w="1332" w:type="dxa"/>
            <w:noWrap w:val="0"/>
            <w:vAlign w:val="center"/>
          </w:tcPr>
          <w:p>
            <w:pPr>
              <w:pStyle w:val="195"/>
              <w:rPr>
                <w:sz w:val="18"/>
                <w:szCs w:val="18"/>
              </w:rPr>
            </w:pPr>
            <w:r>
              <w:rPr>
                <w:sz w:val="18"/>
                <w:szCs w:val="18"/>
              </w:rPr>
              <w:t>形成一批较高水平的优秀调研成果</w:t>
            </w:r>
          </w:p>
        </w:tc>
        <w:tc>
          <w:tcPr>
            <w:tcW w:w="2891" w:type="dxa"/>
            <w:noWrap w:val="0"/>
            <w:vAlign w:val="center"/>
          </w:tcPr>
          <w:p>
            <w:pPr>
              <w:pStyle w:val="195"/>
              <w:rPr>
                <w:sz w:val="18"/>
                <w:szCs w:val="18"/>
              </w:rPr>
            </w:pPr>
            <w:r>
              <w:rPr>
                <w:sz w:val="18"/>
                <w:szCs w:val="18"/>
              </w:rPr>
              <w:t>形成一批较高水平的优秀调研成果</w:t>
            </w:r>
          </w:p>
        </w:tc>
        <w:tc>
          <w:tcPr>
            <w:tcW w:w="1276" w:type="dxa"/>
            <w:noWrap w:val="0"/>
            <w:vAlign w:val="center"/>
          </w:tcPr>
          <w:p>
            <w:pPr>
              <w:pStyle w:val="195"/>
              <w:rPr>
                <w:sz w:val="18"/>
                <w:szCs w:val="18"/>
              </w:rPr>
            </w:pPr>
            <w:r>
              <w:rPr>
                <w:sz w:val="18"/>
                <w:szCs w:val="18"/>
              </w:rPr>
              <w:t>≥90形成一批较高水平的优秀调研成果</w:t>
            </w:r>
          </w:p>
        </w:tc>
        <w:tc>
          <w:tcPr>
            <w:tcW w:w="1843" w:type="dxa"/>
            <w:noWrap w:val="0"/>
            <w:vAlign w:val="center"/>
          </w:tcPr>
          <w:p>
            <w:pPr>
              <w:pStyle w:val="195"/>
              <w:rPr>
                <w:sz w:val="18"/>
                <w:szCs w:val="18"/>
              </w:rPr>
            </w:pPr>
            <w:r>
              <w:rPr>
                <w:sz w:val="18"/>
                <w:szCs w:val="18"/>
              </w:rPr>
              <w:t>形成一批较高水平的优秀调研成果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rPr>
                <w:sz w:val="18"/>
                <w:szCs w:val="18"/>
              </w:rPr>
            </w:pPr>
            <w:r>
              <w:rPr>
                <w:sz w:val="18"/>
                <w:szCs w:val="18"/>
              </w:rPr>
              <w:t>时效指标</w:t>
            </w:r>
          </w:p>
        </w:tc>
        <w:tc>
          <w:tcPr>
            <w:tcW w:w="1332" w:type="dxa"/>
            <w:noWrap w:val="0"/>
            <w:vAlign w:val="center"/>
          </w:tcPr>
          <w:p>
            <w:pPr>
              <w:pStyle w:val="195"/>
              <w:rPr>
                <w:sz w:val="18"/>
                <w:szCs w:val="18"/>
              </w:rPr>
            </w:pPr>
            <w:r>
              <w:rPr>
                <w:sz w:val="18"/>
                <w:szCs w:val="18"/>
              </w:rPr>
              <w:t>工作任务完成及时率</w:t>
            </w:r>
          </w:p>
        </w:tc>
        <w:tc>
          <w:tcPr>
            <w:tcW w:w="2891" w:type="dxa"/>
            <w:noWrap w:val="0"/>
            <w:vAlign w:val="center"/>
          </w:tcPr>
          <w:p>
            <w:pPr>
              <w:pStyle w:val="195"/>
              <w:rPr>
                <w:sz w:val="18"/>
                <w:szCs w:val="18"/>
              </w:rPr>
            </w:pPr>
            <w:r>
              <w:rPr>
                <w:sz w:val="18"/>
                <w:szCs w:val="18"/>
              </w:rPr>
              <w:t>工作任务完成及时率</w:t>
            </w:r>
          </w:p>
        </w:tc>
        <w:tc>
          <w:tcPr>
            <w:tcW w:w="1276" w:type="dxa"/>
            <w:noWrap w:val="0"/>
            <w:vAlign w:val="center"/>
          </w:tcPr>
          <w:p>
            <w:pPr>
              <w:pStyle w:val="195"/>
              <w:rPr>
                <w:sz w:val="18"/>
                <w:szCs w:val="18"/>
              </w:rPr>
            </w:pPr>
            <w:r>
              <w:rPr>
                <w:sz w:val="18"/>
                <w:szCs w:val="18"/>
              </w:rPr>
              <w:t>≥90工作任务完成及时率</w:t>
            </w:r>
          </w:p>
        </w:tc>
        <w:tc>
          <w:tcPr>
            <w:tcW w:w="1843" w:type="dxa"/>
            <w:noWrap w:val="0"/>
            <w:vAlign w:val="center"/>
          </w:tcPr>
          <w:p>
            <w:pPr>
              <w:pStyle w:val="195"/>
              <w:rPr>
                <w:sz w:val="18"/>
                <w:szCs w:val="18"/>
              </w:rPr>
            </w:pPr>
            <w:r>
              <w:rPr>
                <w:sz w:val="18"/>
                <w:szCs w:val="18"/>
              </w:rP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rPr>
                <w:sz w:val="18"/>
                <w:szCs w:val="18"/>
              </w:rPr>
            </w:pPr>
            <w:r>
              <w:rPr>
                <w:sz w:val="18"/>
                <w:szCs w:val="18"/>
              </w:rPr>
              <w:t>成本指标</w:t>
            </w:r>
          </w:p>
        </w:tc>
        <w:tc>
          <w:tcPr>
            <w:tcW w:w="1332" w:type="dxa"/>
            <w:noWrap w:val="0"/>
            <w:vAlign w:val="center"/>
          </w:tcPr>
          <w:p>
            <w:pPr>
              <w:pStyle w:val="195"/>
              <w:rPr>
                <w:sz w:val="18"/>
                <w:szCs w:val="18"/>
              </w:rPr>
            </w:pPr>
            <w:r>
              <w:rPr>
                <w:sz w:val="18"/>
                <w:szCs w:val="18"/>
              </w:rPr>
              <w:t>预算控制数</w:t>
            </w:r>
          </w:p>
        </w:tc>
        <w:tc>
          <w:tcPr>
            <w:tcW w:w="2891" w:type="dxa"/>
            <w:noWrap w:val="0"/>
            <w:vAlign w:val="center"/>
          </w:tcPr>
          <w:p>
            <w:pPr>
              <w:pStyle w:val="195"/>
              <w:rPr>
                <w:sz w:val="18"/>
                <w:szCs w:val="18"/>
              </w:rPr>
            </w:pPr>
            <w:r>
              <w:rPr>
                <w:sz w:val="18"/>
                <w:szCs w:val="18"/>
              </w:rPr>
              <w:t>预算控制数</w:t>
            </w:r>
          </w:p>
        </w:tc>
        <w:tc>
          <w:tcPr>
            <w:tcW w:w="1276" w:type="dxa"/>
            <w:noWrap w:val="0"/>
            <w:vAlign w:val="center"/>
          </w:tcPr>
          <w:p>
            <w:pPr>
              <w:pStyle w:val="195"/>
              <w:rPr>
                <w:sz w:val="18"/>
                <w:szCs w:val="18"/>
              </w:rPr>
            </w:pPr>
            <w:r>
              <w:rPr>
                <w:sz w:val="18"/>
                <w:szCs w:val="18"/>
              </w:rPr>
              <w:t>≥90预算控制数</w:t>
            </w:r>
          </w:p>
        </w:tc>
        <w:tc>
          <w:tcPr>
            <w:tcW w:w="1843" w:type="dxa"/>
            <w:noWrap w:val="0"/>
            <w:vAlign w:val="center"/>
          </w:tcPr>
          <w:p>
            <w:pPr>
              <w:pStyle w:val="195"/>
              <w:rPr>
                <w:sz w:val="18"/>
                <w:szCs w:val="18"/>
              </w:rPr>
            </w:pPr>
            <w:r>
              <w:rPr>
                <w:sz w:val="18"/>
                <w:szCs w:val="18"/>
              </w:rP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rPr>
                <w:sz w:val="18"/>
                <w:szCs w:val="18"/>
              </w:rPr>
            </w:pPr>
            <w:r>
              <w:rPr>
                <w:sz w:val="18"/>
                <w:szCs w:val="18"/>
              </w:rPr>
              <w:t>社会效益指标</w:t>
            </w:r>
          </w:p>
        </w:tc>
        <w:tc>
          <w:tcPr>
            <w:tcW w:w="1332" w:type="dxa"/>
            <w:noWrap w:val="0"/>
            <w:vAlign w:val="center"/>
          </w:tcPr>
          <w:p>
            <w:pPr>
              <w:pStyle w:val="195"/>
              <w:rPr>
                <w:sz w:val="18"/>
                <w:szCs w:val="18"/>
              </w:rPr>
            </w:pPr>
            <w:r>
              <w:rPr>
                <w:sz w:val="18"/>
                <w:szCs w:val="18"/>
              </w:rPr>
              <w:t>到村任职选调生在农村干事创业，名村基层党建工作水平逐步提高</w:t>
            </w:r>
          </w:p>
        </w:tc>
        <w:tc>
          <w:tcPr>
            <w:tcW w:w="2891" w:type="dxa"/>
            <w:noWrap w:val="0"/>
            <w:vAlign w:val="center"/>
          </w:tcPr>
          <w:p>
            <w:pPr>
              <w:pStyle w:val="195"/>
              <w:rPr>
                <w:sz w:val="18"/>
                <w:szCs w:val="18"/>
              </w:rPr>
            </w:pPr>
            <w:r>
              <w:rPr>
                <w:sz w:val="18"/>
                <w:szCs w:val="18"/>
              </w:rPr>
              <w:t>到村任职选调生在农村干事创业，名村基层党建工作水平逐步提高</w:t>
            </w:r>
          </w:p>
        </w:tc>
        <w:tc>
          <w:tcPr>
            <w:tcW w:w="1276" w:type="dxa"/>
            <w:noWrap w:val="0"/>
            <w:vAlign w:val="center"/>
          </w:tcPr>
          <w:p>
            <w:pPr>
              <w:pStyle w:val="195"/>
              <w:rPr>
                <w:sz w:val="18"/>
                <w:szCs w:val="18"/>
              </w:rPr>
            </w:pPr>
            <w:r>
              <w:rPr>
                <w:sz w:val="18"/>
                <w:szCs w:val="18"/>
              </w:rPr>
              <w:t>≥90到村任职选调生在农村干事创业，名村基层党建工作水平逐步提高</w:t>
            </w:r>
          </w:p>
        </w:tc>
        <w:tc>
          <w:tcPr>
            <w:tcW w:w="1843" w:type="dxa"/>
            <w:noWrap w:val="0"/>
            <w:vAlign w:val="center"/>
          </w:tcPr>
          <w:p>
            <w:pPr>
              <w:pStyle w:val="195"/>
              <w:rPr>
                <w:sz w:val="18"/>
                <w:szCs w:val="18"/>
              </w:rPr>
            </w:pPr>
            <w:r>
              <w:rPr>
                <w:sz w:val="18"/>
                <w:szCs w:val="18"/>
              </w:rPr>
              <w:t>到村任职选调生在农村干事创业，名村基层党建工作水平逐步提高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满意度指标</w:t>
            </w:r>
          </w:p>
        </w:tc>
        <w:tc>
          <w:tcPr>
            <w:tcW w:w="1276" w:type="dxa"/>
            <w:noWrap w:val="0"/>
            <w:vAlign w:val="center"/>
          </w:tcPr>
          <w:p>
            <w:pPr>
              <w:pStyle w:val="195"/>
              <w:rPr>
                <w:sz w:val="18"/>
                <w:szCs w:val="18"/>
              </w:rPr>
            </w:pPr>
            <w:r>
              <w:rPr>
                <w:sz w:val="18"/>
                <w:szCs w:val="18"/>
              </w:rPr>
              <w:t>服务对象满意度指标</w:t>
            </w:r>
          </w:p>
        </w:tc>
        <w:tc>
          <w:tcPr>
            <w:tcW w:w="1332" w:type="dxa"/>
            <w:noWrap w:val="0"/>
            <w:vAlign w:val="center"/>
          </w:tcPr>
          <w:p>
            <w:pPr>
              <w:pStyle w:val="195"/>
              <w:rPr>
                <w:sz w:val="18"/>
                <w:szCs w:val="18"/>
              </w:rPr>
            </w:pPr>
            <w:r>
              <w:rPr>
                <w:sz w:val="18"/>
                <w:szCs w:val="18"/>
              </w:rPr>
              <w:t>对政策落实情况满意的到村任职选调生占应保人数之比</w:t>
            </w:r>
          </w:p>
        </w:tc>
        <w:tc>
          <w:tcPr>
            <w:tcW w:w="2891" w:type="dxa"/>
            <w:noWrap w:val="0"/>
            <w:vAlign w:val="center"/>
          </w:tcPr>
          <w:p>
            <w:pPr>
              <w:pStyle w:val="195"/>
              <w:rPr>
                <w:sz w:val="18"/>
                <w:szCs w:val="18"/>
              </w:rPr>
            </w:pPr>
            <w:r>
              <w:rPr>
                <w:sz w:val="18"/>
                <w:szCs w:val="18"/>
              </w:rPr>
              <w:t>对政策落实情况满意的到村任职选调生占应保人数之比</w:t>
            </w:r>
          </w:p>
        </w:tc>
        <w:tc>
          <w:tcPr>
            <w:tcW w:w="1276" w:type="dxa"/>
            <w:noWrap w:val="0"/>
            <w:vAlign w:val="center"/>
          </w:tcPr>
          <w:p>
            <w:pPr>
              <w:pStyle w:val="195"/>
              <w:rPr>
                <w:sz w:val="18"/>
                <w:szCs w:val="18"/>
              </w:rPr>
            </w:pPr>
            <w:r>
              <w:rPr>
                <w:sz w:val="18"/>
                <w:szCs w:val="18"/>
              </w:rPr>
              <w:t>100对政策落实情况满意的到村任职选调生占应保人数之比</w:t>
            </w:r>
          </w:p>
        </w:tc>
        <w:tc>
          <w:tcPr>
            <w:tcW w:w="1843" w:type="dxa"/>
            <w:noWrap w:val="0"/>
            <w:vAlign w:val="center"/>
          </w:tcPr>
          <w:p>
            <w:pPr>
              <w:pStyle w:val="195"/>
              <w:rPr>
                <w:sz w:val="18"/>
                <w:szCs w:val="18"/>
              </w:rPr>
            </w:pPr>
            <w:r>
              <w:rPr>
                <w:sz w:val="18"/>
                <w:szCs w:val="18"/>
              </w:rPr>
              <w:t>对政策落实情况满意的到村任职选调生占应保人数之比</w:t>
            </w:r>
          </w:p>
        </w:tc>
      </w:tr>
    </w:tbl>
    <w:p>
      <w:pPr>
        <w:sectPr>
          <w:pgSz w:w="11900" w:h="16840" w:orient="landscape"/>
          <w:pgMar w:top="1984" w:right="1304" w:bottom="1134" w:left="1304" w:header="720" w:footer="720" w:gutter="0"/>
          <w:cols w:space="1701" w:num="1"/>
        </w:sectPr>
      </w:pPr>
    </w:p>
    <w:p>
      <w:pPr>
        <w:jc w:val="center"/>
      </w:pPr>
    </w:p>
    <w:p>
      <w:pPr>
        <w:ind w:firstLine="560"/>
        <w:outlineLvl w:val="3"/>
      </w:pPr>
      <w:bookmarkStart w:id="13" w:name="_Toc_4_4_0000000013"/>
      <w:r>
        <w:rPr>
          <w:rFonts w:ascii="方正仿宋_GBK" w:hAnsi="方正仿宋_GBK" w:eastAsia="方正仿宋_GBK" w:cs="方正仿宋_GBK"/>
          <w:color w:val="000000"/>
          <w:sz w:val="28"/>
        </w:rPr>
        <w:t>10.关于结算下达到村任职高校毕业生中央财政补助资金的通知绩效目标表</w:t>
      </w:r>
      <w:bookmarkEnd w:id="12"/>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13030321P00396310001H</w:t>
            </w:r>
          </w:p>
        </w:tc>
        <w:tc>
          <w:tcPr>
            <w:tcW w:w="1587" w:type="dxa"/>
            <w:noWrap w:val="0"/>
            <w:vAlign w:val="center"/>
          </w:tcPr>
          <w:p>
            <w:pPr>
              <w:pStyle w:val="196"/>
            </w:pPr>
            <w:r>
              <w:t>项目名称</w:t>
            </w:r>
          </w:p>
        </w:tc>
        <w:tc>
          <w:tcPr>
            <w:tcW w:w="4423" w:type="dxa"/>
            <w:gridSpan w:val="3"/>
            <w:noWrap w:val="0"/>
            <w:vAlign w:val="center"/>
          </w:tcPr>
          <w:p>
            <w:pPr>
              <w:pStyle w:val="195"/>
            </w:pPr>
            <w:r>
              <w:t>关于结算下达到村任职高校毕业生中央财政补助资金的通知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14.40</w:t>
            </w:r>
          </w:p>
        </w:tc>
        <w:tc>
          <w:tcPr>
            <w:tcW w:w="1587" w:type="dxa"/>
            <w:noWrap w:val="0"/>
            <w:vAlign w:val="center"/>
          </w:tcPr>
          <w:p>
            <w:pPr>
              <w:pStyle w:val="196"/>
            </w:pPr>
            <w:r>
              <w:t>其中：财政    资金</w:t>
            </w:r>
          </w:p>
        </w:tc>
        <w:tc>
          <w:tcPr>
            <w:tcW w:w="1304" w:type="dxa"/>
            <w:noWrap w:val="0"/>
            <w:vAlign w:val="center"/>
          </w:tcPr>
          <w:p>
            <w:pPr>
              <w:pStyle w:val="195"/>
            </w:pPr>
            <w:r>
              <w:t>14.40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到村任职高校毕业生中央财政补助资金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1.按时发放。及时将选聘高校毕业生到村任职中央财政补助资金发放到位。</w:t>
            </w:r>
          </w:p>
          <w:p>
            <w:pPr>
              <w:pStyle w:val="195"/>
            </w:pPr>
            <w:r>
              <w:t>2.按标准发放。严格按照有关规定标准，足额将补助发放到到村任职高校别生手中。</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保障补贴对象人数占应保人数之比</w:t>
            </w:r>
          </w:p>
        </w:tc>
        <w:tc>
          <w:tcPr>
            <w:tcW w:w="2891" w:type="dxa"/>
            <w:noWrap w:val="0"/>
            <w:vAlign w:val="center"/>
          </w:tcPr>
          <w:p>
            <w:pPr>
              <w:pStyle w:val="195"/>
            </w:pPr>
            <w:r>
              <w:t>保障补贴对象人数占应保人数之比</w:t>
            </w:r>
          </w:p>
        </w:tc>
        <w:tc>
          <w:tcPr>
            <w:tcW w:w="1276" w:type="dxa"/>
            <w:noWrap w:val="0"/>
            <w:vAlign w:val="center"/>
          </w:tcPr>
          <w:p>
            <w:pPr>
              <w:pStyle w:val="195"/>
            </w:pPr>
            <w:r>
              <w:t>100保障补贴对象人数占应保人数之比</w:t>
            </w:r>
          </w:p>
        </w:tc>
        <w:tc>
          <w:tcPr>
            <w:tcW w:w="1843" w:type="dxa"/>
            <w:noWrap w:val="0"/>
            <w:vAlign w:val="center"/>
          </w:tcPr>
          <w:p>
            <w:pPr>
              <w:pStyle w:val="195"/>
            </w:pPr>
            <w:r>
              <w:t>保障补贴对象人数占应保人数之比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对各类补贴对象补贴标准按规定执行</w:t>
            </w:r>
          </w:p>
        </w:tc>
        <w:tc>
          <w:tcPr>
            <w:tcW w:w="2891" w:type="dxa"/>
            <w:noWrap w:val="0"/>
            <w:vAlign w:val="center"/>
          </w:tcPr>
          <w:p>
            <w:pPr>
              <w:pStyle w:val="195"/>
            </w:pPr>
            <w:r>
              <w:t>对各类补贴对象补贴标准按规定执行</w:t>
            </w:r>
          </w:p>
        </w:tc>
        <w:tc>
          <w:tcPr>
            <w:tcW w:w="1276" w:type="dxa"/>
            <w:noWrap w:val="0"/>
            <w:vAlign w:val="center"/>
          </w:tcPr>
          <w:p>
            <w:pPr>
              <w:pStyle w:val="195"/>
            </w:pPr>
            <w:r>
              <w:t>100对各类补贴对象补贴标准按规定执行</w:t>
            </w:r>
          </w:p>
        </w:tc>
        <w:tc>
          <w:tcPr>
            <w:tcW w:w="1843" w:type="dxa"/>
            <w:noWrap w:val="0"/>
            <w:vAlign w:val="center"/>
          </w:tcPr>
          <w:p>
            <w:pPr>
              <w:pStyle w:val="195"/>
            </w:pPr>
            <w:r>
              <w:t>对各类补贴对象补贴标准按规定执行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工作任务完成及时率</w:t>
            </w:r>
          </w:p>
        </w:tc>
        <w:tc>
          <w:tcPr>
            <w:tcW w:w="2891" w:type="dxa"/>
            <w:noWrap w:val="0"/>
            <w:vAlign w:val="center"/>
          </w:tcPr>
          <w:p>
            <w:pPr>
              <w:pStyle w:val="195"/>
            </w:pPr>
            <w:r>
              <w:t>工作任务完成及时率</w:t>
            </w:r>
          </w:p>
        </w:tc>
        <w:tc>
          <w:tcPr>
            <w:tcW w:w="1276" w:type="dxa"/>
            <w:noWrap w:val="0"/>
            <w:vAlign w:val="center"/>
          </w:tcPr>
          <w:p>
            <w:pPr>
              <w:pStyle w:val="195"/>
            </w:pPr>
            <w:r>
              <w:t>≥90工作任务完成及时率</w:t>
            </w:r>
          </w:p>
        </w:tc>
        <w:tc>
          <w:tcPr>
            <w:tcW w:w="1843" w:type="dxa"/>
            <w:noWrap w:val="0"/>
            <w:vAlign w:val="center"/>
          </w:tcPr>
          <w:p>
            <w:pPr>
              <w:pStyle w:val="195"/>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预算控制数</w:t>
            </w:r>
          </w:p>
        </w:tc>
        <w:tc>
          <w:tcPr>
            <w:tcW w:w="2891" w:type="dxa"/>
            <w:noWrap w:val="0"/>
            <w:vAlign w:val="center"/>
          </w:tcPr>
          <w:p>
            <w:pPr>
              <w:pStyle w:val="195"/>
            </w:pPr>
            <w:r>
              <w:t>预算控制数</w:t>
            </w:r>
          </w:p>
        </w:tc>
        <w:tc>
          <w:tcPr>
            <w:tcW w:w="1276" w:type="dxa"/>
            <w:noWrap w:val="0"/>
            <w:vAlign w:val="center"/>
          </w:tcPr>
          <w:p>
            <w:pPr>
              <w:pStyle w:val="195"/>
            </w:pPr>
            <w:r>
              <w:t>≥90预算控制数</w:t>
            </w:r>
          </w:p>
        </w:tc>
        <w:tc>
          <w:tcPr>
            <w:tcW w:w="1843" w:type="dxa"/>
            <w:noWrap w:val="0"/>
            <w:vAlign w:val="center"/>
          </w:tcPr>
          <w:p>
            <w:pPr>
              <w:pStyle w:val="195"/>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社会效益指标</w:t>
            </w:r>
          </w:p>
        </w:tc>
        <w:tc>
          <w:tcPr>
            <w:tcW w:w="1332" w:type="dxa"/>
            <w:noWrap w:val="0"/>
            <w:vAlign w:val="center"/>
          </w:tcPr>
          <w:p>
            <w:pPr>
              <w:pStyle w:val="195"/>
            </w:pPr>
            <w:r>
              <w:t>激发到村任职高校毕业生在农村干事创业</w:t>
            </w:r>
          </w:p>
        </w:tc>
        <w:tc>
          <w:tcPr>
            <w:tcW w:w="2891" w:type="dxa"/>
            <w:noWrap w:val="0"/>
            <w:vAlign w:val="center"/>
          </w:tcPr>
          <w:p>
            <w:pPr>
              <w:pStyle w:val="195"/>
            </w:pPr>
            <w:r>
              <w:t>激发到村任职高校毕业生在农村干事创业</w:t>
            </w:r>
          </w:p>
        </w:tc>
        <w:tc>
          <w:tcPr>
            <w:tcW w:w="1276" w:type="dxa"/>
            <w:noWrap w:val="0"/>
            <w:vAlign w:val="center"/>
          </w:tcPr>
          <w:p>
            <w:pPr>
              <w:pStyle w:val="195"/>
            </w:pPr>
            <w:r>
              <w:t>≥90激发到村任职高校毕业生在农村干事创业</w:t>
            </w:r>
          </w:p>
        </w:tc>
        <w:tc>
          <w:tcPr>
            <w:tcW w:w="1843" w:type="dxa"/>
            <w:noWrap w:val="0"/>
            <w:vAlign w:val="center"/>
          </w:tcPr>
          <w:p>
            <w:pPr>
              <w:pStyle w:val="195"/>
            </w:pPr>
            <w:r>
              <w:t>激发到村任职高校毕业生在农村干事创业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满意度指标</w:t>
            </w:r>
          </w:p>
        </w:tc>
        <w:tc>
          <w:tcPr>
            <w:tcW w:w="1276" w:type="dxa"/>
            <w:noWrap w:val="0"/>
            <w:vAlign w:val="center"/>
          </w:tcPr>
          <w:p>
            <w:pPr>
              <w:pStyle w:val="195"/>
            </w:pPr>
            <w:r>
              <w:t>服务对象满意度指标</w:t>
            </w:r>
          </w:p>
        </w:tc>
        <w:tc>
          <w:tcPr>
            <w:tcW w:w="1332" w:type="dxa"/>
            <w:noWrap w:val="0"/>
            <w:vAlign w:val="center"/>
          </w:tcPr>
          <w:p>
            <w:pPr>
              <w:pStyle w:val="195"/>
            </w:pPr>
            <w:r>
              <w:t>对政策落实情况满意的到村任职高校毕业生占应保人数之比</w:t>
            </w:r>
          </w:p>
        </w:tc>
        <w:tc>
          <w:tcPr>
            <w:tcW w:w="2891" w:type="dxa"/>
            <w:noWrap w:val="0"/>
            <w:vAlign w:val="center"/>
          </w:tcPr>
          <w:p>
            <w:pPr>
              <w:pStyle w:val="195"/>
            </w:pPr>
            <w:r>
              <w:t>对政策落实情况满意的到村任职高校毕业生占应保人数之比</w:t>
            </w:r>
          </w:p>
        </w:tc>
        <w:tc>
          <w:tcPr>
            <w:tcW w:w="1276" w:type="dxa"/>
            <w:noWrap w:val="0"/>
            <w:vAlign w:val="center"/>
          </w:tcPr>
          <w:p>
            <w:pPr>
              <w:pStyle w:val="195"/>
            </w:pPr>
            <w:r>
              <w:t>100对政策落实情况满意的到村任职高校毕业生占应保人数之比</w:t>
            </w:r>
          </w:p>
        </w:tc>
        <w:tc>
          <w:tcPr>
            <w:tcW w:w="1843" w:type="dxa"/>
            <w:noWrap w:val="0"/>
            <w:vAlign w:val="center"/>
          </w:tcPr>
          <w:p>
            <w:pPr>
              <w:pStyle w:val="195"/>
            </w:pPr>
            <w:r>
              <w:t>对政策落实情况满意的到村任职高校毕业生占应保人数之比</w:t>
            </w:r>
          </w:p>
        </w:tc>
      </w:tr>
    </w:tbl>
    <w:p>
      <w:pPr>
        <w:sectPr>
          <w:pgSz w:w="11900" w:h="16840" w:orient="landscape"/>
          <w:pgMar w:top="1984" w:right="1304" w:bottom="1134" w:left="1304" w:header="720" w:footer="720" w:gutter="0"/>
          <w:cols w:space="1701" w:num="1"/>
        </w:sectPr>
      </w:pPr>
    </w:p>
    <w:p>
      <w:pPr>
        <w:jc w:val="center"/>
      </w:pPr>
    </w:p>
    <w:p>
      <w:pPr>
        <w:ind w:firstLine="560"/>
        <w:outlineLvl w:val="3"/>
      </w:pPr>
      <w:bookmarkStart w:id="14" w:name="_Toc_4_4_0000000014"/>
      <w:r>
        <w:rPr>
          <w:rFonts w:ascii="方正仿宋_GBK" w:hAnsi="方正仿宋_GBK" w:eastAsia="方正仿宋_GBK" w:cs="方正仿宋_GBK"/>
          <w:color w:val="000000"/>
          <w:sz w:val="28"/>
        </w:rPr>
        <w:t>11.关于下达2021年建国前老党员生活补贴市级补助资金绩效目标表</w:t>
      </w:r>
      <w:bookmarkEnd w:id="13"/>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13030321P008DN210002Y</w:t>
            </w:r>
          </w:p>
        </w:tc>
        <w:tc>
          <w:tcPr>
            <w:tcW w:w="1587" w:type="dxa"/>
            <w:noWrap w:val="0"/>
            <w:vAlign w:val="center"/>
          </w:tcPr>
          <w:p>
            <w:pPr>
              <w:pStyle w:val="196"/>
            </w:pPr>
            <w:r>
              <w:t>项目名称</w:t>
            </w:r>
          </w:p>
        </w:tc>
        <w:tc>
          <w:tcPr>
            <w:tcW w:w="4423" w:type="dxa"/>
            <w:gridSpan w:val="3"/>
            <w:noWrap w:val="0"/>
            <w:vAlign w:val="center"/>
          </w:tcPr>
          <w:p>
            <w:pPr>
              <w:pStyle w:val="195"/>
            </w:pPr>
            <w:r>
              <w:t>关于下达2021年建国前老党员生活补贴市级补助资金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0.40</w:t>
            </w:r>
          </w:p>
        </w:tc>
        <w:tc>
          <w:tcPr>
            <w:tcW w:w="1587" w:type="dxa"/>
            <w:noWrap w:val="0"/>
            <w:vAlign w:val="center"/>
          </w:tcPr>
          <w:p>
            <w:pPr>
              <w:pStyle w:val="196"/>
            </w:pPr>
            <w:r>
              <w:t>其中：财政    资金</w:t>
            </w:r>
          </w:p>
        </w:tc>
        <w:tc>
          <w:tcPr>
            <w:tcW w:w="1304" w:type="dxa"/>
            <w:noWrap w:val="0"/>
            <w:vAlign w:val="center"/>
          </w:tcPr>
          <w:p>
            <w:pPr>
              <w:pStyle w:val="195"/>
            </w:pPr>
            <w:r>
              <w:t>0.40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2021年建国前老党员生活补贴市级补助资金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1.按时发放。按时发放建国前老党员生活补贴市级补助资金。</w:t>
            </w:r>
          </w:p>
          <w:p>
            <w:pPr>
              <w:pStyle w:val="195"/>
            </w:pPr>
            <w:r>
              <w:t>2.按标准发放。按标准发放建国前老党员生活补贴市级补助资金。</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补贴发放人数</w:t>
            </w:r>
          </w:p>
        </w:tc>
        <w:tc>
          <w:tcPr>
            <w:tcW w:w="2891" w:type="dxa"/>
            <w:noWrap w:val="0"/>
            <w:vAlign w:val="center"/>
          </w:tcPr>
          <w:p>
            <w:pPr>
              <w:pStyle w:val="195"/>
            </w:pPr>
            <w:r>
              <w:t>老党员生活补助发放人数</w:t>
            </w:r>
          </w:p>
        </w:tc>
        <w:tc>
          <w:tcPr>
            <w:tcW w:w="1276" w:type="dxa"/>
            <w:noWrap w:val="0"/>
            <w:vAlign w:val="center"/>
          </w:tcPr>
          <w:p>
            <w:pPr>
              <w:pStyle w:val="195"/>
            </w:pPr>
            <w:r>
              <w:t>100老党员生活补助发放人数</w:t>
            </w:r>
          </w:p>
        </w:tc>
        <w:tc>
          <w:tcPr>
            <w:tcW w:w="1843" w:type="dxa"/>
            <w:noWrap w:val="0"/>
            <w:vAlign w:val="center"/>
          </w:tcPr>
          <w:p>
            <w:pPr>
              <w:pStyle w:val="195"/>
            </w:pPr>
            <w:r>
              <w:t>所有建国前入党的农村老党员和未享受离退休待遇的城镇老党员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经费足额拨付率</w:t>
            </w:r>
          </w:p>
        </w:tc>
        <w:tc>
          <w:tcPr>
            <w:tcW w:w="2891" w:type="dxa"/>
            <w:noWrap w:val="0"/>
            <w:vAlign w:val="center"/>
          </w:tcPr>
          <w:p>
            <w:pPr>
              <w:pStyle w:val="195"/>
            </w:pPr>
            <w:r>
              <w:t>经费足额拨付率</w:t>
            </w:r>
          </w:p>
        </w:tc>
        <w:tc>
          <w:tcPr>
            <w:tcW w:w="1276" w:type="dxa"/>
            <w:noWrap w:val="0"/>
            <w:vAlign w:val="center"/>
          </w:tcPr>
          <w:p>
            <w:pPr>
              <w:pStyle w:val="195"/>
            </w:pPr>
            <w:r>
              <w:t>100经费足额拨付率</w:t>
            </w:r>
          </w:p>
        </w:tc>
        <w:tc>
          <w:tcPr>
            <w:tcW w:w="1843" w:type="dxa"/>
            <w:noWrap w:val="0"/>
            <w:vAlign w:val="center"/>
          </w:tcPr>
          <w:p>
            <w:pPr>
              <w:pStyle w:val="195"/>
            </w:pPr>
            <w:r>
              <w:t>经费足额拨付率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补助资金及时拨付率</w:t>
            </w:r>
          </w:p>
        </w:tc>
        <w:tc>
          <w:tcPr>
            <w:tcW w:w="2891" w:type="dxa"/>
            <w:noWrap w:val="0"/>
            <w:vAlign w:val="center"/>
          </w:tcPr>
          <w:p>
            <w:pPr>
              <w:pStyle w:val="195"/>
            </w:pPr>
            <w:r>
              <w:t>补助资金及时拨付率</w:t>
            </w:r>
          </w:p>
        </w:tc>
        <w:tc>
          <w:tcPr>
            <w:tcW w:w="1276" w:type="dxa"/>
            <w:noWrap w:val="0"/>
            <w:vAlign w:val="center"/>
          </w:tcPr>
          <w:p>
            <w:pPr>
              <w:pStyle w:val="195"/>
            </w:pPr>
            <w:r>
              <w:t>100补助资金及时拨付率</w:t>
            </w:r>
          </w:p>
        </w:tc>
        <w:tc>
          <w:tcPr>
            <w:tcW w:w="1843" w:type="dxa"/>
            <w:noWrap w:val="0"/>
            <w:vAlign w:val="center"/>
          </w:tcPr>
          <w:p>
            <w:pPr>
              <w:pStyle w:val="195"/>
            </w:pPr>
            <w:r>
              <w:t>补助资金及时拨付率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补贴标准按规定执行</w:t>
            </w:r>
          </w:p>
        </w:tc>
        <w:tc>
          <w:tcPr>
            <w:tcW w:w="2891" w:type="dxa"/>
            <w:noWrap w:val="0"/>
            <w:vAlign w:val="center"/>
          </w:tcPr>
          <w:p>
            <w:pPr>
              <w:pStyle w:val="195"/>
            </w:pPr>
            <w:r>
              <w:t>补贴标准按规定执行</w:t>
            </w:r>
          </w:p>
        </w:tc>
        <w:tc>
          <w:tcPr>
            <w:tcW w:w="1276" w:type="dxa"/>
            <w:noWrap w:val="0"/>
            <w:vAlign w:val="center"/>
          </w:tcPr>
          <w:p>
            <w:pPr>
              <w:pStyle w:val="195"/>
            </w:pPr>
            <w:r>
              <w:t>100补贴标准按规定执行</w:t>
            </w:r>
          </w:p>
        </w:tc>
        <w:tc>
          <w:tcPr>
            <w:tcW w:w="1843" w:type="dxa"/>
            <w:noWrap w:val="0"/>
            <w:vAlign w:val="center"/>
          </w:tcPr>
          <w:p>
            <w:pPr>
              <w:pStyle w:val="195"/>
            </w:pPr>
            <w:r>
              <w:t>补贴标准按规定执行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社会效益指标</w:t>
            </w:r>
          </w:p>
        </w:tc>
        <w:tc>
          <w:tcPr>
            <w:tcW w:w="1332" w:type="dxa"/>
            <w:noWrap w:val="0"/>
            <w:vAlign w:val="center"/>
          </w:tcPr>
          <w:p>
            <w:pPr>
              <w:pStyle w:val="195"/>
            </w:pPr>
            <w:r>
              <w:t>老党员生活情况</w:t>
            </w:r>
          </w:p>
        </w:tc>
        <w:tc>
          <w:tcPr>
            <w:tcW w:w="2891" w:type="dxa"/>
            <w:noWrap w:val="0"/>
            <w:vAlign w:val="center"/>
          </w:tcPr>
          <w:p>
            <w:pPr>
              <w:pStyle w:val="195"/>
            </w:pPr>
            <w:r>
              <w:t>老党员生活情况</w:t>
            </w:r>
          </w:p>
        </w:tc>
        <w:tc>
          <w:tcPr>
            <w:tcW w:w="1276" w:type="dxa"/>
            <w:noWrap w:val="0"/>
            <w:vAlign w:val="center"/>
          </w:tcPr>
          <w:p>
            <w:pPr>
              <w:pStyle w:val="195"/>
            </w:pPr>
            <w:r>
              <w:t>≥90有效改善</w:t>
            </w:r>
          </w:p>
        </w:tc>
        <w:tc>
          <w:tcPr>
            <w:tcW w:w="1843" w:type="dxa"/>
            <w:noWrap w:val="0"/>
            <w:vAlign w:val="center"/>
          </w:tcPr>
          <w:p>
            <w:pPr>
              <w:pStyle w:val="195"/>
            </w:pPr>
            <w:r>
              <w:t>老党员生活情况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满意度指标</w:t>
            </w:r>
          </w:p>
        </w:tc>
        <w:tc>
          <w:tcPr>
            <w:tcW w:w="1276" w:type="dxa"/>
            <w:noWrap w:val="0"/>
            <w:vAlign w:val="center"/>
          </w:tcPr>
          <w:p>
            <w:pPr>
              <w:pStyle w:val="195"/>
            </w:pPr>
            <w:r>
              <w:t>服务对象满意度指标</w:t>
            </w:r>
          </w:p>
        </w:tc>
        <w:tc>
          <w:tcPr>
            <w:tcW w:w="1332" w:type="dxa"/>
            <w:noWrap w:val="0"/>
            <w:vAlign w:val="center"/>
          </w:tcPr>
          <w:p>
            <w:pPr>
              <w:pStyle w:val="195"/>
            </w:pPr>
            <w:r>
              <w:t>老党员满意度</w:t>
            </w:r>
          </w:p>
        </w:tc>
        <w:tc>
          <w:tcPr>
            <w:tcW w:w="2891" w:type="dxa"/>
            <w:noWrap w:val="0"/>
            <w:vAlign w:val="center"/>
          </w:tcPr>
          <w:p>
            <w:pPr>
              <w:pStyle w:val="195"/>
            </w:pPr>
            <w:r>
              <w:t>老党员满意度</w:t>
            </w:r>
          </w:p>
        </w:tc>
        <w:tc>
          <w:tcPr>
            <w:tcW w:w="1276" w:type="dxa"/>
            <w:noWrap w:val="0"/>
            <w:vAlign w:val="center"/>
          </w:tcPr>
          <w:p>
            <w:pPr>
              <w:pStyle w:val="195"/>
            </w:pPr>
            <w:r>
              <w:t>≥90老党员满意度</w:t>
            </w:r>
          </w:p>
        </w:tc>
        <w:tc>
          <w:tcPr>
            <w:tcW w:w="1843" w:type="dxa"/>
            <w:noWrap w:val="0"/>
            <w:vAlign w:val="center"/>
          </w:tcPr>
          <w:p>
            <w:pPr>
              <w:pStyle w:val="195"/>
            </w:pPr>
            <w:r>
              <w:t>老党员满意度</w:t>
            </w:r>
          </w:p>
        </w:tc>
      </w:tr>
    </w:tbl>
    <w:p>
      <w:pPr>
        <w:sectPr>
          <w:pgSz w:w="11900" w:h="16840" w:orient="landscape"/>
          <w:pgMar w:top="1984" w:right="1304" w:bottom="1134" w:left="1304" w:header="720" w:footer="720" w:gutter="0"/>
          <w:cols w:space="1701" w:num="1"/>
        </w:sectPr>
      </w:pPr>
    </w:p>
    <w:p>
      <w:pPr>
        <w:jc w:val="center"/>
      </w:pPr>
    </w:p>
    <w:p>
      <w:pPr>
        <w:ind w:firstLine="560"/>
        <w:outlineLvl w:val="3"/>
      </w:pPr>
      <w:bookmarkStart w:id="15" w:name="_Toc_4_4_0000000015"/>
      <w:r>
        <w:rPr>
          <w:rFonts w:ascii="方正仿宋_GBK" w:hAnsi="方正仿宋_GBK" w:eastAsia="方正仿宋_GBK" w:cs="方正仿宋_GBK"/>
          <w:color w:val="000000"/>
          <w:sz w:val="28"/>
        </w:rPr>
        <w:t>12.基层党员教育管理、制片经费绩效目标表</w:t>
      </w:r>
      <w:bookmarkEnd w:id="14"/>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13030322P004006100026</w:t>
            </w:r>
          </w:p>
        </w:tc>
        <w:tc>
          <w:tcPr>
            <w:tcW w:w="1587" w:type="dxa"/>
            <w:noWrap w:val="0"/>
            <w:vAlign w:val="center"/>
          </w:tcPr>
          <w:p>
            <w:pPr>
              <w:pStyle w:val="196"/>
            </w:pPr>
            <w:r>
              <w:t>项目名称</w:t>
            </w:r>
          </w:p>
        </w:tc>
        <w:tc>
          <w:tcPr>
            <w:tcW w:w="4423" w:type="dxa"/>
            <w:gridSpan w:val="3"/>
            <w:noWrap w:val="0"/>
            <w:vAlign w:val="center"/>
          </w:tcPr>
          <w:p>
            <w:pPr>
              <w:pStyle w:val="195"/>
            </w:pPr>
            <w:r>
              <w:t>基层党员教育管理、制片经费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5.00</w:t>
            </w:r>
          </w:p>
        </w:tc>
        <w:tc>
          <w:tcPr>
            <w:tcW w:w="1587" w:type="dxa"/>
            <w:noWrap w:val="0"/>
            <w:vAlign w:val="center"/>
          </w:tcPr>
          <w:p>
            <w:pPr>
              <w:pStyle w:val="196"/>
            </w:pPr>
            <w:r>
              <w:t>其中：财政    资金</w:t>
            </w:r>
          </w:p>
        </w:tc>
        <w:tc>
          <w:tcPr>
            <w:tcW w:w="1304" w:type="dxa"/>
            <w:noWrap w:val="0"/>
            <w:vAlign w:val="center"/>
          </w:tcPr>
          <w:p>
            <w:pPr>
              <w:pStyle w:val="195"/>
            </w:pPr>
            <w:r>
              <w:t>5.00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提高党员教育工作水平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1.按照省委远程教育要求开展工作</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安装数</w:t>
            </w:r>
          </w:p>
        </w:tc>
        <w:tc>
          <w:tcPr>
            <w:tcW w:w="2891" w:type="dxa"/>
            <w:noWrap w:val="0"/>
            <w:vAlign w:val="center"/>
          </w:tcPr>
          <w:p>
            <w:pPr>
              <w:pStyle w:val="195"/>
            </w:pPr>
            <w:r>
              <w:t>站点安装数量</w:t>
            </w:r>
          </w:p>
        </w:tc>
        <w:tc>
          <w:tcPr>
            <w:tcW w:w="1276" w:type="dxa"/>
            <w:noWrap w:val="0"/>
            <w:vAlign w:val="center"/>
          </w:tcPr>
          <w:p>
            <w:pPr>
              <w:pStyle w:val="195"/>
            </w:pPr>
            <w:r>
              <w:t>≥90站点安装数量</w:t>
            </w:r>
          </w:p>
        </w:tc>
        <w:tc>
          <w:tcPr>
            <w:tcW w:w="1843" w:type="dxa"/>
            <w:noWrap w:val="0"/>
            <w:vAlign w:val="center"/>
          </w:tcPr>
          <w:p>
            <w:pPr>
              <w:pStyle w:val="195"/>
            </w:pPr>
            <w:r>
              <w:t>站点安装数量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正常使用率</w:t>
            </w:r>
          </w:p>
        </w:tc>
        <w:tc>
          <w:tcPr>
            <w:tcW w:w="2891" w:type="dxa"/>
            <w:noWrap w:val="0"/>
            <w:vAlign w:val="center"/>
          </w:tcPr>
          <w:p>
            <w:pPr>
              <w:pStyle w:val="195"/>
            </w:pPr>
            <w:r>
              <w:t>正常使用率</w:t>
            </w:r>
          </w:p>
        </w:tc>
        <w:tc>
          <w:tcPr>
            <w:tcW w:w="1276" w:type="dxa"/>
            <w:noWrap w:val="0"/>
            <w:vAlign w:val="center"/>
          </w:tcPr>
          <w:p>
            <w:pPr>
              <w:pStyle w:val="195"/>
            </w:pPr>
            <w:r>
              <w:t>≥90正常使用率</w:t>
            </w:r>
          </w:p>
        </w:tc>
        <w:tc>
          <w:tcPr>
            <w:tcW w:w="1843" w:type="dxa"/>
            <w:noWrap w:val="0"/>
            <w:vAlign w:val="center"/>
          </w:tcPr>
          <w:p>
            <w:pPr>
              <w:pStyle w:val="195"/>
            </w:pPr>
            <w:r>
              <w:t>正常使用率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及时性</w:t>
            </w:r>
          </w:p>
        </w:tc>
        <w:tc>
          <w:tcPr>
            <w:tcW w:w="2891" w:type="dxa"/>
            <w:noWrap w:val="0"/>
            <w:vAlign w:val="center"/>
          </w:tcPr>
          <w:p>
            <w:pPr>
              <w:pStyle w:val="195"/>
            </w:pPr>
            <w:r>
              <w:t>及时性</w:t>
            </w:r>
          </w:p>
        </w:tc>
        <w:tc>
          <w:tcPr>
            <w:tcW w:w="1276" w:type="dxa"/>
            <w:noWrap w:val="0"/>
            <w:vAlign w:val="center"/>
          </w:tcPr>
          <w:p>
            <w:pPr>
              <w:pStyle w:val="195"/>
            </w:pPr>
            <w:r>
              <w:t>≥90及时性</w:t>
            </w:r>
          </w:p>
        </w:tc>
        <w:tc>
          <w:tcPr>
            <w:tcW w:w="1843" w:type="dxa"/>
            <w:noWrap w:val="0"/>
            <w:vAlign w:val="center"/>
          </w:tcPr>
          <w:p>
            <w:pPr>
              <w:pStyle w:val="195"/>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总成本控制数</w:t>
            </w:r>
          </w:p>
        </w:tc>
        <w:tc>
          <w:tcPr>
            <w:tcW w:w="2891" w:type="dxa"/>
            <w:noWrap w:val="0"/>
            <w:vAlign w:val="center"/>
          </w:tcPr>
          <w:p>
            <w:pPr>
              <w:pStyle w:val="195"/>
            </w:pPr>
            <w:r>
              <w:t>总成本控制数</w:t>
            </w:r>
          </w:p>
        </w:tc>
        <w:tc>
          <w:tcPr>
            <w:tcW w:w="1276" w:type="dxa"/>
            <w:noWrap w:val="0"/>
            <w:vAlign w:val="center"/>
          </w:tcPr>
          <w:p>
            <w:pPr>
              <w:pStyle w:val="195"/>
            </w:pPr>
            <w:r>
              <w:t>≥90总成本控制数</w:t>
            </w:r>
          </w:p>
        </w:tc>
        <w:tc>
          <w:tcPr>
            <w:tcW w:w="1843" w:type="dxa"/>
            <w:noWrap w:val="0"/>
            <w:vAlign w:val="center"/>
          </w:tcPr>
          <w:p>
            <w:pPr>
              <w:pStyle w:val="195"/>
            </w:pPr>
            <w:r>
              <w:t>总成本控制数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社会效益指标</w:t>
            </w:r>
          </w:p>
        </w:tc>
        <w:tc>
          <w:tcPr>
            <w:tcW w:w="1332" w:type="dxa"/>
            <w:noWrap w:val="0"/>
            <w:vAlign w:val="center"/>
          </w:tcPr>
          <w:p>
            <w:pPr>
              <w:pStyle w:val="195"/>
            </w:pPr>
            <w:r>
              <w:t>长期使用性</w:t>
            </w:r>
          </w:p>
        </w:tc>
        <w:tc>
          <w:tcPr>
            <w:tcW w:w="2891" w:type="dxa"/>
            <w:noWrap w:val="0"/>
            <w:vAlign w:val="center"/>
          </w:tcPr>
          <w:p>
            <w:pPr>
              <w:pStyle w:val="195"/>
            </w:pPr>
            <w:r>
              <w:t>长期满足村（社区）党员对精神文化的需求</w:t>
            </w:r>
          </w:p>
        </w:tc>
        <w:tc>
          <w:tcPr>
            <w:tcW w:w="1276" w:type="dxa"/>
            <w:noWrap w:val="0"/>
            <w:vAlign w:val="center"/>
          </w:tcPr>
          <w:p>
            <w:pPr>
              <w:pStyle w:val="195"/>
            </w:pPr>
            <w:r>
              <w:t>≥90长期满足村（社区）党员对精神文化的需求</w:t>
            </w:r>
          </w:p>
        </w:tc>
        <w:tc>
          <w:tcPr>
            <w:tcW w:w="1843" w:type="dxa"/>
            <w:noWrap w:val="0"/>
            <w:vAlign w:val="center"/>
          </w:tcPr>
          <w:p>
            <w:pPr>
              <w:pStyle w:val="195"/>
            </w:pPr>
            <w:r>
              <w:t>长期满足村（社区）党员对精神文化的需求</w:t>
            </w:r>
          </w:p>
        </w:tc>
      </w:tr>
    </w:tbl>
    <w:p>
      <w:pPr>
        <w:sectPr>
          <w:pgSz w:w="11900" w:h="16840" w:orient="landscape"/>
          <w:pgMar w:top="1984" w:right="1304" w:bottom="1134" w:left="1304" w:header="720" w:footer="720" w:gutter="0"/>
          <w:cols w:space="1701" w:num="1"/>
        </w:sectPr>
      </w:pPr>
    </w:p>
    <w:p>
      <w:pPr>
        <w:jc w:val="center"/>
      </w:pPr>
    </w:p>
    <w:p>
      <w:pPr>
        <w:ind w:firstLine="560"/>
        <w:outlineLvl w:val="3"/>
      </w:pPr>
      <w:bookmarkStart w:id="16" w:name="_Toc_4_4_0000000016"/>
      <w:r>
        <w:rPr>
          <w:rFonts w:ascii="方正仿宋_GBK" w:hAnsi="方正仿宋_GBK" w:eastAsia="方正仿宋_GBK" w:cs="方正仿宋_GBK"/>
          <w:color w:val="000000"/>
          <w:sz w:val="28"/>
        </w:rPr>
        <w:t>13.老干部活动及关心下一代经费绩效目标表</w:t>
      </w:r>
      <w:bookmarkEnd w:id="15"/>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13030322P004004100017</w:t>
            </w:r>
          </w:p>
        </w:tc>
        <w:tc>
          <w:tcPr>
            <w:tcW w:w="1587" w:type="dxa"/>
            <w:noWrap w:val="0"/>
            <w:vAlign w:val="center"/>
          </w:tcPr>
          <w:p>
            <w:pPr>
              <w:pStyle w:val="196"/>
            </w:pPr>
            <w:r>
              <w:t>项目名称</w:t>
            </w:r>
          </w:p>
        </w:tc>
        <w:tc>
          <w:tcPr>
            <w:tcW w:w="4423" w:type="dxa"/>
            <w:gridSpan w:val="3"/>
            <w:noWrap w:val="0"/>
            <w:vAlign w:val="center"/>
          </w:tcPr>
          <w:p>
            <w:pPr>
              <w:pStyle w:val="195"/>
            </w:pPr>
            <w:r>
              <w:t>老干部活动及关心下一代经费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15.00</w:t>
            </w:r>
          </w:p>
        </w:tc>
        <w:tc>
          <w:tcPr>
            <w:tcW w:w="1587" w:type="dxa"/>
            <w:noWrap w:val="0"/>
            <w:vAlign w:val="center"/>
          </w:tcPr>
          <w:p>
            <w:pPr>
              <w:pStyle w:val="196"/>
            </w:pPr>
            <w:r>
              <w:t>其中：财政    资金</w:t>
            </w:r>
          </w:p>
        </w:tc>
        <w:tc>
          <w:tcPr>
            <w:tcW w:w="1304" w:type="dxa"/>
            <w:noWrap w:val="0"/>
            <w:vAlign w:val="center"/>
          </w:tcPr>
          <w:p>
            <w:pPr>
              <w:pStyle w:val="195"/>
            </w:pPr>
            <w:r>
              <w:t>15.00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组织老干部参加社会、文体及各项活动、关心下一代活动组织及离退休干部管理等工作经费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1.落实老干部两项待遇，组织老干部参加社会、文体及各项活动，充分发挥老干部传帮带作用，做好关心下一代活动组织及离退休活动管理服务机构设施维修改造、后勤保障、日常运转。</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老干部参加率</w:t>
            </w:r>
          </w:p>
        </w:tc>
        <w:tc>
          <w:tcPr>
            <w:tcW w:w="2891" w:type="dxa"/>
            <w:noWrap w:val="0"/>
            <w:vAlign w:val="center"/>
          </w:tcPr>
          <w:p>
            <w:pPr>
              <w:pStyle w:val="195"/>
            </w:pPr>
            <w:r>
              <w:t>老干部参加率</w:t>
            </w:r>
          </w:p>
        </w:tc>
        <w:tc>
          <w:tcPr>
            <w:tcW w:w="1276" w:type="dxa"/>
            <w:noWrap w:val="0"/>
            <w:vAlign w:val="center"/>
          </w:tcPr>
          <w:p>
            <w:pPr>
              <w:pStyle w:val="195"/>
            </w:pPr>
            <w:r>
              <w:t>≥70老干部参加率</w:t>
            </w:r>
          </w:p>
        </w:tc>
        <w:tc>
          <w:tcPr>
            <w:tcW w:w="1843" w:type="dxa"/>
            <w:noWrap w:val="0"/>
            <w:vAlign w:val="center"/>
          </w:tcPr>
          <w:p>
            <w:pPr>
              <w:pStyle w:val="195"/>
            </w:pPr>
            <w:r>
              <w:t>老干部参加率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活动组织成功率</w:t>
            </w:r>
          </w:p>
        </w:tc>
        <w:tc>
          <w:tcPr>
            <w:tcW w:w="2891" w:type="dxa"/>
            <w:noWrap w:val="0"/>
            <w:vAlign w:val="center"/>
          </w:tcPr>
          <w:p>
            <w:pPr>
              <w:pStyle w:val="195"/>
            </w:pPr>
            <w:r>
              <w:t>活动组织成功率</w:t>
            </w:r>
          </w:p>
        </w:tc>
        <w:tc>
          <w:tcPr>
            <w:tcW w:w="1276" w:type="dxa"/>
            <w:noWrap w:val="0"/>
            <w:vAlign w:val="center"/>
          </w:tcPr>
          <w:p>
            <w:pPr>
              <w:pStyle w:val="195"/>
            </w:pPr>
            <w:r>
              <w:t>≥70活动组织成功率</w:t>
            </w:r>
          </w:p>
        </w:tc>
        <w:tc>
          <w:tcPr>
            <w:tcW w:w="1843" w:type="dxa"/>
            <w:noWrap w:val="0"/>
            <w:vAlign w:val="center"/>
          </w:tcPr>
          <w:p>
            <w:pPr>
              <w:pStyle w:val="195"/>
            </w:pPr>
            <w:r>
              <w:t>活动组织成功率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及时性</w:t>
            </w:r>
          </w:p>
        </w:tc>
        <w:tc>
          <w:tcPr>
            <w:tcW w:w="2891" w:type="dxa"/>
            <w:noWrap w:val="0"/>
            <w:vAlign w:val="center"/>
          </w:tcPr>
          <w:p>
            <w:pPr>
              <w:pStyle w:val="195"/>
            </w:pPr>
            <w:r>
              <w:t>及时性</w:t>
            </w:r>
          </w:p>
        </w:tc>
        <w:tc>
          <w:tcPr>
            <w:tcW w:w="1276" w:type="dxa"/>
            <w:noWrap w:val="0"/>
            <w:vAlign w:val="center"/>
          </w:tcPr>
          <w:p>
            <w:pPr>
              <w:pStyle w:val="195"/>
            </w:pPr>
            <w:r>
              <w:t>≥70及时性</w:t>
            </w:r>
          </w:p>
        </w:tc>
        <w:tc>
          <w:tcPr>
            <w:tcW w:w="1843" w:type="dxa"/>
            <w:noWrap w:val="0"/>
            <w:vAlign w:val="center"/>
          </w:tcPr>
          <w:p>
            <w:pPr>
              <w:pStyle w:val="195"/>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保障单位日常正常运转率</w:t>
            </w:r>
          </w:p>
        </w:tc>
        <w:tc>
          <w:tcPr>
            <w:tcW w:w="2891" w:type="dxa"/>
            <w:noWrap w:val="0"/>
            <w:vAlign w:val="center"/>
          </w:tcPr>
          <w:p>
            <w:pPr>
              <w:pStyle w:val="195"/>
            </w:pPr>
            <w:r>
              <w:t>日常运转保障率</w:t>
            </w:r>
          </w:p>
        </w:tc>
        <w:tc>
          <w:tcPr>
            <w:tcW w:w="1276" w:type="dxa"/>
            <w:noWrap w:val="0"/>
            <w:vAlign w:val="center"/>
          </w:tcPr>
          <w:p>
            <w:pPr>
              <w:pStyle w:val="195"/>
            </w:pPr>
            <w:r>
              <w:t>≥70日常运转保障率</w:t>
            </w:r>
          </w:p>
        </w:tc>
        <w:tc>
          <w:tcPr>
            <w:tcW w:w="1843" w:type="dxa"/>
            <w:noWrap w:val="0"/>
            <w:vAlign w:val="center"/>
          </w:tcPr>
          <w:p>
            <w:pPr>
              <w:pStyle w:val="195"/>
            </w:pPr>
            <w:r>
              <w:t>日常运转保障率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可持续影响指标</w:t>
            </w:r>
          </w:p>
        </w:tc>
        <w:tc>
          <w:tcPr>
            <w:tcW w:w="1332" w:type="dxa"/>
            <w:noWrap w:val="0"/>
            <w:vAlign w:val="center"/>
          </w:tcPr>
          <w:p>
            <w:pPr>
              <w:pStyle w:val="195"/>
            </w:pPr>
            <w:r>
              <w:t>关爱青少年教育活动</w:t>
            </w:r>
          </w:p>
        </w:tc>
        <w:tc>
          <w:tcPr>
            <w:tcW w:w="2891" w:type="dxa"/>
            <w:noWrap w:val="0"/>
            <w:vAlign w:val="center"/>
          </w:tcPr>
          <w:p>
            <w:pPr>
              <w:pStyle w:val="195"/>
            </w:pPr>
            <w:r>
              <w:t>关爱青少年教育活动</w:t>
            </w:r>
          </w:p>
        </w:tc>
        <w:tc>
          <w:tcPr>
            <w:tcW w:w="1276" w:type="dxa"/>
            <w:noWrap w:val="0"/>
            <w:vAlign w:val="center"/>
          </w:tcPr>
          <w:p>
            <w:pPr>
              <w:pStyle w:val="195"/>
            </w:pPr>
            <w:r>
              <w:t>≥70关爱青少年教育活动</w:t>
            </w:r>
          </w:p>
        </w:tc>
        <w:tc>
          <w:tcPr>
            <w:tcW w:w="1843" w:type="dxa"/>
            <w:noWrap w:val="0"/>
            <w:vAlign w:val="center"/>
          </w:tcPr>
          <w:p>
            <w:pPr>
              <w:pStyle w:val="195"/>
            </w:pPr>
            <w:r>
              <w:t>关爱青少年教育活动</w:t>
            </w:r>
          </w:p>
        </w:tc>
      </w:tr>
    </w:tbl>
    <w:p>
      <w:pPr>
        <w:sectPr>
          <w:pgSz w:w="11900" w:h="16840" w:orient="landscape"/>
          <w:pgMar w:top="1984" w:right="1304" w:bottom="1134" w:left="1304" w:header="720" w:footer="720" w:gutter="0"/>
          <w:cols w:space="1701" w:num="1"/>
        </w:sectPr>
      </w:pPr>
    </w:p>
    <w:p>
      <w:pPr>
        <w:jc w:val="center"/>
      </w:pPr>
    </w:p>
    <w:p>
      <w:pPr>
        <w:ind w:firstLine="560"/>
        <w:outlineLvl w:val="3"/>
      </w:pPr>
      <w:bookmarkStart w:id="17" w:name="_Toc_4_4_0000000017"/>
      <w:r>
        <w:rPr>
          <w:rFonts w:ascii="方正仿宋_GBK" w:hAnsi="方正仿宋_GBK" w:eastAsia="方正仿宋_GBK" w:cs="方正仿宋_GBK"/>
          <w:color w:val="000000"/>
          <w:sz w:val="28"/>
        </w:rPr>
        <w:t>14.离休干部医药费绩效目标表</w:t>
      </w:r>
      <w:bookmarkEnd w:id="16"/>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13030322P004012100013</w:t>
            </w:r>
          </w:p>
        </w:tc>
        <w:tc>
          <w:tcPr>
            <w:tcW w:w="1587" w:type="dxa"/>
            <w:noWrap w:val="0"/>
            <w:vAlign w:val="center"/>
          </w:tcPr>
          <w:p>
            <w:pPr>
              <w:pStyle w:val="196"/>
            </w:pPr>
            <w:r>
              <w:t>项目名称</w:t>
            </w:r>
          </w:p>
        </w:tc>
        <w:tc>
          <w:tcPr>
            <w:tcW w:w="4423" w:type="dxa"/>
            <w:gridSpan w:val="3"/>
            <w:noWrap w:val="0"/>
            <w:vAlign w:val="center"/>
          </w:tcPr>
          <w:p>
            <w:pPr>
              <w:pStyle w:val="195"/>
            </w:pPr>
            <w:r>
              <w:t>离休干部医药费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350.00</w:t>
            </w:r>
          </w:p>
        </w:tc>
        <w:tc>
          <w:tcPr>
            <w:tcW w:w="1587" w:type="dxa"/>
            <w:noWrap w:val="0"/>
            <w:vAlign w:val="center"/>
          </w:tcPr>
          <w:p>
            <w:pPr>
              <w:pStyle w:val="196"/>
            </w:pPr>
            <w:r>
              <w:t>其中：财政    资金</w:t>
            </w:r>
          </w:p>
        </w:tc>
        <w:tc>
          <w:tcPr>
            <w:tcW w:w="1304" w:type="dxa"/>
            <w:noWrap w:val="0"/>
            <w:vAlign w:val="center"/>
          </w:tcPr>
          <w:p>
            <w:pPr>
              <w:pStyle w:val="195"/>
            </w:pPr>
            <w:r>
              <w:t>350.00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完善离休干部医药费管理办法，更好地为离休干部解决“老有所医”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1.落实两项待遇，让每位离休干部感受到政治上的关心</w:t>
            </w:r>
          </w:p>
          <w:p>
            <w:pPr>
              <w:pStyle w:val="195"/>
            </w:pPr>
            <w:r>
              <w:t>2.落实两项待遇，让每位离休干部感受到生活上的爱护</w:t>
            </w:r>
          </w:p>
          <w:p>
            <w:pPr>
              <w:pStyle w:val="195"/>
            </w:pPr>
            <w:r>
              <w:t>3.确保实报实销完成率</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核销离休干部医药费人数</w:t>
            </w:r>
          </w:p>
        </w:tc>
        <w:tc>
          <w:tcPr>
            <w:tcW w:w="2891" w:type="dxa"/>
            <w:noWrap w:val="0"/>
            <w:vAlign w:val="center"/>
          </w:tcPr>
          <w:p>
            <w:pPr>
              <w:pStyle w:val="195"/>
            </w:pPr>
            <w:r>
              <w:t>确保离休干部核销医药费人数</w:t>
            </w:r>
          </w:p>
        </w:tc>
        <w:tc>
          <w:tcPr>
            <w:tcW w:w="1276" w:type="dxa"/>
            <w:noWrap w:val="0"/>
            <w:vAlign w:val="center"/>
          </w:tcPr>
          <w:p>
            <w:pPr>
              <w:pStyle w:val="195"/>
            </w:pPr>
            <w:r>
              <w:t>≥90确保离休干部核销医药费人数</w:t>
            </w:r>
          </w:p>
        </w:tc>
        <w:tc>
          <w:tcPr>
            <w:tcW w:w="1843" w:type="dxa"/>
            <w:noWrap w:val="0"/>
            <w:vAlign w:val="center"/>
          </w:tcPr>
          <w:p>
            <w:pPr>
              <w:pStyle w:val="195"/>
            </w:pPr>
            <w:r>
              <w:t>确保离休干部核销医药费人数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足额到位率</w:t>
            </w:r>
          </w:p>
        </w:tc>
        <w:tc>
          <w:tcPr>
            <w:tcW w:w="2891" w:type="dxa"/>
            <w:noWrap w:val="0"/>
            <w:vAlign w:val="center"/>
          </w:tcPr>
          <w:p>
            <w:pPr>
              <w:pStyle w:val="195"/>
            </w:pPr>
            <w:r>
              <w:t>足额到位率</w:t>
            </w:r>
          </w:p>
        </w:tc>
        <w:tc>
          <w:tcPr>
            <w:tcW w:w="1276" w:type="dxa"/>
            <w:noWrap w:val="0"/>
            <w:vAlign w:val="center"/>
          </w:tcPr>
          <w:p>
            <w:pPr>
              <w:pStyle w:val="195"/>
            </w:pPr>
            <w:r>
              <w:t>≥90足额到位率</w:t>
            </w:r>
          </w:p>
        </w:tc>
        <w:tc>
          <w:tcPr>
            <w:tcW w:w="1843" w:type="dxa"/>
            <w:noWrap w:val="0"/>
            <w:vAlign w:val="center"/>
          </w:tcPr>
          <w:p>
            <w:pPr>
              <w:pStyle w:val="195"/>
            </w:pPr>
            <w:r>
              <w:t>足额到位率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及时率</w:t>
            </w:r>
          </w:p>
        </w:tc>
        <w:tc>
          <w:tcPr>
            <w:tcW w:w="2891" w:type="dxa"/>
            <w:noWrap w:val="0"/>
            <w:vAlign w:val="center"/>
          </w:tcPr>
          <w:p>
            <w:pPr>
              <w:pStyle w:val="195"/>
            </w:pPr>
            <w:r>
              <w:t>及时核销离休干部医药费</w:t>
            </w:r>
          </w:p>
        </w:tc>
        <w:tc>
          <w:tcPr>
            <w:tcW w:w="1276" w:type="dxa"/>
            <w:noWrap w:val="0"/>
            <w:vAlign w:val="center"/>
          </w:tcPr>
          <w:p>
            <w:pPr>
              <w:pStyle w:val="195"/>
            </w:pPr>
            <w:r>
              <w:t>≥90及时核销离休干部医药费</w:t>
            </w:r>
          </w:p>
        </w:tc>
        <w:tc>
          <w:tcPr>
            <w:tcW w:w="1843" w:type="dxa"/>
            <w:noWrap w:val="0"/>
            <w:vAlign w:val="center"/>
          </w:tcPr>
          <w:p>
            <w:pPr>
              <w:pStyle w:val="195"/>
            </w:pPr>
            <w:r>
              <w:t>及时核销离休干部医药费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按规定核销率</w:t>
            </w:r>
          </w:p>
        </w:tc>
        <w:tc>
          <w:tcPr>
            <w:tcW w:w="2891" w:type="dxa"/>
            <w:noWrap w:val="0"/>
            <w:vAlign w:val="center"/>
          </w:tcPr>
          <w:p>
            <w:pPr>
              <w:pStyle w:val="195"/>
            </w:pPr>
            <w:r>
              <w:t>严格按规定核销离休干部医药费</w:t>
            </w:r>
          </w:p>
        </w:tc>
        <w:tc>
          <w:tcPr>
            <w:tcW w:w="1276" w:type="dxa"/>
            <w:noWrap w:val="0"/>
            <w:vAlign w:val="center"/>
          </w:tcPr>
          <w:p>
            <w:pPr>
              <w:pStyle w:val="195"/>
            </w:pPr>
            <w:r>
              <w:t>≥90严格按规定核销离休干部医药费</w:t>
            </w:r>
          </w:p>
        </w:tc>
        <w:tc>
          <w:tcPr>
            <w:tcW w:w="1843" w:type="dxa"/>
            <w:noWrap w:val="0"/>
            <w:vAlign w:val="center"/>
          </w:tcPr>
          <w:p>
            <w:pPr>
              <w:pStyle w:val="195"/>
            </w:pPr>
            <w:r>
              <w:t>严格按规定核销离休干部医药费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经济效益指标</w:t>
            </w:r>
          </w:p>
        </w:tc>
        <w:tc>
          <w:tcPr>
            <w:tcW w:w="1332" w:type="dxa"/>
            <w:noWrap w:val="0"/>
            <w:vAlign w:val="center"/>
          </w:tcPr>
          <w:p>
            <w:pPr>
              <w:pStyle w:val="195"/>
            </w:pPr>
            <w:r>
              <w:t>实报实销率</w:t>
            </w:r>
          </w:p>
        </w:tc>
        <w:tc>
          <w:tcPr>
            <w:tcW w:w="2891" w:type="dxa"/>
            <w:noWrap w:val="0"/>
            <w:vAlign w:val="center"/>
          </w:tcPr>
          <w:p>
            <w:pPr>
              <w:pStyle w:val="195"/>
            </w:pPr>
            <w:r>
              <w:t>实报实销率</w:t>
            </w:r>
          </w:p>
        </w:tc>
        <w:tc>
          <w:tcPr>
            <w:tcW w:w="1276" w:type="dxa"/>
            <w:noWrap w:val="0"/>
            <w:vAlign w:val="center"/>
          </w:tcPr>
          <w:p>
            <w:pPr>
              <w:pStyle w:val="195"/>
            </w:pPr>
            <w:r>
              <w:t>≥90实报实销率</w:t>
            </w:r>
          </w:p>
        </w:tc>
        <w:tc>
          <w:tcPr>
            <w:tcW w:w="1843" w:type="dxa"/>
            <w:noWrap w:val="0"/>
            <w:vAlign w:val="center"/>
          </w:tcPr>
          <w:p>
            <w:pPr>
              <w:pStyle w:val="195"/>
            </w:pPr>
            <w:r>
              <w:t>实报实销率</w:t>
            </w:r>
          </w:p>
        </w:tc>
      </w:tr>
    </w:tbl>
    <w:p>
      <w:pPr>
        <w:sectPr>
          <w:pgSz w:w="11900" w:h="16840" w:orient="landscape"/>
          <w:pgMar w:top="1984" w:right="1304" w:bottom="1134" w:left="1304" w:header="720" w:footer="720" w:gutter="0"/>
          <w:cols w:space="1701" w:num="1"/>
        </w:sectPr>
      </w:pPr>
    </w:p>
    <w:p>
      <w:pPr>
        <w:jc w:val="center"/>
      </w:pPr>
    </w:p>
    <w:p>
      <w:pPr>
        <w:ind w:firstLine="560"/>
        <w:outlineLvl w:val="3"/>
      </w:pPr>
      <w:r>
        <w:rPr>
          <w:rFonts w:ascii="方正仿宋_GBK" w:hAnsi="方正仿宋_GBK" w:eastAsia="方正仿宋_GBK" w:cs="方正仿宋_GBK"/>
          <w:color w:val="000000"/>
          <w:sz w:val="28"/>
        </w:rPr>
        <w:t>15.区重点工作大督查经费绩效目标表</w:t>
      </w:r>
      <w:bookmarkEnd w:id="17"/>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13030322P00401010001P</w:t>
            </w:r>
          </w:p>
        </w:tc>
        <w:tc>
          <w:tcPr>
            <w:tcW w:w="1587" w:type="dxa"/>
            <w:noWrap w:val="0"/>
            <w:vAlign w:val="center"/>
          </w:tcPr>
          <w:p>
            <w:pPr>
              <w:pStyle w:val="196"/>
            </w:pPr>
            <w:r>
              <w:t>项目名称</w:t>
            </w:r>
          </w:p>
        </w:tc>
        <w:tc>
          <w:tcPr>
            <w:tcW w:w="4423" w:type="dxa"/>
            <w:gridSpan w:val="3"/>
            <w:noWrap w:val="0"/>
            <w:vAlign w:val="center"/>
          </w:tcPr>
          <w:p>
            <w:pPr>
              <w:pStyle w:val="195"/>
            </w:pPr>
            <w:r>
              <w:t>区重点工作大督查经费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30.00</w:t>
            </w:r>
          </w:p>
        </w:tc>
        <w:tc>
          <w:tcPr>
            <w:tcW w:w="1587" w:type="dxa"/>
            <w:noWrap w:val="0"/>
            <w:vAlign w:val="center"/>
          </w:tcPr>
          <w:p>
            <w:pPr>
              <w:pStyle w:val="196"/>
            </w:pPr>
            <w:r>
              <w:t>其中：财政    资金</w:t>
            </w:r>
          </w:p>
        </w:tc>
        <w:tc>
          <w:tcPr>
            <w:tcW w:w="1304" w:type="dxa"/>
            <w:noWrap w:val="0"/>
            <w:vAlign w:val="center"/>
          </w:tcPr>
          <w:p>
            <w:pPr>
              <w:pStyle w:val="195"/>
            </w:pPr>
            <w:r>
              <w:t>30.00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区重点工作大督查工作经费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1.区重点工作大督查协调小组，负责对全区的各镇、园区，各街道，区直各单位，各人民团体承担的省、市、区重点工作任务进行督查。</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督查督办数量</w:t>
            </w:r>
          </w:p>
        </w:tc>
        <w:tc>
          <w:tcPr>
            <w:tcW w:w="2891" w:type="dxa"/>
            <w:noWrap w:val="0"/>
            <w:vAlign w:val="center"/>
          </w:tcPr>
          <w:p>
            <w:pPr>
              <w:pStyle w:val="195"/>
            </w:pPr>
            <w:r>
              <w:t>督查督办数量</w:t>
            </w:r>
          </w:p>
        </w:tc>
        <w:tc>
          <w:tcPr>
            <w:tcW w:w="1276" w:type="dxa"/>
            <w:noWrap w:val="0"/>
            <w:vAlign w:val="center"/>
          </w:tcPr>
          <w:p>
            <w:pPr>
              <w:pStyle w:val="195"/>
            </w:pPr>
            <w:r>
              <w:t>≥70工作开展情况</w:t>
            </w:r>
          </w:p>
        </w:tc>
        <w:tc>
          <w:tcPr>
            <w:tcW w:w="1843" w:type="dxa"/>
            <w:noWrap w:val="0"/>
            <w:vAlign w:val="center"/>
          </w:tcPr>
          <w:p>
            <w:pPr>
              <w:pStyle w:val="195"/>
            </w:pPr>
            <w:r>
              <w:t>督查督办数量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督查工作完成率</w:t>
            </w:r>
          </w:p>
        </w:tc>
        <w:tc>
          <w:tcPr>
            <w:tcW w:w="2891" w:type="dxa"/>
            <w:noWrap w:val="0"/>
            <w:vAlign w:val="center"/>
          </w:tcPr>
          <w:p>
            <w:pPr>
              <w:pStyle w:val="195"/>
            </w:pPr>
            <w:r>
              <w:t>督查工作完成率</w:t>
            </w:r>
          </w:p>
        </w:tc>
        <w:tc>
          <w:tcPr>
            <w:tcW w:w="1276" w:type="dxa"/>
            <w:noWrap w:val="0"/>
            <w:vAlign w:val="center"/>
          </w:tcPr>
          <w:p>
            <w:pPr>
              <w:pStyle w:val="195"/>
            </w:pPr>
            <w:r>
              <w:t>≥70工作开展情况</w:t>
            </w:r>
          </w:p>
        </w:tc>
        <w:tc>
          <w:tcPr>
            <w:tcW w:w="1843" w:type="dxa"/>
            <w:noWrap w:val="0"/>
            <w:vAlign w:val="center"/>
          </w:tcPr>
          <w:p>
            <w:pPr>
              <w:pStyle w:val="195"/>
            </w:pPr>
            <w:r>
              <w:t>督查工作完成率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按时完成督查工作</w:t>
            </w:r>
          </w:p>
        </w:tc>
        <w:tc>
          <w:tcPr>
            <w:tcW w:w="2891" w:type="dxa"/>
            <w:noWrap w:val="0"/>
            <w:vAlign w:val="center"/>
          </w:tcPr>
          <w:p>
            <w:pPr>
              <w:pStyle w:val="195"/>
            </w:pPr>
            <w:r>
              <w:t>按时完成督查工作</w:t>
            </w:r>
          </w:p>
        </w:tc>
        <w:tc>
          <w:tcPr>
            <w:tcW w:w="1276" w:type="dxa"/>
            <w:noWrap w:val="0"/>
            <w:vAlign w:val="center"/>
          </w:tcPr>
          <w:p>
            <w:pPr>
              <w:pStyle w:val="195"/>
            </w:pPr>
            <w:r>
              <w:t>≥70工作开展情况</w:t>
            </w:r>
          </w:p>
        </w:tc>
        <w:tc>
          <w:tcPr>
            <w:tcW w:w="1843" w:type="dxa"/>
            <w:noWrap w:val="0"/>
            <w:vAlign w:val="center"/>
          </w:tcPr>
          <w:p>
            <w:pPr>
              <w:pStyle w:val="195"/>
            </w:pPr>
            <w:r>
              <w:t>按时完成督查工作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完成督查工作成本</w:t>
            </w:r>
          </w:p>
        </w:tc>
        <w:tc>
          <w:tcPr>
            <w:tcW w:w="2891" w:type="dxa"/>
            <w:noWrap w:val="0"/>
            <w:vAlign w:val="center"/>
          </w:tcPr>
          <w:p>
            <w:pPr>
              <w:pStyle w:val="195"/>
            </w:pPr>
            <w:r>
              <w:t>完成督查工作成本</w:t>
            </w:r>
          </w:p>
        </w:tc>
        <w:tc>
          <w:tcPr>
            <w:tcW w:w="1276" w:type="dxa"/>
            <w:noWrap w:val="0"/>
            <w:vAlign w:val="center"/>
          </w:tcPr>
          <w:p>
            <w:pPr>
              <w:pStyle w:val="195"/>
            </w:pPr>
            <w:r>
              <w:t>≥70工作开展情况</w:t>
            </w:r>
          </w:p>
        </w:tc>
        <w:tc>
          <w:tcPr>
            <w:tcW w:w="1843" w:type="dxa"/>
            <w:noWrap w:val="0"/>
            <w:vAlign w:val="center"/>
          </w:tcPr>
          <w:p>
            <w:pPr>
              <w:pStyle w:val="195"/>
            </w:pPr>
            <w:r>
              <w:t>完成督查工作成本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经济效益指标</w:t>
            </w:r>
          </w:p>
        </w:tc>
        <w:tc>
          <w:tcPr>
            <w:tcW w:w="1332" w:type="dxa"/>
            <w:noWrap w:val="0"/>
            <w:vAlign w:val="center"/>
          </w:tcPr>
          <w:p>
            <w:pPr>
              <w:pStyle w:val="195"/>
            </w:pPr>
            <w:r>
              <w:t>各项工作任务按时完成率</w:t>
            </w:r>
          </w:p>
        </w:tc>
        <w:tc>
          <w:tcPr>
            <w:tcW w:w="2891" w:type="dxa"/>
            <w:noWrap w:val="0"/>
            <w:vAlign w:val="center"/>
          </w:tcPr>
          <w:p>
            <w:pPr>
              <w:pStyle w:val="195"/>
            </w:pPr>
            <w:r>
              <w:t>各项工作任务按时完成率</w:t>
            </w:r>
          </w:p>
        </w:tc>
        <w:tc>
          <w:tcPr>
            <w:tcW w:w="1276" w:type="dxa"/>
            <w:noWrap w:val="0"/>
            <w:vAlign w:val="center"/>
          </w:tcPr>
          <w:p>
            <w:pPr>
              <w:pStyle w:val="195"/>
            </w:pPr>
            <w:r>
              <w:t>≥70工作开展情况</w:t>
            </w:r>
          </w:p>
        </w:tc>
        <w:tc>
          <w:tcPr>
            <w:tcW w:w="1843" w:type="dxa"/>
            <w:noWrap w:val="0"/>
            <w:vAlign w:val="center"/>
          </w:tcPr>
          <w:p>
            <w:pPr>
              <w:pStyle w:val="195"/>
            </w:pPr>
            <w:r>
              <w:t>各项工作任务按时完成率</w:t>
            </w:r>
          </w:p>
        </w:tc>
      </w:tr>
    </w:tbl>
    <w:p>
      <w:pPr>
        <w:sectPr>
          <w:pgSz w:w="11900" w:h="16840" w:orient="landscape"/>
          <w:pgMar w:top="1984" w:right="1304" w:bottom="1134" w:left="1304" w:header="720" w:footer="720" w:gutter="0"/>
          <w:cols w:space="1701" w:num="1"/>
        </w:sectPr>
      </w:pPr>
    </w:p>
    <w:p>
      <w:pPr>
        <w:jc w:val="center"/>
      </w:pPr>
    </w:p>
    <w:p>
      <w:pPr>
        <w:ind w:firstLine="560"/>
        <w:outlineLvl w:val="3"/>
      </w:pPr>
      <w:r>
        <w:rPr>
          <w:rFonts w:ascii="方正仿宋_GBK" w:hAnsi="方正仿宋_GBK" w:eastAsia="方正仿宋_GBK" w:cs="方正仿宋_GBK"/>
          <w:color w:val="000000"/>
          <w:sz w:val="28"/>
        </w:rPr>
        <w:t>16.人才工作经费绩效目标表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13030322P00400910001K</w:t>
            </w:r>
          </w:p>
        </w:tc>
        <w:tc>
          <w:tcPr>
            <w:tcW w:w="1587" w:type="dxa"/>
            <w:noWrap w:val="0"/>
            <w:vAlign w:val="center"/>
          </w:tcPr>
          <w:p>
            <w:pPr>
              <w:pStyle w:val="196"/>
            </w:pPr>
            <w:r>
              <w:t>项目名称</w:t>
            </w:r>
          </w:p>
        </w:tc>
        <w:tc>
          <w:tcPr>
            <w:tcW w:w="4423" w:type="dxa"/>
            <w:gridSpan w:val="3"/>
            <w:noWrap w:val="0"/>
            <w:vAlign w:val="center"/>
          </w:tcPr>
          <w:p>
            <w:pPr>
              <w:pStyle w:val="195"/>
            </w:pPr>
            <w:r>
              <w:t>人才工作经费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18.00</w:t>
            </w:r>
          </w:p>
        </w:tc>
        <w:tc>
          <w:tcPr>
            <w:tcW w:w="1587" w:type="dxa"/>
            <w:noWrap w:val="0"/>
            <w:vAlign w:val="center"/>
          </w:tcPr>
          <w:p>
            <w:pPr>
              <w:pStyle w:val="196"/>
            </w:pPr>
            <w:r>
              <w:t>其中：财政    资金</w:t>
            </w:r>
          </w:p>
        </w:tc>
        <w:tc>
          <w:tcPr>
            <w:tcW w:w="1304" w:type="dxa"/>
            <w:noWrap w:val="0"/>
            <w:vAlign w:val="center"/>
          </w:tcPr>
          <w:p>
            <w:pPr>
              <w:pStyle w:val="195"/>
            </w:pPr>
            <w:r>
              <w:t>18.00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引导和提升全区人才工作开展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75%</w:t>
            </w:r>
          </w:p>
        </w:tc>
        <w:tc>
          <w:tcPr>
            <w:tcW w:w="1587" w:type="dxa"/>
            <w:noWrap w:val="0"/>
            <w:vAlign w:val="center"/>
          </w:tcPr>
          <w:p>
            <w:pPr>
              <w:pStyle w:val="197"/>
            </w:pPr>
            <w:r>
              <w:t>100%</w:t>
            </w:r>
          </w:p>
        </w:tc>
        <w:tc>
          <w:tcPr>
            <w:tcW w:w="1304" w:type="dxa"/>
            <w:noWrap w:val="0"/>
            <w:vAlign w:val="center"/>
          </w:tcPr>
          <w:p>
            <w:pPr>
              <w:pStyle w:val="197"/>
            </w:pPr>
            <w:r>
              <w:t>100%</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1.根据中央、省、市、区人才工作精神，为更好推进全区经济社会高质量发展，保障人才工作各项支出。</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引进人才数量</w:t>
            </w:r>
          </w:p>
        </w:tc>
        <w:tc>
          <w:tcPr>
            <w:tcW w:w="2891" w:type="dxa"/>
            <w:noWrap w:val="0"/>
            <w:vAlign w:val="center"/>
          </w:tcPr>
          <w:p>
            <w:pPr>
              <w:pStyle w:val="195"/>
            </w:pPr>
            <w:r>
              <w:t>引进人才数量</w:t>
            </w:r>
          </w:p>
        </w:tc>
        <w:tc>
          <w:tcPr>
            <w:tcW w:w="1276" w:type="dxa"/>
            <w:noWrap w:val="0"/>
            <w:vAlign w:val="center"/>
          </w:tcPr>
          <w:p>
            <w:pPr>
              <w:pStyle w:val="195"/>
            </w:pPr>
            <w:r>
              <w:t>≥70引进人才数量</w:t>
            </w:r>
          </w:p>
        </w:tc>
        <w:tc>
          <w:tcPr>
            <w:tcW w:w="1843" w:type="dxa"/>
            <w:noWrap w:val="0"/>
            <w:vAlign w:val="center"/>
          </w:tcPr>
          <w:p>
            <w:pPr>
              <w:pStyle w:val="195"/>
            </w:pPr>
            <w:r>
              <w:t>引进人才数量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高层次人才数量</w:t>
            </w:r>
          </w:p>
        </w:tc>
        <w:tc>
          <w:tcPr>
            <w:tcW w:w="2891" w:type="dxa"/>
            <w:noWrap w:val="0"/>
            <w:vAlign w:val="center"/>
          </w:tcPr>
          <w:p>
            <w:pPr>
              <w:pStyle w:val="195"/>
            </w:pPr>
            <w:r>
              <w:t>高层次人才数量</w:t>
            </w:r>
          </w:p>
        </w:tc>
        <w:tc>
          <w:tcPr>
            <w:tcW w:w="1276" w:type="dxa"/>
            <w:noWrap w:val="0"/>
            <w:vAlign w:val="center"/>
          </w:tcPr>
          <w:p>
            <w:pPr>
              <w:pStyle w:val="195"/>
            </w:pPr>
            <w:r>
              <w:t>≥70高层次人才数量</w:t>
            </w:r>
          </w:p>
        </w:tc>
        <w:tc>
          <w:tcPr>
            <w:tcW w:w="1843" w:type="dxa"/>
            <w:noWrap w:val="0"/>
            <w:vAlign w:val="center"/>
          </w:tcPr>
          <w:p>
            <w:pPr>
              <w:pStyle w:val="195"/>
            </w:pPr>
            <w:r>
              <w:t>高层次人才数量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完工及时率</w:t>
            </w:r>
          </w:p>
        </w:tc>
        <w:tc>
          <w:tcPr>
            <w:tcW w:w="2891" w:type="dxa"/>
            <w:noWrap w:val="0"/>
            <w:vAlign w:val="center"/>
          </w:tcPr>
          <w:p>
            <w:pPr>
              <w:pStyle w:val="195"/>
            </w:pPr>
            <w:r>
              <w:t>完工及时率</w:t>
            </w:r>
          </w:p>
        </w:tc>
        <w:tc>
          <w:tcPr>
            <w:tcW w:w="1276" w:type="dxa"/>
            <w:noWrap w:val="0"/>
            <w:vAlign w:val="center"/>
          </w:tcPr>
          <w:p>
            <w:pPr>
              <w:pStyle w:val="195"/>
            </w:pPr>
            <w:r>
              <w:t>≥70完工及时率</w:t>
            </w:r>
          </w:p>
        </w:tc>
        <w:tc>
          <w:tcPr>
            <w:tcW w:w="1843" w:type="dxa"/>
            <w:noWrap w:val="0"/>
            <w:vAlign w:val="center"/>
          </w:tcPr>
          <w:p>
            <w:pPr>
              <w:pStyle w:val="195"/>
            </w:pPr>
            <w:r>
              <w:t>完工及时率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资金成本</w:t>
            </w:r>
          </w:p>
        </w:tc>
        <w:tc>
          <w:tcPr>
            <w:tcW w:w="2891" w:type="dxa"/>
            <w:noWrap w:val="0"/>
            <w:vAlign w:val="center"/>
          </w:tcPr>
          <w:p>
            <w:pPr>
              <w:pStyle w:val="195"/>
            </w:pPr>
            <w:r>
              <w:t>资金成本</w:t>
            </w:r>
          </w:p>
        </w:tc>
        <w:tc>
          <w:tcPr>
            <w:tcW w:w="1276" w:type="dxa"/>
            <w:noWrap w:val="0"/>
            <w:vAlign w:val="center"/>
          </w:tcPr>
          <w:p>
            <w:pPr>
              <w:pStyle w:val="195"/>
            </w:pPr>
            <w:r>
              <w:t>≥70资金成本</w:t>
            </w:r>
          </w:p>
        </w:tc>
        <w:tc>
          <w:tcPr>
            <w:tcW w:w="1843" w:type="dxa"/>
            <w:noWrap w:val="0"/>
            <w:vAlign w:val="center"/>
          </w:tcPr>
          <w:p>
            <w:pPr>
              <w:pStyle w:val="195"/>
            </w:pPr>
            <w:r>
              <w:t>资金成本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可持续影响指标</w:t>
            </w:r>
          </w:p>
        </w:tc>
        <w:tc>
          <w:tcPr>
            <w:tcW w:w="1332" w:type="dxa"/>
            <w:noWrap w:val="0"/>
            <w:vAlign w:val="center"/>
          </w:tcPr>
          <w:p>
            <w:pPr>
              <w:pStyle w:val="195"/>
            </w:pPr>
            <w:r>
              <w:t>为社会提供人才支撑和智力支持</w:t>
            </w:r>
          </w:p>
        </w:tc>
        <w:tc>
          <w:tcPr>
            <w:tcW w:w="2891" w:type="dxa"/>
            <w:noWrap w:val="0"/>
            <w:vAlign w:val="center"/>
          </w:tcPr>
          <w:p>
            <w:pPr>
              <w:pStyle w:val="195"/>
            </w:pPr>
            <w:r>
              <w:t>为社会提供人才支撑和智力支持</w:t>
            </w:r>
          </w:p>
        </w:tc>
        <w:tc>
          <w:tcPr>
            <w:tcW w:w="1276" w:type="dxa"/>
            <w:noWrap w:val="0"/>
            <w:vAlign w:val="center"/>
          </w:tcPr>
          <w:p>
            <w:pPr>
              <w:pStyle w:val="195"/>
            </w:pPr>
            <w:r>
              <w:t>≥70为社会提供人才支撑和智力支持</w:t>
            </w:r>
          </w:p>
        </w:tc>
        <w:tc>
          <w:tcPr>
            <w:tcW w:w="1843" w:type="dxa"/>
            <w:noWrap w:val="0"/>
            <w:vAlign w:val="center"/>
          </w:tcPr>
          <w:p>
            <w:pPr>
              <w:pStyle w:val="195"/>
            </w:pPr>
            <w:r>
              <w:t>为社会提供人才支撑和智力支持</w:t>
            </w:r>
          </w:p>
        </w:tc>
      </w:tr>
    </w:tbl>
    <w:p>
      <w:pPr>
        <w:sectPr>
          <w:pgSz w:w="11900" w:h="16840" w:orient="landscape"/>
          <w:pgMar w:top="1984" w:right="1304" w:bottom="1134" w:left="1304" w:header="720" w:footer="720" w:gutter="0"/>
          <w:cols w:space="1701" w:num="1"/>
        </w:sectPr>
      </w:pPr>
    </w:p>
    <w:p>
      <w:pPr>
        <w:ind w:firstLine="560"/>
        <w:outlineLvl w:val="3"/>
      </w:pPr>
      <w:r>
        <w:rPr>
          <w:rFonts w:ascii="方正仿宋_GBK" w:hAnsi="方正仿宋_GBK" w:eastAsia="方正仿宋_GBK" w:cs="方正仿宋_GBK"/>
          <w:color w:val="000000"/>
          <w:sz w:val="28"/>
        </w:rPr>
        <w:t>17.提前下达2022年度下派选调生到村工作中央财政补助资金绩效目标表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13030322P00436410001R</w:t>
            </w:r>
          </w:p>
        </w:tc>
        <w:tc>
          <w:tcPr>
            <w:tcW w:w="1587" w:type="dxa"/>
            <w:noWrap w:val="0"/>
            <w:vAlign w:val="center"/>
          </w:tcPr>
          <w:p>
            <w:pPr>
              <w:pStyle w:val="196"/>
            </w:pPr>
            <w:r>
              <w:t>项目名称</w:t>
            </w:r>
          </w:p>
        </w:tc>
        <w:tc>
          <w:tcPr>
            <w:tcW w:w="4423" w:type="dxa"/>
            <w:gridSpan w:val="3"/>
            <w:noWrap w:val="0"/>
            <w:vAlign w:val="center"/>
          </w:tcPr>
          <w:p>
            <w:pPr>
              <w:pStyle w:val="195"/>
            </w:pPr>
            <w:r>
              <w:t>提前下达2022年度下派选调生到村工作中央财政补助资金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13.60</w:t>
            </w:r>
          </w:p>
        </w:tc>
        <w:tc>
          <w:tcPr>
            <w:tcW w:w="1587" w:type="dxa"/>
            <w:noWrap w:val="0"/>
            <w:vAlign w:val="center"/>
          </w:tcPr>
          <w:p>
            <w:pPr>
              <w:pStyle w:val="196"/>
            </w:pPr>
            <w:r>
              <w:t>其中：财政    资金</w:t>
            </w:r>
          </w:p>
        </w:tc>
        <w:tc>
          <w:tcPr>
            <w:tcW w:w="1304" w:type="dxa"/>
            <w:noWrap w:val="0"/>
            <w:vAlign w:val="center"/>
          </w:tcPr>
          <w:p>
            <w:pPr>
              <w:pStyle w:val="195"/>
            </w:pPr>
            <w:r>
              <w:t>13.60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2022年度下派选调生到村工作中央财政补助资金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1.解决到村任职选调生的后顾之忧，帮助他们尽快适应基层工作。</w:t>
            </w:r>
          </w:p>
          <w:p>
            <w:pPr>
              <w:pStyle w:val="195"/>
            </w:pPr>
            <w:r>
              <w:t>2.加强对到村任职选调生的教育培训，按要求组织开展国情调研，组织他们多参与化解复杂矛盾和问题，让他们在基层真正经受实践锻炼。</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保障补贴对象人数占应保人数之比</w:t>
            </w:r>
          </w:p>
        </w:tc>
        <w:tc>
          <w:tcPr>
            <w:tcW w:w="2891" w:type="dxa"/>
            <w:noWrap w:val="0"/>
            <w:vAlign w:val="center"/>
          </w:tcPr>
          <w:p>
            <w:pPr>
              <w:pStyle w:val="195"/>
            </w:pPr>
            <w:r>
              <w:t>保障补贴对象人数占应保人数之比</w:t>
            </w:r>
          </w:p>
        </w:tc>
        <w:tc>
          <w:tcPr>
            <w:tcW w:w="1276" w:type="dxa"/>
            <w:noWrap w:val="0"/>
            <w:vAlign w:val="center"/>
          </w:tcPr>
          <w:p>
            <w:pPr>
              <w:pStyle w:val="195"/>
            </w:pPr>
            <w:r>
              <w:t>100保障补贴对象人数占应保人数之比</w:t>
            </w:r>
          </w:p>
        </w:tc>
        <w:tc>
          <w:tcPr>
            <w:tcW w:w="1843" w:type="dxa"/>
            <w:noWrap w:val="0"/>
            <w:vAlign w:val="center"/>
          </w:tcPr>
          <w:p>
            <w:pPr>
              <w:pStyle w:val="195"/>
            </w:pPr>
            <w:r>
              <w:t>保障补贴对象人数占应保人数之比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形成一批较高水平的优秀调研成果</w:t>
            </w:r>
          </w:p>
        </w:tc>
        <w:tc>
          <w:tcPr>
            <w:tcW w:w="2891" w:type="dxa"/>
            <w:noWrap w:val="0"/>
            <w:vAlign w:val="center"/>
          </w:tcPr>
          <w:p>
            <w:pPr>
              <w:pStyle w:val="195"/>
            </w:pPr>
            <w:r>
              <w:t>形成一批较高水平的优秀调研成果</w:t>
            </w:r>
          </w:p>
        </w:tc>
        <w:tc>
          <w:tcPr>
            <w:tcW w:w="1276" w:type="dxa"/>
            <w:noWrap w:val="0"/>
            <w:vAlign w:val="center"/>
          </w:tcPr>
          <w:p>
            <w:pPr>
              <w:pStyle w:val="195"/>
            </w:pPr>
            <w:r>
              <w:t>≥70成效明显</w:t>
            </w:r>
          </w:p>
        </w:tc>
        <w:tc>
          <w:tcPr>
            <w:tcW w:w="1843" w:type="dxa"/>
            <w:noWrap w:val="0"/>
            <w:vAlign w:val="center"/>
          </w:tcPr>
          <w:p>
            <w:pPr>
              <w:pStyle w:val="195"/>
            </w:pPr>
            <w:r>
              <w:t>形成一批较高水平的优秀调研成果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工作任务完成及时率</w:t>
            </w:r>
          </w:p>
        </w:tc>
        <w:tc>
          <w:tcPr>
            <w:tcW w:w="2891" w:type="dxa"/>
            <w:noWrap w:val="0"/>
            <w:vAlign w:val="center"/>
          </w:tcPr>
          <w:p>
            <w:pPr>
              <w:pStyle w:val="195"/>
            </w:pPr>
            <w:r>
              <w:t>工作任务完成及时率</w:t>
            </w:r>
          </w:p>
        </w:tc>
        <w:tc>
          <w:tcPr>
            <w:tcW w:w="1276" w:type="dxa"/>
            <w:noWrap w:val="0"/>
            <w:vAlign w:val="center"/>
          </w:tcPr>
          <w:p>
            <w:pPr>
              <w:pStyle w:val="195"/>
            </w:pPr>
            <w:r>
              <w:t>≥90工作任务完成及时率</w:t>
            </w:r>
          </w:p>
        </w:tc>
        <w:tc>
          <w:tcPr>
            <w:tcW w:w="1843" w:type="dxa"/>
            <w:noWrap w:val="0"/>
            <w:vAlign w:val="center"/>
          </w:tcPr>
          <w:p>
            <w:pPr>
              <w:pStyle w:val="195"/>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预算控制数</w:t>
            </w:r>
          </w:p>
        </w:tc>
        <w:tc>
          <w:tcPr>
            <w:tcW w:w="2891" w:type="dxa"/>
            <w:noWrap w:val="0"/>
            <w:vAlign w:val="center"/>
          </w:tcPr>
          <w:p>
            <w:pPr>
              <w:pStyle w:val="195"/>
            </w:pPr>
            <w:r>
              <w:t>预算控制数</w:t>
            </w:r>
          </w:p>
        </w:tc>
        <w:tc>
          <w:tcPr>
            <w:tcW w:w="1276" w:type="dxa"/>
            <w:noWrap w:val="0"/>
            <w:vAlign w:val="center"/>
          </w:tcPr>
          <w:p>
            <w:pPr>
              <w:pStyle w:val="195"/>
            </w:pPr>
            <w:r>
              <w:t>≥90预算控制数</w:t>
            </w:r>
          </w:p>
        </w:tc>
        <w:tc>
          <w:tcPr>
            <w:tcW w:w="1843" w:type="dxa"/>
            <w:noWrap w:val="0"/>
            <w:vAlign w:val="center"/>
          </w:tcPr>
          <w:p>
            <w:pPr>
              <w:pStyle w:val="195"/>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80" w:hRule="atLeast"/>
          <w:jc w:val="center"/>
        </w:trPr>
        <w:tc>
          <w:tcPr>
            <w:tcW w:w="1276" w:type="dxa"/>
            <w:noWrap w:val="0"/>
            <w:vAlign w:val="center"/>
          </w:tcPr>
          <w:p>
            <w:pPr>
              <w:pStyle w:val="197"/>
            </w:pPr>
            <w:r>
              <w:t>效益指标</w:t>
            </w:r>
          </w:p>
        </w:tc>
        <w:tc>
          <w:tcPr>
            <w:tcW w:w="1276" w:type="dxa"/>
            <w:noWrap w:val="0"/>
            <w:vAlign w:val="center"/>
          </w:tcPr>
          <w:p>
            <w:pPr>
              <w:pStyle w:val="195"/>
            </w:pPr>
            <w:r>
              <w:t>社会效益指标</w:t>
            </w:r>
          </w:p>
        </w:tc>
        <w:tc>
          <w:tcPr>
            <w:tcW w:w="1332" w:type="dxa"/>
            <w:noWrap w:val="0"/>
            <w:vAlign w:val="center"/>
          </w:tcPr>
          <w:p>
            <w:pPr>
              <w:pStyle w:val="195"/>
            </w:pPr>
            <w:r>
              <w:t>到村任职选调生在农村干事创业，农村基层党建工作水平逐步提高</w:t>
            </w:r>
          </w:p>
        </w:tc>
        <w:tc>
          <w:tcPr>
            <w:tcW w:w="2891" w:type="dxa"/>
            <w:noWrap w:val="0"/>
            <w:vAlign w:val="center"/>
          </w:tcPr>
          <w:p>
            <w:pPr>
              <w:pStyle w:val="195"/>
            </w:pPr>
            <w:r>
              <w:t>到村任职选调生在农村干事创业，农村基层党建工作水平逐步提高</w:t>
            </w:r>
          </w:p>
        </w:tc>
        <w:tc>
          <w:tcPr>
            <w:tcW w:w="1276" w:type="dxa"/>
            <w:noWrap w:val="0"/>
            <w:vAlign w:val="center"/>
          </w:tcPr>
          <w:p>
            <w:pPr>
              <w:pStyle w:val="195"/>
            </w:pPr>
            <w:r>
              <w:t>≥70成效明显</w:t>
            </w:r>
          </w:p>
        </w:tc>
        <w:tc>
          <w:tcPr>
            <w:tcW w:w="1843" w:type="dxa"/>
            <w:noWrap w:val="0"/>
            <w:vAlign w:val="center"/>
          </w:tcPr>
          <w:p>
            <w:pPr>
              <w:pStyle w:val="195"/>
            </w:pPr>
            <w:r>
              <w:t>到村任职选调生在农村干事创业，农村基层党建工作水平逐步提高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满意度指标</w:t>
            </w:r>
          </w:p>
        </w:tc>
        <w:tc>
          <w:tcPr>
            <w:tcW w:w="1276" w:type="dxa"/>
            <w:noWrap w:val="0"/>
            <w:vAlign w:val="center"/>
          </w:tcPr>
          <w:p>
            <w:pPr>
              <w:pStyle w:val="195"/>
            </w:pPr>
            <w:r>
              <w:t>服务对象满意度指标</w:t>
            </w:r>
          </w:p>
        </w:tc>
        <w:tc>
          <w:tcPr>
            <w:tcW w:w="1332" w:type="dxa"/>
            <w:noWrap w:val="0"/>
            <w:vAlign w:val="center"/>
          </w:tcPr>
          <w:p>
            <w:pPr>
              <w:pStyle w:val="195"/>
            </w:pPr>
            <w:r>
              <w:t>对政策落实情况满意的到村任职选调生占应保人数之比</w:t>
            </w:r>
          </w:p>
        </w:tc>
        <w:tc>
          <w:tcPr>
            <w:tcW w:w="2891" w:type="dxa"/>
            <w:noWrap w:val="0"/>
            <w:vAlign w:val="center"/>
          </w:tcPr>
          <w:p>
            <w:pPr>
              <w:pStyle w:val="195"/>
            </w:pPr>
            <w:r>
              <w:t>对政策落实情况满意的到村任职选调生占应保人数之比</w:t>
            </w:r>
          </w:p>
        </w:tc>
        <w:tc>
          <w:tcPr>
            <w:tcW w:w="1276" w:type="dxa"/>
            <w:noWrap w:val="0"/>
            <w:vAlign w:val="center"/>
          </w:tcPr>
          <w:p>
            <w:pPr>
              <w:pStyle w:val="195"/>
              <w:rPr>
                <w:sz w:val="18"/>
                <w:szCs w:val="18"/>
              </w:rPr>
            </w:pPr>
            <w:r>
              <w:rPr>
                <w:sz w:val="18"/>
                <w:szCs w:val="18"/>
              </w:rPr>
              <w:t>100对政策落实情况满意的到村任职选调生占应保人数之比</w:t>
            </w:r>
          </w:p>
        </w:tc>
        <w:tc>
          <w:tcPr>
            <w:tcW w:w="1843" w:type="dxa"/>
            <w:noWrap w:val="0"/>
            <w:vAlign w:val="center"/>
          </w:tcPr>
          <w:p>
            <w:pPr>
              <w:pStyle w:val="195"/>
            </w:pPr>
            <w:r>
              <w:t>对政策落实情况满意的到村任职选调生占应保人数之比</w:t>
            </w:r>
          </w:p>
        </w:tc>
      </w:tr>
    </w:tbl>
    <w:p>
      <w:pPr>
        <w:sectPr>
          <w:pgSz w:w="11900" w:h="16840" w:orient="landscape"/>
          <w:pgMar w:top="1984" w:right="1304" w:bottom="1134" w:left="1304" w:header="720" w:footer="720" w:gutter="0"/>
          <w:cols w:space="1701" w:num="1"/>
        </w:sectPr>
      </w:pPr>
    </w:p>
    <w:p>
      <w:pPr>
        <w:jc w:val="center"/>
      </w:pPr>
    </w:p>
    <w:p>
      <w:pPr>
        <w:ind w:firstLine="560"/>
        <w:outlineLvl w:val="3"/>
      </w:pPr>
      <w:r>
        <w:rPr>
          <w:rFonts w:ascii="方正仿宋_GBK" w:hAnsi="方正仿宋_GBK" w:eastAsia="方正仿宋_GBK" w:cs="方正仿宋_GBK"/>
          <w:color w:val="000000"/>
          <w:sz w:val="28"/>
        </w:rPr>
        <w:t>18.下派选调生到村工作补助绩效目标表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13030321GZV93HM6A1HA2</w:t>
            </w:r>
          </w:p>
        </w:tc>
        <w:tc>
          <w:tcPr>
            <w:tcW w:w="1587" w:type="dxa"/>
            <w:noWrap w:val="0"/>
            <w:vAlign w:val="center"/>
          </w:tcPr>
          <w:p>
            <w:pPr>
              <w:pStyle w:val="196"/>
            </w:pPr>
            <w:r>
              <w:t>项目名称</w:t>
            </w:r>
          </w:p>
        </w:tc>
        <w:tc>
          <w:tcPr>
            <w:tcW w:w="4423" w:type="dxa"/>
            <w:gridSpan w:val="3"/>
            <w:noWrap w:val="0"/>
            <w:vAlign w:val="center"/>
          </w:tcPr>
          <w:p>
            <w:pPr>
              <w:pStyle w:val="195"/>
            </w:pPr>
            <w:r>
              <w:t>下派选调生到村工作补助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10.31</w:t>
            </w:r>
          </w:p>
        </w:tc>
        <w:tc>
          <w:tcPr>
            <w:tcW w:w="1587" w:type="dxa"/>
            <w:noWrap w:val="0"/>
            <w:vAlign w:val="center"/>
          </w:tcPr>
          <w:p>
            <w:pPr>
              <w:pStyle w:val="196"/>
            </w:pPr>
            <w:r>
              <w:t>其中：财政    资金</w:t>
            </w:r>
          </w:p>
        </w:tc>
        <w:tc>
          <w:tcPr>
            <w:tcW w:w="1304" w:type="dxa"/>
            <w:noWrap w:val="0"/>
            <w:vAlign w:val="center"/>
          </w:tcPr>
          <w:p>
            <w:pPr>
              <w:pStyle w:val="195"/>
            </w:pPr>
            <w:r>
              <w:t>10.31</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发放下派选调生到村工作补助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1.按时发放。及时将选聘高校毕业生到村任职中央财政补助资金发放到位。</w:t>
            </w:r>
          </w:p>
          <w:p>
            <w:pPr>
              <w:pStyle w:val="195"/>
            </w:pPr>
            <w:r>
              <w:t>2.按标准发放。严格按照有关规定标准，足额将补助发放到到村任职高校别生手中。</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保障补贴对象人数占应保人数之比</w:t>
            </w:r>
          </w:p>
        </w:tc>
        <w:tc>
          <w:tcPr>
            <w:tcW w:w="2891" w:type="dxa"/>
            <w:noWrap w:val="0"/>
            <w:vAlign w:val="center"/>
          </w:tcPr>
          <w:p>
            <w:pPr>
              <w:pStyle w:val="195"/>
            </w:pPr>
            <w:r>
              <w:t>保障补贴对象人数占应保人数之比</w:t>
            </w:r>
          </w:p>
        </w:tc>
        <w:tc>
          <w:tcPr>
            <w:tcW w:w="1276" w:type="dxa"/>
            <w:noWrap w:val="0"/>
            <w:vAlign w:val="center"/>
          </w:tcPr>
          <w:p>
            <w:pPr>
              <w:pStyle w:val="195"/>
            </w:pPr>
            <w:r>
              <w:t>100保障补贴对象人数占应保人数之比</w:t>
            </w:r>
          </w:p>
        </w:tc>
        <w:tc>
          <w:tcPr>
            <w:tcW w:w="1843" w:type="dxa"/>
            <w:noWrap w:val="0"/>
            <w:vAlign w:val="center"/>
          </w:tcPr>
          <w:p>
            <w:pPr>
              <w:pStyle w:val="195"/>
            </w:pPr>
            <w:r>
              <w:t>保障补贴对象人数占应保人数之比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对各类补贴对象补贴标准按规定执行</w:t>
            </w:r>
          </w:p>
        </w:tc>
        <w:tc>
          <w:tcPr>
            <w:tcW w:w="2891" w:type="dxa"/>
            <w:noWrap w:val="0"/>
            <w:vAlign w:val="center"/>
          </w:tcPr>
          <w:p>
            <w:pPr>
              <w:pStyle w:val="195"/>
            </w:pPr>
            <w:r>
              <w:t>对各类补贴对象补贴标准按规定执行</w:t>
            </w:r>
          </w:p>
        </w:tc>
        <w:tc>
          <w:tcPr>
            <w:tcW w:w="1276" w:type="dxa"/>
            <w:noWrap w:val="0"/>
            <w:vAlign w:val="center"/>
          </w:tcPr>
          <w:p>
            <w:pPr>
              <w:pStyle w:val="195"/>
            </w:pPr>
            <w:r>
              <w:t>100对各类补贴对象补贴标准按规定执行</w:t>
            </w:r>
          </w:p>
        </w:tc>
        <w:tc>
          <w:tcPr>
            <w:tcW w:w="1843" w:type="dxa"/>
            <w:noWrap w:val="0"/>
            <w:vAlign w:val="center"/>
          </w:tcPr>
          <w:p>
            <w:pPr>
              <w:pStyle w:val="195"/>
            </w:pPr>
            <w:r>
              <w:t>对各类补贴对象补贴标准按规定执行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工作任务完成及时率</w:t>
            </w:r>
          </w:p>
        </w:tc>
        <w:tc>
          <w:tcPr>
            <w:tcW w:w="2891" w:type="dxa"/>
            <w:noWrap w:val="0"/>
            <w:vAlign w:val="center"/>
          </w:tcPr>
          <w:p>
            <w:pPr>
              <w:pStyle w:val="195"/>
            </w:pPr>
            <w:r>
              <w:t>工作任务完成及时率</w:t>
            </w:r>
          </w:p>
        </w:tc>
        <w:tc>
          <w:tcPr>
            <w:tcW w:w="1276" w:type="dxa"/>
            <w:noWrap w:val="0"/>
            <w:vAlign w:val="center"/>
          </w:tcPr>
          <w:p>
            <w:pPr>
              <w:pStyle w:val="195"/>
            </w:pPr>
            <w:r>
              <w:t>≥90工作任务完成及时率</w:t>
            </w:r>
          </w:p>
        </w:tc>
        <w:tc>
          <w:tcPr>
            <w:tcW w:w="1843" w:type="dxa"/>
            <w:noWrap w:val="0"/>
            <w:vAlign w:val="center"/>
          </w:tcPr>
          <w:p>
            <w:pPr>
              <w:pStyle w:val="195"/>
            </w:pPr>
            <w:r>
              <w:t>工作任务完成及时率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预算控制数</w:t>
            </w:r>
          </w:p>
        </w:tc>
        <w:tc>
          <w:tcPr>
            <w:tcW w:w="2891" w:type="dxa"/>
            <w:noWrap w:val="0"/>
            <w:vAlign w:val="center"/>
          </w:tcPr>
          <w:p>
            <w:pPr>
              <w:pStyle w:val="195"/>
            </w:pPr>
            <w:r>
              <w:t>预算控制数</w:t>
            </w:r>
          </w:p>
        </w:tc>
        <w:tc>
          <w:tcPr>
            <w:tcW w:w="1276" w:type="dxa"/>
            <w:noWrap w:val="0"/>
            <w:vAlign w:val="center"/>
          </w:tcPr>
          <w:p>
            <w:pPr>
              <w:pStyle w:val="195"/>
            </w:pPr>
            <w:r>
              <w:t>≥90预算控制数</w:t>
            </w:r>
          </w:p>
        </w:tc>
        <w:tc>
          <w:tcPr>
            <w:tcW w:w="1843" w:type="dxa"/>
            <w:noWrap w:val="0"/>
            <w:vAlign w:val="center"/>
          </w:tcPr>
          <w:p>
            <w:pPr>
              <w:pStyle w:val="195"/>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社会效益指标</w:t>
            </w:r>
          </w:p>
        </w:tc>
        <w:tc>
          <w:tcPr>
            <w:tcW w:w="1332" w:type="dxa"/>
            <w:noWrap w:val="0"/>
            <w:vAlign w:val="center"/>
          </w:tcPr>
          <w:p>
            <w:pPr>
              <w:pStyle w:val="195"/>
            </w:pPr>
            <w:r>
              <w:t>激发到村任职高校毕业生在农村干事创业</w:t>
            </w:r>
          </w:p>
        </w:tc>
        <w:tc>
          <w:tcPr>
            <w:tcW w:w="2891" w:type="dxa"/>
            <w:noWrap w:val="0"/>
            <w:vAlign w:val="center"/>
          </w:tcPr>
          <w:p>
            <w:pPr>
              <w:pStyle w:val="195"/>
            </w:pPr>
            <w:r>
              <w:t>激发到村任职高校毕业生在农村干事创业</w:t>
            </w:r>
          </w:p>
        </w:tc>
        <w:tc>
          <w:tcPr>
            <w:tcW w:w="1276" w:type="dxa"/>
            <w:noWrap w:val="0"/>
            <w:vAlign w:val="center"/>
          </w:tcPr>
          <w:p>
            <w:pPr>
              <w:pStyle w:val="195"/>
            </w:pPr>
            <w:r>
              <w:t>≥90激发到村任职高校毕业生在农村干事创业</w:t>
            </w:r>
          </w:p>
        </w:tc>
        <w:tc>
          <w:tcPr>
            <w:tcW w:w="1843" w:type="dxa"/>
            <w:noWrap w:val="0"/>
            <w:vAlign w:val="center"/>
          </w:tcPr>
          <w:p>
            <w:pPr>
              <w:pStyle w:val="195"/>
            </w:pPr>
            <w:r>
              <w:t>激发到村任职高校毕业生在农村干事创业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满意度指标</w:t>
            </w:r>
          </w:p>
        </w:tc>
        <w:tc>
          <w:tcPr>
            <w:tcW w:w="1276" w:type="dxa"/>
            <w:noWrap w:val="0"/>
            <w:vAlign w:val="center"/>
          </w:tcPr>
          <w:p>
            <w:pPr>
              <w:pStyle w:val="195"/>
            </w:pPr>
            <w:r>
              <w:t>服务对象满意度指标</w:t>
            </w:r>
          </w:p>
        </w:tc>
        <w:tc>
          <w:tcPr>
            <w:tcW w:w="1332" w:type="dxa"/>
            <w:noWrap w:val="0"/>
            <w:vAlign w:val="center"/>
          </w:tcPr>
          <w:p>
            <w:pPr>
              <w:pStyle w:val="195"/>
            </w:pPr>
            <w:r>
              <w:t>对政策落实情况满意的到村任职高校毕业生占应保人数之比</w:t>
            </w:r>
          </w:p>
        </w:tc>
        <w:tc>
          <w:tcPr>
            <w:tcW w:w="2891" w:type="dxa"/>
            <w:noWrap w:val="0"/>
            <w:vAlign w:val="center"/>
          </w:tcPr>
          <w:p>
            <w:pPr>
              <w:pStyle w:val="195"/>
            </w:pPr>
            <w:r>
              <w:t>对政策落实情况满意的到村任职高校毕业生占应保人数之比</w:t>
            </w:r>
          </w:p>
        </w:tc>
        <w:tc>
          <w:tcPr>
            <w:tcW w:w="1276" w:type="dxa"/>
            <w:noWrap w:val="0"/>
            <w:vAlign w:val="center"/>
          </w:tcPr>
          <w:p>
            <w:pPr>
              <w:pStyle w:val="195"/>
            </w:pPr>
            <w:r>
              <w:t>100对政策落实情况满意的到村任职高校毕业生占应保人数之比</w:t>
            </w:r>
          </w:p>
        </w:tc>
        <w:tc>
          <w:tcPr>
            <w:tcW w:w="1843" w:type="dxa"/>
            <w:noWrap w:val="0"/>
            <w:vAlign w:val="center"/>
          </w:tcPr>
          <w:p>
            <w:pPr>
              <w:pStyle w:val="195"/>
            </w:pPr>
            <w:r>
              <w:t>对政策落实情况满意的到村任职高校毕业生占应保人数之比</w:t>
            </w:r>
          </w:p>
        </w:tc>
      </w:tr>
    </w:tbl>
    <w:p>
      <w:pPr>
        <w:rPr>
          <w:rFonts w:hint="eastAsia"/>
        </w:rPr>
      </w:pPr>
    </w:p>
    <w:p>
      <w:pPr>
        <w:rPr>
          <w:rFonts w:hint="eastAsia"/>
        </w:rPr>
      </w:pPr>
    </w:p>
    <w:p>
      <w:pPr>
        <w:ind w:firstLine="560"/>
        <w:outlineLvl w:val="3"/>
      </w:pPr>
      <w:r>
        <w:rPr>
          <w:rFonts w:ascii="方正仿宋_GBK" w:hAnsi="方正仿宋_GBK" w:eastAsia="方正仿宋_GBK" w:cs="方正仿宋_GBK"/>
          <w:color w:val="000000"/>
          <w:sz w:val="28"/>
        </w:rPr>
        <w:t>19.综合事务经费绩效目标表</w:t>
      </w:r>
    </w:p>
    <w:tbl>
      <w:tblPr>
        <w:tblStyle w:val="2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noWrap w:val="0"/>
            <w:vAlign w:val="center"/>
          </w:tcPr>
          <w:p>
            <w:pPr>
              <w:pStyle w:val="194"/>
            </w:pPr>
            <w:r>
              <w:t>203001组织部门中共秦皇岛市山海关区委组织部本级</w:t>
            </w:r>
          </w:p>
        </w:tc>
        <w:tc>
          <w:tcPr>
            <w:tcW w:w="1843" w:type="dxa"/>
            <w:noWrap w:val="0"/>
            <w:vAlign w:val="center"/>
          </w:tcPr>
          <w:p>
            <w:pPr>
              <w:pStyle w:val="19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项目编码</w:t>
            </w:r>
          </w:p>
        </w:tc>
        <w:tc>
          <w:tcPr>
            <w:tcW w:w="2608" w:type="dxa"/>
            <w:gridSpan w:val="2"/>
            <w:noWrap w:val="0"/>
            <w:vAlign w:val="center"/>
          </w:tcPr>
          <w:p>
            <w:pPr>
              <w:pStyle w:val="195"/>
            </w:pPr>
            <w:r>
              <w:t>13030322P00400510001W</w:t>
            </w:r>
          </w:p>
        </w:tc>
        <w:tc>
          <w:tcPr>
            <w:tcW w:w="1587" w:type="dxa"/>
            <w:noWrap w:val="0"/>
            <w:vAlign w:val="center"/>
          </w:tcPr>
          <w:p>
            <w:pPr>
              <w:pStyle w:val="196"/>
            </w:pPr>
            <w:r>
              <w:t>项目名称</w:t>
            </w:r>
          </w:p>
        </w:tc>
        <w:tc>
          <w:tcPr>
            <w:tcW w:w="4423" w:type="dxa"/>
            <w:gridSpan w:val="3"/>
            <w:noWrap w:val="0"/>
            <w:vAlign w:val="center"/>
          </w:tcPr>
          <w:p>
            <w:pPr>
              <w:pStyle w:val="195"/>
            </w:pPr>
            <w:r>
              <w:t>综合事务经费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预算规模及资金用途</w:t>
            </w:r>
          </w:p>
        </w:tc>
        <w:tc>
          <w:tcPr>
            <w:tcW w:w="1276" w:type="dxa"/>
            <w:noWrap w:val="0"/>
            <w:vAlign w:val="center"/>
          </w:tcPr>
          <w:p>
            <w:pPr>
              <w:pStyle w:val="196"/>
            </w:pPr>
            <w:r>
              <w:t>预算数</w:t>
            </w:r>
          </w:p>
        </w:tc>
        <w:tc>
          <w:tcPr>
            <w:tcW w:w="1332" w:type="dxa"/>
            <w:noWrap w:val="0"/>
            <w:vAlign w:val="center"/>
          </w:tcPr>
          <w:p>
            <w:pPr>
              <w:pStyle w:val="195"/>
            </w:pPr>
            <w:r>
              <w:t>15.00</w:t>
            </w:r>
          </w:p>
        </w:tc>
        <w:tc>
          <w:tcPr>
            <w:tcW w:w="1587" w:type="dxa"/>
            <w:noWrap w:val="0"/>
            <w:vAlign w:val="center"/>
          </w:tcPr>
          <w:p>
            <w:pPr>
              <w:pStyle w:val="196"/>
            </w:pPr>
            <w:r>
              <w:t>其中：财政    资金</w:t>
            </w:r>
          </w:p>
        </w:tc>
        <w:tc>
          <w:tcPr>
            <w:tcW w:w="1304" w:type="dxa"/>
            <w:noWrap w:val="0"/>
            <w:vAlign w:val="center"/>
          </w:tcPr>
          <w:p>
            <w:pPr>
              <w:pStyle w:val="195"/>
            </w:pPr>
            <w:r>
              <w:t>15.00</w:t>
            </w:r>
          </w:p>
        </w:tc>
        <w:tc>
          <w:tcPr>
            <w:tcW w:w="1276" w:type="dxa"/>
            <w:noWrap w:val="0"/>
            <w:vAlign w:val="center"/>
          </w:tcPr>
          <w:p>
            <w:pPr>
              <w:pStyle w:val="196"/>
            </w:pPr>
            <w:r>
              <w:t>其他资金</w:t>
            </w:r>
          </w:p>
        </w:tc>
        <w:tc>
          <w:tcPr>
            <w:tcW w:w="1843" w:type="dxa"/>
            <w:noWrap w:val="0"/>
            <w:vAlign w:val="center"/>
          </w:tcPr>
          <w:p>
            <w:pPr>
              <w:pStyle w:val="19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8" w:type="dxa"/>
            <w:gridSpan w:val="6"/>
            <w:noWrap w:val="0"/>
            <w:vAlign w:val="center"/>
          </w:tcPr>
          <w:p>
            <w:pPr>
              <w:pStyle w:val="195"/>
            </w:pPr>
            <w:r>
              <w:t>保障机关办公正常运转等项综合事务经费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6"/>
            </w:pPr>
            <w:r>
              <w:t>资金支出计划（%）</w:t>
            </w:r>
          </w:p>
        </w:tc>
        <w:tc>
          <w:tcPr>
            <w:tcW w:w="2608" w:type="dxa"/>
            <w:gridSpan w:val="2"/>
            <w:noWrap w:val="0"/>
            <w:vAlign w:val="center"/>
          </w:tcPr>
          <w:p>
            <w:pPr>
              <w:pStyle w:val="196"/>
            </w:pPr>
            <w:r>
              <w:t>3月底</w:t>
            </w:r>
          </w:p>
        </w:tc>
        <w:tc>
          <w:tcPr>
            <w:tcW w:w="1587" w:type="dxa"/>
            <w:noWrap w:val="0"/>
            <w:vAlign w:val="center"/>
          </w:tcPr>
          <w:p>
            <w:pPr>
              <w:pStyle w:val="196"/>
            </w:pPr>
            <w:r>
              <w:t>6月底</w:t>
            </w:r>
          </w:p>
        </w:tc>
        <w:tc>
          <w:tcPr>
            <w:tcW w:w="1304" w:type="dxa"/>
            <w:noWrap w:val="0"/>
            <w:vAlign w:val="center"/>
          </w:tcPr>
          <w:p>
            <w:pPr>
              <w:pStyle w:val="196"/>
            </w:pPr>
            <w:r>
              <w:t>10月底</w:t>
            </w:r>
          </w:p>
        </w:tc>
        <w:tc>
          <w:tcPr>
            <w:tcW w:w="3119" w:type="dxa"/>
            <w:gridSpan w:val="2"/>
            <w:noWrap w:val="0"/>
            <w:vAlign w:val="center"/>
          </w:tcPr>
          <w:p>
            <w:pPr>
              <w:pStyle w:val="19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97"/>
            </w:pPr>
            <w:r>
              <w:t>25%</w:t>
            </w:r>
          </w:p>
        </w:tc>
        <w:tc>
          <w:tcPr>
            <w:tcW w:w="1587" w:type="dxa"/>
            <w:noWrap w:val="0"/>
            <w:vAlign w:val="center"/>
          </w:tcPr>
          <w:p>
            <w:pPr>
              <w:pStyle w:val="197"/>
            </w:pPr>
            <w:r>
              <w:t>50%</w:t>
            </w:r>
          </w:p>
        </w:tc>
        <w:tc>
          <w:tcPr>
            <w:tcW w:w="1304" w:type="dxa"/>
            <w:noWrap w:val="0"/>
            <w:vAlign w:val="center"/>
          </w:tcPr>
          <w:p>
            <w:pPr>
              <w:pStyle w:val="197"/>
            </w:pPr>
            <w:r>
              <w:t>75%</w:t>
            </w:r>
          </w:p>
        </w:tc>
        <w:tc>
          <w:tcPr>
            <w:tcW w:w="3119" w:type="dxa"/>
            <w:gridSpan w:val="2"/>
            <w:noWrap w:val="0"/>
            <w:vAlign w:val="center"/>
          </w:tcPr>
          <w:p>
            <w:pPr>
              <w:pStyle w:val="19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6"/>
            </w:pPr>
            <w:r>
              <w:t>绩效目标</w:t>
            </w:r>
          </w:p>
        </w:tc>
        <w:tc>
          <w:tcPr>
            <w:tcW w:w="8618" w:type="dxa"/>
            <w:gridSpan w:val="6"/>
            <w:noWrap w:val="0"/>
            <w:vAlign w:val="center"/>
          </w:tcPr>
          <w:p>
            <w:pPr>
              <w:pStyle w:val="195"/>
            </w:pPr>
            <w:r>
              <w:t>1.组织、指导、协调全区组织系统互联网宣传工作</w:t>
            </w:r>
          </w:p>
          <w:p>
            <w:pPr>
              <w:pStyle w:val="195"/>
            </w:pPr>
            <w:r>
              <w:t>2.保障机关办公正常运转</w:t>
            </w:r>
          </w:p>
        </w:tc>
      </w:tr>
    </w:tbl>
    <w:p>
      <w:pPr>
        <w:spacing w:line="2" w:lineRule="exact"/>
        <w:jc w:val="center"/>
      </w:pP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96"/>
            </w:pPr>
            <w:r>
              <w:t>一级指标</w:t>
            </w:r>
          </w:p>
        </w:tc>
        <w:tc>
          <w:tcPr>
            <w:tcW w:w="1276" w:type="dxa"/>
            <w:noWrap w:val="0"/>
            <w:vAlign w:val="center"/>
          </w:tcPr>
          <w:p>
            <w:pPr>
              <w:pStyle w:val="196"/>
            </w:pPr>
            <w:r>
              <w:t>二级指标</w:t>
            </w:r>
          </w:p>
        </w:tc>
        <w:tc>
          <w:tcPr>
            <w:tcW w:w="1332" w:type="dxa"/>
            <w:noWrap w:val="0"/>
            <w:vAlign w:val="center"/>
          </w:tcPr>
          <w:p>
            <w:pPr>
              <w:pStyle w:val="196"/>
            </w:pPr>
            <w:r>
              <w:t>三级指标</w:t>
            </w:r>
          </w:p>
        </w:tc>
        <w:tc>
          <w:tcPr>
            <w:tcW w:w="2891" w:type="dxa"/>
            <w:noWrap w:val="0"/>
            <w:vAlign w:val="center"/>
          </w:tcPr>
          <w:p>
            <w:pPr>
              <w:pStyle w:val="196"/>
            </w:pPr>
            <w:r>
              <w:t>绩效指标描述</w:t>
            </w:r>
          </w:p>
        </w:tc>
        <w:tc>
          <w:tcPr>
            <w:tcW w:w="1276" w:type="dxa"/>
            <w:noWrap w:val="0"/>
            <w:vAlign w:val="center"/>
          </w:tcPr>
          <w:p>
            <w:pPr>
              <w:pStyle w:val="196"/>
            </w:pPr>
            <w:r>
              <w:t>指标值</w:t>
            </w:r>
          </w:p>
        </w:tc>
        <w:tc>
          <w:tcPr>
            <w:tcW w:w="1843" w:type="dxa"/>
            <w:noWrap w:val="0"/>
            <w:vAlign w:val="center"/>
          </w:tcPr>
          <w:p>
            <w:pPr>
              <w:pStyle w:val="19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97"/>
            </w:pPr>
            <w:r>
              <w:t>产出指标</w:t>
            </w:r>
          </w:p>
        </w:tc>
        <w:tc>
          <w:tcPr>
            <w:tcW w:w="1276" w:type="dxa"/>
            <w:noWrap w:val="0"/>
            <w:vAlign w:val="center"/>
          </w:tcPr>
          <w:p>
            <w:pPr>
              <w:pStyle w:val="195"/>
            </w:pPr>
            <w:r>
              <w:t>数量指标</w:t>
            </w:r>
          </w:p>
        </w:tc>
        <w:tc>
          <w:tcPr>
            <w:tcW w:w="1332" w:type="dxa"/>
            <w:noWrap w:val="0"/>
            <w:vAlign w:val="center"/>
          </w:tcPr>
          <w:p>
            <w:pPr>
              <w:pStyle w:val="195"/>
            </w:pPr>
            <w:r>
              <w:t>工作完成率</w:t>
            </w:r>
          </w:p>
        </w:tc>
        <w:tc>
          <w:tcPr>
            <w:tcW w:w="2891" w:type="dxa"/>
            <w:noWrap w:val="0"/>
            <w:vAlign w:val="center"/>
          </w:tcPr>
          <w:p>
            <w:pPr>
              <w:pStyle w:val="195"/>
            </w:pPr>
            <w:r>
              <w:t>圆满完成全年工作任务</w:t>
            </w:r>
          </w:p>
        </w:tc>
        <w:tc>
          <w:tcPr>
            <w:tcW w:w="1276" w:type="dxa"/>
            <w:noWrap w:val="0"/>
            <w:vAlign w:val="center"/>
          </w:tcPr>
          <w:p>
            <w:pPr>
              <w:pStyle w:val="195"/>
            </w:pPr>
            <w:r>
              <w:t>≥90圆满完成全年工作任务</w:t>
            </w:r>
          </w:p>
        </w:tc>
        <w:tc>
          <w:tcPr>
            <w:tcW w:w="1843" w:type="dxa"/>
            <w:noWrap w:val="0"/>
            <w:vAlign w:val="center"/>
          </w:tcPr>
          <w:p>
            <w:pPr>
              <w:pStyle w:val="195"/>
            </w:pPr>
            <w:r>
              <w:t>圆满完成全年工作任务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质量指标</w:t>
            </w:r>
          </w:p>
        </w:tc>
        <w:tc>
          <w:tcPr>
            <w:tcW w:w="1332" w:type="dxa"/>
            <w:noWrap w:val="0"/>
            <w:vAlign w:val="center"/>
          </w:tcPr>
          <w:p>
            <w:pPr>
              <w:pStyle w:val="195"/>
            </w:pPr>
            <w:r>
              <w:t>高质高效完成年度各项工作</w:t>
            </w:r>
          </w:p>
        </w:tc>
        <w:tc>
          <w:tcPr>
            <w:tcW w:w="2891" w:type="dxa"/>
            <w:noWrap w:val="0"/>
            <w:vAlign w:val="center"/>
          </w:tcPr>
          <w:p>
            <w:pPr>
              <w:pStyle w:val="195"/>
            </w:pPr>
            <w:r>
              <w:t>高质高效完成年度各项工作</w:t>
            </w:r>
          </w:p>
        </w:tc>
        <w:tc>
          <w:tcPr>
            <w:tcW w:w="1276" w:type="dxa"/>
            <w:noWrap w:val="0"/>
            <w:vAlign w:val="center"/>
          </w:tcPr>
          <w:p>
            <w:pPr>
              <w:pStyle w:val="195"/>
            </w:pPr>
            <w:r>
              <w:t>≥90高质高效完成年度各项工作</w:t>
            </w:r>
          </w:p>
        </w:tc>
        <w:tc>
          <w:tcPr>
            <w:tcW w:w="1843" w:type="dxa"/>
            <w:noWrap w:val="0"/>
            <w:vAlign w:val="center"/>
          </w:tcPr>
          <w:p>
            <w:pPr>
              <w:pStyle w:val="195"/>
            </w:pPr>
            <w:r>
              <w:t>高质高效完成年度各项工作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时效指标</w:t>
            </w:r>
          </w:p>
        </w:tc>
        <w:tc>
          <w:tcPr>
            <w:tcW w:w="1332" w:type="dxa"/>
            <w:noWrap w:val="0"/>
            <w:vAlign w:val="center"/>
          </w:tcPr>
          <w:p>
            <w:pPr>
              <w:pStyle w:val="195"/>
            </w:pPr>
            <w:r>
              <w:t>按时完成率</w:t>
            </w:r>
          </w:p>
        </w:tc>
        <w:tc>
          <w:tcPr>
            <w:tcW w:w="2891" w:type="dxa"/>
            <w:noWrap w:val="0"/>
            <w:vAlign w:val="center"/>
          </w:tcPr>
          <w:p>
            <w:pPr>
              <w:pStyle w:val="195"/>
            </w:pPr>
            <w:r>
              <w:t>按时完成工作计划</w:t>
            </w:r>
          </w:p>
        </w:tc>
        <w:tc>
          <w:tcPr>
            <w:tcW w:w="1276" w:type="dxa"/>
            <w:noWrap w:val="0"/>
            <w:vAlign w:val="center"/>
          </w:tcPr>
          <w:p>
            <w:pPr>
              <w:pStyle w:val="195"/>
            </w:pPr>
            <w:r>
              <w:t>≥90按时完成工作计划</w:t>
            </w:r>
          </w:p>
        </w:tc>
        <w:tc>
          <w:tcPr>
            <w:tcW w:w="1843" w:type="dxa"/>
            <w:noWrap w:val="0"/>
            <w:vAlign w:val="center"/>
          </w:tcPr>
          <w:p>
            <w:pPr>
              <w:pStyle w:val="195"/>
            </w:pPr>
            <w:r>
              <w:t>基本保障日常工作运转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95"/>
            </w:pPr>
            <w:r>
              <w:t>成本指标</w:t>
            </w:r>
          </w:p>
        </w:tc>
        <w:tc>
          <w:tcPr>
            <w:tcW w:w="1332" w:type="dxa"/>
            <w:noWrap w:val="0"/>
            <w:vAlign w:val="center"/>
          </w:tcPr>
          <w:p>
            <w:pPr>
              <w:pStyle w:val="195"/>
            </w:pPr>
            <w:r>
              <w:t>保障日常运转率</w:t>
            </w:r>
          </w:p>
        </w:tc>
        <w:tc>
          <w:tcPr>
            <w:tcW w:w="2891" w:type="dxa"/>
            <w:noWrap w:val="0"/>
            <w:vAlign w:val="center"/>
          </w:tcPr>
          <w:p>
            <w:pPr>
              <w:pStyle w:val="195"/>
            </w:pPr>
            <w:r>
              <w:t>基本保障日常工作运转</w:t>
            </w:r>
          </w:p>
        </w:tc>
        <w:tc>
          <w:tcPr>
            <w:tcW w:w="1276" w:type="dxa"/>
            <w:noWrap w:val="0"/>
            <w:vAlign w:val="center"/>
          </w:tcPr>
          <w:p>
            <w:pPr>
              <w:pStyle w:val="195"/>
            </w:pPr>
            <w:r>
              <w:t>≥90基本保障日常工作运转</w:t>
            </w:r>
          </w:p>
        </w:tc>
        <w:tc>
          <w:tcPr>
            <w:tcW w:w="1843" w:type="dxa"/>
            <w:noWrap w:val="0"/>
            <w:vAlign w:val="center"/>
          </w:tcPr>
          <w:p>
            <w:pPr>
              <w:pStyle w:val="195"/>
            </w:pPr>
            <w:r>
              <w:t>基本保障日常工作运转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97"/>
            </w:pPr>
            <w:r>
              <w:t>效益指标</w:t>
            </w:r>
          </w:p>
        </w:tc>
        <w:tc>
          <w:tcPr>
            <w:tcW w:w="1276" w:type="dxa"/>
            <w:noWrap w:val="0"/>
            <w:vAlign w:val="center"/>
          </w:tcPr>
          <w:p>
            <w:pPr>
              <w:pStyle w:val="195"/>
            </w:pPr>
            <w:r>
              <w:t>社会效益指标</w:t>
            </w:r>
          </w:p>
        </w:tc>
        <w:tc>
          <w:tcPr>
            <w:tcW w:w="1332" w:type="dxa"/>
            <w:noWrap w:val="0"/>
            <w:vAlign w:val="center"/>
          </w:tcPr>
          <w:p>
            <w:pPr>
              <w:pStyle w:val="195"/>
            </w:pPr>
            <w:r>
              <w:t>完成机关自身建设任务</w:t>
            </w:r>
          </w:p>
        </w:tc>
        <w:tc>
          <w:tcPr>
            <w:tcW w:w="2891" w:type="dxa"/>
            <w:noWrap w:val="0"/>
            <w:vAlign w:val="center"/>
          </w:tcPr>
          <w:p>
            <w:pPr>
              <w:pStyle w:val="195"/>
            </w:pPr>
            <w:r>
              <w:t>机关自身建设任务完成率</w:t>
            </w:r>
          </w:p>
        </w:tc>
        <w:tc>
          <w:tcPr>
            <w:tcW w:w="1276" w:type="dxa"/>
            <w:noWrap w:val="0"/>
            <w:vAlign w:val="center"/>
          </w:tcPr>
          <w:p>
            <w:pPr>
              <w:pStyle w:val="195"/>
            </w:pPr>
            <w:r>
              <w:t>≥90机关自身建设任务完成率</w:t>
            </w:r>
          </w:p>
        </w:tc>
        <w:tc>
          <w:tcPr>
            <w:tcW w:w="1843" w:type="dxa"/>
            <w:noWrap w:val="0"/>
            <w:vAlign w:val="center"/>
          </w:tcPr>
          <w:p>
            <w:pPr>
              <w:pStyle w:val="195"/>
            </w:pPr>
            <w:r>
              <w:t>机关自身建设任务完成率</w:t>
            </w:r>
          </w:p>
        </w:tc>
      </w:tr>
    </w:tbl>
    <w:p>
      <w:pPr>
        <w:rPr>
          <w:rFonts w:hint="eastAsia"/>
        </w:rPr>
      </w:pPr>
    </w:p>
    <w:p>
      <w:pPr>
        <w:sectPr>
          <w:pgSz w:w="11900" w:h="16840" w:orient="landscape"/>
          <w:pgMar w:top="1984" w:right="1304" w:bottom="1134" w:left="1304" w:header="720" w:footer="720" w:gutter="0"/>
          <w:cols w:space="1701" w:num="1"/>
        </w:sectPr>
      </w:pPr>
    </w:p>
    <w:p>
      <w:pPr>
        <w:jc w:val="center"/>
      </w:pPr>
    </w:p>
    <w:p>
      <w:pPr>
        <w:ind w:firstLine="640"/>
        <w:jc w:val="left"/>
        <w:rPr>
          <w:rFonts w:ascii="黑体" w:hAnsi="黑体" w:eastAsia="黑体"/>
          <w:color w:val="000000"/>
          <w:sz w:val="32"/>
        </w:rPr>
      </w:pPr>
      <w:r>
        <w:rPr>
          <w:rFonts w:ascii="黑体" w:hAnsi="黑体" w:eastAsia="黑体"/>
          <w:color w:val="000000"/>
          <w:sz w:val="32"/>
        </w:rPr>
        <w:t>六、政府采购预算情况</w:t>
      </w:r>
    </w:p>
    <w:p>
      <w:pPr>
        <w:ind w:firstLine="640"/>
        <w:jc w:val="left"/>
        <w:rPr>
          <w:rFonts w:hint="eastAsia" w:ascii="仿宋_GB2312" w:eastAsia="仿宋_GB2312"/>
          <w:sz w:val="32"/>
          <w:szCs w:val="32"/>
        </w:rPr>
      </w:pPr>
      <w:r>
        <w:rPr>
          <w:rFonts w:hint="eastAsia" w:ascii="仿宋_GB2312" w:eastAsia="仿宋_GB2312"/>
          <w:sz w:val="32"/>
          <w:szCs w:val="32"/>
        </w:rPr>
        <w:t>2022年，我部门安排政府采购预算具体内容见下表。</w:t>
      </w:r>
    </w:p>
    <w:p>
      <w:pPr>
        <w:jc w:val="center"/>
        <w:outlineLvl w:val="0"/>
        <w:rPr>
          <w:rFonts w:hint="eastAsia"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部门政府采购预算</w:t>
      </w:r>
    </w:p>
    <w:tbl>
      <w:tblPr>
        <w:tblStyle w:val="28"/>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9"/>
        <w:gridCol w:w="897"/>
        <w:gridCol w:w="1018"/>
        <w:gridCol w:w="1112"/>
        <w:gridCol w:w="1017"/>
        <w:gridCol w:w="615"/>
        <w:gridCol w:w="1047"/>
        <w:gridCol w:w="898"/>
        <w:gridCol w:w="1017"/>
        <w:gridCol w:w="1017"/>
        <w:gridCol w:w="1017"/>
        <w:gridCol w:w="1017"/>
        <w:gridCol w:w="1017"/>
        <w:gridCol w:w="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15" w:type="dxa"/>
            <w:gridSpan w:val="7"/>
            <w:noWrap w:val="0"/>
            <w:vAlign w:val="center"/>
          </w:tcPr>
          <w:p>
            <w:pPr>
              <w:spacing w:line="300" w:lineRule="exact"/>
              <w:jc w:val="left"/>
              <w:rPr>
                <w:rFonts w:hint="eastAsia" w:ascii="仿宋" w:hAnsi="仿宋" w:eastAsia="仿宋" w:cs="仿宋"/>
                <w:sz w:val="24"/>
              </w:rPr>
            </w:pPr>
            <w:r>
              <w:t>203001组织部门中共秦皇岛市山海关区委组织部本级</w:t>
            </w:r>
          </w:p>
        </w:tc>
        <w:tc>
          <w:tcPr>
            <w:tcW w:w="6942" w:type="dxa"/>
            <w:gridSpan w:val="7"/>
            <w:noWrap w:val="0"/>
            <w:vAlign w:val="center"/>
          </w:tcPr>
          <w:p>
            <w:pPr>
              <w:spacing w:line="300" w:lineRule="exact"/>
              <w:jc w:val="right"/>
              <w:rPr>
                <w:rFonts w:hint="eastAsia" w:ascii="仿宋" w:hAnsi="仿宋" w:eastAsia="仿宋" w:cs="仿宋"/>
                <w:sz w:val="24"/>
              </w:rPr>
            </w:pPr>
            <w:r>
              <w:rPr>
                <w:rFonts w:hint="eastAsia" w:ascii="仿宋" w:hAnsi="仿宋" w:eastAsia="仿宋" w:cs="仿宋"/>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606" w:type="dxa"/>
            <w:gridSpan w:val="2"/>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政府采购项目来源</w:t>
            </w:r>
          </w:p>
        </w:tc>
        <w:tc>
          <w:tcPr>
            <w:tcW w:w="1018"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采购物品名称</w:t>
            </w:r>
          </w:p>
        </w:tc>
        <w:tc>
          <w:tcPr>
            <w:tcW w:w="1112"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政府采购目录序号</w:t>
            </w:r>
          </w:p>
        </w:tc>
        <w:tc>
          <w:tcPr>
            <w:tcW w:w="1017"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数量  单位</w:t>
            </w:r>
          </w:p>
        </w:tc>
        <w:tc>
          <w:tcPr>
            <w:tcW w:w="615"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数量</w:t>
            </w:r>
          </w:p>
        </w:tc>
        <w:tc>
          <w:tcPr>
            <w:tcW w:w="1047"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单价</w:t>
            </w:r>
          </w:p>
        </w:tc>
        <w:tc>
          <w:tcPr>
            <w:tcW w:w="6942" w:type="dxa"/>
            <w:gridSpan w:val="7"/>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 w:hRule="atLeast"/>
          <w:tblHeader/>
          <w:jc w:val="center"/>
        </w:trPr>
        <w:tc>
          <w:tcPr>
            <w:tcW w:w="2709"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项目名称</w:t>
            </w:r>
          </w:p>
        </w:tc>
        <w:tc>
          <w:tcPr>
            <w:tcW w:w="897"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预算资金</w:t>
            </w:r>
          </w:p>
        </w:tc>
        <w:tc>
          <w:tcPr>
            <w:tcW w:w="1018" w:type="dxa"/>
            <w:vMerge w:val="continue"/>
            <w:noWrap w:val="0"/>
            <w:vAlign w:val="center"/>
          </w:tcPr>
          <w:p>
            <w:pPr>
              <w:spacing w:line="300" w:lineRule="exact"/>
              <w:jc w:val="left"/>
              <w:outlineLvl w:val="0"/>
              <w:rPr>
                <w:rFonts w:hint="eastAsia" w:ascii="仿宋_GB2312" w:hAnsi="仿宋" w:eastAsia="仿宋_GB2312" w:cs="仿宋"/>
              </w:rPr>
            </w:pPr>
          </w:p>
        </w:tc>
        <w:tc>
          <w:tcPr>
            <w:tcW w:w="1112" w:type="dxa"/>
            <w:vMerge w:val="continue"/>
            <w:noWrap w:val="0"/>
            <w:vAlign w:val="center"/>
          </w:tcPr>
          <w:p>
            <w:pPr>
              <w:spacing w:line="300" w:lineRule="exact"/>
              <w:jc w:val="left"/>
              <w:outlineLvl w:val="0"/>
              <w:rPr>
                <w:rFonts w:hint="eastAsia" w:ascii="仿宋_GB2312" w:hAnsi="仿宋" w:eastAsia="仿宋_GB2312" w:cs="仿宋"/>
              </w:rPr>
            </w:pPr>
          </w:p>
        </w:tc>
        <w:tc>
          <w:tcPr>
            <w:tcW w:w="1017" w:type="dxa"/>
            <w:vMerge w:val="continue"/>
            <w:noWrap w:val="0"/>
            <w:vAlign w:val="center"/>
          </w:tcPr>
          <w:p>
            <w:pPr>
              <w:spacing w:line="300" w:lineRule="exact"/>
              <w:jc w:val="left"/>
              <w:outlineLvl w:val="0"/>
              <w:rPr>
                <w:rFonts w:hint="eastAsia" w:ascii="仿宋_GB2312" w:hAnsi="仿宋" w:eastAsia="仿宋_GB2312" w:cs="仿宋"/>
              </w:rPr>
            </w:pPr>
          </w:p>
        </w:tc>
        <w:tc>
          <w:tcPr>
            <w:tcW w:w="615" w:type="dxa"/>
            <w:vMerge w:val="continue"/>
            <w:noWrap w:val="0"/>
            <w:vAlign w:val="center"/>
          </w:tcPr>
          <w:p>
            <w:pPr>
              <w:spacing w:line="300" w:lineRule="exact"/>
              <w:jc w:val="left"/>
              <w:outlineLvl w:val="0"/>
              <w:rPr>
                <w:rFonts w:hint="eastAsia" w:ascii="仿宋_GB2312" w:hAnsi="仿宋" w:eastAsia="仿宋_GB2312" w:cs="仿宋"/>
              </w:rPr>
            </w:pPr>
          </w:p>
        </w:tc>
        <w:tc>
          <w:tcPr>
            <w:tcW w:w="1047" w:type="dxa"/>
            <w:vMerge w:val="continue"/>
            <w:noWrap w:val="0"/>
            <w:vAlign w:val="center"/>
          </w:tcPr>
          <w:p>
            <w:pPr>
              <w:spacing w:line="300" w:lineRule="exact"/>
              <w:jc w:val="left"/>
              <w:outlineLvl w:val="0"/>
              <w:rPr>
                <w:rFonts w:hint="eastAsia" w:ascii="仿宋_GB2312" w:hAnsi="仿宋" w:eastAsia="仿宋_GB2312" w:cs="仿宋"/>
              </w:rPr>
            </w:pPr>
          </w:p>
        </w:tc>
        <w:tc>
          <w:tcPr>
            <w:tcW w:w="898"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总计</w:t>
            </w:r>
          </w:p>
        </w:tc>
        <w:tc>
          <w:tcPr>
            <w:tcW w:w="5085" w:type="dxa"/>
            <w:gridSpan w:val="5"/>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当年部门预算安排资金</w:t>
            </w:r>
          </w:p>
        </w:tc>
        <w:tc>
          <w:tcPr>
            <w:tcW w:w="959"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9" w:type="dxa"/>
            <w:vMerge w:val="continue"/>
            <w:noWrap w:val="0"/>
            <w:vAlign w:val="center"/>
          </w:tcPr>
          <w:p>
            <w:pPr>
              <w:spacing w:line="300" w:lineRule="exact"/>
              <w:jc w:val="left"/>
              <w:outlineLvl w:val="0"/>
              <w:rPr>
                <w:rFonts w:hint="eastAsia" w:ascii="仿宋_GB2312" w:hAnsi="仿宋" w:eastAsia="仿宋_GB2312" w:cs="仿宋"/>
              </w:rPr>
            </w:pPr>
          </w:p>
        </w:tc>
        <w:tc>
          <w:tcPr>
            <w:tcW w:w="897" w:type="dxa"/>
            <w:vMerge w:val="continue"/>
            <w:noWrap w:val="0"/>
            <w:vAlign w:val="center"/>
          </w:tcPr>
          <w:p>
            <w:pPr>
              <w:spacing w:line="300" w:lineRule="exact"/>
              <w:jc w:val="left"/>
              <w:outlineLvl w:val="0"/>
              <w:rPr>
                <w:rFonts w:hint="eastAsia" w:ascii="仿宋_GB2312" w:hAnsi="仿宋" w:eastAsia="仿宋_GB2312" w:cs="仿宋"/>
              </w:rPr>
            </w:pPr>
          </w:p>
        </w:tc>
        <w:tc>
          <w:tcPr>
            <w:tcW w:w="1018" w:type="dxa"/>
            <w:vMerge w:val="continue"/>
            <w:noWrap w:val="0"/>
            <w:vAlign w:val="center"/>
          </w:tcPr>
          <w:p>
            <w:pPr>
              <w:spacing w:line="300" w:lineRule="exact"/>
              <w:jc w:val="left"/>
              <w:outlineLvl w:val="0"/>
              <w:rPr>
                <w:rFonts w:hint="eastAsia" w:ascii="仿宋_GB2312" w:hAnsi="仿宋" w:eastAsia="仿宋_GB2312" w:cs="仿宋"/>
              </w:rPr>
            </w:pPr>
          </w:p>
        </w:tc>
        <w:tc>
          <w:tcPr>
            <w:tcW w:w="1112" w:type="dxa"/>
            <w:vMerge w:val="continue"/>
            <w:noWrap w:val="0"/>
            <w:vAlign w:val="center"/>
          </w:tcPr>
          <w:p>
            <w:pPr>
              <w:spacing w:line="300" w:lineRule="exact"/>
              <w:jc w:val="left"/>
              <w:outlineLvl w:val="0"/>
              <w:rPr>
                <w:rFonts w:hint="eastAsia" w:ascii="仿宋_GB2312" w:hAnsi="仿宋" w:eastAsia="仿宋_GB2312" w:cs="仿宋"/>
              </w:rPr>
            </w:pPr>
          </w:p>
        </w:tc>
        <w:tc>
          <w:tcPr>
            <w:tcW w:w="1017" w:type="dxa"/>
            <w:vMerge w:val="continue"/>
            <w:noWrap w:val="0"/>
            <w:vAlign w:val="center"/>
          </w:tcPr>
          <w:p>
            <w:pPr>
              <w:spacing w:line="300" w:lineRule="exact"/>
              <w:jc w:val="left"/>
              <w:outlineLvl w:val="0"/>
              <w:rPr>
                <w:rFonts w:hint="eastAsia" w:ascii="仿宋_GB2312" w:hAnsi="仿宋" w:eastAsia="仿宋_GB2312" w:cs="仿宋"/>
              </w:rPr>
            </w:pPr>
          </w:p>
        </w:tc>
        <w:tc>
          <w:tcPr>
            <w:tcW w:w="615" w:type="dxa"/>
            <w:vMerge w:val="continue"/>
            <w:noWrap w:val="0"/>
            <w:vAlign w:val="center"/>
          </w:tcPr>
          <w:p>
            <w:pPr>
              <w:spacing w:line="300" w:lineRule="exact"/>
              <w:jc w:val="left"/>
              <w:outlineLvl w:val="0"/>
              <w:rPr>
                <w:rFonts w:hint="eastAsia" w:ascii="仿宋_GB2312" w:hAnsi="仿宋" w:eastAsia="仿宋_GB2312" w:cs="仿宋"/>
              </w:rPr>
            </w:pPr>
          </w:p>
        </w:tc>
        <w:tc>
          <w:tcPr>
            <w:tcW w:w="1047" w:type="dxa"/>
            <w:vMerge w:val="continue"/>
            <w:noWrap w:val="0"/>
            <w:vAlign w:val="center"/>
          </w:tcPr>
          <w:p>
            <w:pPr>
              <w:spacing w:line="300" w:lineRule="exact"/>
              <w:jc w:val="left"/>
              <w:outlineLvl w:val="0"/>
              <w:rPr>
                <w:rFonts w:hint="eastAsia" w:ascii="仿宋_GB2312" w:hAnsi="仿宋" w:eastAsia="仿宋_GB2312" w:cs="仿宋"/>
              </w:rPr>
            </w:pPr>
          </w:p>
        </w:tc>
        <w:tc>
          <w:tcPr>
            <w:tcW w:w="898" w:type="dxa"/>
            <w:vMerge w:val="continue"/>
            <w:noWrap w:val="0"/>
            <w:vAlign w:val="center"/>
          </w:tcPr>
          <w:p>
            <w:pPr>
              <w:spacing w:line="300" w:lineRule="exact"/>
              <w:jc w:val="left"/>
              <w:outlineLvl w:val="0"/>
              <w:rPr>
                <w:rFonts w:hint="eastAsia" w:ascii="仿宋_GB2312" w:hAnsi="仿宋" w:eastAsia="仿宋_GB2312" w:cs="仿宋"/>
              </w:rPr>
            </w:pPr>
          </w:p>
        </w:tc>
        <w:tc>
          <w:tcPr>
            <w:tcW w:w="1017"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合计</w:t>
            </w:r>
          </w:p>
        </w:tc>
        <w:tc>
          <w:tcPr>
            <w:tcW w:w="1017"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一般公共预算拨款</w:t>
            </w:r>
          </w:p>
        </w:tc>
        <w:tc>
          <w:tcPr>
            <w:tcW w:w="1017"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基金预算拨款</w:t>
            </w:r>
          </w:p>
        </w:tc>
        <w:tc>
          <w:tcPr>
            <w:tcW w:w="1017"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财政专户核拨</w:t>
            </w:r>
          </w:p>
        </w:tc>
        <w:tc>
          <w:tcPr>
            <w:tcW w:w="1017"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其他来源收入</w:t>
            </w:r>
          </w:p>
        </w:tc>
        <w:tc>
          <w:tcPr>
            <w:tcW w:w="959" w:type="dxa"/>
            <w:vMerge w:val="continue"/>
            <w:noWrap w:val="0"/>
            <w:vAlign w:val="center"/>
          </w:tcPr>
          <w:p>
            <w:pPr>
              <w:spacing w:line="300" w:lineRule="exact"/>
              <w:jc w:val="left"/>
              <w:outlineLvl w:val="0"/>
              <w:rPr>
                <w:rFonts w:hint="eastAsia" w:ascii="仿宋_GB2312" w:hAnsi="仿宋" w:eastAsia="仿宋_GB2312"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pPr>
              <w:spacing w:line="300" w:lineRule="exact"/>
              <w:jc w:val="center"/>
              <w:rPr>
                <w:rFonts w:hint="eastAsia" w:ascii="仿宋_GB2312" w:hAnsi="仿宋" w:eastAsia="仿宋_GB2312" w:cs="仿宋"/>
                <w:b/>
              </w:rPr>
            </w:pPr>
          </w:p>
        </w:tc>
        <w:tc>
          <w:tcPr>
            <w:tcW w:w="897" w:type="dxa"/>
            <w:noWrap w:val="0"/>
            <w:vAlign w:val="center"/>
          </w:tcPr>
          <w:p>
            <w:pPr>
              <w:spacing w:line="300" w:lineRule="exact"/>
              <w:jc w:val="right"/>
              <w:rPr>
                <w:rFonts w:hint="eastAsia" w:ascii="仿宋_GB2312" w:hAnsi="仿宋" w:eastAsia="仿宋_GB2312" w:cs="仿宋"/>
                <w:b/>
              </w:rPr>
            </w:pPr>
          </w:p>
        </w:tc>
        <w:tc>
          <w:tcPr>
            <w:tcW w:w="1018" w:type="dxa"/>
            <w:noWrap w:val="0"/>
            <w:vAlign w:val="center"/>
          </w:tcPr>
          <w:p>
            <w:pPr>
              <w:spacing w:line="300" w:lineRule="exact"/>
              <w:jc w:val="left"/>
              <w:rPr>
                <w:rFonts w:hint="eastAsia" w:ascii="仿宋_GB2312" w:hAnsi="仿宋" w:eastAsia="仿宋_GB2312" w:cs="仿宋"/>
                <w:b/>
              </w:rPr>
            </w:pPr>
          </w:p>
        </w:tc>
        <w:tc>
          <w:tcPr>
            <w:tcW w:w="1112" w:type="dxa"/>
            <w:noWrap w:val="0"/>
            <w:vAlign w:val="center"/>
          </w:tcPr>
          <w:p>
            <w:pPr>
              <w:spacing w:line="300" w:lineRule="exact"/>
              <w:jc w:val="left"/>
              <w:rPr>
                <w:rFonts w:hint="eastAsia" w:ascii="仿宋_GB2312" w:hAnsi="仿宋" w:eastAsia="仿宋_GB2312" w:cs="仿宋"/>
                <w:b/>
              </w:rPr>
            </w:pPr>
          </w:p>
        </w:tc>
        <w:tc>
          <w:tcPr>
            <w:tcW w:w="1017" w:type="dxa"/>
            <w:noWrap w:val="0"/>
            <w:vAlign w:val="center"/>
          </w:tcPr>
          <w:p>
            <w:pPr>
              <w:spacing w:line="300" w:lineRule="exact"/>
              <w:jc w:val="left"/>
              <w:rPr>
                <w:rFonts w:hint="eastAsia" w:ascii="仿宋_GB2312" w:hAnsi="仿宋" w:eastAsia="仿宋_GB2312" w:cs="仿宋"/>
                <w:b/>
              </w:rPr>
            </w:pPr>
          </w:p>
        </w:tc>
        <w:tc>
          <w:tcPr>
            <w:tcW w:w="615" w:type="dxa"/>
            <w:noWrap w:val="0"/>
            <w:vAlign w:val="center"/>
          </w:tcPr>
          <w:p>
            <w:pPr>
              <w:spacing w:line="300" w:lineRule="exact"/>
              <w:jc w:val="right"/>
              <w:rPr>
                <w:rFonts w:hint="eastAsia" w:ascii="仿宋_GB2312" w:hAnsi="仿宋" w:eastAsia="仿宋_GB2312" w:cs="仿宋"/>
                <w:b/>
              </w:rPr>
            </w:pPr>
          </w:p>
        </w:tc>
        <w:tc>
          <w:tcPr>
            <w:tcW w:w="1047" w:type="dxa"/>
            <w:noWrap w:val="0"/>
            <w:vAlign w:val="center"/>
          </w:tcPr>
          <w:p>
            <w:pPr>
              <w:spacing w:line="300" w:lineRule="exact"/>
              <w:jc w:val="right"/>
              <w:rPr>
                <w:rFonts w:hint="eastAsia" w:ascii="仿宋_GB2312" w:hAnsi="仿宋" w:eastAsia="仿宋_GB2312" w:cs="仿宋"/>
                <w:b/>
              </w:rPr>
            </w:pPr>
          </w:p>
        </w:tc>
        <w:tc>
          <w:tcPr>
            <w:tcW w:w="898" w:type="dxa"/>
            <w:noWrap w:val="0"/>
            <w:vAlign w:val="center"/>
          </w:tcPr>
          <w:p>
            <w:pPr>
              <w:spacing w:line="300" w:lineRule="exact"/>
              <w:jc w:val="right"/>
              <w:rPr>
                <w:rFonts w:hint="eastAsia" w:ascii="仿宋_GB2312" w:hAnsi="仿宋" w:eastAsia="仿宋_GB2312" w:cs="仿宋"/>
                <w:b/>
              </w:rPr>
            </w:pPr>
          </w:p>
        </w:tc>
        <w:tc>
          <w:tcPr>
            <w:tcW w:w="1017" w:type="dxa"/>
            <w:noWrap w:val="0"/>
            <w:vAlign w:val="center"/>
          </w:tcPr>
          <w:p>
            <w:pPr>
              <w:spacing w:line="300" w:lineRule="exact"/>
              <w:jc w:val="right"/>
              <w:rPr>
                <w:rFonts w:hint="eastAsia" w:ascii="仿宋_GB2312" w:hAnsi="仿宋" w:eastAsia="仿宋_GB2312" w:cs="仿宋"/>
                <w:b/>
              </w:rPr>
            </w:pPr>
          </w:p>
        </w:tc>
        <w:tc>
          <w:tcPr>
            <w:tcW w:w="1017" w:type="dxa"/>
            <w:noWrap w:val="0"/>
            <w:vAlign w:val="center"/>
          </w:tcPr>
          <w:p>
            <w:pPr>
              <w:spacing w:line="300" w:lineRule="exact"/>
              <w:jc w:val="right"/>
              <w:rPr>
                <w:rFonts w:hint="eastAsia" w:ascii="仿宋_GB2312" w:hAnsi="仿宋" w:eastAsia="仿宋_GB2312" w:cs="仿宋"/>
                <w:b/>
              </w:rPr>
            </w:pPr>
          </w:p>
        </w:tc>
        <w:tc>
          <w:tcPr>
            <w:tcW w:w="1017" w:type="dxa"/>
            <w:noWrap w:val="0"/>
            <w:vAlign w:val="center"/>
          </w:tcPr>
          <w:p>
            <w:pPr>
              <w:spacing w:line="300" w:lineRule="exact"/>
              <w:jc w:val="right"/>
              <w:rPr>
                <w:rFonts w:hint="eastAsia" w:ascii="仿宋_GB2312" w:hAnsi="仿宋" w:eastAsia="仿宋_GB2312" w:cs="仿宋"/>
                <w:b/>
              </w:rPr>
            </w:pPr>
          </w:p>
        </w:tc>
        <w:tc>
          <w:tcPr>
            <w:tcW w:w="1017" w:type="dxa"/>
            <w:noWrap w:val="0"/>
            <w:vAlign w:val="center"/>
          </w:tcPr>
          <w:p>
            <w:pPr>
              <w:spacing w:line="300" w:lineRule="exact"/>
              <w:jc w:val="right"/>
              <w:rPr>
                <w:rFonts w:hint="eastAsia" w:ascii="仿宋_GB2312" w:hAnsi="仿宋" w:eastAsia="仿宋_GB2312" w:cs="仿宋"/>
                <w:b/>
              </w:rPr>
            </w:pPr>
          </w:p>
        </w:tc>
        <w:tc>
          <w:tcPr>
            <w:tcW w:w="1017" w:type="dxa"/>
            <w:noWrap w:val="0"/>
            <w:vAlign w:val="center"/>
          </w:tcPr>
          <w:p>
            <w:pPr>
              <w:spacing w:line="300" w:lineRule="exact"/>
              <w:jc w:val="right"/>
              <w:rPr>
                <w:rFonts w:hint="eastAsia" w:ascii="仿宋_GB2312" w:hAnsi="仿宋" w:eastAsia="仿宋_GB2312" w:cs="仿宋"/>
                <w:b/>
              </w:rPr>
            </w:pPr>
          </w:p>
        </w:tc>
        <w:tc>
          <w:tcPr>
            <w:tcW w:w="959" w:type="dxa"/>
            <w:noWrap w:val="0"/>
            <w:vAlign w:val="center"/>
          </w:tcPr>
          <w:p>
            <w:pPr>
              <w:spacing w:line="300" w:lineRule="exact"/>
              <w:jc w:val="right"/>
              <w:rPr>
                <w:rFonts w:hint="eastAsia" w:ascii="仿宋_GB2312" w:hAnsi="仿宋" w:eastAsia="仿宋_GB2312" w:cs="仿宋"/>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pPr>
              <w:spacing w:line="300" w:lineRule="exact"/>
              <w:jc w:val="left"/>
              <w:rPr>
                <w:rFonts w:hint="eastAsia" w:ascii="仿宋" w:hAnsi="仿宋" w:eastAsia="仿宋" w:cs="仿宋"/>
              </w:rPr>
            </w:pPr>
          </w:p>
        </w:tc>
        <w:tc>
          <w:tcPr>
            <w:tcW w:w="897" w:type="dxa"/>
            <w:noWrap w:val="0"/>
            <w:vAlign w:val="center"/>
          </w:tcPr>
          <w:p>
            <w:pPr>
              <w:spacing w:line="300" w:lineRule="exact"/>
              <w:jc w:val="right"/>
              <w:rPr>
                <w:rFonts w:hint="eastAsia" w:ascii="仿宋" w:hAnsi="仿宋" w:eastAsia="仿宋" w:cs="仿宋"/>
              </w:rPr>
            </w:pPr>
          </w:p>
        </w:tc>
        <w:tc>
          <w:tcPr>
            <w:tcW w:w="1018" w:type="dxa"/>
            <w:noWrap w:val="0"/>
            <w:vAlign w:val="center"/>
          </w:tcPr>
          <w:p>
            <w:pPr>
              <w:spacing w:line="300" w:lineRule="exact"/>
              <w:jc w:val="left"/>
              <w:rPr>
                <w:rFonts w:hint="eastAsia" w:ascii="仿宋" w:hAnsi="仿宋" w:eastAsia="仿宋" w:cs="仿宋"/>
              </w:rPr>
            </w:pPr>
          </w:p>
        </w:tc>
        <w:tc>
          <w:tcPr>
            <w:tcW w:w="1112" w:type="dxa"/>
            <w:noWrap w:val="0"/>
            <w:vAlign w:val="center"/>
          </w:tcPr>
          <w:p>
            <w:pPr>
              <w:spacing w:line="300" w:lineRule="exact"/>
              <w:jc w:val="left"/>
              <w:rPr>
                <w:rFonts w:hint="eastAsia" w:ascii="仿宋" w:hAnsi="仿宋" w:eastAsia="仿宋" w:cs="仿宋"/>
              </w:rPr>
            </w:pPr>
          </w:p>
        </w:tc>
        <w:tc>
          <w:tcPr>
            <w:tcW w:w="1017" w:type="dxa"/>
            <w:noWrap w:val="0"/>
            <w:vAlign w:val="center"/>
          </w:tcPr>
          <w:p>
            <w:pPr>
              <w:spacing w:line="300" w:lineRule="exact"/>
              <w:jc w:val="left"/>
              <w:rPr>
                <w:rFonts w:hint="eastAsia" w:ascii="仿宋" w:hAnsi="仿宋" w:eastAsia="仿宋" w:cs="仿宋"/>
              </w:rPr>
            </w:pPr>
          </w:p>
        </w:tc>
        <w:tc>
          <w:tcPr>
            <w:tcW w:w="615" w:type="dxa"/>
            <w:noWrap w:val="0"/>
            <w:vAlign w:val="center"/>
          </w:tcPr>
          <w:p>
            <w:pPr>
              <w:spacing w:line="300" w:lineRule="exact"/>
              <w:jc w:val="right"/>
              <w:rPr>
                <w:rFonts w:hint="eastAsia" w:ascii="仿宋" w:hAnsi="仿宋" w:eastAsia="仿宋" w:cs="仿宋"/>
              </w:rPr>
            </w:pPr>
          </w:p>
        </w:tc>
        <w:tc>
          <w:tcPr>
            <w:tcW w:w="1047" w:type="dxa"/>
            <w:noWrap w:val="0"/>
            <w:vAlign w:val="center"/>
          </w:tcPr>
          <w:p>
            <w:pPr>
              <w:spacing w:line="300" w:lineRule="exact"/>
              <w:jc w:val="right"/>
              <w:rPr>
                <w:rFonts w:hint="eastAsia" w:ascii="仿宋" w:hAnsi="仿宋" w:eastAsia="仿宋" w:cs="仿宋"/>
              </w:rPr>
            </w:pPr>
          </w:p>
        </w:tc>
        <w:tc>
          <w:tcPr>
            <w:tcW w:w="898"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pPr>
              <w:spacing w:line="300" w:lineRule="exact"/>
              <w:jc w:val="left"/>
              <w:rPr>
                <w:rFonts w:hint="eastAsia" w:ascii="仿宋" w:hAnsi="仿宋" w:eastAsia="仿宋" w:cs="仿宋"/>
              </w:rPr>
            </w:pPr>
          </w:p>
        </w:tc>
        <w:tc>
          <w:tcPr>
            <w:tcW w:w="897" w:type="dxa"/>
            <w:noWrap w:val="0"/>
            <w:vAlign w:val="center"/>
          </w:tcPr>
          <w:p>
            <w:pPr>
              <w:spacing w:line="300" w:lineRule="exact"/>
              <w:jc w:val="right"/>
              <w:rPr>
                <w:rFonts w:hint="eastAsia" w:ascii="仿宋" w:hAnsi="仿宋" w:eastAsia="仿宋" w:cs="仿宋"/>
              </w:rPr>
            </w:pPr>
          </w:p>
        </w:tc>
        <w:tc>
          <w:tcPr>
            <w:tcW w:w="1018" w:type="dxa"/>
            <w:noWrap w:val="0"/>
            <w:vAlign w:val="center"/>
          </w:tcPr>
          <w:p>
            <w:pPr>
              <w:spacing w:line="300" w:lineRule="exact"/>
              <w:jc w:val="left"/>
              <w:rPr>
                <w:rFonts w:hint="eastAsia" w:ascii="仿宋" w:hAnsi="仿宋" w:eastAsia="仿宋" w:cs="仿宋"/>
              </w:rPr>
            </w:pPr>
          </w:p>
        </w:tc>
        <w:tc>
          <w:tcPr>
            <w:tcW w:w="1112" w:type="dxa"/>
            <w:noWrap w:val="0"/>
            <w:vAlign w:val="center"/>
          </w:tcPr>
          <w:p>
            <w:pPr>
              <w:spacing w:line="300" w:lineRule="exact"/>
              <w:jc w:val="left"/>
              <w:rPr>
                <w:rFonts w:hint="eastAsia" w:ascii="仿宋" w:hAnsi="仿宋" w:eastAsia="仿宋" w:cs="仿宋"/>
              </w:rPr>
            </w:pPr>
          </w:p>
        </w:tc>
        <w:tc>
          <w:tcPr>
            <w:tcW w:w="1017" w:type="dxa"/>
            <w:noWrap w:val="0"/>
            <w:vAlign w:val="center"/>
          </w:tcPr>
          <w:p>
            <w:pPr>
              <w:spacing w:line="300" w:lineRule="exact"/>
              <w:jc w:val="left"/>
              <w:rPr>
                <w:rFonts w:hint="eastAsia" w:ascii="仿宋" w:hAnsi="仿宋" w:eastAsia="仿宋" w:cs="仿宋"/>
              </w:rPr>
            </w:pPr>
          </w:p>
        </w:tc>
        <w:tc>
          <w:tcPr>
            <w:tcW w:w="615" w:type="dxa"/>
            <w:noWrap w:val="0"/>
            <w:vAlign w:val="center"/>
          </w:tcPr>
          <w:p>
            <w:pPr>
              <w:spacing w:line="300" w:lineRule="exact"/>
              <w:jc w:val="right"/>
              <w:rPr>
                <w:rFonts w:hint="eastAsia" w:ascii="仿宋" w:hAnsi="仿宋" w:eastAsia="仿宋" w:cs="仿宋"/>
              </w:rPr>
            </w:pPr>
          </w:p>
        </w:tc>
        <w:tc>
          <w:tcPr>
            <w:tcW w:w="1047" w:type="dxa"/>
            <w:noWrap w:val="0"/>
            <w:vAlign w:val="center"/>
          </w:tcPr>
          <w:p>
            <w:pPr>
              <w:spacing w:line="300" w:lineRule="exact"/>
              <w:jc w:val="right"/>
              <w:rPr>
                <w:rFonts w:hint="eastAsia" w:ascii="仿宋" w:hAnsi="仿宋" w:eastAsia="仿宋" w:cs="仿宋"/>
              </w:rPr>
            </w:pPr>
          </w:p>
        </w:tc>
        <w:tc>
          <w:tcPr>
            <w:tcW w:w="898"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bl>
    <w:p>
      <w:pPr>
        <w:jc w:val="left"/>
        <w:rPr>
          <w:rFonts w:hint="eastAsia" w:ascii="仿宋_GB2312" w:eastAsia="仿宋_GB2312"/>
          <w:sz w:val="32"/>
          <w:szCs w:val="32"/>
        </w:rPr>
      </w:pPr>
      <w:r>
        <w:rPr>
          <w:rFonts w:hint="eastAsia" w:ascii="仿宋_GB2312" w:eastAsia="仿宋_GB2312"/>
          <w:sz w:val="32"/>
          <w:szCs w:val="32"/>
        </w:rPr>
        <w:t>无此项公开内容，空表列示。</w:t>
      </w:r>
    </w:p>
    <w:p>
      <w:pPr>
        <w:jc w:val="left"/>
        <w:rPr>
          <w:rFonts w:hint="eastAsia" w:ascii="黑体" w:hAnsi="黑体" w:eastAsia="黑体"/>
          <w:color w:val="000000"/>
          <w:sz w:val="32"/>
        </w:rPr>
      </w:pPr>
    </w:p>
    <w:p>
      <w:pPr>
        <w:jc w:val="left"/>
        <w:rPr>
          <w:rFonts w:hint="eastAsia" w:ascii="黑体" w:hAnsi="黑体" w:eastAsia="黑体"/>
          <w:color w:val="000000"/>
          <w:sz w:val="32"/>
        </w:rPr>
      </w:pPr>
      <w:r>
        <w:rPr>
          <w:rFonts w:hint="eastAsia" w:ascii="黑体" w:hAnsi="黑体" w:eastAsia="黑体"/>
          <w:color w:val="000000"/>
          <w:sz w:val="32"/>
        </w:rPr>
        <w:t xml:space="preserve">    </w:t>
      </w:r>
    </w:p>
    <w:p>
      <w:pPr>
        <w:jc w:val="left"/>
        <w:rPr>
          <w:rFonts w:hint="eastAsia" w:ascii="黑体" w:hAnsi="黑体" w:eastAsia="黑体"/>
          <w:color w:val="000000"/>
          <w:sz w:val="32"/>
        </w:rPr>
      </w:pPr>
    </w:p>
    <w:p>
      <w:pPr>
        <w:jc w:val="left"/>
        <w:rPr>
          <w:rFonts w:hint="eastAsia" w:ascii="黑体" w:hAnsi="黑体" w:eastAsia="黑体"/>
          <w:color w:val="000000"/>
          <w:sz w:val="32"/>
        </w:rPr>
      </w:pPr>
    </w:p>
    <w:p>
      <w:pPr>
        <w:jc w:val="left"/>
        <w:rPr>
          <w:rFonts w:hint="eastAsia" w:ascii="黑体" w:hAnsi="黑体" w:eastAsia="黑体"/>
          <w:color w:val="000000"/>
          <w:sz w:val="32"/>
        </w:rPr>
      </w:pPr>
    </w:p>
    <w:p>
      <w:pPr>
        <w:jc w:val="left"/>
        <w:rPr>
          <w:rFonts w:hint="eastAsia" w:ascii="黑体" w:hAnsi="黑体" w:eastAsia="黑体"/>
          <w:color w:val="000000"/>
          <w:sz w:val="32"/>
        </w:rPr>
      </w:pPr>
    </w:p>
    <w:p>
      <w:pPr>
        <w:ind w:firstLine="640"/>
        <w:jc w:val="left"/>
        <w:rPr>
          <w:rFonts w:ascii="黑体" w:hAnsi="黑体" w:eastAsia="黑体"/>
          <w:color w:val="000000"/>
          <w:sz w:val="32"/>
        </w:rPr>
      </w:pPr>
      <w:r>
        <w:rPr>
          <w:rFonts w:ascii="黑体" w:hAnsi="黑体" w:eastAsia="黑体"/>
          <w:color w:val="000000"/>
          <w:sz w:val="32"/>
        </w:rPr>
        <w:t>七、国有资产信息</w:t>
      </w:r>
    </w:p>
    <w:p>
      <w:pPr>
        <w:widowControl w:val="0"/>
        <w:spacing w:after="156" w:line="360" w:lineRule="auto"/>
        <w:ind w:firstLine="640"/>
        <w:rPr>
          <w:rFonts w:hint="eastAsia" w:ascii="仿宋_GB2312" w:eastAsia="仿宋_GB2312"/>
          <w:color w:val="FF0000"/>
          <w:sz w:val="32"/>
          <w:szCs w:val="32"/>
        </w:rPr>
      </w:pPr>
      <w:r>
        <w:rPr>
          <w:rFonts w:hint="eastAsia" w:ascii="仿宋_GB2312" w:eastAsia="仿宋_GB2312"/>
          <w:sz w:val="32"/>
          <w:szCs w:val="32"/>
        </w:rPr>
        <w:t>截至上年末，我单位固定资产总额275.73万元，本年度无新增固定资产预算。</w:t>
      </w:r>
    </w:p>
    <w:tbl>
      <w:tblPr>
        <w:tblStyle w:val="28"/>
        <w:tblW w:w="13482" w:type="dxa"/>
        <w:tblInd w:w="-15"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pPr>
              <w:jc w:val="center"/>
              <w:rPr>
                <w:rFonts w:ascii="仿宋_GB2312" w:eastAsia="仿宋_GB2312"/>
                <w:sz w:val="32"/>
                <w:szCs w:val="32"/>
              </w:rPr>
            </w:pPr>
            <w:r>
              <w:rPr>
                <w:rFonts w:hint="eastAsia" w:ascii="仿宋_GB2312" w:eastAsia="仿宋_GB2312"/>
                <w:sz w:val="32"/>
                <w:szCs w:val="32"/>
              </w:rPr>
              <w:t>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pPr>
              <w:jc w:val="left"/>
              <w:rPr>
                <w:rFonts w:ascii="宋体" w:hAnsi="宋体" w:cs="宋体"/>
                <w:sz w:val="22"/>
              </w:rPr>
            </w:pPr>
            <w:r>
              <w:rPr>
                <w:rFonts w:hint="eastAsia" w:ascii="宋体" w:hAnsi="宋体" w:cs="宋体"/>
                <w:sz w:val="22"/>
              </w:rPr>
              <w:t>编制部门：</w:t>
            </w:r>
            <w:r>
              <w:t>203001组织部门中共秦皇岛市山海关区委组织部本级</w:t>
            </w:r>
          </w:p>
        </w:tc>
        <w:tc>
          <w:tcPr>
            <w:tcW w:w="5103" w:type="dxa"/>
            <w:tcBorders>
              <w:top w:val="nil"/>
              <w:left w:val="nil"/>
              <w:bottom w:val="nil"/>
              <w:right w:val="nil"/>
            </w:tcBorders>
            <w:noWrap w:val="0"/>
            <w:vAlign w:val="center"/>
          </w:tcPr>
          <w:p>
            <w:pPr>
              <w:ind w:firstLine="1760"/>
              <w:jc w:val="left"/>
              <w:rPr>
                <w:rFonts w:ascii="宋体" w:hAnsi="宋体" w:cs="宋体"/>
                <w:sz w:val="22"/>
              </w:rPr>
            </w:pPr>
            <w:r>
              <w:rPr>
                <w:rFonts w:hint="eastAsia" w:ascii="宋体" w:hAnsi="宋体" w:cs="宋体"/>
                <w:sz w:val="22"/>
              </w:rPr>
              <w:t xml:space="preserve">截止时间：2018年12月31日  </w:t>
            </w:r>
          </w:p>
        </w:tc>
      </w:tr>
      <w:tr>
        <w:tblPrEx>
          <w:tblCellMar>
            <w:top w:w="0" w:type="dxa"/>
            <w:left w:w="108" w:type="dxa"/>
            <w:bottom w:w="0" w:type="dxa"/>
            <w:right w:w="108" w:type="dxa"/>
          </w:tblCellMar>
        </w:tblPrEx>
        <w:trPr>
          <w:trHeight w:val="645" w:hRule="atLeast"/>
        </w:trPr>
        <w:tc>
          <w:tcPr>
            <w:tcW w:w="52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sz w:val="22"/>
              </w:rPr>
            </w:pPr>
            <w:r>
              <w:rPr>
                <w:rFonts w:hint="eastAsia" w:ascii="宋体" w:hAnsi="宋体" w:cs="宋体"/>
                <w:b/>
                <w:bCs/>
                <w:sz w:val="22"/>
              </w:rPr>
              <w:t>项   目</w:t>
            </w:r>
          </w:p>
        </w:tc>
        <w:tc>
          <w:tcPr>
            <w:tcW w:w="3155" w:type="dxa"/>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b/>
                <w:bCs/>
                <w:sz w:val="22"/>
              </w:rPr>
            </w:pPr>
            <w:r>
              <w:rPr>
                <w:rFonts w:hint="eastAsia" w:ascii="宋体" w:hAnsi="宋体" w:cs="宋体"/>
                <w:b/>
                <w:bCs/>
                <w:sz w:val="22"/>
              </w:rPr>
              <w:t>数量</w:t>
            </w:r>
          </w:p>
        </w:tc>
        <w:tc>
          <w:tcPr>
            <w:tcW w:w="5103" w:type="dxa"/>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b/>
                <w:bCs/>
                <w:sz w:val="22"/>
              </w:rPr>
            </w:pPr>
            <w:r>
              <w:rPr>
                <w:rFonts w:hint="eastAsia" w:ascii="宋体" w:hAnsi="宋体" w:cs="宋体"/>
                <w:b/>
                <w:bCs/>
                <w:sz w:val="22"/>
              </w:rPr>
              <w:t>价值（金额单位：万元）</w:t>
            </w:r>
          </w:p>
        </w:tc>
      </w:tr>
      <w:tr>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sz w:val="22"/>
              </w:rPr>
            </w:pPr>
            <w:r>
              <w:rPr>
                <w:rFonts w:hint="eastAsia" w:ascii="宋体" w:hAnsi="宋体" w:cs="宋体"/>
                <w:sz w:val="22"/>
              </w:rPr>
              <w:t>资产总额</w:t>
            </w:r>
          </w:p>
        </w:tc>
        <w:tc>
          <w:tcPr>
            <w:tcW w:w="3155" w:type="dxa"/>
            <w:tcBorders>
              <w:top w:val="nil"/>
              <w:left w:val="nil"/>
              <w:bottom w:val="single" w:color="000000" w:sz="4" w:space="0"/>
              <w:right w:val="single" w:color="000000" w:sz="4" w:space="0"/>
            </w:tcBorders>
            <w:noWrap w:val="0"/>
            <w:vAlign w:val="center"/>
          </w:tcPr>
          <w:p>
            <w:pPr>
              <w:jc w:val="center"/>
              <w:rPr>
                <w:rFonts w:ascii="宋体" w:hAnsi="宋体" w:cs="宋体"/>
                <w:sz w:val="22"/>
              </w:rPr>
            </w:pPr>
          </w:p>
        </w:tc>
        <w:tc>
          <w:tcPr>
            <w:tcW w:w="5103" w:type="dxa"/>
            <w:tcBorders>
              <w:top w:val="nil"/>
              <w:left w:val="nil"/>
              <w:bottom w:val="single" w:color="000000" w:sz="4" w:space="0"/>
              <w:right w:val="single" w:color="000000" w:sz="4" w:space="0"/>
            </w:tcBorders>
            <w:noWrap w:val="0"/>
            <w:vAlign w:val="center"/>
          </w:tcPr>
          <w:p>
            <w:pPr>
              <w:jc w:val="center"/>
              <w:rPr>
                <w:rFonts w:ascii="宋体" w:hAnsi="宋体" w:cs="宋体"/>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sz w:val="22"/>
              </w:rPr>
            </w:pPr>
            <w:r>
              <w:rPr>
                <w:rFonts w:hint="eastAsia" w:ascii="宋体" w:hAnsi="宋体" w:cs="宋体"/>
                <w:sz w:val="22"/>
              </w:rPr>
              <w:t>1、房屋（平方米）</w:t>
            </w:r>
          </w:p>
        </w:tc>
        <w:tc>
          <w:tcPr>
            <w:tcW w:w="3155" w:type="dxa"/>
            <w:tcBorders>
              <w:top w:val="nil"/>
              <w:left w:val="nil"/>
              <w:bottom w:val="single" w:color="000000" w:sz="4" w:space="0"/>
              <w:right w:val="single" w:color="000000" w:sz="4" w:space="0"/>
            </w:tcBorders>
            <w:noWrap w:val="0"/>
            <w:vAlign w:val="center"/>
          </w:tcPr>
          <w:p>
            <w:pPr>
              <w:jc w:val="center"/>
              <w:rPr>
                <w:rFonts w:ascii="宋体" w:hAnsi="宋体" w:cs="宋体"/>
                <w:sz w:val="22"/>
              </w:rPr>
            </w:pPr>
            <w:r>
              <w:rPr>
                <w:rFonts w:ascii="宋体" w:hAnsi="宋体" w:cs="宋体"/>
                <w:sz w:val="22"/>
              </w:rPr>
              <w:t>2</w:t>
            </w:r>
          </w:p>
        </w:tc>
        <w:tc>
          <w:tcPr>
            <w:tcW w:w="5103" w:type="dxa"/>
            <w:tcBorders>
              <w:top w:val="nil"/>
              <w:left w:val="nil"/>
              <w:bottom w:val="single" w:color="000000" w:sz="4" w:space="0"/>
              <w:right w:val="single" w:color="000000" w:sz="4" w:space="0"/>
            </w:tcBorders>
            <w:noWrap w:val="0"/>
            <w:vAlign w:val="center"/>
          </w:tcPr>
          <w:p>
            <w:pPr>
              <w:jc w:val="center"/>
              <w:rPr>
                <w:rFonts w:ascii="宋体" w:hAnsi="宋体" w:cs="宋体"/>
                <w:sz w:val="22"/>
              </w:rPr>
            </w:pPr>
            <w:r>
              <w:rPr>
                <w:rFonts w:ascii="宋体" w:hAnsi="宋体" w:cs="宋体"/>
                <w:sz w:val="22"/>
              </w:rPr>
              <w:t>83</w:t>
            </w:r>
          </w:p>
        </w:tc>
      </w:tr>
      <w:tr>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sz w:val="22"/>
              </w:rPr>
            </w:pPr>
            <w:r>
              <w:rPr>
                <w:rFonts w:hint="eastAsia" w:ascii="宋体" w:hAnsi="宋体" w:cs="宋体"/>
                <w:sz w:val="22"/>
              </w:rPr>
              <w:t>2、车辆（台、辆）</w:t>
            </w:r>
          </w:p>
        </w:tc>
        <w:tc>
          <w:tcPr>
            <w:tcW w:w="3155" w:type="dxa"/>
            <w:tcBorders>
              <w:top w:val="nil"/>
              <w:left w:val="nil"/>
              <w:bottom w:val="single" w:color="000000" w:sz="4" w:space="0"/>
              <w:right w:val="single" w:color="000000" w:sz="4" w:space="0"/>
            </w:tcBorders>
            <w:noWrap w:val="0"/>
            <w:vAlign w:val="center"/>
          </w:tcPr>
          <w:p>
            <w:pPr>
              <w:jc w:val="center"/>
              <w:rPr>
                <w:rFonts w:ascii="宋体" w:hAnsi="宋体" w:cs="宋体"/>
                <w:sz w:val="22"/>
              </w:rPr>
            </w:pPr>
            <w:r>
              <w:rPr>
                <w:rFonts w:ascii="宋体" w:hAnsi="宋体" w:cs="宋体"/>
                <w:sz w:val="22"/>
              </w:rPr>
              <w:t>3</w:t>
            </w:r>
          </w:p>
        </w:tc>
        <w:tc>
          <w:tcPr>
            <w:tcW w:w="5103" w:type="dxa"/>
            <w:tcBorders>
              <w:top w:val="nil"/>
              <w:left w:val="nil"/>
              <w:bottom w:val="single" w:color="000000" w:sz="4" w:space="0"/>
              <w:right w:val="single" w:color="000000" w:sz="4" w:space="0"/>
            </w:tcBorders>
            <w:noWrap w:val="0"/>
            <w:vAlign w:val="center"/>
          </w:tcPr>
          <w:p>
            <w:pPr>
              <w:jc w:val="center"/>
              <w:rPr>
                <w:rFonts w:ascii="宋体" w:hAnsi="宋体" w:cs="宋体"/>
                <w:sz w:val="22"/>
              </w:rPr>
            </w:pPr>
            <w:r>
              <w:rPr>
                <w:rFonts w:ascii="宋体" w:hAnsi="宋体" w:cs="宋体"/>
                <w:sz w:val="22"/>
              </w:rPr>
              <w:t>60.51</w:t>
            </w:r>
          </w:p>
        </w:tc>
      </w:tr>
      <w:tr>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sz w:val="22"/>
              </w:rPr>
            </w:pPr>
            <w:r>
              <w:rPr>
                <w:rFonts w:hint="eastAsia" w:ascii="宋体" w:hAnsi="宋体" w:cs="宋体"/>
                <w:sz w:val="22"/>
              </w:rPr>
              <w:t>3、单价在20万元以上设备</w:t>
            </w:r>
          </w:p>
        </w:tc>
        <w:tc>
          <w:tcPr>
            <w:tcW w:w="3155" w:type="dxa"/>
            <w:tcBorders>
              <w:top w:val="nil"/>
              <w:left w:val="nil"/>
              <w:bottom w:val="single" w:color="000000" w:sz="4" w:space="0"/>
              <w:right w:val="single" w:color="000000" w:sz="4" w:space="0"/>
            </w:tcBorders>
            <w:noWrap w:val="0"/>
            <w:vAlign w:val="center"/>
          </w:tcPr>
          <w:p>
            <w:pPr>
              <w:jc w:val="center"/>
              <w:rPr>
                <w:rFonts w:ascii="宋体" w:hAnsi="宋体" w:cs="宋体"/>
                <w:sz w:val="22"/>
              </w:rPr>
            </w:pPr>
          </w:p>
        </w:tc>
        <w:tc>
          <w:tcPr>
            <w:tcW w:w="5103" w:type="dxa"/>
            <w:tcBorders>
              <w:top w:val="nil"/>
              <w:left w:val="nil"/>
              <w:bottom w:val="single" w:color="000000" w:sz="4" w:space="0"/>
              <w:right w:val="single" w:color="000000" w:sz="4" w:space="0"/>
            </w:tcBorders>
            <w:noWrap w:val="0"/>
            <w:vAlign w:val="center"/>
          </w:tcPr>
          <w:p>
            <w:pPr>
              <w:jc w:val="center"/>
              <w:rPr>
                <w:rFonts w:ascii="宋体" w:hAnsi="宋体" w:cs="宋体"/>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sz w:val="22"/>
              </w:rPr>
            </w:pPr>
            <w:r>
              <w:rPr>
                <w:rFonts w:hint="eastAsia" w:ascii="宋体" w:hAnsi="宋体" w:cs="宋体"/>
                <w:sz w:val="22"/>
              </w:rPr>
              <w:t>4、</w:t>
            </w:r>
            <w:r>
              <w:rPr>
                <w:rFonts w:ascii="宋体" w:hAnsi="宋体" w:cs="宋体"/>
                <w:sz w:val="22"/>
              </w:rPr>
              <w:t>……………</w:t>
            </w:r>
          </w:p>
        </w:tc>
        <w:tc>
          <w:tcPr>
            <w:tcW w:w="3155" w:type="dxa"/>
            <w:tcBorders>
              <w:top w:val="nil"/>
              <w:left w:val="nil"/>
              <w:bottom w:val="single" w:color="000000" w:sz="4" w:space="0"/>
              <w:right w:val="single" w:color="000000" w:sz="4" w:space="0"/>
            </w:tcBorders>
            <w:noWrap w:val="0"/>
            <w:vAlign w:val="center"/>
          </w:tcPr>
          <w:p>
            <w:pPr>
              <w:jc w:val="center"/>
              <w:rPr>
                <w:rFonts w:ascii="宋体" w:hAnsi="宋体" w:cs="宋体"/>
                <w:sz w:val="22"/>
              </w:rPr>
            </w:pPr>
          </w:p>
        </w:tc>
        <w:tc>
          <w:tcPr>
            <w:tcW w:w="5103" w:type="dxa"/>
            <w:tcBorders>
              <w:top w:val="nil"/>
              <w:left w:val="nil"/>
              <w:bottom w:val="single" w:color="000000" w:sz="4" w:space="0"/>
              <w:right w:val="single" w:color="000000" w:sz="4" w:space="0"/>
            </w:tcBorders>
            <w:noWrap w:val="0"/>
            <w:vAlign w:val="center"/>
          </w:tcPr>
          <w:p>
            <w:pPr>
              <w:jc w:val="center"/>
              <w:rPr>
                <w:rFonts w:ascii="宋体" w:hAnsi="宋体" w:cs="宋体"/>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000000" w:sz="4" w:space="0"/>
              <w:bottom w:val="single" w:color="000000" w:sz="4" w:space="0"/>
              <w:right w:val="single" w:color="000000" w:sz="4" w:space="0"/>
            </w:tcBorders>
            <w:noWrap w:val="0"/>
            <w:vAlign w:val="center"/>
          </w:tcPr>
          <w:p>
            <w:pPr>
              <w:jc w:val="left"/>
              <w:rPr>
                <w:rFonts w:ascii="宋体" w:hAnsi="宋体" w:cs="宋体"/>
                <w:sz w:val="22"/>
              </w:rPr>
            </w:pPr>
            <w:r>
              <w:rPr>
                <w:rFonts w:hint="eastAsia" w:ascii="宋体" w:hAnsi="宋体" w:cs="宋体"/>
                <w:sz w:val="22"/>
              </w:rPr>
              <w:t>5、其他固定资产</w:t>
            </w:r>
          </w:p>
        </w:tc>
        <w:tc>
          <w:tcPr>
            <w:tcW w:w="3155" w:type="dxa"/>
            <w:tcBorders>
              <w:top w:val="nil"/>
              <w:left w:val="nil"/>
              <w:bottom w:val="single" w:color="000000" w:sz="4" w:space="0"/>
              <w:right w:val="single" w:color="000000" w:sz="4" w:space="0"/>
            </w:tcBorders>
            <w:noWrap w:val="0"/>
            <w:vAlign w:val="center"/>
          </w:tcPr>
          <w:p>
            <w:pPr>
              <w:jc w:val="center"/>
              <w:rPr>
                <w:rFonts w:ascii="宋体" w:hAnsi="宋体" w:cs="宋体"/>
                <w:sz w:val="22"/>
              </w:rPr>
            </w:pPr>
            <w:r>
              <w:rPr>
                <w:rFonts w:ascii="宋体" w:hAnsi="宋体" w:cs="宋体"/>
                <w:sz w:val="22"/>
              </w:rPr>
              <w:t>1311</w:t>
            </w:r>
          </w:p>
        </w:tc>
        <w:tc>
          <w:tcPr>
            <w:tcW w:w="5103" w:type="dxa"/>
            <w:tcBorders>
              <w:top w:val="nil"/>
              <w:left w:val="nil"/>
              <w:bottom w:val="single" w:color="000000" w:sz="4" w:space="0"/>
              <w:right w:val="single" w:color="000000" w:sz="4" w:space="0"/>
            </w:tcBorders>
            <w:noWrap w:val="0"/>
            <w:vAlign w:val="center"/>
          </w:tcPr>
          <w:p>
            <w:pPr>
              <w:jc w:val="center"/>
              <w:rPr>
                <w:rFonts w:ascii="宋体" w:hAnsi="宋体" w:cs="宋体"/>
                <w:sz w:val="22"/>
              </w:rPr>
            </w:pPr>
            <w:r>
              <w:rPr>
                <w:rFonts w:ascii="宋体" w:hAnsi="宋体" w:cs="宋体"/>
                <w:sz w:val="22"/>
              </w:rPr>
              <w:t>132.22</w:t>
            </w:r>
          </w:p>
        </w:tc>
      </w:tr>
    </w:tbl>
    <w:p>
      <w:pPr>
        <w:ind w:firstLine="640"/>
        <w:jc w:val="left"/>
        <w:rPr>
          <w:rFonts w:hint="eastAsia" w:ascii="黑体" w:hAnsi="黑体" w:eastAsia="黑体"/>
          <w:color w:val="000000"/>
          <w:sz w:val="32"/>
        </w:rPr>
      </w:pPr>
      <w:r>
        <w:rPr>
          <w:rFonts w:hint="eastAsia" w:ascii="仿宋_GB2312" w:eastAsia="仿宋_GB2312"/>
          <w:sz w:val="32"/>
          <w:szCs w:val="32"/>
        </w:rPr>
        <w:t>无此项公开内容，空表列示。</w:t>
      </w:r>
      <w:r>
        <w:rPr>
          <w:rFonts w:hint="eastAsia" w:ascii="黑体" w:hAnsi="黑体" w:eastAsia="黑体"/>
          <w:color w:val="000000"/>
          <w:sz w:val="32"/>
        </w:rPr>
        <w:t xml:space="preserve">    </w:t>
      </w:r>
    </w:p>
    <w:p>
      <w:pPr>
        <w:jc w:val="left"/>
        <w:rPr>
          <w:rFonts w:hint="eastAsia" w:ascii="黑体" w:hAnsi="黑体" w:eastAsia="黑体"/>
          <w:color w:val="000000"/>
          <w:sz w:val="32"/>
        </w:rPr>
      </w:pPr>
    </w:p>
    <w:p>
      <w:pPr>
        <w:jc w:val="left"/>
        <w:rPr>
          <w:rFonts w:hint="eastAsia" w:ascii="黑体" w:hAnsi="黑体" w:eastAsia="黑体"/>
          <w:color w:val="000000"/>
          <w:sz w:val="32"/>
        </w:rPr>
      </w:pPr>
    </w:p>
    <w:p>
      <w:pPr>
        <w:ind w:firstLine="640"/>
        <w:jc w:val="left"/>
        <w:rPr>
          <w:rFonts w:ascii="黑体" w:hAnsi="黑体" w:eastAsia="黑体"/>
          <w:color w:val="000000"/>
          <w:sz w:val="32"/>
        </w:rPr>
      </w:pPr>
      <w:r>
        <w:rPr>
          <w:rFonts w:ascii="黑体" w:hAnsi="黑体" w:eastAsia="黑体"/>
          <w:color w:val="000000"/>
          <w:sz w:val="32"/>
        </w:rPr>
        <w:t>八、名词解释</w:t>
      </w:r>
    </w:p>
    <w:p>
      <w:pPr>
        <w:rPr>
          <w:rFonts w:hint="eastAsia" w:ascii="仿宋_GB2312" w:eastAsia="仿宋_GB2312"/>
          <w:sz w:val="32"/>
          <w:szCs w:val="32"/>
        </w:rPr>
      </w:pPr>
      <w:r>
        <w:rPr>
          <w:rFonts w:hint="eastAsia" w:ascii="Times New Roman" w:hAnsi="Times New Roman"/>
          <w:b/>
          <w:color w:val="000000"/>
          <w:sz w:val="32"/>
        </w:rPr>
        <w:t xml:space="preserve">   </w:t>
      </w:r>
      <w:r>
        <w:rPr>
          <w:rFonts w:hint="eastAsia" w:ascii="仿宋" w:hAnsi="仿宋" w:eastAsia="仿宋" w:cs="仿宋"/>
          <w:b/>
          <w:color w:val="000000"/>
          <w:sz w:val="32"/>
        </w:rPr>
        <w:t xml:space="preserve"> </w:t>
      </w:r>
      <w:r>
        <w:rPr>
          <w:rFonts w:hint="eastAsia" w:ascii="仿宋_GB2312" w:eastAsia="仿宋_GB2312"/>
          <w:sz w:val="32"/>
          <w:szCs w:val="32"/>
        </w:rPr>
        <w:t>1、一般共预算拨款收入：指</w:t>
      </w:r>
      <w:r>
        <w:rPr>
          <w:rFonts w:hint="eastAsia" w:ascii="仿宋_GB2312" w:eastAsia="仿宋_GB2312"/>
          <w:sz w:val="32"/>
          <w:szCs w:val="32"/>
          <w:lang w:eastAsia="zh-CN"/>
        </w:rPr>
        <w:t>区</w:t>
      </w:r>
      <w:r>
        <w:rPr>
          <w:rFonts w:hint="eastAsia" w:ascii="仿宋_GB2312" w:eastAsia="仿宋_GB2312"/>
          <w:sz w:val="32"/>
          <w:szCs w:val="32"/>
        </w:rPr>
        <w:t>级财政当年拨付的资金。</w:t>
      </w:r>
    </w:p>
    <w:p>
      <w:pPr>
        <w:jc w:val="left"/>
        <w:rPr>
          <w:rFonts w:hint="eastAsia" w:ascii="仿宋_GB2312" w:eastAsia="仿宋_GB2312"/>
          <w:sz w:val="32"/>
          <w:szCs w:val="32"/>
        </w:rPr>
      </w:pPr>
      <w:r>
        <w:rPr>
          <w:rFonts w:hint="eastAsia" w:ascii="仿宋_GB2312" w:eastAsia="仿宋_GB2312"/>
          <w:sz w:val="32"/>
          <w:szCs w:val="32"/>
        </w:rPr>
        <w:t xml:space="preserve">    2、事业收入：指事业单位开展专业业务活动及辅助活动所取得的收入。</w:t>
      </w:r>
    </w:p>
    <w:p>
      <w:pPr>
        <w:jc w:val="left"/>
        <w:rPr>
          <w:rFonts w:hint="eastAsia" w:ascii="仿宋_GB2312" w:eastAsia="仿宋_GB2312"/>
          <w:sz w:val="32"/>
          <w:szCs w:val="32"/>
        </w:rPr>
      </w:pPr>
      <w:r>
        <w:rPr>
          <w:rFonts w:hint="eastAsia" w:ascii="仿宋_GB2312" w:eastAsia="仿宋_GB2312"/>
          <w:sz w:val="32"/>
          <w:szCs w:val="32"/>
        </w:rPr>
        <w:t xml:space="preserve">    3、其他收入：指除上述“财政拨款收入”、“事业收入”等以外的收入。主要是按规定动用的租房收入、存款利息收入等。</w:t>
      </w:r>
    </w:p>
    <w:p>
      <w:pPr>
        <w:jc w:val="left"/>
        <w:rPr>
          <w:rFonts w:hint="eastAsia" w:ascii="仿宋_GB2312" w:eastAsia="仿宋_GB2312"/>
          <w:sz w:val="32"/>
          <w:szCs w:val="32"/>
        </w:rPr>
      </w:pPr>
      <w:r>
        <w:rPr>
          <w:rFonts w:hint="eastAsia" w:ascii="仿宋_GB2312" w:eastAsia="仿宋_GB2312"/>
          <w:sz w:val="32"/>
          <w:szCs w:val="32"/>
        </w:rPr>
        <w:t xml:space="preserve">    4、基本支出：指为保障机构正常运转、完成日常工作任务而发生的人员支出和公用支出。</w:t>
      </w:r>
    </w:p>
    <w:p>
      <w:pPr>
        <w:jc w:val="left"/>
        <w:rPr>
          <w:rFonts w:hint="eastAsia" w:ascii="仿宋_GB2312" w:eastAsia="仿宋_GB2312"/>
          <w:sz w:val="32"/>
          <w:szCs w:val="32"/>
        </w:rPr>
      </w:pPr>
      <w:r>
        <w:rPr>
          <w:rFonts w:hint="eastAsia" w:ascii="仿宋_GB2312" w:eastAsia="仿宋_GB2312"/>
          <w:sz w:val="32"/>
          <w:szCs w:val="32"/>
        </w:rPr>
        <w:t xml:space="preserve">    5、项目支出：指在基本支出之外为完成特定行政任务和事业发展目标所发生的支出。</w:t>
      </w:r>
    </w:p>
    <w:p>
      <w:pPr>
        <w:jc w:val="left"/>
        <w:rPr>
          <w:rFonts w:hint="eastAsia" w:ascii="仿宋_GB2312" w:eastAsia="仿宋_GB2312"/>
          <w:sz w:val="32"/>
          <w:szCs w:val="32"/>
        </w:rPr>
      </w:pPr>
      <w:r>
        <w:rPr>
          <w:rFonts w:hint="eastAsia" w:ascii="仿宋_GB2312" w:eastAsia="仿宋_GB2312"/>
          <w:sz w:val="32"/>
          <w:szCs w:val="32"/>
        </w:rPr>
        <w:t xml:space="preserve">    6、“三公”经费：纳入</w:t>
      </w:r>
      <w:r>
        <w:rPr>
          <w:rFonts w:hint="eastAsia" w:ascii="仿宋_GB2312" w:eastAsia="仿宋_GB2312"/>
          <w:sz w:val="32"/>
          <w:szCs w:val="32"/>
          <w:lang w:eastAsia="zh-CN"/>
        </w:rPr>
        <w:t>区</w:t>
      </w:r>
      <w:r>
        <w:rPr>
          <w:rFonts w:hint="eastAsia" w:ascii="仿宋_GB2312" w:eastAsia="仿宋_GB2312"/>
          <w:sz w:val="32"/>
          <w:szCs w:val="32"/>
        </w:rPr>
        <w:t>级财政预算管理的“三公”经费，是指</w:t>
      </w:r>
      <w:r>
        <w:rPr>
          <w:rFonts w:hint="eastAsia" w:ascii="仿宋_GB2312" w:eastAsia="仿宋_GB2312"/>
          <w:sz w:val="32"/>
          <w:szCs w:val="32"/>
          <w:lang w:eastAsia="zh-CN"/>
        </w:rPr>
        <w:t>区</w:t>
      </w:r>
      <w:r>
        <w:rPr>
          <w:rFonts w:hint="eastAsia" w:ascii="仿宋_GB2312" w:eastAsia="仿宋_GB2312"/>
          <w:sz w:val="32"/>
          <w:szCs w:val="32"/>
        </w:rPr>
        <w:t>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2"/>
        <w:rPr>
          <w:rFonts w:hint="eastAsia" w:ascii="仿宋_GB2312" w:eastAsia="仿宋_GB2312"/>
          <w:sz w:val="32"/>
          <w:szCs w:val="32"/>
        </w:rPr>
      </w:pPr>
      <w:r>
        <w:rPr>
          <w:rFonts w:hint="eastAsia" w:ascii="仿宋_GB2312" w:eastAsia="仿宋_GB2312"/>
          <w:sz w:val="32"/>
          <w:szCs w:val="32"/>
        </w:rPr>
        <w:t>7、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黑体" w:hAnsi="黑体" w:eastAsia="黑体"/>
          <w:color w:val="000000"/>
          <w:sz w:val="32"/>
        </w:rPr>
      </w:pPr>
      <w:r>
        <w:rPr>
          <w:rFonts w:hint="eastAsia" w:ascii="黑体" w:hAnsi="黑体" w:eastAsia="黑体"/>
          <w:color w:val="000000"/>
          <w:sz w:val="32"/>
        </w:rPr>
        <w:t xml:space="preserve">    九</w:t>
      </w:r>
      <w:r>
        <w:rPr>
          <w:rFonts w:ascii="黑体" w:hAnsi="黑体" w:eastAsia="黑体"/>
          <w:color w:val="000000"/>
          <w:sz w:val="32"/>
        </w:rPr>
        <w:t>、</w:t>
      </w:r>
      <w:r>
        <w:rPr>
          <w:rFonts w:hint="eastAsia" w:ascii="黑体" w:hAnsi="黑体" w:eastAsia="黑体"/>
          <w:color w:val="000000"/>
          <w:sz w:val="32"/>
        </w:rPr>
        <w:t>其他需要说明的事项</w:t>
      </w:r>
    </w:p>
    <w:p>
      <w:pPr>
        <w:ind w:firstLine="642"/>
        <w:rPr>
          <w:rFonts w:hint="eastAsia" w:ascii="仿宋_GB2312" w:eastAsia="仿宋_GB2312"/>
          <w:sz w:val="32"/>
          <w:szCs w:val="32"/>
        </w:rPr>
      </w:pPr>
      <w:r>
        <w:rPr>
          <w:rFonts w:hint="eastAsia" w:ascii="仿宋_GB2312" w:eastAsia="仿宋_GB2312"/>
          <w:sz w:val="32"/>
          <w:szCs w:val="32"/>
        </w:rPr>
        <w:t>无其他需要说明的事项。</w:t>
      </w:r>
    </w:p>
    <w:sectPr>
      <w:pgSz w:w="16838" w:h="12406"/>
      <w:pgMar w:top="1440" w:right="1800" w:bottom="1440" w:left="1800" w:header="720" w:footer="720" w:gutter="0"/>
      <w:lnNumType w:countBy="0"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20B0604020202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aiTi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OWJkZWJiZTU5ZjQ2NmM4ZjQ4MWMzZDM2ODNiM2IifQ=="/>
  </w:docVars>
  <w:rsids>
    <w:rsidRoot w:val="00000000"/>
    <w:rsid w:val="2ACC4DFB"/>
    <w:rsid w:val="2B7F2908"/>
    <w:rsid w:val="302F52C6"/>
    <w:rsid w:val="4C3E7A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semiHidden="0" w:name="toc 3"/>
    <w:lsdException w:qFormat="1" w:unhideWhenUsed="0" w:uiPriority="0" w:semiHidden="0" w:name="toc 4"/>
    <w:lsdException w:uiPriority="39" w:semiHidden="0" w:name="toc 5"/>
    <w:lsdException w:uiPriority="39" w:semiHidden="0" w:name="toc 6"/>
    <w:lsdException w:uiPriority="39" w:semiHidden="0" w:name="toc 7"/>
    <w:lsdException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2"/>
    <w:qFormat/>
    <w:uiPriority w:val="0"/>
    <w:pPr>
      <w:jc w:val="both"/>
    </w:pPr>
    <w:rPr>
      <w:rFonts w:hint="default" w:ascii="Calibri" w:hAnsi="Calibri" w:eastAsia="宋体" w:cs="Times New Roman"/>
      <w:sz w:val="21"/>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qFormat/>
    <w:uiPriority w:val="0"/>
    <w:pPr>
      <w:spacing w:before="120"/>
      <w:jc w:val="left"/>
    </w:pPr>
    <w:rPr>
      <w:rFonts w:ascii="Times New Roman" w:hAnsi="Times New Roman" w:eastAsia="方正仿宋_GBK"/>
      <w:color w:val="000000"/>
      <w:sz w:val="28"/>
      <w:szCs w:val="24"/>
      <w:lang w:eastAsia="uk-UA"/>
    </w:rPr>
  </w:style>
  <w:style w:type="paragraph" w:styleId="20">
    <w:name w:val="toc 4"/>
    <w:basedOn w:val="1"/>
    <w:next w:val="1"/>
    <w:qFormat/>
    <w:uiPriority w:val="0"/>
    <w:pPr>
      <w:ind w:left="720"/>
      <w:jc w:val="left"/>
    </w:pPr>
    <w:rPr>
      <w:rFonts w:ascii="Times New Roman" w:hAnsi="Times New Roman" w:eastAsia="Times New Roman"/>
      <w:sz w:val="24"/>
      <w:szCs w:val="24"/>
      <w:lang w:eastAsia="uk-UA"/>
    </w:r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qFormat/>
    <w:uiPriority w:val="0"/>
    <w:pPr>
      <w:ind w:left="240"/>
      <w:jc w:val="left"/>
    </w:pPr>
    <w:rPr>
      <w:rFonts w:ascii="Times New Roman" w:hAnsi="Times New Roman" w:eastAsia="Times New Roman"/>
      <w:sz w:val="24"/>
      <w:szCs w:val="24"/>
      <w:lang w:eastAsia="uk-UA"/>
    </w:r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qFormat/>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qFormat/>
    <w:uiPriority w:val="9"/>
    <w:rPr>
      <w:rFonts w:ascii="等线" w:hAnsi="等线" w:eastAsia="等线" w:cs="等线"/>
      <w:b/>
      <w:bCs/>
      <w:sz w:val="26"/>
      <w:szCs w:val="26"/>
    </w:rPr>
  </w:style>
  <w:style w:type="character" w:customStyle="1" w:styleId="38">
    <w:name w:val="Heading 5 Char"/>
    <w:link w:val="6"/>
    <w:qFormat/>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qFormat/>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Calibri" w:hAnsi="Calibri" w:eastAsia="宋体" w:cs="Times New Roman"/>
    </w:rPr>
  </w:style>
  <w:style w:type="character" w:customStyle="1" w:styleId="45">
    <w:name w:val="Title Char"/>
    <w:link w:val="27"/>
    <w:qFormat/>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09">
    <w:name w:val="List Table 1 Ligh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1 Light - Accent 3"/>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1 Light - Accent 6"/>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8">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Calibri" w:hAnsi="Calibri" w:eastAsia="宋体" w:cs="Times New Roman"/>
    </w:rPr>
  </w:style>
  <w:style w:type="character" w:customStyle="1" w:styleId="182">
    <w:name w:val="默认段落字体1"/>
    <w:link w:val="1"/>
    <w:uiPriority w:val="0"/>
  </w:style>
  <w:style w:type="table" w:customStyle="1" w:styleId="183">
    <w:name w:val="普通表格1"/>
    <w:semiHidden/>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4">
    <w:name w:val="页脚1"/>
    <w:basedOn w:val="1"/>
    <w:link w:val="185"/>
    <w:uiPriority w:val="99"/>
    <w:pPr>
      <w:tabs>
        <w:tab w:val="center" w:pos="4153"/>
        <w:tab w:val="right" w:pos="8306"/>
      </w:tabs>
      <w:jc w:val="left"/>
    </w:pPr>
    <w:rPr>
      <w:sz w:val="18"/>
      <w:szCs w:val="18"/>
    </w:rPr>
  </w:style>
  <w:style w:type="character" w:customStyle="1" w:styleId="185">
    <w:name w:val="页脚 Char"/>
    <w:basedOn w:val="182"/>
    <w:link w:val="184"/>
    <w:uiPriority w:val="99"/>
    <w:rPr>
      <w:sz w:val="18"/>
      <w:szCs w:val="18"/>
    </w:rPr>
  </w:style>
  <w:style w:type="paragraph" w:customStyle="1" w:styleId="186">
    <w:name w:val="页眉1"/>
    <w:basedOn w:val="1"/>
    <w:link w:val="187"/>
    <w:uiPriority w:val="99"/>
    <w:pPr>
      <w:pBdr>
        <w:bottom w:val="single" w:color="000000" w:sz="6" w:space="1"/>
      </w:pBdr>
      <w:tabs>
        <w:tab w:val="center" w:pos="4153"/>
        <w:tab w:val="right" w:pos="8306"/>
      </w:tabs>
      <w:jc w:val="center"/>
    </w:pPr>
    <w:rPr>
      <w:sz w:val="18"/>
      <w:szCs w:val="18"/>
    </w:rPr>
  </w:style>
  <w:style w:type="character" w:customStyle="1" w:styleId="187">
    <w:name w:val="页眉 Char"/>
    <w:basedOn w:val="182"/>
    <w:link w:val="186"/>
    <w:uiPriority w:val="99"/>
    <w:rPr>
      <w:sz w:val="18"/>
      <w:szCs w:val="18"/>
    </w:rPr>
  </w:style>
  <w:style w:type="paragraph" w:customStyle="1" w:styleId="188">
    <w:name w:val="Default"/>
    <w:uiPriority w:val="0"/>
    <w:pPr>
      <w:widowControl w:val="0"/>
    </w:pPr>
    <w:rPr>
      <w:rFonts w:hint="default" w:ascii="方正小标宋_GBK" w:hAnsi="方正小标宋_GBK" w:eastAsia="方正小标宋_GBK" w:cs="Times New Roman"/>
      <w:color w:val="000000"/>
      <w:sz w:val="24"/>
      <w:lang w:val="en-US" w:eastAsia="zh-CN" w:bidi="ar-SA"/>
    </w:rPr>
  </w:style>
  <w:style w:type="paragraph" w:customStyle="1" w:styleId="189">
    <w:name w:val="插入文本样式-插入部门职责文件"/>
    <w:basedOn w:val="1"/>
    <w:qFormat/>
    <w:uiPriority w:val="0"/>
    <w:pPr>
      <w:spacing w:line="500" w:lineRule="exact"/>
      <w:ind w:firstLine="560"/>
      <w:jc w:val="left"/>
    </w:pPr>
    <w:rPr>
      <w:rFonts w:ascii="Times New Roman" w:hAnsi="Times New Roman" w:eastAsia="方正仿宋_GBK"/>
      <w:sz w:val="28"/>
      <w:szCs w:val="24"/>
      <w:lang w:eastAsia="uk-UA"/>
    </w:rPr>
  </w:style>
  <w:style w:type="paragraph" w:customStyle="1" w:styleId="190">
    <w:name w:val="插入文本样式-插入总体目标文件"/>
    <w:basedOn w:val="1"/>
    <w:qFormat/>
    <w:uiPriority w:val="0"/>
    <w:pPr>
      <w:spacing w:line="500" w:lineRule="exact"/>
      <w:ind w:firstLine="560"/>
      <w:jc w:val="left"/>
    </w:pPr>
    <w:rPr>
      <w:rFonts w:ascii="Times New Roman" w:hAnsi="Times New Roman" w:eastAsia="方正仿宋_GBK"/>
      <w:sz w:val="28"/>
      <w:szCs w:val="24"/>
      <w:lang w:eastAsia="uk-UA"/>
    </w:rPr>
  </w:style>
  <w:style w:type="paragraph" w:customStyle="1" w:styleId="191">
    <w:name w:val="插入文本样式-插入职责分类绩效目标文件"/>
    <w:basedOn w:val="1"/>
    <w:qFormat/>
    <w:uiPriority w:val="0"/>
    <w:pPr>
      <w:spacing w:line="500" w:lineRule="exact"/>
      <w:ind w:firstLine="560"/>
      <w:jc w:val="left"/>
    </w:pPr>
    <w:rPr>
      <w:rFonts w:ascii="Times New Roman" w:hAnsi="Times New Roman" w:eastAsia="方正仿宋_GBK"/>
      <w:sz w:val="28"/>
      <w:szCs w:val="24"/>
      <w:lang w:eastAsia="uk-UA"/>
    </w:rPr>
  </w:style>
  <w:style w:type="paragraph" w:customStyle="1" w:styleId="192">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sz w:val="28"/>
      <w:szCs w:val="24"/>
      <w:lang w:eastAsia="uk-UA"/>
    </w:rPr>
  </w:style>
  <w:style w:type="paragraph" w:customStyle="1" w:styleId="193">
    <w:name w:val="单元格样式4"/>
    <w:basedOn w:val="1"/>
    <w:qFormat/>
    <w:uiPriority w:val="0"/>
    <w:pPr>
      <w:jc w:val="right"/>
    </w:pPr>
    <w:rPr>
      <w:rFonts w:ascii="方正书宋_GBK" w:hAnsi="方正书宋_GBK" w:eastAsia="方正书宋_GBK" w:cs="方正书宋_GBK"/>
      <w:szCs w:val="24"/>
      <w:lang w:eastAsia="uk-UA"/>
    </w:rPr>
  </w:style>
  <w:style w:type="paragraph" w:customStyle="1" w:styleId="194">
    <w:name w:val="单元格样式5"/>
    <w:basedOn w:val="1"/>
    <w:qFormat/>
    <w:uiPriority w:val="0"/>
    <w:pPr>
      <w:jc w:val="left"/>
    </w:pPr>
    <w:rPr>
      <w:rFonts w:ascii="方正书宋_GBK" w:hAnsi="方正书宋_GBK" w:eastAsia="方正书宋_GBK" w:cs="方正书宋_GBK"/>
      <w:b/>
      <w:szCs w:val="24"/>
      <w:lang w:eastAsia="uk-UA"/>
    </w:rPr>
  </w:style>
  <w:style w:type="paragraph" w:customStyle="1" w:styleId="195">
    <w:name w:val="单元格样式2"/>
    <w:basedOn w:val="1"/>
    <w:qFormat/>
    <w:uiPriority w:val="0"/>
    <w:pPr>
      <w:jc w:val="left"/>
    </w:pPr>
    <w:rPr>
      <w:rFonts w:ascii="方正书宋_GBK" w:hAnsi="方正书宋_GBK" w:eastAsia="方正书宋_GBK" w:cs="方正书宋_GBK"/>
      <w:szCs w:val="24"/>
      <w:lang w:eastAsia="uk-UA"/>
    </w:rPr>
  </w:style>
  <w:style w:type="paragraph" w:customStyle="1" w:styleId="196">
    <w:name w:val="单元格样式1"/>
    <w:basedOn w:val="1"/>
    <w:qFormat/>
    <w:uiPriority w:val="0"/>
    <w:pPr>
      <w:jc w:val="center"/>
    </w:pPr>
    <w:rPr>
      <w:rFonts w:ascii="方正书宋_GBK" w:hAnsi="方正书宋_GBK" w:eastAsia="方正书宋_GBK" w:cs="方正书宋_GBK"/>
      <w:b/>
      <w:szCs w:val="24"/>
      <w:lang w:eastAsia="uk-UA"/>
    </w:rPr>
  </w:style>
  <w:style w:type="paragraph" w:customStyle="1" w:styleId="197">
    <w:name w:val="单元格样式3"/>
    <w:basedOn w:val="1"/>
    <w:qFormat/>
    <w:uiPriority w:val="0"/>
    <w:pPr>
      <w:jc w:val="center"/>
    </w:pPr>
    <w:rPr>
      <w:rFonts w:ascii="方正书宋_GBK" w:hAnsi="方正书宋_GBK" w:eastAsia="方正书宋_GBK" w:cs="方正书宋_GBK"/>
      <w:szCs w:val="24"/>
      <w:lang w:eastAsia="uk-U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TotalTime>4</TotalTime>
  <ScaleCrop>false</ScaleCrop>
  <LinksUpToDate>false</LinksUpToDate>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2017-03-11T08:36:00Z</dcterms:created>
  <dc:creator>Adminis</dc:creator>
  <cp:lastModifiedBy>Lenovo</cp:lastModifiedBy>
  <dcterms:modified xsi:type="dcterms:W3CDTF">2026-03-06T07:27:24Z</dcterms:modified>
  <dc:title>注意</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6A2105864C1B423B82994B4D0686C3CB</vt:lpwstr>
  </property>
</Properties>
</file>