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lang w:eastAsia="zh-CN"/>
        </w:rPr>
      </w:pPr>
      <w:r>
        <w:rPr>
          <w:rFonts w:hint="eastAsia" w:ascii="黑体" w:hAnsi="黑体" w:eastAsia="黑体" w:cs="黑体"/>
          <w:b/>
          <w:color w:val="000000"/>
          <w:sz w:val="44"/>
          <w:lang w:val="uk-UA" w:eastAsia="zh-CN"/>
        </w:rPr>
        <w:t>中共秦皇岛市山海关区委组织部本级</w:t>
      </w:r>
      <w:r>
        <w:rPr>
          <w:rFonts w:ascii="黑体" w:hAnsi="黑体" w:eastAsia="黑体" w:cs="黑体"/>
          <w:b/>
          <w:color w:val="000000"/>
          <w:sz w:val="44"/>
        </w:rPr>
        <w:t>单位2022年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rPr>
          <w:rFonts w:eastAsiaTheme="minorEastAsia"/>
          <w:lang w:eastAsia="zh-CN"/>
        </w:rPr>
      </w:pPr>
    </w:p>
    <w:p>
      <w:pPr>
        <w:ind w:firstLine="643" w:firstLineChars="200"/>
        <w:rPr>
          <w:rFonts w:ascii="仿宋_GB2312" w:hAnsi="黑体" w:eastAsia="仿宋_GB2312" w:cs="黑体"/>
          <w:b/>
          <w:color w:val="000000"/>
          <w:sz w:val="32"/>
        </w:rPr>
      </w:pPr>
      <w:bookmarkStart w:id="0" w:name="_Toc_4_4_0000000019"/>
      <w:r>
        <w:rPr>
          <w:rFonts w:hint="eastAsia" w:ascii="仿宋_GB2312" w:hAnsi="黑体" w:eastAsia="仿宋_GB2312" w:cs="黑体"/>
          <w:b/>
          <w:color w:val="000000"/>
          <w:sz w:val="32"/>
        </w:rPr>
        <w:t>一、2022年</w:t>
      </w:r>
      <w:r>
        <w:rPr>
          <w:rFonts w:hint="eastAsia" w:ascii="仿宋_GB2312" w:hAnsi="黑体" w:eastAsia="仿宋_GB2312" w:cs="黑体"/>
          <w:b/>
          <w:color w:val="000000"/>
          <w:sz w:val="32"/>
          <w:lang w:eastAsia="zh-CN"/>
        </w:rPr>
        <w:t>中共秦皇岛市山海关区委组织部本级</w:t>
      </w:r>
      <w:r>
        <w:rPr>
          <w:rFonts w:hint="eastAsia" w:ascii="仿宋_GB2312" w:hAnsi="黑体" w:eastAsia="仿宋_GB2312" w:cs="黑体"/>
          <w:b/>
          <w:color w:val="000000"/>
          <w:sz w:val="32"/>
        </w:rPr>
        <w:t>预算公开表格</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（一）中共秦皇岛市山海关区委组织部本级预算收支总表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（二）中共秦皇岛市山海关区委组织部本级预算收入总表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（三）中共秦皇岛市山海关区委组织部本级预算支出总表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（四）中共秦皇岛市山海关区委组织部本级预算财政拨款收支总表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（五）中共秦皇岛市山海关区委组织部本级预算一般公共预算财政拨款支出表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（六）中共秦皇岛市山海关区委组织部本级预算一般公共预算财政拨款基本支出表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（七）中共秦皇岛市山海关区委组织部本级预算政府基金预算财政拨款支出表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（八）中共秦皇岛市山海关区委组织部本级预算国有资本经营预算财政拨款支出表</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（九）中共秦皇岛市山海关区委组织部本级预算财政拨款“三公”经费支出表</w:t>
      </w:r>
    </w:p>
    <w:p>
      <w:pPr>
        <w:ind w:firstLine="643" w:firstLineChars="200"/>
        <w:rPr>
          <w:rFonts w:ascii="仿宋_GB2312" w:hAnsi="黑体" w:eastAsia="仿宋_GB2312" w:cs="黑体"/>
          <w:b/>
          <w:color w:val="000000"/>
          <w:sz w:val="32"/>
        </w:rPr>
      </w:pPr>
      <w:r>
        <w:rPr>
          <w:rFonts w:hint="eastAsia" w:ascii="仿宋_GB2312" w:hAnsi="黑体" w:eastAsia="仿宋_GB2312" w:cs="黑体"/>
          <w:b/>
          <w:color w:val="000000"/>
          <w:sz w:val="32"/>
        </w:rPr>
        <w:t>二、2021年中共秦皇岛市山海关区委组织部本级预算公开说明</w:t>
      </w:r>
    </w:p>
    <w:p>
      <w:pPr>
        <w:ind w:firstLine="640" w:firstLineChars="200"/>
        <w:rPr>
          <w:rFonts w:ascii="仿宋_GB2312" w:hAnsi="黑体" w:eastAsia="仿宋_GB2312" w:cs="黑体"/>
          <w:color w:val="000000"/>
          <w:sz w:val="32"/>
        </w:rPr>
      </w:pPr>
      <w:r>
        <w:rPr>
          <w:rFonts w:hint="eastAsia" w:ascii="仿宋_GB2312" w:hAnsi="黑体" w:eastAsia="仿宋_GB2312" w:cs="黑体"/>
          <w:color w:val="000000"/>
          <w:sz w:val="32"/>
        </w:rPr>
        <w:t>（一）中共秦皇岛市山海关区委组织部本级职责及机构设置情况</w:t>
      </w:r>
    </w:p>
    <w:p>
      <w:pPr>
        <w:ind w:firstLine="640" w:firstLineChars="200"/>
        <w:rPr>
          <w:rFonts w:ascii="仿宋_GB2312" w:hAnsi="黑体" w:eastAsia="仿宋_GB2312" w:cstheme="minorBidi"/>
          <w:color w:val="000000"/>
          <w:sz w:val="32"/>
        </w:rPr>
      </w:pPr>
      <w:r>
        <w:rPr>
          <w:rFonts w:hint="eastAsia" w:ascii="仿宋_GB2312" w:hAnsi="黑体" w:eastAsia="仿宋_GB2312"/>
          <w:color w:val="000000"/>
          <w:sz w:val="32"/>
        </w:rPr>
        <w:t>（二）中共秦皇岛市山海关区委组织部本级预算安排的总体情况</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（三）机关运行经费安排情况</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（四）财政拨款“三公”经费预算情况及增减变化原因</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（五）绩效预算信息</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（六）政府采购预算情况</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（七）国有资产信息</w:t>
      </w:r>
    </w:p>
    <w:p>
      <w:pPr>
        <w:ind w:firstLine="640" w:firstLineChars="200"/>
        <w:rPr>
          <w:rFonts w:ascii="仿宋_GB2312" w:hAnsi="黑体" w:eastAsia="仿宋_GB2312"/>
          <w:color w:val="000000"/>
          <w:sz w:val="32"/>
        </w:rPr>
      </w:pPr>
      <w:r>
        <w:rPr>
          <w:rFonts w:hint="eastAsia" w:ascii="仿宋_GB2312" w:hAnsi="黑体" w:eastAsia="仿宋_GB2312"/>
          <w:color w:val="000000"/>
          <w:sz w:val="32"/>
        </w:rPr>
        <w:t>（八）名词解释</w:t>
      </w:r>
    </w:p>
    <w:p>
      <w:pPr>
        <w:ind w:firstLine="640" w:firstLineChars="200"/>
        <w:rPr>
          <w:rFonts w:ascii="仿宋_GB2312" w:eastAsia="仿宋_GB2312" w:hAnsiTheme="minorHAnsi"/>
          <w:sz w:val="21"/>
        </w:rPr>
      </w:pPr>
      <w:r>
        <w:rPr>
          <w:rFonts w:hint="eastAsia" w:ascii="仿宋_GB2312" w:hAnsi="黑体" w:eastAsia="仿宋_GB2312"/>
          <w:color w:val="000000"/>
          <w:sz w:val="32"/>
        </w:rPr>
        <w:t>（九）其他需要说明的事项</w:t>
      </w:r>
    </w:p>
    <w:p>
      <w:pPr>
        <w:jc w:val="center"/>
        <w:outlineLvl w:val="3"/>
      </w:pPr>
      <w:r>
        <w:rPr>
          <w:rFonts w:ascii="方正小标宋_GBK" w:hAnsi="方正小标宋_GBK" w:eastAsia="方正小标宋_GBK" w:cs="方正小标宋_GBK"/>
          <w:color w:val="000000"/>
          <w:sz w:val="44"/>
        </w:rPr>
        <w:t>一、</w:t>
      </w:r>
      <w:r>
        <w:rPr>
          <w:rFonts w:hint="eastAsia" w:ascii="方正小标宋_GBK" w:hAnsi="方正小标宋_GBK" w:eastAsia="方正小标宋_GBK" w:cs="方正小标宋_GBK"/>
          <w:color w:val="000000"/>
          <w:sz w:val="44"/>
        </w:rPr>
        <w:t>中共秦皇岛市山海关区委组织部</w:t>
      </w:r>
      <w:r>
        <w:rPr>
          <w:rFonts w:ascii="方正小标宋_GBK" w:hAnsi="方正小标宋_GBK" w:eastAsia="方正小标宋_GBK" w:cs="方正小标宋_GBK"/>
          <w:color w:val="000000"/>
          <w:sz w:val="44"/>
        </w:rPr>
        <w:t>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5168" w:type="dxa"/>
        <w:tblInd w:w="-176" w:type="dxa"/>
        <w:tblLayout w:type="autofit"/>
        <w:tblCellMar>
          <w:top w:w="0" w:type="dxa"/>
          <w:left w:w="108" w:type="dxa"/>
          <w:bottom w:w="0" w:type="dxa"/>
          <w:right w:w="108" w:type="dxa"/>
        </w:tblCellMar>
      </w:tblPr>
      <w:tblGrid>
        <w:gridCol w:w="866"/>
        <w:gridCol w:w="4462"/>
        <w:gridCol w:w="3178"/>
        <w:gridCol w:w="3330"/>
        <w:gridCol w:w="3332"/>
      </w:tblGrid>
      <w:tr>
        <w:tblPrEx>
          <w:tblCellMar>
            <w:top w:w="0" w:type="dxa"/>
            <w:left w:w="108" w:type="dxa"/>
            <w:bottom w:w="0" w:type="dxa"/>
            <w:right w:w="108" w:type="dxa"/>
          </w:tblCellMar>
        </w:tblPrEx>
        <w:trPr>
          <w:trHeight w:val="300" w:hRule="atLeast"/>
        </w:trPr>
        <w:tc>
          <w:tcPr>
            <w:tcW w:w="8506" w:type="dxa"/>
            <w:gridSpan w:val="3"/>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eastAsiaTheme="minorEastAsia"/>
                <w:color w:val="000000"/>
                <w:sz w:val="22"/>
                <w:szCs w:val="22"/>
                <w:lang w:eastAsia="zh-CN"/>
              </w:rPr>
              <w:t xml:space="preserve">  </w:t>
            </w:r>
            <w:r>
              <w:rPr>
                <w:rFonts w:hint="eastAsia" w:ascii="宋体" w:hAnsi="宋体" w:eastAsia="宋体" w:cs="宋体"/>
                <w:color w:val="000000"/>
                <w:sz w:val="22"/>
                <w:szCs w:val="22"/>
              </w:rPr>
              <w:t>中共秦皇岛市山海关区委组织部本级</w:t>
            </w:r>
          </w:p>
        </w:tc>
        <w:tc>
          <w:tcPr>
            <w:tcW w:w="333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3332"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00" w:hRule="atLeast"/>
        </w:trPr>
        <w:tc>
          <w:tcPr>
            <w:tcW w:w="8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764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收入</w:t>
            </w:r>
          </w:p>
        </w:tc>
        <w:tc>
          <w:tcPr>
            <w:tcW w:w="666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支出</w:t>
            </w:r>
          </w:p>
        </w:tc>
      </w:tr>
      <w:tr>
        <w:tblPrEx>
          <w:tblCellMar>
            <w:top w:w="0" w:type="dxa"/>
            <w:left w:w="108" w:type="dxa"/>
            <w:bottom w:w="0" w:type="dxa"/>
            <w:right w:w="108" w:type="dxa"/>
          </w:tblCellMar>
        </w:tblPrEx>
        <w:trPr>
          <w:trHeight w:val="30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44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w:t>
            </w:r>
          </w:p>
        </w:tc>
        <w:tc>
          <w:tcPr>
            <w:tcW w:w="317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预算数</w:t>
            </w:r>
          </w:p>
        </w:tc>
        <w:tc>
          <w:tcPr>
            <w:tcW w:w="33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w:t>
            </w:r>
          </w:p>
        </w:tc>
        <w:tc>
          <w:tcPr>
            <w:tcW w:w="333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预算数</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44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317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33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333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一、一般公共预算拨款收入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一、一般公共服务支出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二、政府性基金预算拨款收入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二、外交支出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三、国有资本经营预算拨款收入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三、国防支出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四、财政专户管理资金收入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四、公共安全支出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五、事业收入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五、教育支出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六、事业单位经营收入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六、科学技术支出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七、上级补助收入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七、文化旅游体育与传媒支出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八、附属单位上缴收入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八、社会保障和就业支出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九、其他收入</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九、社会保险基金支出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十、卫生健康支出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十一、节能环保支出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十二、城乡社区支出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十三、农林水支出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十四、交通运输支出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十五、资源勘探工业信息等支出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十六、商业服务业等支出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十七、金融支出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十八、援助其他地区支出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十九、自然资源海洋气象等支出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二十、住房保障支出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二十一、粮油物资储备支出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22</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二十二、国有资本经营预算支出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23</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二十三、灾害防治及应急管理支出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24</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二十四、预备费</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25</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二十五、其他支出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26</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二十六、转移性支出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27</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二十七、债务还本支出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28</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二十八、债务付息支出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29</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二十九、债务发行费用支出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30</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三十、抗疫特别国债安排的支出</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31</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本年收入合计</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本年支出合计</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32</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上年结转结余</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55.80</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年终结转结余</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866"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33</w:t>
            </w:r>
          </w:p>
        </w:tc>
        <w:tc>
          <w:tcPr>
            <w:tcW w:w="446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收入总计</w:t>
            </w:r>
          </w:p>
        </w:tc>
        <w:tc>
          <w:tcPr>
            <w:tcW w:w="317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333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支出总计</w:t>
            </w:r>
          </w:p>
        </w:tc>
        <w:tc>
          <w:tcPr>
            <w:tcW w:w="333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926" w:type="dxa"/>
        <w:tblInd w:w="-601" w:type="dxa"/>
        <w:tblLayout w:type="autofit"/>
        <w:tblCellMar>
          <w:top w:w="0" w:type="dxa"/>
          <w:left w:w="108" w:type="dxa"/>
          <w:bottom w:w="0" w:type="dxa"/>
          <w:right w:w="108" w:type="dxa"/>
        </w:tblCellMar>
      </w:tblPr>
      <w:tblGrid>
        <w:gridCol w:w="764"/>
        <w:gridCol w:w="1247"/>
        <w:gridCol w:w="3828"/>
        <w:gridCol w:w="1115"/>
        <w:gridCol w:w="1115"/>
        <w:gridCol w:w="1429"/>
        <w:gridCol w:w="890"/>
        <w:gridCol w:w="772"/>
        <w:gridCol w:w="748"/>
        <w:gridCol w:w="1559"/>
        <w:gridCol w:w="695"/>
        <w:gridCol w:w="526"/>
        <w:gridCol w:w="1238"/>
      </w:tblGrid>
      <w:tr>
        <w:tblPrEx>
          <w:tblCellMar>
            <w:top w:w="0" w:type="dxa"/>
            <w:left w:w="108" w:type="dxa"/>
            <w:bottom w:w="0" w:type="dxa"/>
            <w:right w:w="108" w:type="dxa"/>
          </w:tblCellMar>
        </w:tblPrEx>
        <w:trPr>
          <w:trHeight w:val="330" w:hRule="atLeast"/>
        </w:trPr>
        <w:tc>
          <w:tcPr>
            <w:tcW w:w="11908" w:type="dxa"/>
            <w:gridSpan w:val="9"/>
            <w:tcBorders>
              <w:top w:val="nil"/>
              <w:left w:val="nil"/>
              <w:bottom w:val="single" w:color="auto" w:sz="4" w:space="0"/>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ascii="宋体" w:hAnsi="宋体" w:eastAsia="宋体" w:cs="宋体"/>
                <w:color w:val="000000"/>
                <w:sz w:val="22"/>
                <w:szCs w:val="22"/>
              </w:rPr>
              <w:t>中共秦皇岛市山海关区委组织部本级</w:t>
            </w:r>
          </w:p>
        </w:tc>
        <w:tc>
          <w:tcPr>
            <w:tcW w:w="2254" w:type="dxa"/>
            <w:gridSpan w:val="2"/>
            <w:tcBorders>
              <w:top w:val="nil"/>
              <w:left w:val="nil"/>
              <w:bottom w:val="nil"/>
              <w:right w:val="nil"/>
            </w:tcBorders>
            <w:shd w:val="clear" w:color="auto" w:fill="auto"/>
            <w:noWrap/>
            <w:vAlign w:val="center"/>
          </w:tcPr>
          <w:p>
            <w:pPr>
              <w:ind w:right="220"/>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rFonts w:hint="eastAsia" w:ascii="宋体" w:hAnsi="宋体" w:eastAsia="宋体" w:cs="宋体"/>
                <w:color w:val="000000"/>
                <w:sz w:val="22"/>
                <w:szCs w:val="22"/>
                <w:lang w:eastAsia="zh-CN"/>
              </w:rPr>
              <w:t xml:space="preserve"> </w:t>
            </w:r>
            <w:r>
              <w:rPr>
                <w:color w:val="000000"/>
                <w:sz w:val="22"/>
                <w:szCs w:val="22"/>
              </w:rPr>
              <w:t>2022</w:t>
            </w:r>
          </w:p>
        </w:tc>
        <w:tc>
          <w:tcPr>
            <w:tcW w:w="1764" w:type="dxa"/>
            <w:gridSpan w:val="2"/>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76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507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功能分类科目</w:t>
            </w:r>
          </w:p>
        </w:tc>
        <w:tc>
          <w:tcPr>
            <w:tcW w:w="1115"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7734" w:type="dxa"/>
            <w:gridSpan w:val="8"/>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本年收入</w:t>
            </w:r>
          </w:p>
        </w:tc>
        <w:tc>
          <w:tcPr>
            <w:tcW w:w="123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上年结转</w:t>
            </w:r>
          </w:p>
        </w:tc>
      </w:tr>
      <w:tr>
        <w:tblPrEx>
          <w:tblCellMar>
            <w:top w:w="0" w:type="dxa"/>
            <w:left w:w="108" w:type="dxa"/>
            <w:bottom w:w="0" w:type="dxa"/>
            <w:right w:w="108" w:type="dxa"/>
          </w:tblCellMar>
        </w:tblPrEx>
        <w:trPr>
          <w:trHeight w:val="330" w:hRule="atLeast"/>
        </w:trPr>
        <w:tc>
          <w:tcPr>
            <w:tcW w:w="76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2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科目编码</w:t>
            </w:r>
          </w:p>
        </w:tc>
        <w:tc>
          <w:tcPr>
            <w:tcW w:w="382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科目名称</w:t>
            </w:r>
          </w:p>
        </w:tc>
        <w:tc>
          <w:tcPr>
            <w:tcW w:w="111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11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小计</w:t>
            </w:r>
          </w:p>
        </w:tc>
        <w:tc>
          <w:tcPr>
            <w:tcW w:w="14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财政拨款收入</w:t>
            </w:r>
          </w:p>
        </w:tc>
        <w:tc>
          <w:tcPr>
            <w:tcW w:w="89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财政专户收入</w:t>
            </w:r>
          </w:p>
        </w:tc>
        <w:tc>
          <w:tcPr>
            <w:tcW w:w="77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事业收入</w:t>
            </w:r>
          </w:p>
        </w:tc>
        <w:tc>
          <w:tcPr>
            <w:tcW w:w="74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经营收入</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上级补助收入</w:t>
            </w:r>
          </w:p>
        </w:tc>
        <w:tc>
          <w:tcPr>
            <w:tcW w:w="69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附属单位上缴收入</w:t>
            </w:r>
          </w:p>
        </w:tc>
        <w:tc>
          <w:tcPr>
            <w:tcW w:w="52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其他收入</w:t>
            </w: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12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382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111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111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14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c>
          <w:tcPr>
            <w:tcW w:w="89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w:t>
            </w:r>
          </w:p>
        </w:tc>
        <w:tc>
          <w:tcPr>
            <w:tcW w:w="77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w:t>
            </w:r>
          </w:p>
        </w:tc>
        <w:tc>
          <w:tcPr>
            <w:tcW w:w="74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8</w:t>
            </w:r>
          </w:p>
        </w:tc>
        <w:tc>
          <w:tcPr>
            <w:tcW w:w="15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9</w:t>
            </w:r>
          </w:p>
        </w:tc>
        <w:tc>
          <w:tcPr>
            <w:tcW w:w="69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10</w:t>
            </w:r>
          </w:p>
        </w:tc>
        <w:tc>
          <w:tcPr>
            <w:tcW w:w="52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11</w:t>
            </w:r>
          </w:p>
        </w:tc>
        <w:tc>
          <w:tcPr>
            <w:tcW w:w="123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12</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合计</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55.80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一般公共服务支出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组织事务</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行政运行</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2013299</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其他组织事务支出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社会保障和就业支出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66.62</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66.62</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行政事业单位养老支出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行政单位离退休</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2080505</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机关事业单位基本养老保险缴费支出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抚恤</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2080899</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其他优抚支出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卫生健康支出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行政事业单位医疗</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行政单位医疗</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372.59</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372.59</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372.59</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2101103</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公务员医疗补助</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农林水支出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农业农村</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2130152</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对高校毕业生到基层任职补助</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13.60</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55.40</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住房保障支出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住房改革支出</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764"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1247"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2210201</w:t>
            </w:r>
          </w:p>
        </w:tc>
        <w:tc>
          <w:tcPr>
            <w:tcW w:w="382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住房公积金</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11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89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7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7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55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695"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2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3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r>
        <w:tblPrEx>
          <w:tblCellMar>
            <w:top w:w="0" w:type="dxa"/>
            <w:left w:w="108" w:type="dxa"/>
            <w:bottom w:w="0" w:type="dxa"/>
            <w:right w:w="108" w:type="dxa"/>
          </w:tblCellMar>
        </w:tblPrEx>
        <w:trPr>
          <w:trHeight w:val="300" w:hRule="atLeast"/>
        </w:trPr>
        <w:tc>
          <w:tcPr>
            <w:tcW w:w="764" w:type="dxa"/>
            <w:tcBorders>
              <w:top w:val="nil"/>
              <w:left w:val="nil"/>
              <w:bottom w:val="nil"/>
              <w:right w:val="nil"/>
            </w:tcBorders>
            <w:shd w:val="clear" w:color="auto" w:fill="auto"/>
            <w:noWrap/>
          </w:tcPr>
          <w:p>
            <w:pPr>
              <w:jc w:val="center"/>
              <w:rPr>
                <w:rFonts w:ascii="Calibri" w:hAnsi="Calibri" w:eastAsia="宋体" w:cs="宋体"/>
                <w:color w:val="000000"/>
                <w:sz w:val="22"/>
                <w:szCs w:val="22"/>
              </w:rPr>
            </w:pPr>
          </w:p>
        </w:tc>
        <w:tc>
          <w:tcPr>
            <w:tcW w:w="1247"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3828" w:type="dxa"/>
            <w:tcBorders>
              <w:top w:val="nil"/>
              <w:left w:val="nil"/>
              <w:bottom w:val="nil"/>
              <w:right w:val="nil"/>
            </w:tcBorders>
            <w:shd w:val="clear" w:color="auto" w:fill="auto"/>
            <w:noWrap/>
          </w:tcPr>
          <w:p>
            <w:pPr>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11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42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890"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72"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74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559"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695"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526"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c>
          <w:tcPr>
            <w:tcW w:w="1238" w:type="dxa"/>
            <w:tcBorders>
              <w:top w:val="nil"/>
              <w:left w:val="nil"/>
              <w:bottom w:val="nil"/>
              <w:right w:val="nil"/>
            </w:tcBorders>
            <w:shd w:val="clear" w:color="auto" w:fill="auto"/>
            <w:noWrap/>
          </w:tcPr>
          <w:p>
            <w:pPr>
              <w:jc w:val="right"/>
              <w:rPr>
                <w:rFonts w:ascii="Calibri" w:hAnsi="Calibri" w:eastAsia="宋体" w:cs="宋体"/>
                <w:color w:val="000000"/>
                <w:sz w:val="22"/>
                <w:szCs w:val="22"/>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527" w:type="dxa"/>
        <w:tblInd w:w="0" w:type="dxa"/>
        <w:tblLayout w:type="autofit"/>
        <w:tblCellMar>
          <w:top w:w="0" w:type="dxa"/>
          <w:left w:w="108" w:type="dxa"/>
          <w:bottom w:w="0" w:type="dxa"/>
          <w:right w:w="108" w:type="dxa"/>
        </w:tblCellMar>
      </w:tblPr>
      <w:tblGrid>
        <w:gridCol w:w="643"/>
        <w:gridCol w:w="1242"/>
        <w:gridCol w:w="3800"/>
        <w:gridCol w:w="2117"/>
        <w:gridCol w:w="1291"/>
        <w:gridCol w:w="1242"/>
        <w:gridCol w:w="1242"/>
        <w:gridCol w:w="1940"/>
        <w:gridCol w:w="2010"/>
      </w:tblGrid>
      <w:tr>
        <w:tblPrEx>
          <w:tblCellMar>
            <w:top w:w="0" w:type="dxa"/>
            <w:left w:w="108" w:type="dxa"/>
            <w:bottom w:w="0" w:type="dxa"/>
            <w:right w:w="108" w:type="dxa"/>
          </w:tblCellMar>
        </w:tblPrEx>
        <w:trPr>
          <w:trHeight w:val="330" w:hRule="atLeast"/>
        </w:trPr>
        <w:tc>
          <w:tcPr>
            <w:tcW w:w="11577" w:type="dxa"/>
            <w:gridSpan w:val="7"/>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ascii="宋体" w:hAnsi="宋体" w:eastAsia="宋体" w:cs="宋体"/>
                <w:color w:val="000000"/>
                <w:sz w:val="22"/>
                <w:szCs w:val="22"/>
              </w:rPr>
              <w:t>中共秦皇岛市山海关区委组织部本级</w:t>
            </w:r>
          </w:p>
        </w:tc>
        <w:tc>
          <w:tcPr>
            <w:tcW w:w="194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201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5042"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支出功能分类科目</w:t>
            </w:r>
          </w:p>
        </w:tc>
        <w:tc>
          <w:tcPr>
            <w:tcW w:w="21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本年支出合计</w:t>
            </w:r>
          </w:p>
        </w:tc>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基本支出</w:t>
            </w:r>
          </w:p>
        </w:tc>
        <w:tc>
          <w:tcPr>
            <w:tcW w:w="12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项目支出</w:t>
            </w:r>
          </w:p>
        </w:tc>
        <w:tc>
          <w:tcPr>
            <w:tcW w:w="12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经营支出</w:t>
            </w:r>
          </w:p>
        </w:tc>
        <w:tc>
          <w:tcPr>
            <w:tcW w:w="19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上缴上级支出</w:t>
            </w:r>
          </w:p>
        </w:tc>
        <w:tc>
          <w:tcPr>
            <w:tcW w:w="20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对附属单位补助支出</w:t>
            </w:r>
          </w:p>
        </w:tc>
      </w:tr>
      <w:tr>
        <w:tblPrEx>
          <w:tblCellMar>
            <w:top w:w="0" w:type="dxa"/>
            <w:left w:w="108" w:type="dxa"/>
            <w:bottom w:w="0" w:type="dxa"/>
            <w:right w:w="108" w:type="dxa"/>
          </w:tblCellMar>
        </w:tblPrEx>
        <w:trPr>
          <w:trHeight w:val="330" w:hRule="atLeast"/>
        </w:trPr>
        <w:tc>
          <w:tcPr>
            <w:tcW w:w="64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24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科目编码</w:t>
            </w:r>
          </w:p>
        </w:tc>
        <w:tc>
          <w:tcPr>
            <w:tcW w:w="38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科目名称</w:t>
            </w:r>
          </w:p>
        </w:tc>
        <w:tc>
          <w:tcPr>
            <w:tcW w:w="21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2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24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124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38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211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129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124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c>
          <w:tcPr>
            <w:tcW w:w="124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w:t>
            </w:r>
          </w:p>
        </w:tc>
        <w:tc>
          <w:tcPr>
            <w:tcW w:w="201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8</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合计</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518.68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572.20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一般公共服务支出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组织事务</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行政运行</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2013299</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其他组织事务支出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社会保障和就业支出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66.62</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行政事业单位养老支出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行政单位离退休</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2080505</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机关事业单位基本养老保险缴费支出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抚恤</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2080899</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其他优抚支出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卫生健康支出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行政事业单位医疗</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行政单位医疗</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372.59</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22.59</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2101103</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公务员医疗补助</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农林水支出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农业农村</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2130152</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对高校毕业生到基层任职补助</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住房保障支出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住房改革支出</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4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124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2210201</w:t>
            </w:r>
          </w:p>
        </w:tc>
        <w:tc>
          <w:tcPr>
            <w:tcW w:w="3800"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住房公积金</w:t>
            </w:r>
          </w:p>
        </w:tc>
        <w:tc>
          <w:tcPr>
            <w:tcW w:w="211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9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24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01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134" w:type="dxa"/>
        <w:tblInd w:w="0" w:type="dxa"/>
        <w:tblLayout w:type="autofit"/>
        <w:tblCellMar>
          <w:top w:w="0" w:type="dxa"/>
          <w:left w:w="108" w:type="dxa"/>
          <w:bottom w:w="0" w:type="dxa"/>
          <w:right w:w="108" w:type="dxa"/>
        </w:tblCellMar>
      </w:tblPr>
      <w:tblGrid>
        <w:gridCol w:w="571"/>
        <w:gridCol w:w="2798"/>
        <w:gridCol w:w="943"/>
        <w:gridCol w:w="3408"/>
        <w:gridCol w:w="946"/>
        <w:gridCol w:w="2634"/>
        <w:gridCol w:w="1848"/>
        <w:gridCol w:w="1986"/>
      </w:tblGrid>
      <w:tr>
        <w:tblPrEx>
          <w:tblCellMar>
            <w:top w:w="0" w:type="dxa"/>
            <w:left w:w="108" w:type="dxa"/>
            <w:bottom w:w="0" w:type="dxa"/>
            <w:right w:w="108" w:type="dxa"/>
          </w:tblCellMar>
        </w:tblPrEx>
        <w:trPr>
          <w:trHeight w:val="330" w:hRule="atLeast"/>
        </w:trPr>
        <w:tc>
          <w:tcPr>
            <w:tcW w:w="11300" w:type="dxa"/>
            <w:gridSpan w:val="6"/>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eastAsiaTheme="minorEastAsia"/>
                <w:color w:val="000000"/>
                <w:sz w:val="22"/>
                <w:szCs w:val="22"/>
                <w:lang w:eastAsia="zh-CN"/>
              </w:rPr>
              <w:t xml:space="preserve"> </w:t>
            </w:r>
            <w:r>
              <w:rPr>
                <w:rFonts w:hint="eastAsia" w:ascii="宋体" w:hAnsi="宋体" w:eastAsia="宋体" w:cs="宋体"/>
                <w:color w:val="000000"/>
                <w:sz w:val="22"/>
                <w:szCs w:val="22"/>
              </w:rPr>
              <w:t>中共秦皇岛市山海关区委组织部本级</w:t>
            </w:r>
          </w:p>
        </w:tc>
        <w:tc>
          <w:tcPr>
            <w:tcW w:w="1848"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1986"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3741"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收入</w:t>
            </w:r>
          </w:p>
        </w:tc>
        <w:tc>
          <w:tcPr>
            <w:tcW w:w="1082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支出</w:t>
            </w:r>
          </w:p>
        </w:tc>
      </w:tr>
      <w:tr>
        <w:tblPrEx>
          <w:tblCellMar>
            <w:top w:w="0" w:type="dxa"/>
            <w:left w:w="108" w:type="dxa"/>
            <w:bottom w:w="0" w:type="dxa"/>
            <w:right w:w="108" w:type="dxa"/>
          </w:tblCellMar>
        </w:tblPrEx>
        <w:trPr>
          <w:trHeight w:val="330" w:hRule="atLeast"/>
        </w:trPr>
        <w:tc>
          <w:tcPr>
            <w:tcW w:w="5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279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w:t>
            </w:r>
          </w:p>
        </w:tc>
        <w:tc>
          <w:tcPr>
            <w:tcW w:w="94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金额</w:t>
            </w:r>
          </w:p>
        </w:tc>
        <w:tc>
          <w:tcPr>
            <w:tcW w:w="340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w:t>
            </w:r>
          </w:p>
        </w:tc>
        <w:tc>
          <w:tcPr>
            <w:tcW w:w="94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26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一般公共预算财政拨款</w:t>
            </w:r>
          </w:p>
        </w:tc>
        <w:tc>
          <w:tcPr>
            <w:tcW w:w="184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政府性基金预算财政拨款</w:t>
            </w:r>
          </w:p>
        </w:tc>
        <w:tc>
          <w:tcPr>
            <w:tcW w:w="19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国有资本经营预算财政拨款</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279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94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340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94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26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c>
          <w:tcPr>
            <w:tcW w:w="184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w:t>
            </w:r>
          </w:p>
        </w:tc>
        <w:tc>
          <w:tcPr>
            <w:tcW w:w="19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一、一般公共预算拨款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一、一般公共服务支出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二、政府性基金预算拨款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二、外交支出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三、国有资本经营预算拨款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三、国防支出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四、公共安全支出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五、教育支出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六、科学技术支出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七、文化旅游体育与传媒支出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八、社会保障和就业支出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九、社会保险基金支出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十、卫生健康支出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十一、节能环保支出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十二、城乡社区支出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十三、农林水支出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十四、交通运输支出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十五、资源勘探工业信息等支出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十六、商业服务业等支出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十七、金融支出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十八、援助其他地区支出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十九、自然资源海洋气象等支出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二十、住房保障支出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二十一、粮油物资储备支出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22</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二十二、国有资本经营预算支出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23</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二十三、灾害防治及应急管理支出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24</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二十四、预备费</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25</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二十五、其他支出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26</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二十六、转移性支出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27</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二十七、债务还本支出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28</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二十八、债务付息支出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29</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二十九、债务发行费用支出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30</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三十、抗疫特别国债安排的支出</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31</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本年收入合计</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1035.08</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本年支出合计</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32</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年初财政拨款结转和结余</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55.80</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年末财政拨款结转和结余</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33</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一、一般公共预算拨款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55.80</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34</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二、政府性基金预算拨款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35</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三、国有资本经营预算拨款</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71"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36</w:t>
            </w:r>
          </w:p>
        </w:tc>
        <w:tc>
          <w:tcPr>
            <w:tcW w:w="279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收入总计</w:t>
            </w:r>
          </w:p>
        </w:tc>
        <w:tc>
          <w:tcPr>
            <w:tcW w:w="943"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3408"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支出总计</w:t>
            </w:r>
          </w:p>
        </w:tc>
        <w:tc>
          <w:tcPr>
            <w:tcW w:w="94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2634"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184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86"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41" w:type="dxa"/>
        <w:tblInd w:w="93" w:type="dxa"/>
        <w:tblLayout w:type="autofit"/>
        <w:tblCellMar>
          <w:top w:w="0" w:type="dxa"/>
          <w:left w:w="108" w:type="dxa"/>
          <w:bottom w:w="0" w:type="dxa"/>
          <w:right w:w="108" w:type="dxa"/>
        </w:tblCellMar>
      </w:tblPr>
      <w:tblGrid>
        <w:gridCol w:w="673"/>
        <w:gridCol w:w="1302"/>
        <w:gridCol w:w="5081"/>
        <w:gridCol w:w="1081"/>
        <w:gridCol w:w="922"/>
        <w:gridCol w:w="1302"/>
        <w:gridCol w:w="1940"/>
        <w:gridCol w:w="1940"/>
      </w:tblGrid>
      <w:tr>
        <w:tblPrEx>
          <w:tblCellMar>
            <w:top w:w="0" w:type="dxa"/>
            <w:left w:w="108" w:type="dxa"/>
            <w:bottom w:w="0" w:type="dxa"/>
            <w:right w:w="108" w:type="dxa"/>
          </w:tblCellMar>
        </w:tblPrEx>
        <w:trPr>
          <w:trHeight w:val="330" w:hRule="atLeast"/>
        </w:trPr>
        <w:tc>
          <w:tcPr>
            <w:tcW w:w="10361" w:type="dxa"/>
            <w:gridSpan w:val="6"/>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 xml:space="preserve"> 203001</w:t>
            </w:r>
            <w:r>
              <w:rPr>
                <w:rFonts w:hint="eastAsia" w:eastAsiaTheme="minorEastAsia"/>
                <w:color w:val="000000"/>
                <w:sz w:val="22"/>
                <w:szCs w:val="22"/>
                <w:lang w:eastAsia="zh-CN"/>
              </w:rPr>
              <w:t xml:space="preserve"> </w:t>
            </w:r>
            <w:r>
              <w:rPr>
                <w:rFonts w:hint="eastAsia" w:ascii="宋体" w:hAnsi="宋体" w:eastAsia="宋体" w:cs="宋体"/>
                <w:color w:val="000000"/>
                <w:sz w:val="22"/>
                <w:szCs w:val="22"/>
              </w:rPr>
              <w:t>中共秦皇岛市山海关区委组织部本级</w:t>
            </w:r>
          </w:p>
        </w:tc>
        <w:tc>
          <w:tcPr>
            <w:tcW w:w="194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194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6383"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支出功能分类科目</w:t>
            </w: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4164"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基本支出</w:t>
            </w:r>
          </w:p>
        </w:tc>
        <w:tc>
          <w:tcPr>
            <w:tcW w:w="19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项目支出</w:t>
            </w:r>
          </w:p>
        </w:tc>
      </w:tr>
      <w:tr>
        <w:tblPrEx>
          <w:tblCellMar>
            <w:top w:w="0" w:type="dxa"/>
            <w:left w:w="108" w:type="dxa"/>
            <w:bottom w:w="0" w:type="dxa"/>
            <w:right w:w="108" w:type="dxa"/>
          </w:tblCellMar>
        </w:tblPrEx>
        <w:trPr>
          <w:trHeight w:val="330" w:hRule="atLeas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30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科目编码</w:t>
            </w:r>
          </w:p>
        </w:tc>
        <w:tc>
          <w:tcPr>
            <w:tcW w:w="508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科目名称</w:t>
            </w: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92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小计</w:t>
            </w:r>
          </w:p>
        </w:tc>
        <w:tc>
          <w:tcPr>
            <w:tcW w:w="130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人员经费</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公用经费</w:t>
            </w: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130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508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108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92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w:t>
            </w:r>
          </w:p>
        </w:tc>
        <w:tc>
          <w:tcPr>
            <w:tcW w:w="194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合计</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1090.88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518.68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466.58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52.10</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572.20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一般公共服务支出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317.81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50.71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组织事务</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521.32</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317.81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50.71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行政运行</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368.52</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317.81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50.71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2013299</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其他组织事务支出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152.80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社会保障和就业支出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67.02</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66.62</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65.23</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1.39</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行政事业单位养老支出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65.04</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63.65</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1.39</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行政单位离退休</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18.40</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17.01</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1.39</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2080505</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机关事业单位基本养老保险缴费支出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抚恤</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2080899</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其他优抚支出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卫生健康支出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行政事业单位医疗</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398.56</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48.56</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行政单位医疗</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372.59</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22.59</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22.59</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350.00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2101103</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公务员医疗补助</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农林水支出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农业农村</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2130152</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对高校毕业生到基层任职补助</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69.00</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住房保障支出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住房改革支出</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7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1302"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2210201</w:t>
            </w:r>
          </w:p>
        </w:tc>
        <w:tc>
          <w:tcPr>
            <w:tcW w:w="5081"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住房公积金</w:t>
            </w:r>
          </w:p>
        </w:tc>
        <w:tc>
          <w:tcPr>
            <w:tcW w:w="108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92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302"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194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3384" w:type="dxa"/>
        <w:tblInd w:w="92" w:type="dxa"/>
        <w:tblLayout w:type="autofit"/>
        <w:tblCellMar>
          <w:top w:w="0" w:type="dxa"/>
          <w:left w:w="108" w:type="dxa"/>
          <w:bottom w:w="0" w:type="dxa"/>
          <w:right w:w="108" w:type="dxa"/>
        </w:tblCellMar>
      </w:tblPr>
      <w:tblGrid>
        <w:gridCol w:w="593"/>
        <w:gridCol w:w="1149"/>
        <w:gridCol w:w="3925"/>
        <w:gridCol w:w="2429"/>
        <w:gridCol w:w="2737"/>
        <w:gridCol w:w="2551"/>
      </w:tblGrid>
      <w:tr>
        <w:tblPrEx>
          <w:tblCellMar>
            <w:top w:w="0" w:type="dxa"/>
            <w:left w:w="108" w:type="dxa"/>
            <w:bottom w:w="0" w:type="dxa"/>
            <w:right w:w="108" w:type="dxa"/>
          </w:tblCellMar>
        </w:tblPrEx>
        <w:trPr>
          <w:trHeight w:val="330" w:hRule="atLeast"/>
        </w:trPr>
        <w:tc>
          <w:tcPr>
            <w:tcW w:w="8096" w:type="dxa"/>
            <w:gridSpan w:val="4"/>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eastAsiaTheme="minorEastAsia"/>
                <w:color w:val="000000"/>
                <w:sz w:val="22"/>
                <w:szCs w:val="22"/>
                <w:lang w:eastAsia="zh-CN"/>
              </w:rPr>
              <w:t xml:space="preserve"> </w:t>
            </w:r>
            <w:r>
              <w:rPr>
                <w:rFonts w:hint="eastAsia" w:ascii="宋体" w:hAnsi="宋体" w:eastAsia="宋体" w:cs="宋体"/>
                <w:color w:val="000000"/>
                <w:sz w:val="22"/>
                <w:szCs w:val="22"/>
              </w:rPr>
              <w:t>中共秦皇岛市山海关区委组织部本级</w:t>
            </w:r>
          </w:p>
        </w:tc>
        <w:tc>
          <w:tcPr>
            <w:tcW w:w="2737"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2551"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507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支出中共秦皇岛市山海关区委组织部本级经济分类科目</w:t>
            </w:r>
          </w:p>
        </w:tc>
        <w:tc>
          <w:tcPr>
            <w:tcW w:w="771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一般公共预算基本支出</w:t>
            </w:r>
          </w:p>
        </w:tc>
      </w:tr>
      <w:tr>
        <w:tblPrEx>
          <w:tblCellMar>
            <w:top w:w="0" w:type="dxa"/>
            <w:left w:w="108" w:type="dxa"/>
            <w:bottom w:w="0" w:type="dxa"/>
            <w:right w:w="108" w:type="dxa"/>
          </w:tblCellMar>
        </w:tblPrEx>
        <w:trPr>
          <w:trHeight w:val="330" w:hRule="atLeast"/>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114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科目编码</w:t>
            </w:r>
          </w:p>
        </w:tc>
        <w:tc>
          <w:tcPr>
            <w:tcW w:w="39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科目名称</w:t>
            </w:r>
          </w:p>
        </w:tc>
        <w:tc>
          <w:tcPr>
            <w:tcW w:w="24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273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人员经费</w:t>
            </w:r>
          </w:p>
        </w:tc>
        <w:tc>
          <w:tcPr>
            <w:tcW w:w="25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公用经费</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114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39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242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273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255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合计</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518.68</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466.58</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52.10</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工资福利支出</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447.33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447.33</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30101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基本工资</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144.48</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144.48</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30102</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津贴补贴</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87.73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87.73</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30103</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奖金</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5.87</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5.87</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30107</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绩效工资</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76.57</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76.57</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30108</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机关事业单位基本养老保险缴费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46.63</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30110</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职工基本医疗保险缴费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22.59</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22.59</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30111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公务员医疗补助缴费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25.97</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30112</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其他社会保障缴费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2.51</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2.51</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30113</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住房公积金</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34.98</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12</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商品和服务支出</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52.10</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52.10</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13</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办公费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11.66</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11.66</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14</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30202</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印刷费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0.33</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15</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30205</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水费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0.13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0.13</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16</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30206</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电费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0.64</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0.64</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17</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30207</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邮电费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2.64</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2.64</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18</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30208</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取暖费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6.43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6.43</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19</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30211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差旅费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1.00</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1.00</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20</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30213</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维修</w:t>
            </w:r>
            <w:r>
              <w:rPr>
                <w:rFonts w:ascii="Calibri" w:hAnsi="Calibri" w:cs="Calibri"/>
                <w:color w:val="000000"/>
                <w:sz w:val="22"/>
                <w:szCs w:val="22"/>
              </w:rPr>
              <w:t>(</w:t>
            </w:r>
            <w:r>
              <w:rPr>
                <w:rFonts w:hint="eastAsia" w:ascii="宋体" w:hAnsi="宋体" w:eastAsia="宋体" w:cs="宋体"/>
                <w:color w:val="000000"/>
                <w:sz w:val="22"/>
                <w:szCs w:val="22"/>
              </w:rPr>
              <w:t>护</w:t>
            </w:r>
            <w:r>
              <w:rPr>
                <w:rFonts w:ascii="Calibri" w:hAnsi="Calibri" w:cs="Calibri"/>
                <w:color w:val="000000"/>
                <w:sz w:val="22"/>
                <w:szCs w:val="22"/>
              </w:rPr>
              <w:t>)</w:t>
            </w:r>
            <w:r>
              <w:rPr>
                <w:rFonts w:hint="eastAsia" w:ascii="宋体" w:hAnsi="宋体" w:eastAsia="宋体" w:cs="宋体"/>
                <w:color w:val="000000"/>
                <w:sz w:val="22"/>
                <w:szCs w:val="22"/>
              </w:rPr>
              <w:t>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0.45</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0.45</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21</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30216</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培训费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2.17</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2.17</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22</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30217</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公务接待费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0.31</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0.31</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23</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30228</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工会经费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5.83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5.83</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24</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30229</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福利费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3.61</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3.61</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25</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30231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公务用车运行维护费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1.80</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1.80</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26</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30239</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其他交通费用</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13.14</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13.14</w:t>
            </w:r>
          </w:p>
        </w:tc>
      </w:tr>
      <w:tr>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27</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30299</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其他商品和服务支出</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1.96</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1.96</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28</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对个人和家庭的补助</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19.25</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19.25</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29</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30301</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离休费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11.78</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11.78</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30</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30302</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退休费</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5.23</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5.23</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31</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30305</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生活补助</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1.58</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32</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30309</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奖励金</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0.11</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0.11</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593"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33</w:t>
            </w:r>
          </w:p>
        </w:tc>
        <w:tc>
          <w:tcPr>
            <w:tcW w:w="114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30399</w:t>
            </w:r>
          </w:p>
        </w:tc>
        <w:tc>
          <w:tcPr>
            <w:tcW w:w="3925"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其他对个人和家庭的补助</w:t>
            </w:r>
          </w:p>
        </w:tc>
        <w:tc>
          <w:tcPr>
            <w:tcW w:w="2429"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0.54</w:t>
            </w:r>
          </w:p>
        </w:tc>
        <w:tc>
          <w:tcPr>
            <w:tcW w:w="2737"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0.54</w:t>
            </w:r>
          </w:p>
        </w:tc>
        <w:tc>
          <w:tcPr>
            <w:tcW w:w="255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39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6621"/>
        <w:gridCol w:w="2415"/>
        <w:gridCol w:w="1616"/>
        <w:gridCol w:w="1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2" w:type="dxa"/>
            <w:gridSpan w:val="3"/>
            <w:tcBorders>
              <w:top w:val="single" w:color="FFFFFF" w:sz="6" w:space="0"/>
              <w:left w:val="single" w:color="FFFFFF" w:sz="6" w:space="0"/>
              <w:right w:val="single" w:color="FFFFFF" w:sz="6" w:space="0"/>
            </w:tcBorders>
            <w:vAlign w:val="center"/>
          </w:tcPr>
          <w:p>
            <w:pPr>
              <w:pStyle w:val="14"/>
            </w:pPr>
            <w:r>
              <w:t>203001</w:t>
            </w:r>
            <w:r>
              <w:rPr>
                <w:rFonts w:hint="eastAsia"/>
                <w:lang w:eastAsia="zh-CN"/>
              </w:rPr>
              <w:t xml:space="preserve"> </w:t>
            </w:r>
            <w:r>
              <w:rPr>
                <w:rFonts w:hint="eastAsia"/>
              </w:rPr>
              <w:t>中共秦皇岛市山海关区委组织部本级：</w:t>
            </w:r>
          </w:p>
        </w:tc>
        <w:tc>
          <w:tcPr>
            <w:tcW w:w="2415" w:type="dxa"/>
            <w:tcBorders>
              <w:top w:val="single" w:color="FFFFFF" w:sz="6" w:space="0"/>
              <w:left w:val="single" w:color="FFFFFF" w:sz="6" w:space="0"/>
              <w:right w:val="single" w:color="FFFFFF" w:sz="6" w:space="0"/>
            </w:tcBorders>
            <w:vAlign w:val="center"/>
          </w:tcPr>
          <w:p>
            <w:pPr>
              <w:pStyle w:val="13"/>
            </w:pPr>
            <w:r>
              <w:t>预算年度：2022</w:t>
            </w:r>
          </w:p>
        </w:tc>
        <w:tc>
          <w:tcPr>
            <w:tcW w:w="288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7812" w:type="dxa"/>
            <w:gridSpan w:val="2"/>
            <w:vAlign w:val="center"/>
          </w:tcPr>
          <w:p>
            <w:pPr>
              <w:pStyle w:val="15"/>
            </w:pPr>
            <w:r>
              <w:t>功能分类科目</w:t>
            </w:r>
          </w:p>
        </w:tc>
        <w:tc>
          <w:tcPr>
            <w:tcW w:w="2415" w:type="dxa"/>
            <w:vMerge w:val="restart"/>
            <w:vAlign w:val="center"/>
          </w:tcPr>
          <w:p>
            <w:pPr>
              <w:pStyle w:val="15"/>
            </w:pPr>
            <w:r>
              <w:t>合计</w:t>
            </w:r>
          </w:p>
        </w:tc>
        <w:tc>
          <w:tcPr>
            <w:tcW w:w="1616" w:type="dxa"/>
            <w:vMerge w:val="restart"/>
            <w:vAlign w:val="center"/>
          </w:tcPr>
          <w:p>
            <w:pPr>
              <w:pStyle w:val="15"/>
            </w:pPr>
            <w:r>
              <w:t>基本支出</w:t>
            </w:r>
          </w:p>
        </w:tc>
        <w:tc>
          <w:tcPr>
            <w:tcW w:w="1264"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6621" w:type="dxa"/>
            <w:vAlign w:val="center"/>
          </w:tcPr>
          <w:p>
            <w:pPr>
              <w:pStyle w:val="15"/>
            </w:pPr>
            <w:r>
              <w:t>科目名称</w:t>
            </w:r>
          </w:p>
        </w:tc>
        <w:tc>
          <w:tcPr>
            <w:tcW w:w="2415" w:type="dxa"/>
            <w:vMerge w:val="continue"/>
          </w:tcPr>
          <w:p/>
        </w:tc>
        <w:tc>
          <w:tcPr>
            <w:tcW w:w="1616" w:type="dxa"/>
            <w:vMerge w:val="continue"/>
          </w:tcPr>
          <w:p/>
        </w:tc>
        <w:tc>
          <w:tcPr>
            <w:tcW w:w="12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6621" w:type="dxa"/>
            <w:vAlign w:val="center"/>
          </w:tcPr>
          <w:p>
            <w:pPr>
              <w:pStyle w:val="15"/>
            </w:pPr>
            <w:r>
              <w:t>2</w:t>
            </w:r>
          </w:p>
        </w:tc>
        <w:tc>
          <w:tcPr>
            <w:tcW w:w="2415" w:type="dxa"/>
            <w:vAlign w:val="center"/>
          </w:tcPr>
          <w:p>
            <w:pPr>
              <w:pStyle w:val="15"/>
            </w:pPr>
            <w:r>
              <w:t>3</w:t>
            </w:r>
          </w:p>
        </w:tc>
        <w:tc>
          <w:tcPr>
            <w:tcW w:w="1616" w:type="dxa"/>
            <w:vAlign w:val="center"/>
          </w:tcPr>
          <w:p>
            <w:pPr>
              <w:pStyle w:val="15"/>
            </w:pPr>
            <w:r>
              <w:t>4</w:t>
            </w:r>
          </w:p>
        </w:tc>
        <w:tc>
          <w:tcPr>
            <w:tcW w:w="1264"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6621" w:type="dxa"/>
            <w:vAlign w:val="center"/>
          </w:tcPr>
          <w:p>
            <w:pPr>
              <w:pStyle w:val="17"/>
            </w:pPr>
          </w:p>
        </w:tc>
        <w:tc>
          <w:tcPr>
            <w:tcW w:w="2415" w:type="dxa"/>
            <w:vAlign w:val="center"/>
          </w:tcPr>
          <w:p>
            <w:pPr>
              <w:pStyle w:val="16"/>
            </w:pPr>
          </w:p>
        </w:tc>
        <w:tc>
          <w:tcPr>
            <w:tcW w:w="1616" w:type="dxa"/>
            <w:vAlign w:val="center"/>
          </w:tcPr>
          <w:p>
            <w:pPr>
              <w:pStyle w:val="16"/>
            </w:pPr>
          </w:p>
        </w:tc>
        <w:tc>
          <w:tcPr>
            <w:tcW w:w="1264"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6595"/>
        <w:gridCol w:w="2261"/>
        <w:gridCol w:w="1503"/>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36" w:type="dxa"/>
            <w:gridSpan w:val="3"/>
            <w:tcBorders>
              <w:top w:val="single" w:color="FFFFFF" w:sz="6" w:space="0"/>
              <w:left w:val="single" w:color="FFFFFF" w:sz="6" w:space="0"/>
              <w:right w:val="single" w:color="FFFFFF" w:sz="6" w:space="0"/>
            </w:tcBorders>
            <w:vAlign w:val="center"/>
          </w:tcPr>
          <w:p>
            <w:pPr>
              <w:pStyle w:val="14"/>
            </w:pPr>
            <w:r>
              <w:t>203001</w:t>
            </w:r>
            <w:r>
              <w:rPr>
                <w:rFonts w:hint="eastAsia"/>
                <w:lang w:eastAsia="zh-CN"/>
              </w:rPr>
              <w:t xml:space="preserve"> </w:t>
            </w:r>
            <w:r>
              <w:rPr>
                <w:rFonts w:hint="eastAsia"/>
              </w:rPr>
              <w:t>中共秦皇岛市山海关区委组织部本级：</w:t>
            </w:r>
          </w:p>
        </w:tc>
        <w:tc>
          <w:tcPr>
            <w:tcW w:w="2261" w:type="dxa"/>
            <w:tcBorders>
              <w:top w:val="single" w:color="FFFFFF" w:sz="6" w:space="0"/>
              <w:left w:val="single" w:color="FFFFFF" w:sz="6" w:space="0"/>
              <w:right w:val="single" w:color="FFFFFF" w:sz="6" w:space="0"/>
            </w:tcBorders>
            <w:vAlign w:val="center"/>
          </w:tcPr>
          <w:p>
            <w:pPr>
              <w:pStyle w:val="13"/>
            </w:pPr>
            <w:r>
              <w:t>预算年度：2022</w:t>
            </w:r>
          </w:p>
        </w:tc>
        <w:tc>
          <w:tcPr>
            <w:tcW w:w="292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7786" w:type="dxa"/>
            <w:gridSpan w:val="2"/>
            <w:vAlign w:val="center"/>
          </w:tcPr>
          <w:p>
            <w:pPr>
              <w:pStyle w:val="15"/>
            </w:pPr>
            <w:r>
              <w:t>功能分类科目</w:t>
            </w:r>
          </w:p>
        </w:tc>
        <w:tc>
          <w:tcPr>
            <w:tcW w:w="2261" w:type="dxa"/>
            <w:vMerge w:val="restart"/>
            <w:vAlign w:val="center"/>
          </w:tcPr>
          <w:p>
            <w:pPr>
              <w:pStyle w:val="15"/>
            </w:pPr>
            <w:r>
              <w:t>合计</w:t>
            </w:r>
          </w:p>
        </w:tc>
        <w:tc>
          <w:tcPr>
            <w:tcW w:w="1503" w:type="dxa"/>
            <w:vMerge w:val="restart"/>
            <w:vAlign w:val="center"/>
          </w:tcPr>
          <w:p>
            <w:pPr>
              <w:pStyle w:val="15"/>
            </w:pPr>
            <w:r>
              <w:t>基本支出</w:t>
            </w:r>
          </w:p>
        </w:tc>
        <w:tc>
          <w:tcPr>
            <w:tcW w:w="1418"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6595" w:type="dxa"/>
            <w:vAlign w:val="center"/>
          </w:tcPr>
          <w:p>
            <w:pPr>
              <w:pStyle w:val="15"/>
            </w:pPr>
            <w:r>
              <w:t>科目名称</w:t>
            </w:r>
          </w:p>
        </w:tc>
        <w:tc>
          <w:tcPr>
            <w:tcW w:w="2261" w:type="dxa"/>
            <w:vMerge w:val="continue"/>
          </w:tcPr>
          <w:p/>
        </w:tc>
        <w:tc>
          <w:tcPr>
            <w:tcW w:w="1503" w:type="dxa"/>
            <w:vMerge w:val="continue"/>
          </w:tcPr>
          <w:p/>
        </w:tc>
        <w:tc>
          <w:tcPr>
            <w:tcW w:w="141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6595" w:type="dxa"/>
            <w:vAlign w:val="center"/>
          </w:tcPr>
          <w:p>
            <w:pPr>
              <w:pStyle w:val="15"/>
            </w:pPr>
            <w:r>
              <w:t>2</w:t>
            </w:r>
          </w:p>
        </w:tc>
        <w:tc>
          <w:tcPr>
            <w:tcW w:w="2261" w:type="dxa"/>
            <w:vAlign w:val="center"/>
          </w:tcPr>
          <w:p>
            <w:pPr>
              <w:pStyle w:val="15"/>
            </w:pPr>
            <w:r>
              <w:t>3</w:t>
            </w:r>
          </w:p>
        </w:tc>
        <w:tc>
          <w:tcPr>
            <w:tcW w:w="1503" w:type="dxa"/>
            <w:vAlign w:val="center"/>
          </w:tcPr>
          <w:p>
            <w:pPr>
              <w:pStyle w:val="15"/>
            </w:pPr>
            <w:r>
              <w:t>4</w:t>
            </w:r>
          </w:p>
        </w:tc>
        <w:tc>
          <w:tcPr>
            <w:tcW w:w="1418"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6595" w:type="dxa"/>
            <w:vAlign w:val="center"/>
          </w:tcPr>
          <w:p>
            <w:pPr>
              <w:pStyle w:val="17"/>
            </w:pPr>
          </w:p>
        </w:tc>
        <w:tc>
          <w:tcPr>
            <w:tcW w:w="2261" w:type="dxa"/>
            <w:vAlign w:val="center"/>
          </w:tcPr>
          <w:p>
            <w:pPr>
              <w:pStyle w:val="16"/>
            </w:pPr>
          </w:p>
        </w:tc>
        <w:tc>
          <w:tcPr>
            <w:tcW w:w="1503" w:type="dxa"/>
            <w:vAlign w:val="center"/>
          </w:tcPr>
          <w:p>
            <w:pPr>
              <w:pStyle w:val="16"/>
            </w:pPr>
          </w:p>
        </w:tc>
        <w:tc>
          <w:tcPr>
            <w:tcW w:w="1418"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5413" w:type="dxa"/>
        <w:tblInd w:w="60" w:type="dxa"/>
        <w:tblLayout w:type="autofit"/>
        <w:tblCellMar>
          <w:top w:w="0" w:type="dxa"/>
          <w:left w:w="108" w:type="dxa"/>
          <w:bottom w:w="0" w:type="dxa"/>
          <w:right w:w="108" w:type="dxa"/>
        </w:tblCellMar>
      </w:tblPr>
      <w:tblGrid>
        <w:gridCol w:w="605"/>
        <w:gridCol w:w="5419"/>
        <w:gridCol w:w="718"/>
        <w:gridCol w:w="2871"/>
        <w:gridCol w:w="2900"/>
        <w:gridCol w:w="2900"/>
      </w:tblGrid>
      <w:tr>
        <w:tblPrEx>
          <w:tblCellMar>
            <w:top w:w="0" w:type="dxa"/>
            <w:left w:w="108" w:type="dxa"/>
            <w:bottom w:w="0" w:type="dxa"/>
            <w:right w:w="108" w:type="dxa"/>
          </w:tblCellMar>
        </w:tblPrEx>
        <w:trPr>
          <w:trHeight w:val="330" w:hRule="atLeast"/>
        </w:trPr>
        <w:tc>
          <w:tcPr>
            <w:tcW w:w="9613" w:type="dxa"/>
            <w:gridSpan w:val="4"/>
            <w:tcBorders>
              <w:top w:val="nil"/>
              <w:left w:val="nil"/>
              <w:bottom w:val="nil"/>
              <w:right w:val="nil"/>
            </w:tcBorders>
            <w:shd w:val="clear" w:color="auto" w:fill="auto"/>
            <w:noWrap/>
            <w:vAlign w:val="center"/>
          </w:tcPr>
          <w:p>
            <w:pPr>
              <w:rPr>
                <w:rFonts w:ascii="宋体" w:hAnsi="宋体" w:eastAsia="宋体" w:cs="宋体"/>
                <w:color w:val="000000"/>
                <w:sz w:val="22"/>
                <w:szCs w:val="22"/>
              </w:rPr>
            </w:pPr>
            <w:r>
              <w:rPr>
                <w:color w:val="000000"/>
                <w:sz w:val="22"/>
                <w:szCs w:val="22"/>
              </w:rPr>
              <w:t>203001</w:t>
            </w:r>
            <w:r>
              <w:rPr>
                <w:rFonts w:hint="eastAsia" w:eastAsiaTheme="minorEastAsia"/>
                <w:color w:val="000000"/>
                <w:sz w:val="22"/>
                <w:szCs w:val="22"/>
                <w:lang w:eastAsia="zh-CN"/>
              </w:rPr>
              <w:t xml:space="preserve"> </w:t>
            </w:r>
            <w:r>
              <w:rPr>
                <w:rFonts w:hint="eastAsia" w:ascii="宋体" w:hAnsi="宋体" w:eastAsia="宋体" w:cs="宋体"/>
                <w:color w:val="000000"/>
                <w:sz w:val="22"/>
                <w:szCs w:val="22"/>
              </w:rPr>
              <w:t>中共秦皇岛市山海关区委组织部本级</w:t>
            </w:r>
          </w:p>
        </w:tc>
        <w:tc>
          <w:tcPr>
            <w:tcW w:w="290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预算年度：</w:t>
            </w:r>
            <w:r>
              <w:rPr>
                <w:color w:val="000000"/>
                <w:sz w:val="22"/>
                <w:szCs w:val="22"/>
              </w:rPr>
              <w:t>2022</w:t>
            </w:r>
          </w:p>
        </w:tc>
        <w:tc>
          <w:tcPr>
            <w:tcW w:w="2900" w:type="dxa"/>
            <w:tcBorders>
              <w:top w:val="nil"/>
              <w:left w:val="nil"/>
              <w:bottom w:val="nil"/>
              <w:right w:val="nil"/>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金额单位：万元</w:t>
            </w:r>
          </w:p>
        </w:tc>
      </w:tr>
      <w:tr>
        <w:tblPrEx>
          <w:tblCellMar>
            <w:top w:w="0" w:type="dxa"/>
            <w:left w:w="108" w:type="dxa"/>
            <w:bottom w:w="0" w:type="dxa"/>
            <w:right w:w="108" w:type="dxa"/>
          </w:tblCellMar>
        </w:tblPrEx>
        <w:trPr>
          <w:trHeight w:val="330" w:hRule="atLeast"/>
        </w:trPr>
        <w:tc>
          <w:tcPr>
            <w:tcW w:w="6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541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项目</w:t>
            </w:r>
          </w:p>
        </w:tc>
        <w:tc>
          <w:tcPr>
            <w:tcW w:w="9389"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资金性质</w:t>
            </w:r>
          </w:p>
        </w:tc>
      </w:tr>
      <w:tr>
        <w:tblPrEx>
          <w:tblCellMar>
            <w:top w:w="0" w:type="dxa"/>
            <w:left w:w="108" w:type="dxa"/>
            <w:bottom w:w="0" w:type="dxa"/>
            <w:right w:w="108" w:type="dxa"/>
          </w:tblCellMar>
        </w:tblPrEx>
        <w:trPr>
          <w:trHeight w:val="330" w:hRule="atLeast"/>
        </w:trPr>
        <w:tc>
          <w:tcPr>
            <w:tcW w:w="6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541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2"/>
                <w:szCs w:val="22"/>
              </w:rPr>
            </w:pPr>
          </w:p>
        </w:tc>
        <w:tc>
          <w:tcPr>
            <w:tcW w:w="71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28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一般公共预算财政拨款</w:t>
            </w:r>
          </w:p>
        </w:tc>
        <w:tc>
          <w:tcPr>
            <w:tcW w:w="29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政府性基金财政拨款</w:t>
            </w:r>
          </w:p>
        </w:tc>
        <w:tc>
          <w:tcPr>
            <w:tcW w:w="29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国有资本经营预算财政拨款</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栏次</w:t>
            </w:r>
          </w:p>
        </w:tc>
        <w:tc>
          <w:tcPr>
            <w:tcW w:w="541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718"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287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29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29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合计</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18.53</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18.53</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2</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w:t>
            </w:r>
            <w:r>
              <w:rPr>
                <w:rFonts w:hint="eastAsia" w:ascii="宋体" w:hAnsi="宋体" w:eastAsia="宋体" w:cs="宋体"/>
                <w:color w:val="000000"/>
                <w:sz w:val="22"/>
                <w:szCs w:val="22"/>
              </w:rPr>
              <w:t>三公</w:t>
            </w:r>
            <w:r>
              <w:rPr>
                <w:rFonts w:ascii="Calibri" w:hAnsi="Calibri" w:cs="Calibri"/>
                <w:color w:val="000000"/>
                <w:sz w:val="22"/>
                <w:szCs w:val="22"/>
              </w:rPr>
              <w:t>”</w:t>
            </w:r>
            <w:r>
              <w:rPr>
                <w:rFonts w:hint="eastAsia" w:ascii="宋体" w:hAnsi="宋体" w:eastAsia="宋体" w:cs="宋体"/>
                <w:color w:val="000000"/>
                <w:sz w:val="22"/>
                <w:szCs w:val="22"/>
              </w:rPr>
              <w:t>经费小计</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11.31</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11.31</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3</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一、因公出国（境）费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4</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 xml:space="preserve">    </w:t>
            </w:r>
            <w:r>
              <w:rPr>
                <w:rFonts w:hint="eastAsia" w:ascii="宋体" w:hAnsi="宋体" w:eastAsia="宋体" w:cs="宋体"/>
                <w:color w:val="000000"/>
                <w:sz w:val="22"/>
                <w:szCs w:val="22"/>
              </w:rPr>
              <w:t>其中：教学科研人员因公出国（境）费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5</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 xml:space="preserve">          </w:t>
            </w:r>
            <w:r>
              <w:rPr>
                <w:rFonts w:hint="eastAsia" w:ascii="宋体" w:hAnsi="宋体" w:eastAsia="宋体" w:cs="宋体"/>
                <w:color w:val="000000"/>
                <w:sz w:val="22"/>
                <w:szCs w:val="22"/>
              </w:rPr>
              <w:t>其他因公出国（境）费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6</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二、公务用车购置及运维费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7</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 xml:space="preserve">    </w:t>
            </w:r>
            <w:r>
              <w:rPr>
                <w:rFonts w:hint="eastAsia" w:ascii="宋体" w:hAnsi="宋体" w:eastAsia="宋体" w:cs="宋体"/>
                <w:color w:val="000000"/>
                <w:sz w:val="22"/>
                <w:szCs w:val="22"/>
              </w:rPr>
              <w:t>其中：公务用车购置费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8</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ascii="Calibri" w:hAnsi="Calibri"/>
                <w:color w:val="000000"/>
                <w:sz w:val="22"/>
                <w:szCs w:val="22"/>
              </w:rPr>
              <w:t xml:space="preserve">          </w:t>
            </w:r>
            <w:r>
              <w:rPr>
                <w:rFonts w:hint="eastAsia" w:ascii="宋体" w:hAnsi="宋体" w:eastAsia="宋体" w:cs="宋体"/>
                <w:color w:val="000000"/>
                <w:sz w:val="22"/>
                <w:szCs w:val="22"/>
              </w:rPr>
              <w:t>公务用车运行维护费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11.00</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11.00</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9</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三、公务接待费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0.31</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0.31</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10</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四、会议费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r>
        <w:tblPrEx>
          <w:tblCellMar>
            <w:top w:w="0" w:type="dxa"/>
            <w:left w:w="108" w:type="dxa"/>
            <w:bottom w:w="0" w:type="dxa"/>
            <w:right w:w="108" w:type="dxa"/>
          </w:tblCellMar>
        </w:tblPrEx>
        <w:trPr>
          <w:trHeight w:val="330" w:hRule="atLeast"/>
        </w:trPr>
        <w:tc>
          <w:tcPr>
            <w:tcW w:w="605" w:type="dxa"/>
            <w:tcBorders>
              <w:top w:val="nil"/>
              <w:left w:val="single" w:color="auto" w:sz="4" w:space="0"/>
              <w:bottom w:val="single" w:color="auto" w:sz="4" w:space="0"/>
              <w:right w:val="single" w:color="auto" w:sz="4" w:space="0"/>
            </w:tcBorders>
            <w:shd w:val="clear" w:color="auto" w:fill="auto"/>
            <w:noWrap/>
          </w:tcPr>
          <w:p>
            <w:pPr>
              <w:jc w:val="center"/>
              <w:rPr>
                <w:rFonts w:ascii="Calibri" w:hAnsi="Calibri" w:eastAsia="宋体" w:cs="宋体"/>
                <w:color w:val="000000"/>
                <w:sz w:val="22"/>
                <w:szCs w:val="22"/>
              </w:rPr>
            </w:pPr>
            <w:r>
              <w:rPr>
                <w:rFonts w:ascii="Calibri" w:hAnsi="Calibri"/>
                <w:color w:val="000000"/>
                <w:sz w:val="22"/>
                <w:szCs w:val="22"/>
              </w:rPr>
              <w:t>11</w:t>
            </w:r>
          </w:p>
        </w:tc>
        <w:tc>
          <w:tcPr>
            <w:tcW w:w="5419" w:type="dxa"/>
            <w:tcBorders>
              <w:top w:val="nil"/>
              <w:left w:val="nil"/>
              <w:bottom w:val="single" w:color="auto" w:sz="4" w:space="0"/>
              <w:right w:val="single" w:color="auto" w:sz="4" w:space="0"/>
            </w:tcBorders>
            <w:shd w:val="clear" w:color="auto" w:fill="auto"/>
            <w:noWrap/>
          </w:tcPr>
          <w:p>
            <w:pPr>
              <w:rPr>
                <w:rFonts w:ascii="Calibri" w:hAnsi="Calibri" w:eastAsia="宋体" w:cs="宋体"/>
                <w:color w:val="000000"/>
                <w:sz w:val="22"/>
                <w:szCs w:val="22"/>
              </w:rPr>
            </w:pPr>
            <w:r>
              <w:rPr>
                <w:rFonts w:hint="eastAsia" w:ascii="宋体" w:hAnsi="宋体" w:eastAsia="宋体" w:cs="宋体"/>
                <w:color w:val="000000"/>
                <w:sz w:val="22"/>
                <w:szCs w:val="22"/>
              </w:rPr>
              <w:t>五、培训费</w:t>
            </w:r>
          </w:p>
        </w:tc>
        <w:tc>
          <w:tcPr>
            <w:tcW w:w="718"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7.22</w:t>
            </w:r>
          </w:p>
        </w:tc>
        <w:tc>
          <w:tcPr>
            <w:tcW w:w="2871"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ascii="Calibri" w:hAnsi="Calibri"/>
                <w:color w:val="000000"/>
                <w:sz w:val="22"/>
                <w:szCs w:val="22"/>
              </w:rPr>
              <w:t>7.22</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c>
          <w:tcPr>
            <w:tcW w:w="2900" w:type="dxa"/>
            <w:tcBorders>
              <w:top w:val="nil"/>
              <w:left w:val="nil"/>
              <w:bottom w:val="single" w:color="auto" w:sz="4" w:space="0"/>
              <w:right w:val="single" w:color="auto" w:sz="4" w:space="0"/>
            </w:tcBorders>
            <w:shd w:val="clear" w:color="auto" w:fill="auto"/>
            <w:noWrap/>
          </w:tcPr>
          <w:p>
            <w:pPr>
              <w:jc w:val="right"/>
              <w:rPr>
                <w:rFonts w:ascii="Calibri" w:hAnsi="Calibri" w:eastAsia="宋体" w:cs="宋体"/>
                <w:color w:val="000000"/>
                <w:sz w:val="22"/>
                <w:szCs w:val="22"/>
              </w:rPr>
            </w:pPr>
            <w:r>
              <w:rPr>
                <w:rFonts w:hint="eastAsia" w:ascii="宋体" w:hAnsi="宋体" w:eastAsia="宋体" w:cs="宋体"/>
                <w:color w:val="000000"/>
                <w:sz w:val="22"/>
                <w:szCs w:val="22"/>
              </w:rPr>
              <w:t>　</w:t>
            </w: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中共秦皇岛市山海关区委组织部</w:t>
      </w:r>
      <w:r>
        <w:rPr>
          <w:rFonts w:ascii="方正小标宋_GBK" w:hAnsi="方正小标宋_GBK" w:eastAsia="方正小标宋_GBK" w:cs="方正小标宋_GBK"/>
          <w:color w:val="000000"/>
          <w:sz w:val="44"/>
        </w:rPr>
        <w:t>本级</w:t>
      </w:r>
    </w:p>
    <w:p>
      <w:pPr>
        <w:jc w:val="center"/>
        <w:outlineLvl w:val="4"/>
      </w:pPr>
      <w:r>
        <w:rPr>
          <w:rFonts w:ascii="方正小标宋_GBK" w:hAnsi="方正小标宋_GBK" w:eastAsia="方正小标宋_GBK" w:cs="方正小标宋_GBK"/>
          <w:color w:val="000000"/>
          <w:sz w:val="44"/>
        </w:rPr>
        <w:t>2022年单位预算信息公开情况说明</w:t>
      </w:r>
    </w:p>
    <w:p>
      <w:pPr>
        <w:ind w:firstLine="640" w:firstLineChars="200"/>
        <w:rPr>
          <w:rFonts w:ascii="仿宋_GB2312" w:eastAsia="仿宋_GB2312"/>
          <w:sz w:val="32"/>
          <w:szCs w:val="32"/>
        </w:rPr>
      </w:pPr>
      <w:bookmarkStart w:id="1" w:name="_Toc_4_4_0000000020"/>
      <w:r>
        <w:rPr>
          <w:rFonts w:hint="eastAsia" w:ascii="仿宋_GB2312" w:eastAsia="仿宋_GB2312"/>
          <w:sz w:val="32"/>
          <w:szCs w:val="32"/>
        </w:rPr>
        <w:t>按照《</w:t>
      </w:r>
      <w:r>
        <w:rPr>
          <w:rFonts w:hint="eastAsia" w:ascii="仿宋_GB2312" w:eastAsia="仿宋_GB2312"/>
          <w:sz w:val="32"/>
          <w:szCs w:val="32"/>
          <w:lang w:eastAsia="zh-CN"/>
        </w:rPr>
        <w:t>中华人民共和国</w:t>
      </w:r>
      <w:r>
        <w:rPr>
          <w:rFonts w:hint="eastAsia" w:ascii="仿宋_GB2312" w:eastAsia="仿宋_GB2312"/>
          <w:sz w:val="32"/>
          <w:szCs w:val="32"/>
        </w:rPr>
        <w:t>预算法》、《地方预决算公开操作规程》和《河北省省级预算公开办法》规定，现将中共秦皇岛市山海关区委组织部本级2022年单位预算公开如下：</w:t>
      </w:r>
    </w:p>
    <w:p>
      <w:pPr>
        <w:rPr>
          <w:rFonts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一、单位职责及机构设置情况</w:t>
      </w:r>
    </w:p>
    <w:p>
      <w:pPr>
        <w:ind w:firstLine="640"/>
        <w:rPr>
          <w:rFonts w:ascii="楷体_GB2312" w:hAnsi="楷体" w:eastAsia="楷体_GB2312" w:cs="楷体"/>
          <w:b/>
          <w:color w:val="000000"/>
          <w:sz w:val="32"/>
        </w:rPr>
      </w:pPr>
      <w:r>
        <w:rPr>
          <w:rFonts w:hint="eastAsia" w:ascii="楷体_GB2312" w:hAnsi="楷体" w:eastAsia="楷体_GB2312" w:cs="楷体"/>
          <w:b/>
          <w:color w:val="000000"/>
          <w:sz w:val="32"/>
        </w:rPr>
        <w:t xml:space="preserve">单位职责： </w:t>
      </w:r>
    </w:p>
    <w:p>
      <w:pPr>
        <w:spacing w:line="500" w:lineRule="exact"/>
        <w:ind w:firstLine="560"/>
        <w:rPr>
          <w:rFonts w:ascii="仿宋_GB2312" w:eastAsia="仿宋_GB2312"/>
          <w:sz w:val="32"/>
          <w:szCs w:val="32"/>
        </w:rPr>
      </w:pPr>
      <w:r>
        <w:rPr>
          <w:rFonts w:ascii="仿宋_GB2312" w:eastAsia="仿宋_GB2312"/>
          <w:sz w:val="32"/>
          <w:szCs w:val="32"/>
        </w:rPr>
        <w:t>根据《中共秦皇岛市山海关区委组织部职能配置、内设机构和人员编制规定》，中共秦皇岛市山海关区委组织部的主要职责是：</w:t>
      </w:r>
    </w:p>
    <w:p>
      <w:pPr>
        <w:pStyle w:val="22"/>
        <w:jc w:val="center"/>
        <w:rPr>
          <w:rFonts w:ascii="仿宋_GB2312" w:hAnsi="Calibri" w:eastAsia="仿宋_GB2312"/>
          <w:kern w:val="2"/>
          <w:sz w:val="32"/>
          <w:szCs w:val="32"/>
          <w:lang w:eastAsia="zh-CN"/>
        </w:rPr>
      </w:pPr>
      <w:r>
        <w:rPr>
          <w:rFonts w:ascii="仿宋_GB2312" w:hAnsi="Calibri" w:eastAsia="仿宋_GB2312"/>
          <w:kern w:val="2"/>
          <w:sz w:val="32"/>
          <w:szCs w:val="32"/>
          <w:lang w:eastAsia="zh-CN"/>
        </w:rPr>
        <w:t>中共秦皇岛市山海关区委组织部职责情况说明</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一、党员和党组织建设</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二、干部管理</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干部监督工作的综合、协调和宏观指导。</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三、人才工作及人才队伍建设</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全区人才工作的综合协调、检查指导，负责区管优秀人才的选拔管理；负责区级优秀人才、人才工作先进单位及先进个人的评比表彰工作；负责人才工作的信息反馈工作；负责全区人才信息库工作；会同有关</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做好优秀专家、享受政府特贴人员、省市有突出贡献的中青年专家、市级优秀人才的推荐工作。</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四、组织事务管理</w:t>
      </w:r>
    </w:p>
    <w:p>
      <w:pPr>
        <w:pStyle w:val="22"/>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主要职责：负责做好部机关文秘、信访、会议等工作的计划安排和管理；负责机关自身建设；负责新闻工作网宣与舆情监控、处置；组织系统信息化建设；负责指导全区组织系统的调研工作。</w:t>
      </w:r>
    </w:p>
    <w:p>
      <w:pPr>
        <w:ind w:firstLine="630" w:firstLineChars="196"/>
        <w:rPr>
          <w:rFonts w:ascii="楷体_GB2312" w:hAnsi="楷体" w:eastAsia="楷体_GB2312" w:cs="楷体"/>
          <w:b/>
          <w:color w:val="000000"/>
          <w:sz w:val="32"/>
          <w:lang w:eastAsia="zh-CN"/>
        </w:rPr>
      </w:pPr>
      <w:r>
        <w:rPr>
          <w:rFonts w:hint="eastAsia" w:ascii="楷体_GB2312" w:hAnsi="楷体" w:eastAsia="楷体_GB2312" w:cs="楷体"/>
          <w:b/>
          <w:color w:val="000000"/>
          <w:sz w:val="32"/>
          <w:lang w:eastAsia="zh-CN"/>
        </w:rPr>
        <w:t>机构设置：</w:t>
      </w:r>
    </w:p>
    <w:p>
      <w:pPr>
        <w:jc w:val="center"/>
        <w:rPr>
          <w:rFonts w:ascii="楷体_GB2312" w:hAnsi="楷体" w:eastAsia="楷体_GB2312" w:cs="楷体"/>
          <w:b/>
          <w:color w:val="000000"/>
          <w:sz w:val="32"/>
          <w:lang w:eastAsia="zh-CN"/>
        </w:rPr>
      </w:pPr>
      <w:r>
        <w:rPr>
          <w:rFonts w:hint="eastAsia" w:ascii="楷体_GB2312" w:hAnsi="楷体" w:eastAsia="楷体_GB2312" w:cs="楷体"/>
          <w:b/>
          <w:color w:val="000000"/>
          <w:sz w:val="32"/>
          <w:lang w:eastAsia="zh-CN"/>
        </w:rPr>
        <w:t>单位机构设置情况</w:t>
      </w:r>
    </w:p>
    <w:tbl>
      <w:tblPr>
        <w:tblStyle w:val="8"/>
        <w:tblpPr w:leftFromText="180" w:rightFromText="180" w:vertAnchor="page" w:horzAnchor="margin" w:tblpY="6196"/>
        <w:tblW w:w="1244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53"/>
        <w:gridCol w:w="1701"/>
        <w:gridCol w:w="1559"/>
        <w:gridCol w:w="3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tblHeader/>
        </w:trPr>
        <w:tc>
          <w:tcPr>
            <w:tcW w:w="5353" w:type="dxa"/>
            <w:vMerge w:val="restart"/>
            <w:vAlign w:val="center"/>
          </w:tcPr>
          <w:p>
            <w:pPr>
              <w:spacing w:line="300" w:lineRule="exact"/>
              <w:jc w:val="center"/>
              <w:rPr>
                <w:rFonts w:ascii="仿宋_GB2312" w:hAnsi="仿宋" w:eastAsia="仿宋_GB2312" w:cs="仿宋"/>
                <w:b/>
                <w:szCs w:val="21"/>
              </w:rPr>
            </w:pPr>
            <w:r>
              <w:rPr>
                <w:rFonts w:hint="eastAsia" w:ascii="仿宋_GB2312" w:hAnsi="仿宋" w:eastAsia="仿宋_GB2312" w:cs="仿宋"/>
                <w:b/>
                <w:szCs w:val="21"/>
              </w:rPr>
              <w:t>单位名称</w:t>
            </w:r>
          </w:p>
        </w:tc>
        <w:tc>
          <w:tcPr>
            <w:tcW w:w="1701" w:type="dxa"/>
            <w:vMerge w:val="restart"/>
            <w:vAlign w:val="center"/>
          </w:tcPr>
          <w:p>
            <w:pPr>
              <w:spacing w:line="300" w:lineRule="exact"/>
              <w:jc w:val="center"/>
              <w:rPr>
                <w:rFonts w:ascii="仿宋_GB2312" w:hAnsi="仿宋" w:eastAsia="仿宋_GB2312" w:cs="仿宋"/>
                <w:b/>
                <w:szCs w:val="21"/>
              </w:rPr>
            </w:pPr>
            <w:r>
              <w:rPr>
                <w:rFonts w:hint="eastAsia" w:ascii="仿宋_GB2312" w:hAnsi="仿宋" w:eastAsia="仿宋_GB2312" w:cs="仿宋"/>
                <w:b/>
                <w:szCs w:val="21"/>
              </w:rPr>
              <w:t>单位性质</w:t>
            </w:r>
          </w:p>
        </w:tc>
        <w:tc>
          <w:tcPr>
            <w:tcW w:w="1559" w:type="dxa"/>
            <w:vMerge w:val="restart"/>
            <w:vAlign w:val="center"/>
          </w:tcPr>
          <w:p>
            <w:pPr>
              <w:spacing w:line="300" w:lineRule="exact"/>
              <w:jc w:val="center"/>
              <w:rPr>
                <w:rFonts w:ascii="仿宋_GB2312" w:hAnsi="仿宋" w:eastAsia="仿宋_GB2312" w:cs="仿宋"/>
                <w:b/>
                <w:szCs w:val="21"/>
              </w:rPr>
            </w:pPr>
            <w:r>
              <w:rPr>
                <w:rFonts w:hint="eastAsia" w:ascii="仿宋_GB2312" w:hAnsi="仿宋" w:eastAsia="仿宋_GB2312" w:cs="仿宋"/>
                <w:b/>
                <w:szCs w:val="21"/>
              </w:rPr>
              <w:t>单位规格</w:t>
            </w:r>
          </w:p>
        </w:tc>
        <w:tc>
          <w:tcPr>
            <w:tcW w:w="3828" w:type="dxa"/>
            <w:vMerge w:val="restart"/>
            <w:vAlign w:val="center"/>
          </w:tcPr>
          <w:p>
            <w:pPr>
              <w:spacing w:line="300" w:lineRule="exact"/>
              <w:jc w:val="center"/>
              <w:rPr>
                <w:rFonts w:ascii="仿宋_GB2312" w:hAnsi="仿宋" w:eastAsia="仿宋_GB2312" w:cs="仿宋"/>
                <w:b/>
                <w:szCs w:val="21"/>
              </w:rPr>
            </w:pPr>
            <w:r>
              <w:rPr>
                <w:rFonts w:hint="eastAsia" w:ascii="仿宋_GB2312" w:hAnsi="仿宋" w:eastAsia="仿宋_GB2312" w:cs="仿宋"/>
                <w:b/>
                <w:szCs w:val="21"/>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tblHeader/>
        </w:trPr>
        <w:tc>
          <w:tcPr>
            <w:tcW w:w="5353" w:type="dxa"/>
            <w:vMerge w:val="continue"/>
            <w:vAlign w:val="center"/>
          </w:tcPr>
          <w:p>
            <w:pPr>
              <w:spacing w:line="300" w:lineRule="exact"/>
              <w:outlineLvl w:val="0"/>
              <w:rPr>
                <w:rFonts w:ascii="仿宋" w:hAnsi="仿宋" w:eastAsia="仿宋" w:cs="仿宋"/>
                <w:szCs w:val="21"/>
              </w:rPr>
            </w:pPr>
          </w:p>
        </w:tc>
        <w:tc>
          <w:tcPr>
            <w:tcW w:w="1701" w:type="dxa"/>
            <w:vMerge w:val="continue"/>
            <w:vAlign w:val="center"/>
          </w:tcPr>
          <w:p>
            <w:pPr>
              <w:spacing w:line="300" w:lineRule="exact"/>
              <w:outlineLvl w:val="0"/>
              <w:rPr>
                <w:rFonts w:ascii="仿宋" w:hAnsi="仿宋" w:eastAsia="仿宋" w:cs="仿宋"/>
                <w:szCs w:val="21"/>
              </w:rPr>
            </w:pPr>
          </w:p>
        </w:tc>
        <w:tc>
          <w:tcPr>
            <w:tcW w:w="1559" w:type="dxa"/>
            <w:vMerge w:val="continue"/>
            <w:vAlign w:val="center"/>
          </w:tcPr>
          <w:p>
            <w:pPr>
              <w:spacing w:line="300" w:lineRule="exact"/>
              <w:outlineLvl w:val="0"/>
              <w:rPr>
                <w:rFonts w:ascii="仿宋" w:hAnsi="仿宋" w:eastAsia="仿宋" w:cs="仿宋"/>
                <w:szCs w:val="21"/>
              </w:rPr>
            </w:pPr>
          </w:p>
        </w:tc>
        <w:tc>
          <w:tcPr>
            <w:tcW w:w="3828" w:type="dxa"/>
            <w:vMerge w:val="continue"/>
            <w:vAlign w:val="center"/>
          </w:tcPr>
          <w:p>
            <w:pPr>
              <w:spacing w:line="300" w:lineRule="exact"/>
              <w:outlineLvl w:val="0"/>
              <w:rPr>
                <w:rFonts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rPr>
        <w:tc>
          <w:tcPr>
            <w:tcW w:w="5353" w:type="dxa"/>
            <w:vAlign w:val="center"/>
          </w:tcPr>
          <w:p>
            <w:pPr>
              <w:spacing w:line="300" w:lineRule="exact"/>
              <w:jc w:val="center"/>
              <w:rPr>
                <w:rFonts w:ascii="仿宋_GB2312" w:eastAsia="仿宋_GB2312"/>
                <w:szCs w:val="21"/>
                <w:lang w:eastAsia="zh-CN"/>
              </w:rPr>
            </w:pPr>
            <w:r>
              <w:rPr>
                <w:rFonts w:hint="eastAsia" w:ascii="仿宋_GB2312" w:eastAsia="仿宋_GB2312"/>
                <w:szCs w:val="21"/>
              </w:rPr>
              <w:t>中共秦皇岛市山海关区委组织部</w:t>
            </w:r>
            <w:r>
              <w:rPr>
                <w:rFonts w:hint="eastAsia" w:ascii="仿宋_GB2312" w:eastAsia="仿宋_GB2312"/>
                <w:szCs w:val="21"/>
                <w:lang w:eastAsia="zh-CN"/>
              </w:rPr>
              <w:t>本级</w:t>
            </w:r>
          </w:p>
        </w:tc>
        <w:tc>
          <w:tcPr>
            <w:tcW w:w="1701" w:type="dxa"/>
            <w:vAlign w:val="center"/>
          </w:tcPr>
          <w:p>
            <w:pPr>
              <w:spacing w:line="300" w:lineRule="exact"/>
              <w:jc w:val="center"/>
              <w:rPr>
                <w:rFonts w:ascii="仿宋_GB2312" w:eastAsia="仿宋_GB2312"/>
                <w:szCs w:val="21"/>
              </w:rPr>
            </w:pPr>
            <w:r>
              <w:rPr>
                <w:rFonts w:hint="eastAsia" w:ascii="仿宋_GB2312" w:eastAsia="仿宋_GB2312"/>
                <w:szCs w:val="21"/>
              </w:rPr>
              <w:t>行政</w:t>
            </w:r>
          </w:p>
        </w:tc>
        <w:tc>
          <w:tcPr>
            <w:tcW w:w="1559" w:type="dxa"/>
            <w:vAlign w:val="center"/>
          </w:tcPr>
          <w:p>
            <w:pPr>
              <w:spacing w:line="300" w:lineRule="exact"/>
              <w:jc w:val="center"/>
              <w:rPr>
                <w:rFonts w:ascii="仿宋_GB2312" w:eastAsia="仿宋_GB2312"/>
                <w:szCs w:val="21"/>
              </w:rPr>
            </w:pPr>
            <w:r>
              <w:rPr>
                <w:rFonts w:hint="eastAsia" w:ascii="仿宋_GB2312" w:eastAsia="仿宋_GB2312"/>
                <w:szCs w:val="21"/>
              </w:rPr>
              <w:t>正科级</w:t>
            </w:r>
          </w:p>
        </w:tc>
        <w:tc>
          <w:tcPr>
            <w:tcW w:w="3828" w:type="dxa"/>
            <w:vAlign w:val="center"/>
          </w:tcPr>
          <w:p>
            <w:pPr>
              <w:spacing w:line="300" w:lineRule="exact"/>
              <w:jc w:val="center"/>
              <w:rPr>
                <w:rFonts w:ascii="仿宋_GB2312" w:eastAsia="仿宋_GB2312"/>
                <w:szCs w:val="21"/>
              </w:rPr>
            </w:pPr>
            <w:r>
              <w:rPr>
                <w:rFonts w:hint="eastAsia" w:ascii="仿宋_GB2312" w:eastAsia="仿宋_GB2312"/>
                <w:szCs w:val="21"/>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1" w:hRule="atLeast"/>
        </w:trPr>
        <w:tc>
          <w:tcPr>
            <w:tcW w:w="5353" w:type="dxa"/>
            <w:vAlign w:val="center"/>
          </w:tcPr>
          <w:p>
            <w:pPr>
              <w:spacing w:line="300" w:lineRule="exact"/>
              <w:jc w:val="center"/>
              <w:rPr>
                <w:rFonts w:ascii="仿宋_GB2312" w:eastAsia="仿宋_GB2312"/>
                <w:szCs w:val="21"/>
              </w:rPr>
            </w:pPr>
            <w:r>
              <w:rPr>
                <w:rFonts w:hint="eastAsia" w:ascii="仿宋_GB2312" w:eastAsia="仿宋_GB2312"/>
                <w:szCs w:val="21"/>
              </w:rPr>
              <w:t>中共秦皇岛市山海关区委社区建设发展服务中心</w:t>
            </w:r>
          </w:p>
        </w:tc>
        <w:tc>
          <w:tcPr>
            <w:tcW w:w="1701" w:type="dxa"/>
            <w:vAlign w:val="center"/>
          </w:tcPr>
          <w:p>
            <w:pPr>
              <w:spacing w:line="300" w:lineRule="exact"/>
              <w:jc w:val="center"/>
              <w:rPr>
                <w:rFonts w:ascii="仿宋_GB2312" w:eastAsia="仿宋_GB2312"/>
                <w:szCs w:val="21"/>
              </w:rPr>
            </w:pPr>
            <w:r>
              <w:rPr>
                <w:rFonts w:hint="eastAsia" w:ascii="仿宋_GB2312" w:eastAsia="仿宋_GB2312"/>
                <w:szCs w:val="21"/>
              </w:rPr>
              <w:t>事业</w:t>
            </w:r>
          </w:p>
        </w:tc>
        <w:tc>
          <w:tcPr>
            <w:tcW w:w="1559" w:type="dxa"/>
            <w:vAlign w:val="center"/>
          </w:tcPr>
          <w:p>
            <w:pPr>
              <w:spacing w:line="300" w:lineRule="exact"/>
              <w:jc w:val="center"/>
              <w:rPr>
                <w:rFonts w:ascii="仿宋_GB2312" w:eastAsia="仿宋_GB2312"/>
                <w:szCs w:val="21"/>
              </w:rPr>
            </w:pPr>
            <w:r>
              <w:rPr>
                <w:rFonts w:hint="eastAsia" w:ascii="仿宋_GB2312" w:eastAsia="仿宋_GB2312"/>
                <w:szCs w:val="21"/>
              </w:rPr>
              <w:t>正科级</w:t>
            </w:r>
          </w:p>
        </w:tc>
        <w:tc>
          <w:tcPr>
            <w:tcW w:w="3828" w:type="dxa"/>
            <w:vAlign w:val="center"/>
          </w:tcPr>
          <w:p>
            <w:pPr>
              <w:spacing w:line="300" w:lineRule="exact"/>
              <w:jc w:val="center"/>
              <w:rPr>
                <w:rFonts w:ascii="仿宋_GB2312" w:eastAsia="仿宋_GB2312"/>
                <w:szCs w:val="21"/>
              </w:rPr>
            </w:pPr>
            <w:r>
              <w:rPr>
                <w:rFonts w:hint="eastAsia" w:ascii="仿宋_GB2312" w:eastAsia="仿宋_GB2312"/>
                <w:szCs w:val="21"/>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5353" w:type="dxa"/>
            <w:vAlign w:val="center"/>
          </w:tcPr>
          <w:p>
            <w:pPr>
              <w:spacing w:line="300" w:lineRule="exact"/>
              <w:jc w:val="center"/>
              <w:rPr>
                <w:rFonts w:ascii="仿宋_GB2312" w:eastAsia="仿宋_GB2312"/>
                <w:szCs w:val="21"/>
              </w:rPr>
            </w:pPr>
            <w:r>
              <w:rPr>
                <w:rFonts w:hint="eastAsia" w:ascii="仿宋_GB2312" w:eastAsia="仿宋_GB2312"/>
                <w:szCs w:val="21"/>
              </w:rPr>
              <w:t>秦皇岛市山海关区老干部服务中心</w:t>
            </w:r>
          </w:p>
        </w:tc>
        <w:tc>
          <w:tcPr>
            <w:tcW w:w="1701" w:type="dxa"/>
            <w:vAlign w:val="center"/>
          </w:tcPr>
          <w:p>
            <w:pPr>
              <w:spacing w:line="300" w:lineRule="exact"/>
              <w:jc w:val="center"/>
              <w:rPr>
                <w:rFonts w:ascii="仿宋_GB2312" w:eastAsia="仿宋_GB2312"/>
                <w:szCs w:val="21"/>
              </w:rPr>
            </w:pPr>
            <w:r>
              <w:rPr>
                <w:rFonts w:hint="eastAsia" w:ascii="仿宋_GB2312" w:eastAsia="仿宋_GB2312"/>
                <w:szCs w:val="21"/>
              </w:rPr>
              <w:t>事业</w:t>
            </w:r>
          </w:p>
        </w:tc>
        <w:tc>
          <w:tcPr>
            <w:tcW w:w="1559" w:type="dxa"/>
            <w:vAlign w:val="center"/>
          </w:tcPr>
          <w:p>
            <w:pPr>
              <w:spacing w:line="300" w:lineRule="exact"/>
              <w:jc w:val="center"/>
              <w:rPr>
                <w:rFonts w:ascii="仿宋_GB2312" w:eastAsia="仿宋_GB2312"/>
                <w:szCs w:val="21"/>
              </w:rPr>
            </w:pPr>
            <w:r>
              <w:rPr>
                <w:rFonts w:hint="eastAsia" w:ascii="仿宋_GB2312" w:eastAsia="仿宋_GB2312"/>
                <w:szCs w:val="21"/>
              </w:rPr>
              <w:t>正股级</w:t>
            </w:r>
          </w:p>
        </w:tc>
        <w:tc>
          <w:tcPr>
            <w:tcW w:w="3828" w:type="dxa"/>
            <w:vAlign w:val="center"/>
          </w:tcPr>
          <w:p>
            <w:pPr>
              <w:spacing w:line="300" w:lineRule="exact"/>
              <w:jc w:val="center"/>
              <w:rPr>
                <w:rFonts w:ascii="仿宋_GB2312" w:eastAsia="仿宋_GB2312"/>
                <w:szCs w:val="21"/>
              </w:rPr>
            </w:pPr>
            <w:r>
              <w:rPr>
                <w:rFonts w:hint="eastAsia" w:ascii="仿宋_GB2312" w:eastAsia="仿宋_GB2312"/>
                <w:szCs w:val="21"/>
              </w:rPr>
              <w:t>财政性资金基本保证</w:t>
            </w:r>
          </w:p>
        </w:tc>
      </w:tr>
    </w:tbl>
    <w:p>
      <w:pPr>
        <w:rPr>
          <w:rFonts w:ascii="黑体" w:hAnsi="黑体" w:eastAsia="黑体"/>
          <w:color w:val="000000"/>
          <w:sz w:val="32"/>
        </w:rPr>
      </w:pPr>
    </w:p>
    <w:p>
      <w:pPr>
        <w:rPr>
          <w:rFonts w:ascii="黑体" w:hAnsi="黑体" w:eastAsia="黑体"/>
          <w:color w:val="000000"/>
          <w:sz w:val="32"/>
          <w:lang w:eastAsia="zh-CN"/>
        </w:rPr>
      </w:pPr>
      <w:r>
        <w:rPr>
          <w:rFonts w:hint="eastAsia" w:ascii="黑体" w:hAnsi="黑体" w:eastAsia="黑体"/>
          <w:color w:val="000000"/>
          <w:sz w:val="32"/>
        </w:rPr>
        <w:t xml:space="preserve">   </w:t>
      </w: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r>
        <w:rPr>
          <w:rFonts w:hint="eastAsia" w:ascii="黑体" w:hAnsi="黑体" w:eastAsia="黑体"/>
          <w:color w:val="000000"/>
          <w:sz w:val="32"/>
        </w:rPr>
        <w:t xml:space="preserve"> </w:t>
      </w: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rPr>
      </w:pPr>
      <w:r>
        <w:rPr>
          <w:rFonts w:ascii="黑体" w:hAnsi="黑体" w:eastAsia="黑体"/>
          <w:color w:val="000000"/>
          <w:sz w:val="32"/>
        </w:rPr>
        <w:t>二、</w:t>
      </w:r>
      <w:r>
        <w:rPr>
          <w:rFonts w:hint="eastAsia" w:ascii="黑体" w:hAnsi="黑体" w:eastAsia="黑体"/>
          <w:color w:val="000000"/>
          <w:sz w:val="32"/>
        </w:rPr>
        <w:t>单位</w:t>
      </w:r>
      <w:r>
        <w:rPr>
          <w:rFonts w:ascii="黑体" w:hAnsi="黑体" w:eastAsia="黑体"/>
          <w:color w:val="000000"/>
          <w:sz w:val="32"/>
        </w:rPr>
        <w:t>预算安排的总体情况</w:t>
      </w:r>
    </w:p>
    <w:p>
      <w:pPr>
        <w:rPr>
          <w:rFonts w:ascii="仿宋_GB2312" w:hAnsi="仿宋" w:eastAsia="仿宋_GB2312" w:cs="仿宋"/>
          <w:color w:val="000000"/>
          <w:sz w:val="32"/>
        </w:rPr>
      </w:pPr>
      <w:r>
        <w:rPr>
          <w:rFonts w:hint="eastAsia" w:ascii="仿宋" w:hAnsi="仿宋" w:eastAsia="仿宋" w:cs="仿宋"/>
          <w:color w:val="000000"/>
          <w:sz w:val="32"/>
        </w:rPr>
        <w:t xml:space="preserve">    </w:t>
      </w:r>
      <w:r>
        <w:rPr>
          <w:rFonts w:hint="eastAsia" w:ascii="仿宋_GB2312" w:hAnsi="仿宋" w:eastAsia="仿宋_GB2312" w:cs="仿宋"/>
          <w:color w:val="000000"/>
          <w:sz w:val="32"/>
        </w:rPr>
        <w:t>按照预算管理有关规定，目前我区</w:t>
      </w:r>
      <w:r>
        <w:rPr>
          <w:rFonts w:hint="eastAsia" w:ascii="仿宋_GB2312" w:hAnsi="仿宋" w:eastAsia="仿宋_GB2312" w:cs="仿宋"/>
          <w:color w:val="000000"/>
          <w:sz w:val="32"/>
          <w:lang w:eastAsia="zh-CN"/>
        </w:rPr>
        <w:t>部门</w:t>
      </w:r>
      <w:r>
        <w:rPr>
          <w:rFonts w:hint="eastAsia" w:ascii="仿宋_GB2312" w:hAnsi="仿宋" w:eastAsia="仿宋_GB2312" w:cs="仿宋"/>
          <w:color w:val="000000"/>
          <w:sz w:val="32"/>
        </w:rPr>
        <w:t>预算的编制实行综合预算制度，即全部收入和支出都反映在预算中。中共秦皇岛市山海关区委组织部本级机关及所属事业单位的收支包含在中共秦皇岛市山海关区委组织部本级预算中。</w:t>
      </w:r>
    </w:p>
    <w:p>
      <w:pPr>
        <w:rPr>
          <w:rFonts w:ascii="楷体" w:hAnsi="楷体" w:eastAsia="楷体" w:cs="楷体"/>
          <w:color w:val="000000"/>
          <w:sz w:val="32"/>
        </w:rPr>
      </w:pPr>
      <w:r>
        <w:rPr>
          <w:rFonts w:hint="eastAsia" w:ascii="楷体" w:hAnsi="楷体" w:eastAsia="楷体" w:cs="楷体"/>
          <w:color w:val="FF0000"/>
          <w:sz w:val="32"/>
        </w:rPr>
        <w:t xml:space="preserve">    </w:t>
      </w:r>
      <w:r>
        <w:rPr>
          <w:rFonts w:hint="eastAsia" w:ascii="楷体_GB2312" w:hAnsi="楷体" w:eastAsia="楷体_GB2312" w:cs="楷体"/>
          <w:b/>
          <w:color w:val="000000"/>
          <w:sz w:val="32"/>
        </w:rPr>
        <w:t>1、收入说明</w:t>
      </w:r>
    </w:p>
    <w:p>
      <w:pPr>
        <w:widowControl w:val="0"/>
        <w:spacing w:after="120" w:afterLines="50"/>
        <w:ind w:firstLine="640" w:firstLineChars="200"/>
        <w:rPr>
          <w:rFonts w:ascii="仿宋_GB2312" w:eastAsia="仿宋_GB2312"/>
          <w:sz w:val="32"/>
          <w:szCs w:val="32"/>
        </w:rPr>
      </w:pPr>
      <w:r>
        <w:rPr>
          <w:rFonts w:hint="eastAsia" w:ascii="仿宋_GB2312" w:eastAsia="仿宋_GB2312"/>
          <w:sz w:val="32"/>
          <w:szCs w:val="32"/>
        </w:rPr>
        <w:t>2022年预算收入为1090.88万元，其中：一般公共预算收入1035.08万元，基金预算收入0万元，财政专户核拨收入0万元，其他来源收入0万元。</w:t>
      </w:r>
    </w:p>
    <w:p>
      <w:pPr>
        <w:rPr>
          <w:rFonts w:ascii="楷体_GB2312" w:hAnsi="仿宋" w:eastAsia="楷体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楷体_GB2312" w:hAnsi="仿宋" w:eastAsia="楷体_GB2312" w:cs="仿宋"/>
          <w:b/>
          <w:color w:val="000000"/>
          <w:sz w:val="32"/>
        </w:rPr>
        <w:t xml:space="preserve"> </w:t>
      </w:r>
      <w:r>
        <w:rPr>
          <w:rFonts w:hint="eastAsia" w:ascii="楷体_GB2312" w:hAnsi="楷体" w:eastAsia="楷体_GB2312" w:cs="楷体"/>
          <w:b/>
          <w:color w:val="000000"/>
          <w:sz w:val="32"/>
        </w:rPr>
        <w:t>2、支出说明</w:t>
      </w:r>
    </w:p>
    <w:p>
      <w:pPr>
        <w:rPr>
          <w:rFonts w:ascii="仿宋" w:hAnsi="仿宋" w:eastAsia="仿宋" w:cs="仿宋"/>
          <w:color w:val="FF0000"/>
          <w:sz w:val="32"/>
        </w:rPr>
      </w:pPr>
      <w:r>
        <w:rPr>
          <w:rFonts w:hint="eastAsia" w:ascii="仿宋" w:hAnsi="仿宋" w:eastAsia="仿宋" w:cs="仿宋"/>
          <w:color w:val="000000"/>
          <w:sz w:val="32"/>
        </w:rPr>
        <w:t xml:space="preserve">    </w:t>
      </w:r>
      <w:r>
        <w:rPr>
          <w:rFonts w:hint="eastAsia" w:ascii="仿宋_GB2312" w:hAnsi="仿宋" w:eastAsia="仿宋_GB2312" w:cs="仿宋"/>
          <w:b/>
          <w:color w:val="000000"/>
          <w:sz w:val="32"/>
        </w:rPr>
        <w:t>收支预算总表支出栏、基本支出表、项目支出表按经济分类和支出功能分类科目编制，反映组织部门2022年度中共秦皇岛市山海关区委组织部本级预算中支出预算的总体情况。</w:t>
      </w:r>
      <w:r>
        <w:rPr>
          <w:rFonts w:hint="eastAsia" w:ascii="仿宋_GB2312" w:eastAsia="仿宋_GB2312"/>
          <w:sz w:val="32"/>
          <w:szCs w:val="32"/>
        </w:rPr>
        <w:t>2022年预算支出为1090.88万元，其中：基本支出518.68万元，主要是人员经费466.58万元和日常公用经费52.1万元；项目支出572.2万元，主要为党员远程教育站点服务费项目安排5万元、干部教育培训经费项目安排5万元、关于结算下达到村任职高校毕业生中央财政补助资金的通知项目安排14.4万元、基层党员教育管理、制片经费项目安排5万元、老干部活动及关心下一代经费项目安排15万元、离休干部医药费项目安排350万元、区重点工作大督查经费项目安排30万元、人才工作经费项目安排18万元、提前下达选聘高校毕业生到村任职中央补助资金项目安排28.34万元、综合事务经费项目安排15万元、2021年度干部考核经费项目安排40万元、关于结算下达2021年选调生到村工作中央财政补助资金项目安排2.35万元、关于下达2021年建国前老党员生活补贴市级补助资金项目安排0.4万元、提前下达2021年度下派选调生到村工作中央财政补助资金项目安排10.31万元、提前下达2022年度下派选调生到村工作中央财政补助资金项目安排13.6万元、车辆保险费项目安排1.2万元、非公党建工作经费项目安排2万元、基层党建工作经费项目安排15万元、老年大学培训经费项目安排1.6万元。</w:t>
      </w:r>
    </w:p>
    <w:p>
      <w:pPr>
        <w:rPr>
          <w:rFonts w:ascii="楷体_GB2312" w:hAnsi="楷体" w:eastAsia="楷体_GB2312" w:cs="楷体"/>
          <w:b/>
          <w:color w:val="000000"/>
          <w:sz w:val="32"/>
        </w:rPr>
      </w:pPr>
      <w:r>
        <w:rPr>
          <w:rFonts w:hint="eastAsia" w:ascii="楷体" w:hAnsi="楷体" w:eastAsia="楷体" w:cs="楷体"/>
          <w:color w:val="000000"/>
          <w:sz w:val="32"/>
        </w:rPr>
        <w:t xml:space="preserve">   </w:t>
      </w:r>
      <w:r>
        <w:rPr>
          <w:rFonts w:hint="eastAsia" w:ascii="楷体_GB2312" w:hAnsi="楷体" w:eastAsia="楷体_GB2312" w:cs="楷体"/>
          <w:b/>
          <w:color w:val="000000"/>
          <w:sz w:val="32"/>
        </w:rPr>
        <w:t xml:space="preserve"> 3、比上年增减情况</w:t>
      </w:r>
    </w:p>
    <w:p>
      <w:pPr>
        <w:rPr>
          <w:rFonts w:ascii="仿宋_GB2312" w:eastAsia="仿宋_GB2312"/>
          <w:sz w:val="32"/>
          <w:szCs w:val="32"/>
        </w:rPr>
      </w:pPr>
      <w:r>
        <w:rPr>
          <w:rFonts w:hint="eastAsia"/>
          <w:color w:val="000000"/>
          <w:sz w:val="32"/>
        </w:rPr>
        <w:t xml:space="preserve">   </w:t>
      </w:r>
      <w:r>
        <w:rPr>
          <w:rFonts w:hint="eastAsia" w:ascii="仿宋_GB2312" w:eastAsia="仿宋_GB2312"/>
          <w:sz w:val="32"/>
          <w:szCs w:val="32"/>
        </w:rPr>
        <w:t xml:space="preserve"> 2022年预算支出安排1090.88万元，较2021年预算减少130.78万元，其中：基本支出减少52.76万元，主要为人员经费支出减少44万元及日常公用经费支出减少8.76万元；项目支出减少78.02万元，主要为离休医药费项目安排资金减少。</w:t>
      </w:r>
    </w:p>
    <w:p>
      <w:pPr>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pPr>
        <w:ind w:firstLine="355"/>
        <w:rPr>
          <w:rFonts w:ascii="仿宋" w:hAnsi="仿宋" w:eastAsia="仿宋"/>
          <w:szCs w:val="32"/>
        </w:rPr>
      </w:pPr>
      <w:r>
        <w:rPr>
          <w:rFonts w:hint="eastAsia" w:ascii="方正仿宋_GBK" w:hAnsi="方正仿宋_GBK"/>
          <w:color w:val="000000"/>
          <w:sz w:val="32"/>
        </w:rPr>
        <w:t xml:space="preserve">   </w:t>
      </w:r>
      <w:r>
        <w:rPr>
          <w:rFonts w:hint="eastAsia" w:ascii="仿宋_GB2312" w:eastAsia="仿宋_GB2312"/>
          <w:sz w:val="32"/>
          <w:szCs w:val="32"/>
        </w:rPr>
        <w:t>机关运行经费共计安排</w:t>
      </w:r>
      <w:r>
        <w:rPr>
          <w:rFonts w:hint="eastAsia" w:ascii="仿宋_GB2312" w:eastAsia="仿宋_GB2312"/>
          <w:sz w:val="32"/>
          <w:szCs w:val="32"/>
          <w:lang w:eastAsia="zh-CN"/>
        </w:rPr>
        <w:t>52.1万元，主要用于：办公费11.66万元、水费0.13万元、电费0.64万元、邮电费2.64万元、办公取暖费6.43万元、差旅费1万元、公务用车运行维护费1.8万元、离退休干部经费1.39万元、公务交通补贴13.14万元、印刷费0.33万元、培训费2.17万元、公务接待费0.31万元、工会经费3.5万元、工会经费（代扣）2.33万元、福利费3.61万元、党组织活动经费0.57万元、网络运行维护费0.45万元。</w:t>
      </w:r>
    </w:p>
    <w:p>
      <w:pPr>
        <w:ind w:firstLine="640"/>
        <w:rPr>
          <w:rFonts w:ascii="黑体" w:hAnsi="黑体" w:eastAsia="黑体"/>
          <w:color w:val="000000"/>
          <w:sz w:val="32"/>
        </w:rPr>
      </w:pPr>
      <w:r>
        <w:rPr>
          <w:rFonts w:ascii="黑体" w:hAnsi="黑体" w:eastAsia="黑体"/>
          <w:color w:val="000000"/>
          <w:sz w:val="32"/>
        </w:rPr>
        <w:t>四、财政拨款“三公”经费预算情况及增减变化原因</w:t>
      </w:r>
    </w:p>
    <w:p>
      <w:pPr>
        <w:ind w:firstLine="640"/>
        <w:rPr>
          <w:rFonts w:ascii="仿宋_GB2312" w:eastAsia="仿宋_GB2312"/>
          <w:sz w:val="32"/>
          <w:szCs w:val="32"/>
        </w:rPr>
      </w:pPr>
      <w:r>
        <w:rPr>
          <w:rFonts w:hint="eastAsia" w:ascii="仿宋_GB2312" w:eastAsia="仿宋_GB2312"/>
          <w:sz w:val="32"/>
          <w:szCs w:val="32"/>
        </w:rPr>
        <w:t>2022年，我</w:t>
      </w:r>
      <w:r>
        <w:rPr>
          <w:rFonts w:hint="eastAsia" w:ascii="仿宋_GB2312" w:eastAsia="仿宋_GB2312"/>
          <w:sz w:val="32"/>
          <w:szCs w:val="32"/>
          <w:lang w:eastAsia="zh-CN"/>
        </w:rPr>
        <w:t>单位</w:t>
      </w:r>
      <w:r>
        <w:rPr>
          <w:rFonts w:hint="eastAsia" w:ascii="仿宋_GB2312" w:eastAsia="仿宋_GB2312"/>
          <w:sz w:val="32"/>
          <w:szCs w:val="32"/>
        </w:rPr>
        <w:t>财政拨款“三公”经费预算安排11.31万元，其中因公出国（境）费0万元；公务用车购置及运维费11万元（其中：公务用车购置费为0万元，公务用车运行费11万元)；公务接待费0.31万元。较去年减少0.03万元，其中：公务接待费减少0.03万元，主要</w:t>
      </w:r>
      <w:r>
        <w:rPr>
          <w:rFonts w:hint="eastAsia" w:ascii="仿宋_GB2312" w:eastAsia="仿宋_GB2312"/>
          <w:sz w:val="32"/>
          <w:szCs w:val="32"/>
          <w:lang w:eastAsia="zh-CN"/>
        </w:rPr>
        <w:t>原因</w:t>
      </w:r>
      <w:r>
        <w:rPr>
          <w:rFonts w:hint="eastAsia" w:ascii="仿宋_GB2312" w:eastAsia="仿宋_GB2312"/>
          <w:sz w:val="32"/>
          <w:szCs w:val="32"/>
        </w:rPr>
        <w:t>是人员减少。</w:t>
      </w:r>
    </w:p>
    <w:p>
      <w:pPr>
        <w:ind w:firstLine="640" w:firstLineChars="200"/>
        <w:rPr>
          <w:rFonts w:ascii="黑体" w:hAnsi="黑体" w:eastAsia="黑体"/>
          <w:color w:val="000000"/>
          <w:sz w:val="32"/>
        </w:rPr>
      </w:pPr>
      <w:r>
        <w:rPr>
          <w:rFonts w:ascii="黑体" w:hAnsi="黑体" w:eastAsia="黑体"/>
          <w:color w:val="000000"/>
          <w:sz w:val="32"/>
        </w:rPr>
        <w:t>五、预算绩效信息</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楷体_GB2312" w:hAnsi="楷体_GB2312"/>
          <w:color w:val="000000"/>
          <w:sz w:val="32"/>
        </w:rPr>
      </w:pPr>
      <w:r>
        <w:rPr>
          <w:rFonts w:hint="eastAsia" w:ascii="楷体" w:hAnsi="楷体" w:eastAsia="楷体" w:cs="楷体"/>
          <w:color w:val="000000"/>
          <w:sz w:val="32"/>
        </w:rPr>
        <w:t xml:space="preserve">    </w:t>
      </w:r>
      <w:r>
        <w:rPr>
          <w:rFonts w:hint="eastAsia" w:ascii="楷体_GB2312" w:eastAsia="楷体_GB2312"/>
          <w:b/>
          <w:sz w:val="32"/>
          <w:szCs w:val="32"/>
        </w:rPr>
        <w:t>总体绩效目标：</w:t>
      </w:r>
      <w:r>
        <w:rPr>
          <w:rFonts w:hint="eastAsia" w:ascii="楷体_GB2312" w:hAnsi="楷体_GB2312"/>
          <w:color w:val="000000"/>
          <w:sz w:val="32"/>
        </w:rPr>
        <w:t xml:space="preserve"> </w:t>
      </w:r>
    </w:p>
    <w:p>
      <w:pPr>
        <w:spacing w:before="10" w:after="10"/>
        <w:ind w:firstLine="560"/>
        <w:outlineLvl w:val="1"/>
        <w:rPr>
          <w:rFonts w:ascii="仿宋_GB2312" w:eastAsia="仿宋_GB2312"/>
          <w:sz w:val="32"/>
          <w:szCs w:val="32"/>
        </w:rPr>
      </w:pPr>
      <w:bookmarkStart w:id="2" w:name="_Toc_2_2_0000000001"/>
      <w:r>
        <w:rPr>
          <w:rFonts w:ascii="仿宋_GB2312" w:eastAsia="仿宋_GB2312"/>
          <w:sz w:val="32"/>
          <w:szCs w:val="32"/>
        </w:rPr>
        <w:t>一、总体绩效目标</w:t>
      </w:r>
      <w:bookmarkEnd w:id="2"/>
    </w:p>
    <w:p>
      <w:pPr>
        <w:pStyle w:val="26"/>
        <w:rPr>
          <w:rFonts w:ascii="仿宋_GB2312" w:hAnsi="Calibri" w:eastAsia="仿宋_GB2312"/>
          <w:kern w:val="2"/>
          <w:sz w:val="32"/>
          <w:szCs w:val="32"/>
          <w:lang w:eastAsia="zh-CN"/>
        </w:rPr>
      </w:pPr>
      <w:r>
        <w:rPr>
          <w:rFonts w:ascii="仿宋_GB2312" w:hAnsi="Calibri" w:eastAsia="仿宋_GB2312"/>
          <w:kern w:val="2"/>
          <w:sz w:val="32"/>
          <w:szCs w:val="32"/>
          <w:lang w:eastAsia="zh-CN"/>
        </w:rPr>
        <w:t>中共秦皇岛市山海关区委组织部本级年度发展规划目标</w:t>
      </w:r>
    </w:p>
    <w:p>
      <w:pPr>
        <w:pStyle w:val="26"/>
        <w:rPr>
          <w:rFonts w:ascii="仿宋_GB2312" w:hAnsi="Calibri" w:eastAsia="仿宋_GB2312"/>
          <w:kern w:val="2"/>
          <w:sz w:val="32"/>
          <w:szCs w:val="32"/>
          <w:lang w:eastAsia="zh-CN"/>
        </w:rPr>
      </w:pPr>
      <w:r>
        <w:rPr>
          <w:rFonts w:ascii="仿宋_GB2312" w:hAnsi="Calibri" w:eastAsia="仿宋_GB2312"/>
          <w:kern w:val="2"/>
          <w:sz w:val="32"/>
          <w:szCs w:val="32"/>
          <w:lang w:eastAsia="zh-CN"/>
        </w:rPr>
        <w:t>山海关区委组织部将深入</w:t>
      </w:r>
      <w:r>
        <w:rPr>
          <w:rFonts w:hint="eastAsia" w:ascii="仿宋_GB2312" w:hAnsi="Calibri" w:eastAsia="仿宋_GB2312"/>
          <w:kern w:val="2"/>
          <w:sz w:val="32"/>
          <w:szCs w:val="32"/>
          <w:lang w:val="en-US" w:eastAsia="zh-CN"/>
        </w:rPr>
        <w:t>学习贯彻</w:t>
      </w:r>
      <w:r>
        <w:rPr>
          <w:rFonts w:ascii="仿宋_GB2312" w:hAnsi="Calibri" w:eastAsia="仿宋_GB2312"/>
          <w:kern w:val="2"/>
          <w:sz w:val="32"/>
          <w:szCs w:val="32"/>
          <w:lang w:eastAsia="zh-CN"/>
        </w:rPr>
        <w:t>党的十九大精神，扎实开展“不忘初心、牢记使命”</w:t>
      </w:r>
      <w:r>
        <w:rPr>
          <w:rFonts w:hint="eastAsia" w:ascii="仿宋_GB2312" w:hAnsi="Calibri" w:eastAsia="仿宋_GB2312"/>
          <w:kern w:val="2"/>
          <w:sz w:val="32"/>
          <w:szCs w:val="32"/>
          <w:lang w:val="en-US" w:eastAsia="zh-CN"/>
        </w:rPr>
        <w:t>主题</w:t>
      </w:r>
      <w:bookmarkStart w:id="21" w:name="_GoBack"/>
      <w:bookmarkEnd w:id="21"/>
      <w:r>
        <w:rPr>
          <w:rFonts w:ascii="仿宋_GB2312" w:hAnsi="Calibri" w:eastAsia="仿宋_GB2312"/>
          <w:kern w:val="2"/>
          <w:sz w:val="32"/>
          <w:szCs w:val="32"/>
          <w:lang w:eastAsia="zh-CN"/>
        </w:rPr>
        <w:t>教育更加紧密地团结在以习近平同志为核心的党中央周围，认真践行新时代党的组织路线，为山海关区的跨越发展提供组织保障和人才支撑：一是在提升干部队伍素质能力上有新突破。按照因需设班、科学施教的原则，综合全区干部教育培训需求，抓好后备干部、科级干部，特别是党政主要负责人的教育培训，着力提高干部服务发展、促进和谐、维护稳定的能力和水平。二是在建设一支优秀的干部队伍上有新突破。认真落实中央的决策部署和省、市委的关于机构改革的工作要求，准确把握正确改革方向，坚持新时期好干部标准，坚持“三坚持三重用”，突出市委“凭业绩用干部，为工作选干部”用人标准，切实让坚强有力的干部队伍激活一片热情，带动一方发展。三是在考核监督工作水平上有新突破。坚持定量考核与定性评价相结合、平时考核和年终考核相结合、过程考核和结果考核相结合，实现常态化、动态化管理，更全面客观准确地评价干部的德才表现和工作实绩，激励鞭策干部更好地履行职责。四是在发挥基层党组织坚强堡垒作用上有新突破。把加强党员干部教育培训、强化思想理论武装摆在首要位置，引导全体党员干部真正在学懂弄通做实上下功夫，切实把学习成效转化为推动全区快速发展的实际行动。启动实施“323”典型培养计划，充分发挥典型的辐射示范作用，营造学比赶超的浓厚氛围，展示全区基层党建工作成效，塑造基层党建工作品牌。五是在完善机制、人才培养上有新突破。将学习贯彻党的十九大精神作为加强人才工作的科学引领，坚持党管人才原则，进一步完善人才工作联席会议制度，强化上下联动、整体推进的人才工作机制。</w:t>
      </w:r>
    </w:p>
    <w:p>
      <w:pPr>
        <w:spacing w:before="10" w:after="10"/>
        <w:ind w:firstLine="560"/>
        <w:outlineLvl w:val="1"/>
        <w:rPr>
          <w:rFonts w:ascii="仿宋_GB2312" w:eastAsia="仿宋_GB2312"/>
          <w:sz w:val="32"/>
          <w:szCs w:val="32"/>
        </w:rPr>
      </w:pPr>
      <w:bookmarkStart w:id="3" w:name="_Toc_2_2_0000000002"/>
      <w:r>
        <w:rPr>
          <w:rFonts w:ascii="仿宋_GB2312" w:eastAsia="仿宋_GB2312"/>
          <w:sz w:val="32"/>
          <w:szCs w:val="32"/>
        </w:rPr>
        <w:t>二、分项绩效目标</w:t>
      </w:r>
      <w:bookmarkEnd w:id="3"/>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中共秦皇岛市山海关区委组织部本级职责分类绩效目标情况说明</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一、党员和党组织建设</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职责目标：加强基层领导班子建设；加强全区大学生村官队伍建设；健全全区党的组织制度、党内生活制度建设；加强民主集中制建设和民主生活会宏观指导；组织和指导区党代会、人代会、政协会和乡镇党代会、人代会；做好代表补选、罢免等事宜。完成组织史征编工作。</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绩效目标：加强党组织建设,不断提高执政能力和领导水平；加强党员队伍建设，提高党员素质；加强基层党组织建设；加强党员管理,不断提高党员队伍的素质；全区党员电教工作。</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指标：专题学习教育实践活动和“解放思想”大讨论工作完成率；基层党建平台建设完成率；组织史征编工作完成率；党建规范化建设、基层党建考核、党建述职等活动完成率；非公经济组织和社会组织党建工作完成率；各级党组织换届工作完成率；指导区直属党组织发展党员工作完成率；农村、社区党组织换届率；党费管理和党员统计完成情况；上级</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培训工作完成率；素质工程培训完成率；基层党员教育培训完成率；党建工作先进经验的宣传覆盖率；现代远程教育课时量完成率；电教片的购置、翻录和发行工作及电教设备的维护和保管工作完成率。</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绩效标准：90%以上的为优； 80%-90%的为良； 70%-80%的为中； 70%以下的为差。</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二、干部管理</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中共秦皇岛市山海关区委组织部本级干部监督工作的综合、协调和宏观指导。</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职责目标：落实国家工资政策和涉及领导干部收入分配的相关政策，准确高效办理区委管理干部的工资及退休费审批；培养锻炼干部，提高干部整体素质；为各级领导班子储配人才；落实援边人才各项政策待遇；进一步增强我区干部教育培训工作的统筹性、针对性、有效性，不断提高干部素质和业务能力。</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目标：区管干部管理工作；区管干部管理工作；区管干部管理工作；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区管干部的日常考核和年底考核工作。区管干部的日常考核和年底考核工作。做好市管干部日常考核和年底考核工作。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指标：区管干部个人待遇政策落实率；市管干部和区管干部规范管理率；干部任职档案考察工作完成率；优化干部队伍结构完成率；后备干部、妇女干部、少数民族干部选拔工作完成率；干部选拔、调配、交流工作完成率；新提拔科级领导干部任前公示完成率；领导干部经济责任审计工作完成率；全区科级干部出国（境）政审工作完成率；区管干部考核工作完成率；区委干部考核领导小组交办任务完成率；协助市委组织部对市管干部考核的完成率；干部培训参训率；上级</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培训工作完成率；干部培训完成率。</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绩效标准：90%以上的为优； 80%-90%的为良； 70%-80%的为中； 70%以下的为差。</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三、人才工作及人才队伍建设</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全区人才工作的综合协调、检查指导，负责区管优秀人才的选拔管理；负责区级优秀人才、人才工作先进单位及先进个人的评比表彰工作；负责人才工作的信息反馈工作；负责全区人才信息库工作；会同有关</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做好优秀专家、享受政府特贴人员、省市有突出贡献的中青年专家、市级优秀人才的推荐工作。</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职责目标：加强高层次人才队伍建设，建立完善全区高层次人才队伍信息库；评选区管优秀人才队伍，并给予生活保障；加强重点人才工程建设、建立专业门类齐全的全区高层次专家人才队伍。</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绩效目标：加强高层次人才队伍建设，建立完善全区高层次人才队伍信息库；评选第二批区管“五类”优秀人才；加强重点人才工程建设，促进经济发展。</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绩效指标：第二批“五类”优秀人才选拔完成率；人才引进量；全区重点人才工程进度管理规范度；行政后勤保障率；车辆保障率。</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绩效标准：90%以上的为优； 80%-90%的为良； 70%-80%的为中； 70%以下的为差。</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四、组织事务管理</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主要职责：负责做好部机关文秘、信访、会议等工作的计划安排和管理；负责机关自身建设；负责新闻工作网宣与舆情监控、处置；组织系统信息化建设；负责指导全区组织系统的调研工作。</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职责目标：做好部机关文秘、信访、会议等工作的计划安排和管理；做到新闻工作网宣与舆情监控到位、处置及时；信息系统运行无障碍。</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目标：组织、指导、协调全区组织系统互联网宣传工作；保障机关工作正常高效运转。组织、指导、协调全区组织系统互联网宣传工作；保障机关工作正常高效运转。组织党建信息上报工作；完成机关自身建设任务；高质高效完成年度各项工作；做好后勤保障工作，确保机关高效运转。</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绩效指标：组织系统互联网建设率；大组工网安全运行率；组织党建信息上报的数量；机关自身建设任务完成率；机关工作正常高效运转率；做好后勤保障工作，确保机关高效运转。</w:t>
      </w:r>
    </w:p>
    <w:p>
      <w:pPr>
        <w:pStyle w:val="27"/>
        <w:rPr>
          <w:rFonts w:ascii="仿宋_GB2312" w:hAnsi="Calibri" w:eastAsia="仿宋_GB2312"/>
          <w:kern w:val="2"/>
          <w:sz w:val="32"/>
          <w:szCs w:val="32"/>
          <w:lang w:eastAsia="zh-CN"/>
        </w:rPr>
      </w:pPr>
      <w:r>
        <w:rPr>
          <w:rFonts w:ascii="仿宋_GB2312" w:hAnsi="Calibri" w:eastAsia="仿宋_GB2312"/>
          <w:kern w:val="2"/>
          <w:sz w:val="32"/>
          <w:szCs w:val="32"/>
          <w:lang w:eastAsia="zh-CN"/>
        </w:rPr>
        <w:t>绩效标准：90%以上的为优； 80%-90%的为良； 70%-80%的为中； 70%以下的为差。5篇为优；4篇为良；3篇为中；1篇为差。</w:t>
      </w:r>
    </w:p>
    <w:p>
      <w:pPr>
        <w:spacing w:before="10" w:after="10"/>
        <w:ind w:firstLine="560"/>
        <w:outlineLvl w:val="1"/>
        <w:rPr>
          <w:rFonts w:ascii="仿宋_GB2312" w:eastAsia="仿宋_GB2312"/>
          <w:sz w:val="32"/>
          <w:szCs w:val="32"/>
        </w:rPr>
      </w:pPr>
      <w:bookmarkStart w:id="4" w:name="_Toc_2_2_0000000003"/>
      <w:r>
        <w:rPr>
          <w:rFonts w:ascii="仿宋_GB2312" w:eastAsia="仿宋_GB2312"/>
          <w:sz w:val="32"/>
          <w:szCs w:val="32"/>
        </w:rPr>
        <w:t>三、工作保障措施</w:t>
      </w:r>
      <w:bookmarkEnd w:id="4"/>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中共秦皇岛市山海关区委组织部实现本年度发展规划目标的保障措施</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在市委组织部的具体指导和区委的正确领导下，坚持在全局中定位、在大局下行动，认真贯彻落实习近平新时代中国特色社会主义思想，围绕推动全面从严治党向纵深发展，紧跟中央和省市区委重大决策部署，干部选育、基层党建等工作不断取得新成绩，相关经验做法先后被中央、省、市主要媒体刊登报道，组织工作水平得到进一步提升，工作效果进一步凸显，为全区又好又快发展做出积极贡献。</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一、坚持高站位加强思想政治建设，党员干部素质进一步提升</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坚持把干部培训作为提高党的执政能力和推进全区经济社会发展的基础性工作，通过实施“三项工程”不断提升干部培训工作科学化、规范化和实效化水平。一是提升思想素质水平，着力推进干部培训“理论武装”工程。以习近平新时代中国特色社会主义思想为指导，利用河北干部网络学院，开设学习党的十九大精神等专题网班7期，全面提升了干部用党的十九大精神武装头脑、指导实践的能力和法治思维、法制观念。全年共完成省市级调训28批次，涉及县级领导干部37人次，科级干部16人次。二是突出重点明确导向，着力推进干部培训“能力提升”工程。开展“加强平台培育，提升双创水平”、“‘互联网+’背景下的大数据应用技术”及城市建设和旅游产业发展干部精准化培训班3期，重点落实48篇课题研究报告，提出的167条建议，其中关于古城繁荣发展、旅游基础设施打造等方面具体举措已由相关单位进行落实。组织开展新任职农村党组织书记培训班，突出深化农村信任村党组织干部思想认识，不断提升服务发展等各方面本领。三是探索务实有效途径，着力推进干部培训“创新发展”工程。在全区年轻干部中探索建立“六式一定”培育选拔新机制，按照聚焦式制定方案、组合式筛选学员、答题式参加培训、推介式考核选拔、提案式转化成果、跟进式培养管理、定岗位加大选任的方式，打通干部培育、选拔、管理、使用完整链条，形成源头培养、跟踪培养、全程培养的素质培养体系。通过召开推介会，一批具有思想性、创新意识的优秀年轻干部脱颖而出，推荐给干部管理</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进行深入考察研判，21名优秀年轻干部已被区委提拔使用。</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二、坚持高标准抓好干部选育工作，干部队伍建设进一步深化</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不断探索干部选拔任用工作新途径，扩大干部工作中的民主，建立和完善干部工作制度，为区委干部选拔任用工作提供了准确依据和有力保障。一是以省委巡视整改暨“一问责八清理”回头看为切入点，从严规范干部选任工作。建立健全长效机制，不断深化巩固巡察整改成果，年内涉及巡视整改调整干部24人，健全完善干部选任机制3项，积极探索干部管理工作机制2项，顺利通过省委巡视整改暨“一问责八清理”回头看评估验收。二是以年轻干部培养为着力点，不断强化干部队伍建设。坚持选调生的源头培养，把今年招录的6名选调生分配到乡镇工作锻炼。持续推进“三提名一推荐两考察”的后备干部集中遴选工作，不断优化队伍知识结构和专业结构，切实建强后备干部人才库。推选出2名副县级、4名正科级优秀年轻干部，为市委及时发现储备优秀年轻干部提供人才支持。先后抽调40余名优秀年干部参与创建文明城市、创建卫生城市、村“两委”换届、佳龙项目、古城取暖改造等工作中，进一步拓宽干部视野，丰富成长阅历。三是以干部工作精细化为立足点，扎实管理干部日常工作。创新开展专人“1+1”档案培训，即“理论学习+改版实践操作”，切实提高查档审档能力，对区委组织部管理的700余卷干部人事档案系统梳理。持续推行公务员登记、事业编制干部转正、公务员职务职级并行、公务交通补贴政策的实施。</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三、坚持高要求创新干部选贤任能，监督考核能力进一步完善</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严格执行《干部任用条例》和干部选拔任用工作四项监督制度等法规规定，突出重点，创新举措，不断完善干部“考、管”结合机制，激发干部干事创业热情。一是以考促干，切实发挥考核工作导向作用。组织区管领导班子和领导干部考核工作及全区党群系统公务员、事业单位工作人员年度考核，对全区96个科级单位、476名科级干部进行了综合考核，对考核优秀的34名公务员、事业单位工作人员进行了表彰。建立完善考核结果与干部使用管理全程对接、全面结合制度，建立考核结果入库建档、沟通衔接和信息资源共享等制度。研究修改《区管领导班子和领导干部年度综合考核评价办法（试行）》，提高了考核评价的客观性和公正性。二是从严治吏，着力推动干部监管常态化。探索建立了“考察反馈”制度，在干部考察结束后，就考察对象存在的问题及时向其所在单位及本人反馈，督促其及时纠正。完善党员和国家公职人员因私出国（境）证照集中管理制度，确保登记备案工作在全区全覆盖，全年共审批因私出国（境）领导干部15人。加强配偶已移居国（境）外国家工作人员任职岗位管理，对全区配偶已移居国（境）外的科级干部进行全面摸底。制定我区组织系统及区第二专项小组专项整治工作整改方案，组织整改落实，确保中央巡视反馈问题整改到位。完善“新调整干部廉政培训制度”，坚持利用党员干部主体培训班、干部廉政法规考试等渠道，开展任前廉政教育，将干部监督“关口”前移，事先预防，防止带“病”上岗。</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四、坚持高质量打造基层党建堡垒，基层党组织建设进一步巩固</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坚持抓规范、强组织、激活力、重实效，固本强基、统筹结合、创新载体，不断提升全区基层党建工作整体水平。一是抓好村（社区）“两委”换届，全面加强农村、社区基层组织建设。圆满完成村（社区）“两委”换届工作，全区村和社区书记年龄、学历、“一人兼”比例创历史新高，50周岁以下67人占比70%，高中以上学历84人占88%，“一人兼”89个村占比93%；社区书记50岁以下14人占比93.3%，高中以上学历15人占100%、“一人兼”15个社区占比100%。96个村全部建立了健全村务监督委员会，并进一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基层党建，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五、坚持高水平实施聚智引才工程，人才资源开发能力进一步拓展</w:t>
      </w:r>
    </w:p>
    <w:p>
      <w:pPr>
        <w:pStyle w:val="28"/>
        <w:rPr>
          <w:rFonts w:ascii="仿宋_GB2312" w:hAnsi="Calibri" w:eastAsia="仿宋_GB2312"/>
          <w:kern w:val="2"/>
          <w:sz w:val="32"/>
          <w:szCs w:val="32"/>
          <w:lang w:eastAsia="zh-CN"/>
        </w:rPr>
      </w:pPr>
      <w:r>
        <w:rPr>
          <w:rFonts w:ascii="仿宋_GB2312" w:hAnsi="Calibri" w:eastAsia="仿宋_GB2312"/>
          <w:kern w:val="2"/>
          <w:sz w:val="32"/>
          <w:szCs w:val="32"/>
          <w:lang w:eastAsia="zh-CN"/>
        </w:rP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的主观能动性。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挂帐督导。完善人才工作反馈机制，有关人才工作的重要会议、重要活动和重要事项及时向区人才工作领导小组汇报；落实人才工作联络员制度，确保有专人负责做好本</w:t>
      </w:r>
      <w:r>
        <w:rPr>
          <w:rFonts w:hint="eastAsia" w:ascii="仿宋_GB2312" w:hAnsi="Calibri" w:eastAsia="仿宋_GB2312"/>
          <w:kern w:val="2"/>
          <w:sz w:val="32"/>
          <w:szCs w:val="32"/>
          <w:lang w:eastAsia="zh-CN"/>
        </w:rPr>
        <w:t>部门</w:t>
      </w:r>
      <w:r>
        <w:rPr>
          <w:rFonts w:ascii="仿宋_GB2312" w:hAnsi="Calibri" w:eastAsia="仿宋_GB2312"/>
          <w:kern w:val="2"/>
          <w:sz w:val="32"/>
          <w:szCs w:val="32"/>
          <w:lang w:eastAsia="zh-CN"/>
        </w:rPr>
        <w:t>本系统的人才工作。</w:t>
      </w:r>
    </w:p>
    <w:p>
      <w:pPr>
        <w:pStyle w:val="28"/>
        <w:rPr>
          <w:rFonts w:ascii="仿宋_GB2312" w:hAnsi="Calibri" w:eastAsia="仿宋_GB2312"/>
          <w:kern w:val="2"/>
          <w:sz w:val="32"/>
          <w:szCs w:val="32"/>
          <w:lang w:eastAsia="zh-CN"/>
        </w:rPr>
      </w:pPr>
      <w:r>
        <w:rPr>
          <w:rFonts w:hint="eastAsia" w:ascii="仿宋_GB2312" w:hAnsi="Calibri" w:eastAsia="仿宋_GB2312"/>
          <w:kern w:val="2"/>
          <w:sz w:val="32"/>
          <w:szCs w:val="32"/>
          <w:lang w:eastAsia="zh-CN"/>
        </w:rPr>
        <w:t>进一</w:t>
      </w:r>
      <w:r>
        <w:rPr>
          <w:rFonts w:ascii="仿宋_GB2312" w:hAnsi="Calibri" w:eastAsia="仿宋_GB2312"/>
          <w:kern w:val="2"/>
          <w:sz w:val="32"/>
          <w:szCs w:val="32"/>
          <w:lang w:eastAsia="zh-CN"/>
        </w:rPr>
        <w:t>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pPr>
        <w:jc w:val="center"/>
        <w:rPr>
          <w:rFonts w:ascii="仿宋_GB2312" w:eastAsia="仿宋_GB2312"/>
          <w:sz w:val="32"/>
          <w:szCs w:val="32"/>
        </w:rPr>
        <w:sectPr>
          <w:pgSz w:w="16840" w:h="11900" w:orient="landscape"/>
          <w:pgMar w:top="1304" w:right="1134" w:bottom="1304" w:left="1985" w:header="720" w:footer="720" w:gutter="0"/>
          <w:pgNumType w:start="1"/>
          <w:cols w:space="720" w:num="1"/>
        </w:sectPr>
      </w:pPr>
    </w:p>
    <w:p>
      <w:pPr>
        <w:pStyle w:val="26"/>
        <w:rPr>
          <w:rFonts w:ascii="仿宋_GB2312" w:hAnsi="Calibri" w:eastAsia="仿宋_GB2312"/>
          <w:kern w:val="2"/>
          <w:sz w:val="32"/>
          <w:szCs w:val="32"/>
          <w:lang w:eastAsia="zh-CN"/>
        </w:rPr>
      </w:pPr>
    </w:p>
    <w:p>
      <w:pPr>
        <w:ind w:firstLine="630" w:firstLineChars="196"/>
        <w:rPr>
          <w:rFonts w:ascii="楷体_GB2312" w:hAnsi="楷体" w:eastAsia="楷体_GB2312" w:cs="楷体"/>
          <w:color w:val="FF0000"/>
          <w:sz w:val="32"/>
        </w:rPr>
      </w:pPr>
      <w:r>
        <w:rPr>
          <w:rFonts w:hint="eastAsia" w:ascii="楷体_GB2312" w:eastAsia="楷体_GB2312"/>
          <w:b/>
          <w:sz w:val="32"/>
          <w:szCs w:val="32"/>
        </w:rPr>
        <w:t>单位职责及工作活动绩效目标指标</w:t>
      </w:r>
      <w:r>
        <w:rPr>
          <w:rFonts w:hint="eastAsia" w:ascii="楷体_GB2312" w:hAnsi="楷体" w:eastAsia="楷体_GB2312" w:cs="楷体"/>
          <w:color w:val="000000"/>
          <w:sz w:val="32"/>
        </w:rPr>
        <w:t>：</w:t>
      </w:r>
      <w:bookmarkStart w:id="5" w:name="_Toc475348078"/>
      <w:r>
        <w:rPr>
          <w:rFonts w:hint="eastAsia" w:ascii="楷体_GB2312" w:hAnsi="楷体" w:eastAsia="楷体_GB2312" w:cs="楷体"/>
          <w:color w:val="FF0000"/>
          <w:sz w:val="32"/>
        </w:rPr>
        <w:t xml:space="preserve"> </w:t>
      </w:r>
    </w:p>
    <w:p>
      <w:pPr>
        <w:ind w:firstLine="560"/>
        <w:outlineLvl w:val="3"/>
      </w:pPr>
      <w:bookmarkStart w:id="6" w:name="_Toc_4_4_0000000004"/>
      <w:r>
        <w:rPr>
          <w:rFonts w:ascii="方正仿宋_GBK" w:hAnsi="方正仿宋_GBK" w:eastAsia="方正仿宋_GBK" w:cs="方正仿宋_GBK"/>
          <w:color w:val="000000"/>
          <w:sz w:val="28"/>
        </w:rPr>
        <w:t>1.车辆保险费绩效目标表</w:t>
      </w:r>
      <w:bookmarkEnd w:id="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13"/>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88"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Align w:val="center"/>
          </w:tcPr>
          <w:p>
            <w:pPr>
              <w:pStyle w:val="15"/>
            </w:pPr>
            <w:r>
              <w:t>项目编码</w:t>
            </w:r>
          </w:p>
        </w:tc>
        <w:tc>
          <w:tcPr>
            <w:tcW w:w="2608" w:type="dxa"/>
            <w:gridSpan w:val="2"/>
            <w:vAlign w:val="center"/>
          </w:tcPr>
          <w:p>
            <w:pPr>
              <w:pStyle w:val="17"/>
            </w:pPr>
            <w:r>
              <w:t>13030322P003970100068</w:t>
            </w:r>
          </w:p>
        </w:tc>
        <w:tc>
          <w:tcPr>
            <w:tcW w:w="1587" w:type="dxa"/>
            <w:vAlign w:val="center"/>
          </w:tcPr>
          <w:p>
            <w:pPr>
              <w:pStyle w:val="15"/>
            </w:pPr>
            <w:r>
              <w:t>项目名称</w:t>
            </w:r>
          </w:p>
        </w:tc>
        <w:tc>
          <w:tcPr>
            <w:tcW w:w="4423" w:type="dxa"/>
            <w:gridSpan w:val="3"/>
            <w:vAlign w:val="center"/>
          </w:tcPr>
          <w:p>
            <w:pPr>
              <w:pStyle w:val="17"/>
            </w:pPr>
            <w:r>
              <w:t>车辆保险费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1.20</w:t>
            </w:r>
          </w:p>
        </w:tc>
        <w:tc>
          <w:tcPr>
            <w:tcW w:w="1587" w:type="dxa"/>
            <w:vAlign w:val="center"/>
          </w:tcPr>
          <w:p>
            <w:pPr>
              <w:pStyle w:val="15"/>
            </w:pPr>
            <w:r>
              <w:t>其中：财政    资金</w:t>
            </w:r>
          </w:p>
        </w:tc>
        <w:tc>
          <w:tcPr>
            <w:tcW w:w="1304" w:type="dxa"/>
            <w:vAlign w:val="center"/>
          </w:tcPr>
          <w:p>
            <w:pPr>
              <w:pStyle w:val="17"/>
            </w:pPr>
            <w:r>
              <w:t>1.20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Merge w:val="continue"/>
          </w:tcPr>
          <w:p/>
        </w:tc>
        <w:tc>
          <w:tcPr>
            <w:tcW w:w="8618" w:type="dxa"/>
            <w:gridSpan w:val="6"/>
            <w:vAlign w:val="center"/>
          </w:tcPr>
          <w:p>
            <w:pPr>
              <w:pStyle w:val="17"/>
            </w:pPr>
            <w:r>
              <w:t>车辆保险费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Merge w:val="continue"/>
          </w:tcPr>
          <w:p/>
        </w:tc>
        <w:tc>
          <w:tcPr>
            <w:tcW w:w="2608" w:type="dxa"/>
            <w:gridSpan w:val="2"/>
            <w:vAlign w:val="center"/>
          </w:tcPr>
          <w:p>
            <w:pPr>
              <w:pStyle w:val="18"/>
            </w:pPr>
          </w:p>
        </w:tc>
        <w:tc>
          <w:tcPr>
            <w:tcW w:w="1587" w:type="dxa"/>
            <w:vAlign w:val="center"/>
          </w:tcPr>
          <w:p>
            <w:pPr>
              <w:pStyle w:val="18"/>
            </w:pPr>
            <w:r>
              <w:t>30%</w:t>
            </w:r>
          </w:p>
        </w:tc>
        <w:tc>
          <w:tcPr>
            <w:tcW w:w="1304" w:type="dxa"/>
            <w:vAlign w:val="center"/>
          </w:tcPr>
          <w:p>
            <w:pPr>
              <w:pStyle w:val="18"/>
            </w:pPr>
            <w:r>
              <w:t>60%</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13" w:type="dxa"/>
            <w:vAlign w:val="center"/>
          </w:tcPr>
          <w:p>
            <w:pPr>
              <w:pStyle w:val="15"/>
            </w:pPr>
            <w:r>
              <w:t>绩效目标</w:t>
            </w:r>
          </w:p>
        </w:tc>
        <w:tc>
          <w:tcPr>
            <w:tcW w:w="8618" w:type="dxa"/>
            <w:gridSpan w:val="6"/>
            <w:vAlign w:val="center"/>
          </w:tcPr>
          <w:p>
            <w:pPr>
              <w:pStyle w:val="17"/>
            </w:pPr>
            <w:r>
              <w:t>1.保障办公车辆正常运行</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4"/>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894"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投保车辆数</w:t>
            </w:r>
          </w:p>
        </w:tc>
        <w:tc>
          <w:tcPr>
            <w:tcW w:w="2891" w:type="dxa"/>
            <w:vAlign w:val="center"/>
          </w:tcPr>
          <w:p>
            <w:pPr>
              <w:pStyle w:val="17"/>
            </w:pPr>
            <w:r>
              <w:t>确保投保车辆数量</w:t>
            </w:r>
          </w:p>
        </w:tc>
        <w:tc>
          <w:tcPr>
            <w:tcW w:w="1276" w:type="dxa"/>
            <w:vAlign w:val="center"/>
          </w:tcPr>
          <w:p>
            <w:pPr>
              <w:pStyle w:val="17"/>
            </w:pPr>
            <w:r>
              <w:t>≥90确保投保车辆数量</w:t>
            </w:r>
          </w:p>
        </w:tc>
        <w:tc>
          <w:tcPr>
            <w:tcW w:w="1843" w:type="dxa"/>
            <w:vAlign w:val="center"/>
          </w:tcPr>
          <w:p>
            <w:pPr>
              <w:pStyle w:val="17"/>
            </w:pPr>
            <w:r>
              <w:t>确保投保车辆数量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dxa"/>
            <w:vMerge w:val="continue"/>
            <w:vAlign w:val="center"/>
          </w:tcPr>
          <w:p/>
        </w:tc>
        <w:tc>
          <w:tcPr>
            <w:tcW w:w="1276" w:type="dxa"/>
            <w:vAlign w:val="center"/>
          </w:tcPr>
          <w:p>
            <w:pPr>
              <w:pStyle w:val="17"/>
            </w:pPr>
            <w:r>
              <w:t>质量指标</w:t>
            </w:r>
          </w:p>
        </w:tc>
        <w:tc>
          <w:tcPr>
            <w:tcW w:w="1332" w:type="dxa"/>
            <w:vAlign w:val="center"/>
          </w:tcPr>
          <w:p>
            <w:pPr>
              <w:pStyle w:val="17"/>
            </w:pPr>
            <w:r>
              <w:t>保障紧急处置到位率</w:t>
            </w:r>
          </w:p>
        </w:tc>
        <w:tc>
          <w:tcPr>
            <w:tcW w:w="2891" w:type="dxa"/>
            <w:vAlign w:val="center"/>
          </w:tcPr>
          <w:p>
            <w:pPr>
              <w:pStyle w:val="17"/>
            </w:pPr>
            <w:r>
              <w:t>保障紧急处置到位率</w:t>
            </w:r>
          </w:p>
        </w:tc>
        <w:tc>
          <w:tcPr>
            <w:tcW w:w="1276" w:type="dxa"/>
            <w:vAlign w:val="center"/>
          </w:tcPr>
          <w:p>
            <w:pPr>
              <w:pStyle w:val="17"/>
            </w:pPr>
            <w:r>
              <w:t>≥90保障紧急处置到位率</w:t>
            </w:r>
          </w:p>
        </w:tc>
        <w:tc>
          <w:tcPr>
            <w:tcW w:w="1843" w:type="dxa"/>
            <w:vAlign w:val="center"/>
          </w:tcPr>
          <w:p>
            <w:pPr>
              <w:pStyle w:val="17"/>
            </w:pPr>
            <w:r>
              <w:t>保障紧急处置到位率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dxa"/>
            <w:vMerge w:val="continue"/>
            <w:vAlign w:val="center"/>
          </w:tcPr>
          <w:p/>
        </w:tc>
        <w:tc>
          <w:tcPr>
            <w:tcW w:w="1276" w:type="dxa"/>
            <w:vAlign w:val="center"/>
          </w:tcPr>
          <w:p>
            <w:pPr>
              <w:pStyle w:val="17"/>
            </w:pPr>
            <w:r>
              <w:t>时效指标</w:t>
            </w:r>
          </w:p>
        </w:tc>
        <w:tc>
          <w:tcPr>
            <w:tcW w:w="1332" w:type="dxa"/>
            <w:vAlign w:val="center"/>
          </w:tcPr>
          <w:p>
            <w:pPr>
              <w:pStyle w:val="17"/>
            </w:pPr>
            <w:r>
              <w:t>及时投保率</w:t>
            </w:r>
          </w:p>
        </w:tc>
        <w:tc>
          <w:tcPr>
            <w:tcW w:w="2891" w:type="dxa"/>
            <w:vAlign w:val="center"/>
          </w:tcPr>
          <w:p>
            <w:pPr>
              <w:pStyle w:val="17"/>
            </w:pPr>
            <w:r>
              <w:t>及时投保率</w:t>
            </w:r>
          </w:p>
        </w:tc>
        <w:tc>
          <w:tcPr>
            <w:tcW w:w="1276" w:type="dxa"/>
            <w:vAlign w:val="center"/>
          </w:tcPr>
          <w:p>
            <w:pPr>
              <w:pStyle w:val="17"/>
            </w:pPr>
            <w:r>
              <w:t>≥90及时投保率</w:t>
            </w:r>
          </w:p>
        </w:tc>
        <w:tc>
          <w:tcPr>
            <w:tcW w:w="1843" w:type="dxa"/>
            <w:vAlign w:val="center"/>
          </w:tcPr>
          <w:p>
            <w:pPr>
              <w:pStyle w:val="17"/>
            </w:pPr>
            <w:r>
              <w:t>及时投保率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dxa"/>
            <w:vMerge w:val="continue"/>
            <w:vAlign w:val="center"/>
          </w:tcPr>
          <w:p/>
        </w:tc>
        <w:tc>
          <w:tcPr>
            <w:tcW w:w="1276" w:type="dxa"/>
            <w:vAlign w:val="center"/>
          </w:tcPr>
          <w:p>
            <w:pPr>
              <w:pStyle w:val="17"/>
            </w:pPr>
            <w:r>
              <w:t>成本指标</w:t>
            </w:r>
          </w:p>
        </w:tc>
        <w:tc>
          <w:tcPr>
            <w:tcW w:w="1332" w:type="dxa"/>
            <w:vAlign w:val="center"/>
          </w:tcPr>
          <w:p>
            <w:pPr>
              <w:pStyle w:val="17"/>
            </w:pPr>
            <w:r>
              <w:t>投保完成率</w:t>
            </w:r>
          </w:p>
        </w:tc>
        <w:tc>
          <w:tcPr>
            <w:tcW w:w="2891" w:type="dxa"/>
            <w:vAlign w:val="center"/>
          </w:tcPr>
          <w:p>
            <w:pPr>
              <w:pStyle w:val="17"/>
            </w:pPr>
            <w:r>
              <w:t>投保完成率</w:t>
            </w:r>
          </w:p>
        </w:tc>
        <w:tc>
          <w:tcPr>
            <w:tcW w:w="1276" w:type="dxa"/>
            <w:vAlign w:val="center"/>
          </w:tcPr>
          <w:p>
            <w:pPr>
              <w:pStyle w:val="17"/>
            </w:pPr>
            <w:r>
              <w:t>≥90投保完成率</w:t>
            </w:r>
          </w:p>
        </w:tc>
        <w:tc>
          <w:tcPr>
            <w:tcW w:w="1843" w:type="dxa"/>
            <w:vAlign w:val="center"/>
          </w:tcPr>
          <w:p>
            <w:pPr>
              <w:pStyle w:val="17"/>
            </w:pPr>
            <w:r>
              <w:t>投保完成率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4"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长期使用性</w:t>
            </w:r>
          </w:p>
        </w:tc>
        <w:tc>
          <w:tcPr>
            <w:tcW w:w="2891" w:type="dxa"/>
            <w:vAlign w:val="center"/>
          </w:tcPr>
          <w:p>
            <w:pPr>
              <w:pStyle w:val="17"/>
            </w:pPr>
            <w:r>
              <w:t>长期使用性</w:t>
            </w:r>
          </w:p>
        </w:tc>
        <w:tc>
          <w:tcPr>
            <w:tcW w:w="1276" w:type="dxa"/>
            <w:vAlign w:val="center"/>
          </w:tcPr>
          <w:p>
            <w:pPr>
              <w:pStyle w:val="17"/>
            </w:pPr>
            <w:r>
              <w:t>≥90长期使用性</w:t>
            </w:r>
          </w:p>
        </w:tc>
        <w:tc>
          <w:tcPr>
            <w:tcW w:w="1843" w:type="dxa"/>
            <w:vAlign w:val="center"/>
          </w:tcPr>
          <w:p>
            <w:pPr>
              <w:pStyle w:val="17"/>
            </w:pPr>
            <w:r>
              <w:t>长期使用性</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7" w:name="_Toc_4_4_0000000005"/>
      <w:r>
        <w:rPr>
          <w:rFonts w:ascii="方正仿宋_GBK" w:hAnsi="方正仿宋_GBK" w:eastAsia="方正仿宋_GBK" w:cs="方正仿宋_GBK"/>
          <w:color w:val="000000"/>
          <w:sz w:val="28"/>
        </w:rPr>
        <w:t>2.非公党建工作经费绩效目标表</w:t>
      </w:r>
      <w:bookmarkEnd w:id="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1"/>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46"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Align w:val="center"/>
          </w:tcPr>
          <w:p>
            <w:pPr>
              <w:pStyle w:val="15"/>
            </w:pPr>
            <w:r>
              <w:t>项目编码</w:t>
            </w:r>
          </w:p>
        </w:tc>
        <w:tc>
          <w:tcPr>
            <w:tcW w:w="2608" w:type="dxa"/>
            <w:gridSpan w:val="2"/>
            <w:vAlign w:val="center"/>
          </w:tcPr>
          <w:p>
            <w:pPr>
              <w:pStyle w:val="17"/>
            </w:pPr>
            <w:r>
              <w:t>13030322P00401110001D</w:t>
            </w:r>
          </w:p>
        </w:tc>
        <w:tc>
          <w:tcPr>
            <w:tcW w:w="1587" w:type="dxa"/>
            <w:vAlign w:val="center"/>
          </w:tcPr>
          <w:p>
            <w:pPr>
              <w:pStyle w:val="15"/>
            </w:pPr>
            <w:r>
              <w:t>项目名称</w:t>
            </w:r>
          </w:p>
        </w:tc>
        <w:tc>
          <w:tcPr>
            <w:tcW w:w="4423" w:type="dxa"/>
            <w:gridSpan w:val="3"/>
            <w:vAlign w:val="center"/>
          </w:tcPr>
          <w:p>
            <w:pPr>
              <w:pStyle w:val="17"/>
            </w:pPr>
            <w:r>
              <w:t>非公党建工作经费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2.00</w:t>
            </w:r>
          </w:p>
        </w:tc>
        <w:tc>
          <w:tcPr>
            <w:tcW w:w="1587" w:type="dxa"/>
            <w:vAlign w:val="center"/>
          </w:tcPr>
          <w:p>
            <w:pPr>
              <w:pStyle w:val="15"/>
            </w:pPr>
            <w:r>
              <w:t>其中：财政    资金</w:t>
            </w:r>
          </w:p>
        </w:tc>
        <w:tc>
          <w:tcPr>
            <w:tcW w:w="1304" w:type="dxa"/>
            <w:vAlign w:val="center"/>
          </w:tcPr>
          <w:p>
            <w:pPr>
              <w:pStyle w:val="17"/>
            </w:pPr>
            <w:r>
              <w:t>2.00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Merge w:val="continue"/>
          </w:tcPr>
          <w:p/>
        </w:tc>
        <w:tc>
          <w:tcPr>
            <w:tcW w:w="8618" w:type="dxa"/>
            <w:gridSpan w:val="6"/>
            <w:vAlign w:val="center"/>
          </w:tcPr>
          <w:p>
            <w:pPr>
              <w:pStyle w:val="17"/>
            </w:pPr>
            <w:r>
              <w:t>非公党建工作经费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1" w:type="dxa"/>
            <w:vAlign w:val="center"/>
          </w:tcPr>
          <w:p>
            <w:pPr>
              <w:pStyle w:val="15"/>
            </w:pPr>
            <w:r>
              <w:t>绩效目标</w:t>
            </w:r>
          </w:p>
        </w:tc>
        <w:tc>
          <w:tcPr>
            <w:tcW w:w="8618" w:type="dxa"/>
            <w:gridSpan w:val="6"/>
            <w:vAlign w:val="center"/>
          </w:tcPr>
          <w:p>
            <w:pPr>
              <w:pStyle w:val="17"/>
            </w:pPr>
            <w:r>
              <w:t>1.加强党员队伍建设，提高党员素质</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3"/>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823"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3"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发展党员工作完成率</w:t>
            </w:r>
          </w:p>
        </w:tc>
        <w:tc>
          <w:tcPr>
            <w:tcW w:w="2891" w:type="dxa"/>
            <w:vAlign w:val="center"/>
          </w:tcPr>
          <w:p>
            <w:pPr>
              <w:pStyle w:val="17"/>
            </w:pPr>
            <w:r>
              <w:t>发展党员工作完成率</w:t>
            </w:r>
          </w:p>
        </w:tc>
        <w:tc>
          <w:tcPr>
            <w:tcW w:w="1276" w:type="dxa"/>
            <w:vAlign w:val="center"/>
          </w:tcPr>
          <w:p>
            <w:pPr>
              <w:pStyle w:val="17"/>
            </w:pPr>
            <w:r>
              <w:t>≥90发展党员工作完成率</w:t>
            </w:r>
          </w:p>
        </w:tc>
        <w:tc>
          <w:tcPr>
            <w:tcW w:w="1843" w:type="dxa"/>
            <w:vAlign w:val="center"/>
          </w:tcPr>
          <w:p>
            <w:pPr>
              <w:pStyle w:val="17"/>
            </w:pPr>
            <w:r>
              <w:t>发展党员工作完成率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3" w:type="dxa"/>
            <w:vMerge w:val="continue"/>
            <w:vAlign w:val="center"/>
          </w:tcPr>
          <w:p/>
        </w:tc>
        <w:tc>
          <w:tcPr>
            <w:tcW w:w="1276" w:type="dxa"/>
            <w:vAlign w:val="center"/>
          </w:tcPr>
          <w:p>
            <w:pPr>
              <w:pStyle w:val="17"/>
            </w:pPr>
            <w:r>
              <w:t>质量指标</w:t>
            </w:r>
          </w:p>
        </w:tc>
        <w:tc>
          <w:tcPr>
            <w:tcW w:w="1332" w:type="dxa"/>
            <w:vAlign w:val="center"/>
          </w:tcPr>
          <w:p>
            <w:pPr>
              <w:pStyle w:val="17"/>
            </w:pPr>
            <w:r>
              <w:t>工作完成率</w:t>
            </w:r>
          </w:p>
        </w:tc>
        <w:tc>
          <w:tcPr>
            <w:tcW w:w="2891" w:type="dxa"/>
            <w:vAlign w:val="center"/>
          </w:tcPr>
          <w:p>
            <w:pPr>
              <w:pStyle w:val="17"/>
            </w:pPr>
            <w:r>
              <w:t>工作完成率</w:t>
            </w:r>
          </w:p>
        </w:tc>
        <w:tc>
          <w:tcPr>
            <w:tcW w:w="1276" w:type="dxa"/>
            <w:vAlign w:val="center"/>
          </w:tcPr>
          <w:p>
            <w:pPr>
              <w:pStyle w:val="17"/>
            </w:pPr>
            <w:r>
              <w:t>≥90工作完成率</w:t>
            </w:r>
          </w:p>
        </w:tc>
        <w:tc>
          <w:tcPr>
            <w:tcW w:w="1843" w:type="dxa"/>
            <w:vAlign w:val="center"/>
          </w:tcPr>
          <w:p>
            <w:pPr>
              <w:pStyle w:val="17"/>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3" w:type="dxa"/>
            <w:vMerge w:val="continue"/>
            <w:vAlign w:val="center"/>
          </w:tcPr>
          <w:p/>
        </w:tc>
        <w:tc>
          <w:tcPr>
            <w:tcW w:w="1276" w:type="dxa"/>
            <w:vAlign w:val="center"/>
          </w:tcPr>
          <w:p>
            <w:pPr>
              <w:pStyle w:val="17"/>
            </w:pPr>
            <w:r>
              <w:t>时效指标</w:t>
            </w:r>
          </w:p>
        </w:tc>
        <w:tc>
          <w:tcPr>
            <w:tcW w:w="1332" w:type="dxa"/>
            <w:vAlign w:val="center"/>
          </w:tcPr>
          <w:p>
            <w:pPr>
              <w:pStyle w:val="17"/>
            </w:pPr>
            <w:r>
              <w:t>各项工作完成及时率</w:t>
            </w:r>
          </w:p>
        </w:tc>
        <w:tc>
          <w:tcPr>
            <w:tcW w:w="2891" w:type="dxa"/>
            <w:vAlign w:val="center"/>
          </w:tcPr>
          <w:p>
            <w:pPr>
              <w:pStyle w:val="17"/>
            </w:pPr>
            <w:r>
              <w:t>各项工作完成及时率</w:t>
            </w:r>
          </w:p>
        </w:tc>
        <w:tc>
          <w:tcPr>
            <w:tcW w:w="1276" w:type="dxa"/>
            <w:vAlign w:val="center"/>
          </w:tcPr>
          <w:p>
            <w:pPr>
              <w:pStyle w:val="17"/>
            </w:pPr>
            <w:r>
              <w:t>≥90各项工作完成及时率</w:t>
            </w:r>
          </w:p>
        </w:tc>
        <w:tc>
          <w:tcPr>
            <w:tcW w:w="1843" w:type="dxa"/>
            <w:vAlign w:val="center"/>
          </w:tcPr>
          <w:p>
            <w:pPr>
              <w:pStyle w:val="17"/>
            </w:pPr>
            <w:r>
              <w:t>各项工作完成及时率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3" w:type="dxa"/>
            <w:vMerge w:val="continue"/>
            <w:vAlign w:val="center"/>
          </w:tcPr>
          <w:p/>
        </w:tc>
        <w:tc>
          <w:tcPr>
            <w:tcW w:w="1276" w:type="dxa"/>
            <w:vAlign w:val="center"/>
          </w:tcPr>
          <w:p>
            <w:pPr>
              <w:pStyle w:val="17"/>
            </w:pPr>
            <w:r>
              <w:t>成本指标</w:t>
            </w:r>
          </w:p>
        </w:tc>
        <w:tc>
          <w:tcPr>
            <w:tcW w:w="1332" w:type="dxa"/>
            <w:vAlign w:val="center"/>
          </w:tcPr>
          <w:p>
            <w:pPr>
              <w:pStyle w:val="17"/>
            </w:pPr>
            <w:r>
              <w:t>按预算资金完成率</w:t>
            </w:r>
          </w:p>
        </w:tc>
        <w:tc>
          <w:tcPr>
            <w:tcW w:w="2891" w:type="dxa"/>
            <w:vAlign w:val="center"/>
          </w:tcPr>
          <w:p>
            <w:pPr>
              <w:pStyle w:val="17"/>
            </w:pPr>
            <w:r>
              <w:t>按预算资金完成率</w:t>
            </w:r>
          </w:p>
        </w:tc>
        <w:tc>
          <w:tcPr>
            <w:tcW w:w="1276" w:type="dxa"/>
            <w:vAlign w:val="center"/>
          </w:tcPr>
          <w:p>
            <w:pPr>
              <w:pStyle w:val="17"/>
            </w:pPr>
            <w:r>
              <w:t>≥90按预算资金完成率</w:t>
            </w:r>
          </w:p>
        </w:tc>
        <w:tc>
          <w:tcPr>
            <w:tcW w:w="1843" w:type="dxa"/>
            <w:vAlign w:val="center"/>
          </w:tcPr>
          <w:p>
            <w:pPr>
              <w:pStyle w:val="17"/>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23"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提高基层党建工作水平</w:t>
            </w:r>
          </w:p>
        </w:tc>
        <w:tc>
          <w:tcPr>
            <w:tcW w:w="2891" w:type="dxa"/>
            <w:vAlign w:val="center"/>
          </w:tcPr>
          <w:p>
            <w:pPr>
              <w:pStyle w:val="17"/>
            </w:pPr>
            <w:r>
              <w:t>提高基层党建工作水平</w:t>
            </w:r>
          </w:p>
        </w:tc>
        <w:tc>
          <w:tcPr>
            <w:tcW w:w="1276" w:type="dxa"/>
            <w:vAlign w:val="center"/>
          </w:tcPr>
          <w:p>
            <w:pPr>
              <w:pStyle w:val="17"/>
            </w:pPr>
            <w:r>
              <w:t>≥90提高基层党建工作水平</w:t>
            </w:r>
          </w:p>
        </w:tc>
        <w:tc>
          <w:tcPr>
            <w:tcW w:w="1843" w:type="dxa"/>
            <w:vAlign w:val="center"/>
          </w:tcPr>
          <w:p>
            <w:pPr>
              <w:pStyle w:val="17"/>
            </w:pPr>
            <w:r>
              <w:t>提高基层党建工作水平</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8" w:name="_Toc_4_4_0000000006"/>
      <w:r>
        <w:rPr>
          <w:rFonts w:ascii="方正仿宋_GBK" w:hAnsi="方正仿宋_GBK" w:eastAsia="方正仿宋_GBK" w:cs="方正仿宋_GBK"/>
          <w:color w:val="000000"/>
          <w:sz w:val="28"/>
        </w:rPr>
        <w:t>3.基层党建工作经费绩效目标表</w:t>
      </w:r>
      <w:bookmarkEnd w:id="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9"/>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404"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Align w:val="center"/>
          </w:tcPr>
          <w:p>
            <w:pPr>
              <w:pStyle w:val="15"/>
            </w:pPr>
            <w:r>
              <w:t>项目编码</w:t>
            </w:r>
          </w:p>
        </w:tc>
        <w:tc>
          <w:tcPr>
            <w:tcW w:w="2608" w:type="dxa"/>
            <w:gridSpan w:val="2"/>
            <w:vAlign w:val="center"/>
          </w:tcPr>
          <w:p>
            <w:pPr>
              <w:pStyle w:val="17"/>
            </w:pPr>
            <w:r>
              <w:t>13030322P00400310001H</w:t>
            </w:r>
          </w:p>
        </w:tc>
        <w:tc>
          <w:tcPr>
            <w:tcW w:w="1587" w:type="dxa"/>
            <w:vAlign w:val="center"/>
          </w:tcPr>
          <w:p>
            <w:pPr>
              <w:pStyle w:val="15"/>
            </w:pPr>
            <w:r>
              <w:t>项目名称</w:t>
            </w:r>
          </w:p>
        </w:tc>
        <w:tc>
          <w:tcPr>
            <w:tcW w:w="4423" w:type="dxa"/>
            <w:gridSpan w:val="3"/>
            <w:vAlign w:val="center"/>
          </w:tcPr>
          <w:p>
            <w:pPr>
              <w:pStyle w:val="17"/>
            </w:pPr>
            <w:r>
              <w:t>基层党建工作经费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15.00</w:t>
            </w:r>
          </w:p>
        </w:tc>
        <w:tc>
          <w:tcPr>
            <w:tcW w:w="1587" w:type="dxa"/>
            <w:vAlign w:val="center"/>
          </w:tcPr>
          <w:p>
            <w:pPr>
              <w:pStyle w:val="15"/>
            </w:pPr>
            <w:r>
              <w:t>其中：财政    资金</w:t>
            </w:r>
          </w:p>
        </w:tc>
        <w:tc>
          <w:tcPr>
            <w:tcW w:w="1304" w:type="dxa"/>
            <w:vAlign w:val="center"/>
          </w:tcPr>
          <w:p>
            <w:pPr>
              <w:pStyle w:val="17"/>
            </w:pPr>
            <w:r>
              <w:t>15.00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Merge w:val="continue"/>
          </w:tcPr>
          <w:p/>
        </w:tc>
        <w:tc>
          <w:tcPr>
            <w:tcW w:w="8618" w:type="dxa"/>
            <w:gridSpan w:val="6"/>
            <w:vAlign w:val="center"/>
          </w:tcPr>
          <w:p>
            <w:pPr>
              <w:pStyle w:val="17"/>
            </w:pPr>
            <w:r>
              <w:t>基层党建工作经费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9" w:type="dxa"/>
            <w:vAlign w:val="center"/>
          </w:tcPr>
          <w:p>
            <w:pPr>
              <w:pStyle w:val="15"/>
            </w:pPr>
            <w:r>
              <w:t>绩效目标</w:t>
            </w:r>
          </w:p>
        </w:tc>
        <w:tc>
          <w:tcPr>
            <w:tcW w:w="8618" w:type="dxa"/>
            <w:gridSpan w:val="6"/>
            <w:vAlign w:val="center"/>
          </w:tcPr>
          <w:p>
            <w:pPr>
              <w:pStyle w:val="17"/>
            </w:pPr>
            <w:r>
              <w:t>1.加强党组织建设，不断提高基层党组织执政能力。</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4"/>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594"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4"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发展党员工作完成率</w:t>
            </w:r>
          </w:p>
        </w:tc>
        <w:tc>
          <w:tcPr>
            <w:tcW w:w="2891" w:type="dxa"/>
            <w:vAlign w:val="center"/>
          </w:tcPr>
          <w:p>
            <w:pPr>
              <w:pStyle w:val="17"/>
            </w:pPr>
            <w:r>
              <w:t>发展党员工作完成率</w:t>
            </w:r>
          </w:p>
        </w:tc>
        <w:tc>
          <w:tcPr>
            <w:tcW w:w="1276" w:type="dxa"/>
            <w:vAlign w:val="center"/>
          </w:tcPr>
          <w:p>
            <w:pPr>
              <w:pStyle w:val="17"/>
            </w:pPr>
            <w:r>
              <w:t>≥90发展党员工作完成率</w:t>
            </w:r>
          </w:p>
        </w:tc>
        <w:tc>
          <w:tcPr>
            <w:tcW w:w="1843" w:type="dxa"/>
            <w:vAlign w:val="center"/>
          </w:tcPr>
          <w:p>
            <w:pPr>
              <w:pStyle w:val="17"/>
            </w:pPr>
            <w:r>
              <w:t>发展党员工作完成率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4" w:type="dxa"/>
            <w:vMerge w:val="continue"/>
            <w:vAlign w:val="center"/>
          </w:tcPr>
          <w:p/>
        </w:tc>
        <w:tc>
          <w:tcPr>
            <w:tcW w:w="1276" w:type="dxa"/>
            <w:vAlign w:val="center"/>
          </w:tcPr>
          <w:p>
            <w:pPr>
              <w:pStyle w:val="17"/>
            </w:pPr>
            <w:r>
              <w:t>质量指标</w:t>
            </w:r>
          </w:p>
        </w:tc>
        <w:tc>
          <w:tcPr>
            <w:tcW w:w="1332" w:type="dxa"/>
            <w:vAlign w:val="center"/>
          </w:tcPr>
          <w:p>
            <w:pPr>
              <w:pStyle w:val="17"/>
            </w:pPr>
            <w:r>
              <w:t>工作完成率</w:t>
            </w:r>
          </w:p>
        </w:tc>
        <w:tc>
          <w:tcPr>
            <w:tcW w:w="2891" w:type="dxa"/>
            <w:vAlign w:val="center"/>
          </w:tcPr>
          <w:p>
            <w:pPr>
              <w:pStyle w:val="17"/>
            </w:pPr>
            <w:r>
              <w:t>工作完成率</w:t>
            </w:r>
          </w:p>
        </w:tc>
        <w:tc>
          <w:tcPr>
            <w:tcW w:w="1276" w:type="dxa"/>
            <w:vAlign w:val="center"/>
          </w:tcPr>
          <w:p>
            <w:pPr>
              <w:pStyle w:val="17"/>
            </w:pPr>
            <w:r>
              <w:t>≥90工作完成率</w:t>
            </w:r>
          </w:p>
        </w:tc>
        <w:tc>
          <w:tcPr>
            <w:tcW w:w="1843" w:type="dxa"/>
            <w:vAlign w:val="center"/>
          </w:tcPr>
          <w:p>
            <w:pPr>
              <w:pStyle w:val="17"/>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4" w:type="dxa"/>
            <w:vMerge w:val="continue"/>
            <w:vAlign w:val="center"/>
          </w:tcPr>
          <w:p/>
        </w:tc>
        <w:tc>
          <w:tcPr>
            <w:tcW w:w="1276" w:type="dxa"/>
            <w:vAlign w:val="center"/>
          </w:tcPr>
          <w:p>
            <w:pPr>
              <w:pStyle w:val="17"/>
            </w:pPr>
            <w:r>
              <w:t>时效指标</w:t>
            </w:r>
          </w:p>
        </w:tc>
        <w:tc>
          <w:tcPr>
            <w:tcW w:w="1332" w:type="dxa"/>
            <w:vAlign w:val="center"/>
          </w:tcPr>
          <w:p>
            <w:pPr>
              <w:pStyle w:val="17"/>
            </w:pPr>
            <w:r>
              <w:t>各项工作完成及时率</w:t>
            </w:r>
          </w:p>
        </w:tc>
        <w:tc>
          <w:tcPr>
            <w:tcW w:w="2891" w:type="dxa"/>
            <w:vAlign w:val="center"/>
          </w:tcPr>
          <w:p>
            <w:pPr>
              <w:pStyle w:val="17"/>
            </w:pPr>
            <w:r>
              <w:t>各项工作完成及时率</w:t>
            </w:r>
          </w:p>
        </w:tc>
        <w:tc>
          <w:tcPr>
            <w:tcW w:w="1276" w:type="dxa"/>
            <w:vAlign w:val="center"/>
          </w:tcPr>
          <w:p>
            <w:pPr>
              <w:pStyle w:val="17"/>
            </w:pPr>
            <w:r>
              <w:t>≥90各项工作完成及时率</w:t>
            </w:r>
          </w:p>
        </w:tc>
        <w:tc>
          <w:tcPr>
            <w:tcW w:w="1843" w:type="dxa"/>
            <w:vAlign w:val="center"/>
          </w:tcPr>
          <w:p>
            <w:pPr>
              <w:pStyle w:val="17"/>
            </w:pPr>
            <w:r>
              <w:t>各项工作完成及时率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4" w:type="dxa"/>
            <w:vMerge w:val="continue"/>
            <w:vAlign w:val="center"/>
          </w:tcPr>
          <w:p/>
        </w:tc>
        <w:tc>
          <w:tcPr>
            <w:tcW w:w="1276" w:type="dxa"/>
            <w:vAlign w:val="center"/>
          </w:tcPr>
          <w:p>
            <w:pPr>
              <w:pStyle w:val="17"/>
            </w:pPr>
            <w:r>
              <w:t>成本指标</w:t>
            </w:r>
          </w:p>
        </w:tc>
        <w:tc>
          <w:tcPr>
            <w:tcW w:w="1332" w:type="dxa"/>
            <w:vAlign w:val="center"/>
          </w:tcPr>
          <w:p>
            <w:pPr>
              <w:pStyle w:val="17"/>
            </w:pPr>
            <w:r>
              <w:t>按预算资金完成率</w:t>
            </w:r>
          </w:p>
        </w:tc>
        <w:tc>
          <w:tcPr>
            <w:tcW w:w="2891" w:type="dxa"/>
            <w:vAlign w:val="center"/>
          </w:tcPr>
          <w:p>
            <w:pPr>
              <w:pStyle w:val="17"/>
            </w:pPr>
            <w:r>
              <w:t>按预算资金完成率</w:t>
            </w:r>
          </w:p>
        </w:tc>
        <w:tc>
          <w:tcPr>
            <w:tcW w:w="1276" w:type="dxa"/>
            <w:vAlign w:val="center"/>
          </w:tcPr>
          <w:p>
            <w:pPr>
              <w:pStyle w:val="17"/>
            </w:pPr>
            <w:r>
              <w:t>≥90按预算资金完成率</w:t>
            </w:r>
          </w:p>
        </w:tc>
        <w:tc>
          <w:tcPr>
            <w:tcW w:w="1843" w:type="dxa"/>
            <w:vAlign w:val="center"/>
          </w:tcPr>
          <w:p>
            <w:pPr>
              <w:pStyle w:val="17"/>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4"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提高基层党建工作水平</w:t>
            </w:r>
          </w:p>
        </w:tc>
        <w:tc>
          <w:tcPr>
            <w:tcW w:w="2891" w:type="dxa"/>
            <w:vAlign w:val="center"/>
          </w:tcPr>
          <w:p>
            <w:pPr>
              <w:pStyle w:val="17"/>
            </w:pPr>
            <w:r>
              <w:t>提高基层党建工作水平</w:t>
            </w:r>
          </w:p>
        </w:tc>
        <w:tc>
          <w:tcPr>
            <w:tcW w:w="1276" w:type="dxa"/>
            <w:vAlign w:val="center"/>
          </w:tcPr>
          <w:p>
            <w:pPr>
              <w:pStyle w:val="17"/>
            </w:pPr>
            <w:r>
              <w:t>≥90提高基层党建工作水平</w:t>
            </w:r>
          </w:p>
        </w:tc>
        <w:tc>
          <w:tcPr>
            <w:tcW w:w="1843" w:type="dxa"/>
            <w:vAlign w:val="center"/>
          </w:tcPr>
          <w:p>
            <w:pPr>
              <w:pStyle w:val="17"/>
            </w:pPr>
            <w:r>
              <w:t>提高基层党建工作水平</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9" w:name="_Toc_4_4_0000000007"/>
      <w:r>
        <w:rPr>
          <w:rFonts w:ascii="方正仿宋_GBK" w:hAnsi="方正仿宋_GBK" w:eastAsia="方正仿宋_GBK" w:cs="方正仿宋_GBK"/>
          <w:color w:val="000000"/>
          <w:sz w:val="28"/>
        </w:rPr>
        <w:t>4.老年大学培训费绩效目标表</w:t>
      </w:r>
      <w:bookmarkEnd w:id="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13030322P004015100014</w:t>
            </w:r>
          </w:p>
        </w:tc>
        <w:tc>
          <w:tcPr>
            <w:tcW w:w="1587" w:type="dxa"/>
            <w:vAlign w:val="center"/>
          </w:tcPr>
          <w:p>
            <w:pPr>
              <w:pStyle w:val="15"/>
            </w:pPr>
            <w:r>
              <w:t>项目名称</w:t>
            </w:r>
          </w:p>
        </w:tc>
        <w:tc>
          <w:tcPr>
            <w:tcW w:w="4423" w:type="dxa"/>
            <w:gridSpan w:val="3"/>
            <w:vAlign w:val="center"/>
          </w:tcPr>
          <w:p>
            <w:pPr>
              <w:pStyle w:val="17"/>
            </w:pPr>
            <w:r>
              <w:t>老年大学培训费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1.60</w:t>
            </w:r>
          </w:p>
        </w:tc>
        <w:tc>
          <w:tcPr>
            <w:tcW w:w="1587" w:type="dxa"/>
            <w:vAlign w:val="center"/>
          </w:tcPr>
          <w:p>
            <w:pPr>
              <w:pStyle w:val="15"/>
            </w:pPr>
            <w:r>
              <w:t>其中：财政    资金</w:t>
            </w:r>
          </w:p>
        </w:tc>
        <w:tc>
          <w:tcPr>
            <w:tcW w:w="1304" w:type="dxa"/>
            <w:vAlign w:val="center"/>
          </w:tcPr>
          <w:p>
            <w:pPr>
              <w:pStyle w:val="17"/>
            </w:pPr>
            <w:r>
              <w:t>1.60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老年大学教务教学经费支出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1.老年大学教务教学管理，组织校园文化活动经费</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老年学员覆盖率</w:t>
            </w:r>
          </w:p>
        </w:tc>
        <w:tc>
          <w:tcPr>
            <w:tcW w:w="2891" w:type="dxa"/>
            <w:vAlign w:val="center"/>
          </w:tcPr>
          <w:p>
            <w:pPr>
              <w:pStyle w:val="17"/>
            </w:pPr>
            <w:r>
              <w:t>参加老年教育学员覆盖率</w:t>
            </w:r>
          </w:p>
        </w:tc>
        <w:tc>
          <w:tcPr>
            <w:tcW w:w="1276" w:type="dxa"/>
            <w:vAlign w:val="center"/>
          </w:tcPr>
          <w:p>
            <w:pPr>
              <w:pStyle w:val="17"/>
            </w:pPr>
            <w:r>
              <w:t>≥70参加老年教育学员覆盖率</w:t>
            </w:r>
          </w:p>
        </w:tc>
        <w:tc>
          <w:tcPr>
            <w:tcW w:w="1843" w:type="dxa"/>
            <w:vAlign w:val="center"/>
          </w:tcPr>
          <w:p>
            <w:pPr>
              <w:pStyle w:val="17"/>
            </w:pPr>
            <w:r>
              <w:t>老年学员覆盖率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优秀学员比率</w:t>
            </w:r>
          </w:p>
        </w:tc>
        <w:tc>
          <w:tcPr>
            <w:tcW w:w="2891" w:type="dxa"/>
            <w:vAlign w:val="center"/>
          </w:tcPr>
          <w:p>
            <w:pPr>
              <w:pStyle w:val="17"/>
            </w:pPr>
            <w:r>
              <w:t>优秀学员占学员总人数比率</w:t>
            </w:r>
          </w:p>
        </w:tc>
        <w:tc>
          <w:tcPr>
            <w:tcW w:w="1276" w:type="dxa"/>
            <w:vAlign w:val="center"/>
          </w:tcPr>
          <w:p>
            <w:pPr>
              <w:pStyle w:val="17"/>
            </w:pPr>
            <w:r>
              <w:t>≥70优秀学员占学员总人数比率</w:t>
            </w:r>
          </w:p>
        </w:tc>
        <w:tc>
          <w:tcPr>
            <w:tcW w:w="1843" w:type="dxa"/>
            <w:vAlign w:val="center"/>
          </w:tcPr>
          <w:p>
            <w:pPr>
              <w:pStyle w:val="17"/>
            </w:pPr>
            <w:r>
              <w:t>优秀学员比率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教学任务完成率</w:t>
            </w:r>
          </w:p>
        </w:tc>
        <w:tc>
          <w:tcPr>
            <w:tcW w:w="2891" w:type="dxa"/>
            <w:vAlign w:val="center"/>
          </w:tcPr>
          <w:p>
            <w:pPr>
              <w:pStyle w:val="17"/>
            </w:pPr>
            <w:r>
              <w:t>教学任务完成率</w:t>
            </w:r>
          </w:p>
        </w:tc>
        <w:tc>
          <w:tcPr>
            <w:tcW w:w="1276" w:type="dxa"/>
            <w:vAlign w:val="center"/>
          </w:tcPr>
          <w:p>
            <w:pPr>
              <w:pStyle w:val="17"/>
            </w:pPr>
            <w:r>
              <w:t>≥70教学任务完成率</w:t>
            </w:r>
          </w:p>
        </w:tc>
        <w:tc>
          <w:tcPr>
            <w:tcW w:w="1843" w:type="dxa"/>
            <w:vAlign w:val="center"/>
          </w:tcPr>
          <w:p>
            <w:pPr>
              <w:pStyle w:val="17"/>
            </w:pPr>
            <w:r>
              <w:t>教学任务完成率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经费开支</w:t>
            </w:r>
          </w:p>
        </w:tc>
        <w:tc>
          <w:tcPr>
            <w:tcW w:w="2891" w:type="dxa"/>
            <w:vAlign w:val="center"/>
          </w:tcPr>
          <w:p>
            <w:pPr>
              <w:pStyle w:val="17"/>
            </w:pPr>
            <w:r>
              <w:t>节约经费开支，保障基本运转</w:t>
            </w:r>
          </w:p>
        </w:tc>
        <w:tc>
          <w:tcPr>
            <w:tcW w:w="1276" w:type="dxa"/>
            <w:vAlign w:val="center"/>
          </w:tcPr>
          <w:p>
            <w:pPr>
              <w:pStyle w:val="17"/>
            </w:pPr>
            <w:r>
              <w:t>≥70节约经费开支，保障基本运转</w:t>
            </w:r>
          </w:p>
        </w:tc>
        <w:tc>
          <w:tcPr>
            <w:tcW w:w="1843" w:type="dxa"/>
            <w:vAlign w:val="center"/>
          </w:tcPr>
          <w:p>
            <w:pPr>
              <w:pStyle w:val="17"/>
            </w:pPr>
            <w:r>
              <w:t>经费开支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社会影响力</w:t>
            </w:r>
          </w:p>
        </w:tc>
        <w:tc>
          <w:tcPr>
            <w:tcW w:w="2891" w:type="dxa"/>
            <w:vAlign w:val="center"/>
          </w:tcPr>
          <w:p>
            <w:pPr>
              <w:pStyle w:val="17"/>
            </w:pPr>
            <w:r>
              <w:t>使老年人“老有所学、老有所乐、老有所为”</w:t>
            </w:r>
          </w:p>
        </w:tc>
        <w:tc>
          <w:tcPr>
            <w:tcW w:w="1276" w:type="dxa"/>
            <w:vAlign w:val="center"/>
          </w:tcPr>
          <w:p>
            <w:pPr>
              <w:pStyle w:val="17"/>
            </w:pPr>
            <w:r>
              <w:t>≥70使老年人“老有所学、老有所乐、老有所为”</w:t>
            </w:r>
          </w:p>
        </w:tc>
        <w:tc>
          <w:tcPr>
            <w:tcW w:w="1843" w:type="dxa"/>
            <w:vAlign w:val="center"/>
          </w:tcPr>
          <w:p>
            <w:pPr>
              <w:pStyle w:val="17"/>
            </w:pPr>
            <w:r>
              <w:t>社会影响力</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0" w:name="_Toc_4_4_0000000008"/>
      <w:r>
        <w:rPr>
          <w:rFonts w:ascii="方正仿宋_GBK" w:hAnsi="方正仿宋_GBK" w:eastAsia="方正仿宋_GBK" w:cs="方正仿宋_GBK"/>
          <w:color w:val="000000"/>
          <w:sz w:val="28"/>
        </w:rPr>
        <w:t>5.2021年度干部考核经费绩效目标表</w:t>
      </w:r>
      <w:bookmarkEnd w:id="1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13030322P00401310001Q</w:t>
            </w:r>
          </w:p>
        </w:tc>
        <w:tc>
          <w:tcPr>
            <w:tcW w:w="1587" w:type="dxa"/>
            <w:vAlign w:val="center"/>
          </w:tcPr>
          <w:p>
            <w:pPr>
              <w:pStyle w:val="15"/>
            </w:pPr>
            <w:r>
              <w:t>项目名称</w:t>
            </w:r>
          </w:p>
        </w:tc>
        <w:tc>
          <w:tcPr>
            <w:tcW w:w="4423" w:type="dxa"/>
            <w:gridSpan w:val="3"/>
            <w:vAlign w:val="center"/>
          </w:tcPr>
          <w:p>
            <w:pPr>
              <w:pStyle w:val="17"/>
            </w:pPr>
            <w:r>
              <w:t>2021年度干部考核经费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40.00</w:t>
            </w:r>
          </w:p>
        </w:tc>
        <w:tc>
          <w:tcPr>
            <w:tcW w:w="1587" w:type="dxa"/>
            <w:vAlign w:val="center"/>
          </w:tcPr>
          <w:p>
            <w:pPr>
              <w:pStyle w:val="15"/>
            </w:pPr>
            <w:r>
              <w:t>其中：财政    资金</w:t>
            </w:r>
          </w:p>
        </w:tc>
        <w:tc>
          <w:tcPr>
            <w:tcW w:w="1304" w:type="dxa"/>
            <w:vAlign w:val="center"/>
          </w:tcPr>
          <w:p>
            <w:pPr>
              <w:pStyle w:val="17"/>
            </w:pPr>
            <w:r>
              <w:t>40.00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为全区2021年度考核优秀干部发放奖励金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100%</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1.2021年度干部考核经费</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干部考核人数</w:t>
            </w:r>
          </w:p>
        </w:tc>
        <w:tc>
          <w:tcPr>
            <w:tcW w:w="2891" w:type="dxa"/>
            <w:vAlign w:val="center"/>
          </w:tcPr>
          <w:p>
            <w:pPr>
              <w:pStyle w:val="17"/>
            </w:pPr>
            <w:r>
              <w:t>干部考核人数</w:t>
            </w:r>
          </w:p>
        </w:tc>
        <w:tc>
          <w:tcPr>
            <w:tcW w:w="1276" w:type="dxa"/>
            <w:vAlign w:val="center"/>
          </w:tcPr>
          <w:p>
            <w:pPr>
              <w:pStyle w:val="17"/>
            </w:pPr>
            <w:r>
              <w:t>≥90干部考核人数</w:t>
            </w:r>
          </w:p>
        </w:tc>
        <w:tc>
          <w:tcPr>
            <w:tcW w:w="1843" w:type="dxa"/>
            <w:vAlign w:val="center"/>
          </w:tcPr>
          <w:p>
            <w:pPr>
              <w:pStyle w:val="17"/>
            </w:pPr>
            <w:r>
              <w:t>干部考核人数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考核完成率</w:t>
            </w:r>
          </w:p>
        </w:tc>
        <w:tc>
          <w:tcPr>
            <w:tcW w:w="2891" w:type="dxa"/>
            <w:vAlign w:val="center"/>
          </w:tcPr>
          <w:p>
            <w:pPr>
              <w:pStyle w:val="17"/>
            </w:pPr>
            <w:r>
              <w:t>考核完成率</w:t>
            </w:r>
          </w:p>
        </w:tc>
        <w:tc>
          <w:tcPr>
            <w:tcW w:w="1276" w:type="dxa"/>
            <w:vAlign w:val="center"/>
          </w:tcPr>
          <w:p>
            <w:pPr>
              <w:pStyle w:val="17"/>
            </w:pPr>
            <w:r>
              <w:t>≥90考核完成率</w:t>
            </w:r>
          </w:p>
        </w:tc>
        <w:tc>
          <w:tcPr>
            <w:tcW w:w="1843" w:type="dxa"/>
            <w:vAlign w:val="center"/>
          </w:tcPr>
          <w:p>
            <w:pPr>
              <w:pStyle w:val="17"/>
            </w:pPr>
            <w:r>
              <w:t>考核完成率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及时率</w:t>
            </w:r>
          </w:p>
        </w:tc>
        <w:tc>
          <w:tcPr>
            <w:tcW w:w="2891" w:type="dxa"/>
            <w:vAlign w:val="center"/>
          </w:tcPr>
          <w:p>
            <w:pPr>
              <w:pStyle w:val="17"/>
            </w:pPr>
            <w:r>
              <w:t>及时率</w:t>
            </w:r>
          </w:p>
        </w:tc>
        <w:tc>
          <w:tcPr>
            <w:tcW w:w="1276" w:type="dxa"/>
            <w:vAlign w:val="center"/>
          </w:tcPr>
          <w:p>
            <w:pPr>
              <w:pStyle w:val="17"/>
            </w:pPr>
            <w:r>
              <w:t>≥90及时率</w:t>
            </w:r>
          </w:p>
        </w:tc>
        <w:tc>
          <w:tcPr>
            <w:tcW w:w="1843" w:type="dxa"/>
            <w:vAlign w:val="center"/>
          </w:tcPr>
          <w:p>
            <w:pPr>
              <w:pStyle w:val="17"/>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≥90预算控制数</w:t>
            </w:r>
          </w:p>
        </w:tc>
        <w:tc>
          <w:tcPr>
            <w:tcW w:w="1843" w:type="dxa"/>
            <w:vAlign w:val="center"/>
          </w:tcPr>
          <w:p>
            <w:pPr>
              <w:pStyle w:val="17"/>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工作完成率</w:t>
            </w:r>
          </w:p>
        </w:tc>
        <w:tc>
          <w:tcPr>
            <w:tcW w:w="2891" w:type="dxa"/>
            <w:vAlign w:val="center"/>
          </w:tcPr>
          <w:p>
            <w:pPr>
              <w:pStyle w:val="17"/>
            </w:pPr>
            <w:r>
              <w:t>工作完成率</w:t>
            </w:r>
          </w:p>
        </w:tc>
        <w:tc>
          <w:tcPr>
            <w:tcW w:w="1276" w:type="dxa"/>
            <w:vAlign w:val="center"/>
          </w:tcPr>
          <w:p>
            <w:pPr>
              <w:pStyle w:val="17"/>
            </w:pPr>
            <w:r>
              <w:t>≥90工作完成率</w:t>
            </w:r>
          </w:p>
        </w:tc>
        <w:tc>
          <w:tcPr>
            <w:tcW w:w="1843" w:type="dxa"/>
            <w:vAlign w:val="center"/>
          </w:tcPr>
          <w:p>
            <w:pPr>
              <w:pStyle w:val="17"/>
            </w:pPr>
            <w:r>
              <w:t>工作完成率</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1" w:name="_Toc_4_4_0000000009"/>
      <w:r>
        <w:rPr>
          <w:rFonts w:ascii="方正仿宋_GBK" w:hAnsi="方正仿宋_GBK" w:eastAsia="方正仿宋_GBK" w:cs="方正仿宋_GBK"/>
          <w:color w:val="000000"/>
          <w:sz w:val="28"/>
        </w:rPr>
        <w:t>6.党员远程教育站点服务费绩效目标表</w:t>
      </w:r>
      <w:bookmarkEnd w:id="11"/>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13030322P004007100018</w:t>
            </w:r>
          </w:p>
        </w:tc>
        <w:tc>
          <w:tcPr>
            <w:tcW w:w="1587" w:type="dxa"/>
            <w:vAlign w:val="center"/>
          </w:tcPr>
          <w:p>
            <w:pPr>
              <w:pStyle w:val="15"/>
            </w:pPr>
            <w:r>
              <w:t>项目名称</w:t>
            </w:r>
          </w:p>
        </w:tc>
        <w:tc>
          <w:tcPr>
            <w:tcW w:w="4423" w:type="dxa"/>
            <w:gridSpan w:val="3"/>
            <w:vAlign w:val="center"/>
          </w:tcPr>
          <w:p>
            <w:pPr>
              <w:pStyle w:val="17"/>
            </w:pPr>
            <w:r>
              <w:t>党员远程教育站点服务费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5.00</w:t>
            </w:r>
          </w:p>
        </w:tc>
        <w:tc>
          <w:tcPr>
            <w:tcW w:w="1587" w:type="dxa"/>
            <w:vAlign w:val="center"/>
          </w:tcPr>
          <w:p>
            <w:pPr>
              <w:pStyle w:val="15"/>
            </w:pPr>
            <w:r>
              <w:t>其中：财政    资金</w:t>
            </w:r>
          </w:p>
        </w:tc>
        <w:tc>
          <w:tcPr>
            <w:tcW w:w="1304" w:type="dxa"/>
            <w:vAlign w:val="center"/>
          </w:tcPr>
          <w:p>
            <w:pPr>
              <w:pStyle w:val="17"/>
            </w:pPr>
            <w:r>
              <w:t>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远程教育站点费用及设备维护等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1.远程教育站点费用及设备维护等</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站点覆盖率</w:t>
            </w:r>
          </w:p>
        </w:tc>
        <w:tc>
          <w:tcPr>
            <w:tcW w:w="2891" w:type="dxa"/>
            <w:vAlign w:val="center"/>
          </w:tcPr>
          <w:p>
            <w:pPr>
              <w:pStyle w:val="17"/>
            </w:pPr>
            <w:r>
              <w:t>各村（社区）远程教育站点覆盖率</w:t>
            </w:r>
          </w:p>
        </w:tc>
        <w:tc>
          <w:tcPr>
            <w:tcW w:w="1276" w:type="dxa"/>
            <w:vAlign w:val="center"/>
          </w:tcPr>
          <w:p>
            <w:pPr>
              <w:pStyle w:val="17"/>
            </w:pPr>
            <w:r>
              <w:t>≥90各村（社区）远程教育站点覆盖率</w:t>
            </w:r>
          </w:p>
        </w:tc>
        <w:tc>
          <w:tcPr>
            <w:tcW w:w="1843" w:type="dxa"/>
            <w:vAlign w:val="center"/>
          </w:tcPr>
          <w:p>
            <w:pPr>
              <w:pStyle w:val="17"/>
            </w:pPr>
            <w:r>
              <w:t>各村（社区）远程教育站点覆盖率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站点通畅率</w:t>
            </w:r>
          </w:p>
        </w:tc>
        <w:tc>
          <w:tcPr>
            <w:tcW w:w="2891" w:type="dxa"/>
            <w:vAlign w:val="center"/>
          </w:tcPr>
          <w:p>
            <w:pPr>
              <w:pStyle w:val="17"/>
            </w:pPr>
            <w:r>
              <w:t>正常运行站点占总站点的比例</w:t>
            </w:r>
          </w:p>
        </w:tc>
        <w:tc>
          <w:tcPr>
            <w:tcW w:w="1276" w:type="dxa"/>
            <w:vAlign w:val="center"/>
          </w:tcPr>
          <w:p>
            <w:pPr>
              <w:pStyle w:val="17"/>
            </w:pPr>
            <w:r>
              <w:t>≥90正常运行站点占总站点的比例</w:t>
            </w:r>
          </w:p>
        </w:tc>
        <w:tc>
          <w:tcPr>
            <w:tcW w:w="1843" w:type="dxa"/>
            <w:vAlign w:val="center"/>
          </w:tcPr>
          <w:p>
            <w:pPr>
              <w:pStyle w:val="17"/>
            </w:pPr>
            <w:r>
              <w:t>正常运行站点占总站点的比例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及时性</w:t>
            </w:r>
          </w:p>
        </w:tc>
        <w:tc>
          <w:tcPr>
            <w:tcW w:w="2891" w:type="dxa"/>
            <w:vAlign w:val="center"/>
          </w:tcPr>
          <w:p>
            <w:pPr>
              <w:pStyle w:val="17"/>
            </w:pPr>
            <w:r>
              <w:t>及时性</w:t>
            </w:r>
          </w:p>
        </w:tc>
        <w:tc>
          <w:tcPr>
            <w:tcW w:w="1276" w:type="dxa"/>
            <w:vAlign w:val="center"/>
          </w:tcPr>
          <w:p>
            <w:pPr>
              <w:pStyle w:val="17"/>
            </w:pPr>
            <w:r>
              <w:t>≥90及时性</w:t>
            </w:r>
          </w:p>
        </w:tc>
        <w:tc>
          <w:tcPr>
            <w:tcW w:w="1843" w:type="dxa"/>
            <w:vAlign w:val="center"/>
          </w:tcPr>
          <w:p>
            <w:pPr>
              <w:pStyle w:val="17"/>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总成本控制数</w:t>
            </w:r>
          </w:p>
        </w:tc>
        <w:tc>
          <w:tcPr>
            <w:tcW w:w="2891" w:type="dxa"/>
            <w:vAlign w:val="center"/>
          </w:tcPr>
          <w:p>
            <w:pPr>
              <w:pStyle w:val="17"/>
            </w:pPr>
            <w:r>
              <w:t>总成本控制数</w:t>
            </w:r>
          </w:p>
        </w:tc>
        <w:tc>
          <w:tcPr>
            <w:tcW w:w="1276" w:type="dxa"/>
            <w:vAlign w:val="center"/>
          </w:tcPr>
          <w:p>
            <w:pPr>
              <w:pStyle w:val="17"/>
            </w:pPr>
            <w:r>
              <w:t>≥90总成本控制数</w:t>
            </w:r>
          </w:p>
        </w:tc>
        <w:tc>
          <w:tcPr>
            <w:tcW w:w="1843" w:type="dxa"/>
            <w:vAlign w:val="center"/>
          </w:tcPr>
          <w:p>
            <w:pPr>
              <w:pStyle w:val="17"/>
            </w:pPr>
            <w:r>
              <w:t>总成本控制数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生态效益指标</w:t>
            </w:r>
          </w:p>
        </w:tc>
        <w:tc>
          <w:tcPr>
            <w:tcW w:w="1332" w:type="dxa"/>
            <w:vAlign w:val="center"/>
          </w:tcPr>
          <w:p>
            <w:pPr>
              <w:pStyle w:val="17"/>
            </w:pPr>
            <w:r>
              <w:t>党员教育参与率</w:t>
            </w:r>
          </w:p>
        </w:tc>
        <w:tc>
          <w:tcPr>
            <w:tcW w:w="2891" w:type="dxa"/>
            <w:vAlign w:val="center"/>
          </w:tcPr>
          <w:p>
            <w:pPr>
              <w:pStyle w:val="17"/>
            </w:pPr>
            <w:r>
              <w:t>党员教育参与率</w:t>
            </w:r>
          </w:p>
        </w:tc>
        <w:tc>
          <w:tcPr>
            <w:tcW w:w="1276" w:type="dxa"/>
            <w:vAlign w:val="center"/>
          </w:tcPr>
          <w:p>
            <w:pPr>
              <w:pStyle w:val="17"/>
            </w:pPr>
            <w:r>
              <w:t>≥90党员教育参与率</w:t>
            </w:r>
          </w:p>
        </w:tc>
        <w:tc>
          <w:tcPr>
            <w:tcW w:w="1843" w:type="dxa"/>
            <w:vAlign w:val="center"/>
          </w:tcPr>
          <w:p>
            <w:pPr>
              <w:pStyle w:val="17"/>
            </w:pPr>
            <w:r>
              <w:t>党员教育参与率</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2" w:name="_Toc_4_4_0000000010"/>
      <w:r>
        <w:rPr>
          <w:rFonts w:ascii="方正仿宋_GBK" w:hAnsi="方正仿宋_GBK" w:eastAsia="方正仿宋_GBK" w:cs="方正仿宋_GBK"/>
          <w:color w:val="000000"/>
          <w:sz w:val="28"/>
        </w:rPr>
        <w:t>7.干部教育培训经费绩效目标表</w:t>
      </w:r>
      <w:bookmarkEnd w:id="12"/>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13030322P00400810001X</w:t>
            </w:r>
          </w:p>
        </w:tc>
        <w:tc>
          <w:tcPr>
            <w:tcW w:w="1587" w:type="dxa"/>
            <w:vAlign w:val="center"/>
          </w:tcPr>
          <w:p>
            <w:pPr>
              <w:pStyle w:val="15"/>
            </w:pPr>
            <w:r>
              <w:t>项目名称</w:t>
            </w:r>
          </w:p>
        </w:tc>
        <w:tc>
          <w:tcPr>
            <w:tcW w:w="4423" w:type="dxa"/>
            <w:gridSpan w:val="3"/>
            <w:vAlign w:val="center"/>
          </w:tcPr>
          <w:p>
            <w:pPr>
              <w:pStyle w:val="17"/>
            </w:pPr>
            <w:r>
              <w:t>干部教育培训经费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5.00</w:t>
            </w:r>
          </w:p>
        </w:tc>
        <w:tc>
          <w:tcPr>
            <w:tcW w:w="1587" w:type="dxa"/>
            <w:vAlign w:val="center"/>
          </w:tcPr>
          <w:p>
            <w:pPr>
              <w:pStyle w:val="15"/>
            </w:pPr>
            <w:r>
              <w:t>其中：财政    资金</w:t>
            </w:r>
          </w:p>
        </w:tc>
        <w:tc>
          <w:tcPr>
            <w:tcW w:w="1304" w:type="dxa"/>
            <w:vAlign w:val="center"/>
          </w:tcPr>
          <w:p>
            <w:pPr>
              <w:pStyle w:val="17"/>
            </w:pPr>
            <w:r>
              <w:t>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2022年度干部教育培训经费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1.提高中青年干部政策理论及业务水平</w:t>
            </w:r>
          </w:p>
          <w:p>
            <w:pPr>
              <w:pStyle w:val="17"/>
            </w:pPr>
            <w:r>
              <w:t>2.提高中青年干部的执政能力</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参加培训人数</w:t>
            </w:r>
          </w:p>
        </w:tc>
        <w:tc>
          <w:tcPr>
            <w:tcW w:w="2891" w:type="dxa"/>
            <w:vAlign w:val="center"/>
          </w:tcPr>
          <w:p>
            <w:pPr>
              <w:pStyle w:val="17"/>
            </w:pPr>
            <w:r>
              <w:t>参加培训人数</w:t>
            </w:r>
          </w:p>
        </w:tc>
        <w:tc>
          <w:tcPr>
            <w:tcW w:w="1276" w:type="dxa"/>
            <w:vAlign w:val="center"/>
          </w:tcPr>
          <w:p>
            <w:pPr>
              <w:pStyle w:val="17"/>
            </w:pPr>
            <w:r>
              <w:t>≥90参加培训人数</w:t>
            </w:r>
          </w:p>
        </w:tc>
        <w:tc>
          <w:tcPr>
            <w:tcW w:w="1843" w:type="dxa"/>
            <w:vAlign w:val="center"/>
          </w:tcPr>
          <w:p>
            <w:pPr>
              <w:pStyle w:val="17"/>
            </w:pPr>
            <w:r>
              <w:t>参加培训人数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提高干部业务水平</w:t>
            </w:r>
          </w:p>
        </w:tc>
        <w:tc>
          <w:tcPr>
            <w:tcW w:w="2891" w:type="dxa"/>
            <w:vAlign w:val="center"/>
          </w:tcPr>
          <w:p>
            <w:pPr>
              <w:pStyle w:val="17"/>
            </w:pPr>
            <w:r>
              <w:t>提高干部业务水平</w:t>
            </w:r>
          </w:p>
        </w:tc>
        <w:tc>
          <w:tcPr>
            <w:tcW w:w="1276" w:type="dxa"/>
            <w:vAlign w:val="center"/>
          </w:tcPr>
          <w:p>
            <w:pPr>
              <w:pStyle w:val="17"/>
            </w:pPr>
            <w:r>
              <w:t>≥90提高干部业务水平</w:t>
            </w:r>
          </w:p>
        </w:tc>
        <w:tc>
          <w:tcPr>
            <w:tcW w:w="1843" w:type="dxa"/>
            <w:vAlign w:val="center"/>
          </w:tcPr>
          <w:p>
            <w:pPr>
              <w:pStyle w:val="17"/>
            </w:pPr>
            <w:r>
              <w:t>提高干部业务水平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工作完成及时率</w:t>
            </w:r>
          </w:p>
        </w:tc>
        <w:tc>
          <w:tcPr>
            <w:tcW w:w="2891" w:type="dxa"/>
            <w:vAlign w:val="center"/>
          </w:tcPr>
          <w:p>
            <w:pPr>
              <w:pStyle w:val="17"/>
            </w:pPr>
            <w:r>
              <w:t>工作完成及时率</w:t>
            </w:r>
          </w:p>
        </w:tc>
        <w:tc>
          <w:tcPr>
            <w:tcW w:w="1276" w:type="dxa"/>
            <w:vAlign w:val="center"/>
          </w:tcPr>
          <w:p>
            <w:pPr>
              <w:pStyle w:val="17"/>
            </w:pPr>
            <w:r>
              <w:t>≥90工作完成及时率</w:t>
            </w:r>
          </w:p>
        </w:tc>
        <w:tc>
          <w:tcPr>
            <w:tcW w:w="1843" w:type="dxa"/>
            <w:vAlign w:val="center"/>
          </w:tcPr>
          <w:p>
            <w:pPr>
              <w:pStyle w:val="17"/>
            </w:pPr>
            <w:r>
              <w:t>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经费控制数</w:t>
            </w:r>
          </w:p>
        </w:tc>
        <w:tc>
          <w:tcPr>
            <w:tcW w:w="2891" w:type="dxa"/>
            <w:vAlign w:val="center"/>
          </w:tcPr>
          <w:p>
            <w:pPr>
              <w:pStyle w:val="17"/>
            </w:pPr>
            <w:r>
              <w:t>经费控制数</w:t>
            </w:r>
          </w:p>
        </w:tc>
        <w:tc>
          <w:tcPr>
            <w:tcW w:w="1276" w:type="dxa"/>
            <w:vAlign w:val="center"/>
          </w:tcPr>
          <w:p>
            <w:pPr>
              <w:pStyle w:val="17"/>
            </w:pPr>
            <w:r>
              <w:t>≥90经费控制数</w:t>
            </w:r>
          </w:p>
        </w:tc>
        <w:tc>
          <w:tcPr>
            <w:tcW w:w="1843" w:type="dxa"/>
            <w:vAlign w:val="center"/>
          </w:tcPr>
          <w:p>
            <w:pPr>
              <w:pStyle w:val="17"/>
            </w:pPr>
            <w:r>
              <w:t>经费控制数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提高干部政策理论水平</w:t>
            </w:r>
          </w:p>
        </w:tc>
        <w:tc>
          <w:tcPr>
            <w:tcW w:w="2891" w:type="dxa"/>
            <w:vAlign w:val="center"/>
          </w:tcPr>
          <w:p>
            <w:pPr>
              <w:pStyle w:val="17"/>
            </w:pPr>
            <w:r>
              <w:t>提高干部政策理论水平</w:t>
            </w:r>
          </w:p>
        </w:tc>
        <w:tc>
          <w:tcPr>
            <w:tcW w:w="1276" w:type="dxa"/>
            <w:vAlign w:val="center"/>
          </w:tcPr>
          <w:p>
            <w:pPr>
              <w:pStyle w:val="17"/>
            </w:pPr>
            <w:r>
              <w:t>≥90提高干部政策理论水平</w:t>
            </w:r>
          </w:p>
        </w:tc>
        <w:tc>
          <w:tcPr>
            <w:tcW w:w="1843" w:type="dxa"/>
            <w:vAlign w:val="center"/>
          </w:tcPr>
          <w:p>
            <w:pPr>
              <w:pStyle w:val="17"/>
            </w:pPr>
            <w:r>
              <w:t>提高干部政策理论水平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参训人员满意度</w:t>
            </w:r>
          </w:p>
        </w:tc>
        <w:tc>
          <w:tcPr>
            <w:tcW w:w="2891" w:type="dxa"/>
            <w:vAlign w:val="center"/>
          </w:tcPr>
          <w:p>
            <w:pPr>
              <w:pStyle w:val="17"/>
            </w:pPr>
            <w:r>
              <w:t>参训人员满意度</w:t>
            </w:r>
          </w:p>
        </w:tc>
        <w:tc>
          <w:tcPr>
            <w:tcW w:w="1276" w:type="dxa"/>
            <w:vAlign w:val="center"/>
          </w:tcPr>
          <w:p>
            <w:pPr>
              <w:pStyle w:val="17"/>
            </w:pPr>
            <w:r>
              <w:t>≥90参训人员满意度</w:t>
            </w:r>
          </w:p>
        </w:tc>
        <w:tc>
          <w:tcPr>
            <w:tcW w:w="1843" w:type="dxa"/>
            <w:vAlign w:val="center"/>
          </w:tcPr>
          <w:p>
            <w:pPr>
              <w:pStyle w:val="17"/>
            </w:pPr>
            <w:r>
              <w:t>参训人员满意度</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3" w:name="_Toc_4_4_0000000011"/>
      <w:r>
        <w:rPr>
          <w:rFonts w:ascii="方正仿宋_GBK" w:hAnsi="方正仿宋_GBK" w:eastAsia="方正仿宋_GBK" w:cs="方正仿宋_GBK"/>
          <w:color w:val="000000"/>
          <w:sz w:val="28"/>
        </w:rPr>
        <w:t>8.高校毕业生到村任职补助经费绩效目标表</w:t>
      </w:r>
      <w:bookmarkEnd w:id="13"/>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13030321WHQEOZO1FP5GP</w:t>
            </w:r>
          </w:p>
        </w:tc>
        <w:tc>
          <w:tcPr>
            <w:tcW w:w="1587" w:type="dxa"/>
            <w:vAlign w:val="center"/>
          </w:tcPr>
          <w:p>
            <w:pPr>
              <w:pStyle w:val="15"/>
            </w:pPr>
            <w:r>
              <w:t>项目名称</w:t>
            </w:r>
          </w:p>
        </w:tc>
        <w:tc>
          <w:tcPr>
            <w:tcW w:w="4423" w:type="dxa"/>
            <w:gridSpan w:val="3"/>
            <w:vAlign w:val="center"/>
          </w:tcPr>
          <w:p>
            <w:pPr>
              <w:pStyle w:val="17"/>
            </w:pPr>
            <w:r>
              <w:t>高校毕业生到村任职补助经费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28.34</w:t>
            </w:r>
          </w:p>
        </w:tc>
        <w:tc>
          <w:tcPr>
            <w:tcW w:w="1587" w:type="dxa"/>
            <w:vAlign w:val="center"/>
          </w:tcPr>
          <w:p>
            <w:pPr>
              <w:pStyle w:val="15"/>
            </w:pPr>
            <w:r>
              <w:t>其中：财政    资金</w:t>
            </w:r>
          </w:p>
        </w:tc>
        <w:tc>
          <w:tcPr>
            <w:tcW w:w="1304" w:type="dxa"/>
            <w:vAlign w:val="center"/>
          </w:tcPr>
          <w:p>
            <w:pPr>
              <w:pStyle w:val="17"/>
            </w:pPr>
            <w:r>
              <w:t>28.34</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高校毕业生到村任职补助经费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1.按时发放。及时将选聘高校毕业生到村任职升级补助资金发放到位。</w:t>
            </w:r>
          </w:p>
          <w:p>
            <w:pPr>
              <w:pStyle w:val="17"/>
            </w:pPr>
            <w:r>
              <w:t>2.按标准发放。严格按照现行有关规定标准，足额将补助发放到到村任职高校毕业生手中。</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保障补贴对象人数占人保人数之比</w:t>
            </w:r>
          </w:p>
        </w:tc>
        <w:tc>
          <w:tcPr>
            <w:tcW w:w="2891" w:type="dxa"/>
            <w:vAlign w:val="center"/>
          </w:tcPr>
          <w:p>
            <w:pPr>
              <w:pStyle w:val="17"/>
            </w:pPr>
            <w:r>
              <w:t>保障补贴对象人数占人保人数之比</w:t>
            </w:r>
          </w:p>
        </w:tc>
        <w:tc>
          <w:tcPr>
            <w:tcW w:w="1276" w:type="dxa"/>
            <w:vAlign w:val="center"/>
          </w:tcPr>
          <w:p>
            <w:pPr>
              <w:pStyle w:val="17"/>
            </w:pPr>
            <w:r>
              <w:t>100保障补贴对象人数占人保人数之比</w:t>
            </w:r>
          </w:p>
        </w:tc>
        <w:tc>
          <w:tcPr>
            <w:tcW w:w="1843" w:type="dxa"/>
            <w:vAlign w:val="center"/>
          </w:tcPr>
          <w:p>
            <w:pPr>
              <w:pStyle w:val="17"/>
            </w:pPr>
            <w:r>
              <w:t>保障补贴对象人数占人保人数之比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对各类补贴对象补贴标准按规定执行</w:t>
            </w:r>
          </w:p>
        </w:tc>
        <w:tc>
          <w:tcPr>
            <w:tcW w:w="2891" w:type="dxa"/>
            <w:vAlign w:val="center"/>
          </w:tcPr>
          <w:p>
            <w:pPr>
              <w:pStyle w:val="17"/>
            </w:pPr>
            <w:r>
              <w:t>对各类补贴对象补贴标准按规定执行</w:t>
            </w:r>
          </w:p>
        </w:tc>
        <w:tc>
          <w:tcPr>
            <w:tcW w:w="1276" w:type="dxa"/>
            <w:vAlign w:val="center"/>
          </w:tcPr>
          <w:p>
            <w:pPr>
              <w:pStyle w:val="17"/>
            </w:pPr>
            <w:r>
              <w:t>100对各类补贴对象补贴标准按规定执行</w:t>
            </w:r>
          </w:p>
        </w:tc>
        <w:tc>
          <w:tcPr>
            <w:tcW w:w="1843" w:type="dxa"/>
            <w:vAlign w:val="center"/>
          </w:tcPr>
          <w:p>
            <w:pPr>
              <w:pStyle w:val="17"/>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工作任务完成及时率</w:t>
            </w:r>
          </w:p>
        </w:tc>
        <w:tc>
          <w:tcPr>
            <w:tcW w:w="2891" w:type="dxa"/>
            <w:vAlign w:val="center"/>
          </w:tcPr>
          <w:p>
            <w:pPr>
              <w:pStyle w:val="17"/>
            </w:pPr>
            <w:r>
              <w:t>工作任务完成及时率</w:t>
            </w:r>
          </w:p>
        </w:tc>
        <w:tc>
          <w:tcPr>
            <w:tcW w:w="1276" w:type="dxa"/>
            <w:vAlign w:val="center"/>
          </w:tcPr>
          <w:p>
            <w:pPr>
              <w:pStyle w:val="17"/>
            </w:pPr>
            <w:r>
              <w:t>≥90工作任务完成及时率</w:t>
            </w:r>
          </w:p>
        </w:tc>
        <w:tc>
          <w:tcPr>
            <w:tcW w:w="1843" w:type="dxa"/>
            <w:vAlign w:val="center"/>
          </w:tcPr>
          <w:p>
            <w:pPr>
              <w:pStyle w:val="17"/>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≥90预算控制数</w:t>
            </w:r>
          </w:p>
        </w:tc>
        <w:tc>
          <w:tcPr>
            <w:tcW w:w="1843" w:type="dxa"/>
            <w:vAlign w:val="center"/>
          </w:tcPr>
          <w:p>
            <w:pPr>
              <w:pStyle w:val="17"/>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激发到村任职高校毕业生在农村干事创业积极性</w:t>
            </w:r>
          </w:p>
        </w:tc>
        <w:tc>
          <w:tcPr>
            <w:tcW w:w="2891" w:type="dxa"/>
            <w:vAlign w:val="center"/>
          </w:tcPr>
          <w:p>
            <w:pPr>
              <w:pStyle w:val="17"/>
            </w:pPr>
            <w:r>
              <w:t>激发到村任职高校毕业生在农村干事创业积极性</w:t>
            </w:r>
          </w:p>
        </w:tc>
        <w:tc>
          <w:tcPr>
            <w:tcW w:w="1276" w:type="dxa"/>
            <w:vAlign w:val="center"/>
          </w:tcPr>
          <w:p>
            <w:pPr>
              <w:pStyle w:val="17"/>
            </w:pPr>
            <w:r>
              <w:t>≥90激发到村任职高校毕业生在农村干事创业积极性</w:t>
            </w:r>
          </w:p>
        </w:tc>
        <w:tc>
          <w:tcPr>
            <w:tcW w:w="1843" w:type="dxa"/>
            <w:vAlign w:val="center"/>
          </w:tcPr>
          <w:p>
            <w:pPr>
              <w:pStyle w:val="17"/>
            </w:pPr>
            <w:r>
              <w:t>激发到村任职高校毕业生在农村干事创业积极性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到村任职高校毕业生满意度</w:t>
            </w:r>
          </w:p>
        </w:tc>
        <w:tc>
          <w:tcPr>
            <w:tcW w:w="2891" w:type="dxa"/>
            <w:vAlign w:val="center"/>
          </w:tcPr>
          <w:p>
            <w:pPr>
              <w:pStyle w:val="17"/>
            </w:pPr>
            <w:r>
              <w:t>到村任职高校毕业生满意度</w:t>
            </w:r>
          </w:p>
        </w:tc>
        <w:tc>
          <w:tcPr>
            <w:tcW w:w="1276" w:type="dxa"/>
            <w:vAlign w:val="center"/>
          </w:tcPr>
          <w:p>
            <w:pPr>
              <w:pStyle w:val="17"/>
            </w:pPr>
            <w:r>
              <w:t>≥90到村任职高校毕业生满意度</w:t>
            </w:r>
          </w:p>
        </w:tc>
        <w:tc>
          <w:tcPr>
            <w:tcW w:w="1843" w:type="dxa"/>
            <w:vAlign w:val="center"/>
          </w:tcPr>
          <w:p>
            <w:pPr>
              <w:pStyle w:val="17"/>
            </w:pPr>
            <w:r>
              <w:t>到村任职高校毕业生满意度</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4" w:name="_Toc_4_4_0000000012"/>
      <w:r>
        <w:rPr>
          <w:rFonts w:ascii="方正仿宋_GBK" w:hAnsi="方正仿宋_GBK" w:eastAsia="方正仿宋_GBK" w:cs="方正仿宋_GBK"/>
          <w:color w:val="000000"/>
          <w:sz w:val="28"/>
        </w:rPr>
        <w:t>9.关于结算下达2021年选调生到村工作中央财政补助资金的通知绩效目标表</w:t>
      </w:r>
      <w:bookmarkEnd w:id="14"/>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13030321P003964100017</w:t>
            </w:r>
          </w:p>
        </w:tc>
        <w:tc>
          <w:tcPr>
            <w:tcW w:w="1587" w:type="dxa"/>
            <w:vAlign w:val="center"/>
          </w:tcPr>
          <w:p>
            <w:pPr>
              <w:pStyle w:val="15"/>
            </w:pPr>
            <w:r>
              <w:t>项目名称</w:t>
            </w:r>
          </w:p>
        </w:tc>
        <w:tc>
          <w:tcPr>
            <w:tcW w:w="4423" w:type="dxa"/>
            <w:gridSpan w:val="3"/>
            <w:vAlign w:val="center"/>
          </w:tcPr>
          <w:p>
            <w:pPr>
              <w:pStyle w:val="17"/>
            </w:pPr>
            <w:r>
              <w:t>关于结算下达2021年选调生到村工作中央财政补助</w:t>
            </w:r>
            <w:r>
              <w:rPr>
                <w:rFonts w:hint="eastAsia"/>
                <w:lang w:eastAsia="zh-CN"/>
              </w:rPr>
              <w:t>经费</w:t>
            </w:r>
            <w:r>
              <w:t>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2.35</w:t>
            </w:r>
          </w:p>
        </w:tc>
        <w:tc>
          <w:tcPr>
            <w:tcW w:w="1587" w:type="dxa"/>
            <w:vAlign w:val="center"/>
          </w:tcPr>
          <w:p>
            <w:pPr>
              <w:pStyle w:val="15"/>
            </w:pPr>
            <w:r>
              <w:t>其中：财政    资金</w:t>
            </w:r>
          </w:p>
        </w:tc>
        <w:tc>
          <w:tcPr>
            <w:tcW w:w="1304" w:type="dxa"/>
            <w:vAlign w:val="center"/>
          </w:tcPr>
          <w:p>
            <w:pPr>
              <w:pStyle w:val="17"/>
            </w:pPr>
            <w:r>
              <w:t>2.35</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2021年选调生到村工作中央财政补助</w:t>
            </w:r>
            <w:r>
              <w:rPr>
                <w:rFonts w:hint="eastAsia"/>
                <w:lang w:eastAsia="zh-CN"/>
              </w:rP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1.解决到村任职选调生的后顾之忧，帮助他们尽快适应基层工作。</w:t>
            </w:r>
          </w:p>
          <w:p>
            <w:pPr>
              <w:pStyle w:val="17"/>
            </w:pPr>
            <w:r>
              <w:t>2.加强对到村任职选调生的教育培训，按要求组织开展国情调研，组织他们多参与化解复杂矛盾和问题，让他们在基层真正经受实践锻炼。</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rPr>
                <w:sz w:val="18"/>
                <w:szCs w:val="18"/>
              </w:rPr>
            </w:pPr>
            <w:r>
              <w:rPr>
                <w:sz w:val="18"/>
                <w:szCs w:val="18"/>
              </w:rPr>
              <w:t>数量指标</w:t>
            </w:r>
          </w:p>
        </w:tc>
        <w:tc>
          <w:tcPr>
            <w:tcW w:w="1332" w:type="dxa"/>
            <w:vAlign w:val="center"/>
          </w:tcPr>
          <w:p>
            <w:pPr>
              <w:pStyle w:val="17"/>
              <w:rPr>
                <w:sz w:val="18"/>
                <w:szCs w:val="18"/>
              </w:rPr>
            </w:pPr>
            <w:r>
              <w:rPr>
                <w:sz w:val="18"/>
                <w:szCs w:val="18"/>
              </w:rPr>
              <w:t>保障补贴对象人数占应保人数之比</w:t>
            </w:r>
          </w:p>
        </w:tc>
        <w:tc>
          <w:tcPr>
            <w:tcW w:w="2891" w:type="dxa"/>
            <w:vAlign w:val="center"/>
          </w:tcPr>
          <w:p>
            <w:pPr>
              <w:pStyle w:val="17"/>
              <w:rPr>
                <w:sz w:val="18"/>
                <w:szCs w:val="18"/>
              </w:rPr>
            </w:pPr>
            <w:r>
              <w:rPr>
                <w:sz w:val="18"/>
                <w:szCs w:val="18"/>
              </w:rPr>
              <w:t>保障补贴对象人数占应保人数之比</w:t>
            </w:r>
          </w:p>
        </w:tc>
        <w:tc>
          <w:tcPr>
            <w:tcW w:w="1276" w:type="dxa"/>
            <w:vAlign w:val="center"/>
          </w:tcPr>
          <w:p>
            <w:pPr>
              <w:pStyle w:val="17"/>
              <w:rPr>
                <w:sz w:val="18"/>
                <w:szCs w:val="18"/>
              </w:rPr>
            </w:pPr>
            <w:r>
              <w:rPr>
                <w:sz w:val="18"/>
                <w:szCs w:val="18"/>
              </w:rPr>
              <w:t>100保障补贴对象人数占应保人数之比</w:t>
            </w:r>
          </w:p>
        </w:tc>
        <w:tc>
          <w:tcPr>
            <w:tcW w:w="1843" w:type="dxa"/>
            <w:vAlign w:val="center"/>
          </w:tcPr>
          <w:p>
            <w:pPr>
              <w:pStyle w:val="17"/>
              <w:rPr>
                <w:sz w:val="18"/>
                <w:szCs w:val="18"/>
              </w:rPr>
            </w:pPr>
            <w:r>
              <w:rPr>
                <w:sz w:val="18"/>
                <w:szCs w:val="18"/>
              </w:rP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rPr>
                <w:sz w:val="18"/>
                <w:szCs w:val="18"/>
              </w:rPr>
            </w:pPr>
            <w:r>
              <w:rPr>
                <w:sz w:val="18"/>
                <w:szCs w:val="18"/>
              </w:rPr>
              <w:t>质量指标</w:t>
            </w:r>
          </w:p>
        </w:tc>
        <w:tc>
          <w:tcPr>
            <w:tcW w:w="1332" w:type="dxa"/>
            <w:vAlign w:val="center"/>
          </w:tcPr>
          <w:p>
            <w:pPr>
              <w:pStyle w:val="17"/>
              <w:rPr>
                <w:sz w:val="18"/>
                <w:szCs w:val="18"/>
              </w:rPr>
            </w:pPr>
            <w:r>
              <w:rPr>
                <w:sz w:val="18"/>
                <w:szCs w:val="18"/>
              </w:rPr>
              <w:t>形成一批较高水平的优秀调研成果</w:t>
            </w:r>
          </w:p>
        </w:tc>
        <w:tc>
          <w:tcPr>
            <w:tcW w:w="2891" w:type="dxa"/>
            <w:vAlign w:val="center"/>
          </w:tcPr>
          <w:p>
            <w:pPr>
              <w:pStyle w:val="17"/>
              <w:rPr>
                <w:sz w:val="18"/>
                <w:szCs w:val="18"/>
              </w:rPr>
            </w:pPr>
            <w:r>
              <w:rPr>
                <w:sz w:val="18"/>
                <w:szCs w:val="18"/>
              </w:rPr>
              <w:t>形成一批较高水平的优秀调研成果</w:t>
            </w:r>
          </w:p>
        </w:tc>
        <w:tc>
          <w:tcPr>
            <w:tcW w:w="1276" w:type="dxa"/>
            <w:vAlign w:val="center"/>
          </w:tcPr>
          <w:p>
            <w:pPr>
              <w:pStyle w:val="17"/>
              <w:rPr>
                <w:sz w:val="18"/>
                <w:szCs w:val="18"/>
              </w:rPr>
            </w:pPr>
            <w:r>
              <w:rPr>
                <w:sz w:val="18"/>
                <w:szCs w:val="18"/>
              </w:rPr>
              <w:t>≥90形成一批较高水平的优秀调研成果</w:t>
            </w:r>
          </w:p>
        </w:tc>
        <w:tc>
          <w:tcPr>
            <w:tcW w:w="1843" w:type="dxa"/>
            <w:vAlign w:val="center"/>
          </w:tcPr>
          <w:p>
            <w:pPr>
              <w:pStyle w:val="17"/>
              <w:rPr>
                <w:sz w:val="18"/>
                <w:szCs w:val="18"/>
              </w:rPr>
            </w:pPr>
            <w:r>
              <w:rPr>
                <w:sz w:val="18"/>
                <w:szCs w:val="18"/>
              </w:rP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rPr>
                <w:sz w:val="18"/>
                <w:szCs w:val="18"/>
              </w:rPr>
            </w:pPr>
            <w:r>
              <w:rPr>
                <w:sz w:val="18"/>
                <w:szCs w:val="18"/>
              </w:rPr>
              <w:t>时效指标</w:t>
            </w:r>
          </w:p>
        </w:tc>
        <w:tc>
          <w:tcPr>
            <w:tcW w:w="1332" w:type="dxa"/>
            <w:vAlign w:val="center"/>
          </w:tcPr>
          <w:p>
            <w:pPr>
              <w:pStyle w:val="17"/>
              <w:rPr>
                <w:sz w:val="18"/>
                <w:szCs w:val="18"/>
              </w:rPr>
            </w:pPr>
            <w:r>
              <w:rPr>
                <w:sz w:val="18"/>
                <w:szCs w:val="18"/>
              </w:rPr>
              <w:t>工作任务完成及时率</w:t>
            </w:r>
          </w:p>
        </w:tc>
        <w:tc>
          <w:tcPr>
            <w:tcW w:w="2891" w:type="dxa"/>
            <w:vAlign w:val="center"/>
          </w:tcPr>
          <w:p>
            <w:pPr>
              <w:pStyle w:val="17"/>
              <w:rPr>
                <w:sz w:val="18"/>
                <w:szCs w:val="18"/>
              </w:rPr>
            </w:pPr>
            <w:r>
              <w:rPr>
                <w:sz w:val="18"/>
                <w:szCs w:val="18"/>
              </w:rPr>
              <w:t>工作任务完成及时率</w:t>
            </w:r>
          </w:p>
        </w:tc>
        <w:tc>
          <w:tcPr>
            <w:tcW w:w="1276" w:type="dxa"/>
            <w:vAlign w:val="center"/>
          </w:tcPr>
          <w:p>
            <w:pPr>
              <w:pStyle w:val="17"/>
              <w:rPr>
                <w:sz w:val="18"/>
                <w:szCs w:val="18"/>
              </w:rPr>
            </w:pPr>
            <w:r>
              <w:rPr>
                <w:sz w:val="18"/>
                <w:szCs w:val="18"/>
              </w:rPr>
              <w:t>≥90工作任务完成及时率</w:t>
            </w:r>
          </w:p>
        </w:tc>
        <w:tc>
          <w:tcPr>
            <w:tcW w:w="1843" w:type="dxa"/>
            <w:vAlign w:val="center"/>
          </w:tcPr>
          <w:p>
            <w:pPr>
              <w:pStyle w:val="17"/>
              <w:rPr>
                <w:sz w:val="18"/>
                <w:szCs w:val="18"/>
              </w:rPr>
            </w:pPr>
            <w:r>
              <w:rPr>
                <w:sz w:val="18"/>
                <w:szCs w:val="18"/>
              </w:rP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rPr>
                <w:sz w:val="18"/>
                <w:szCs w:val="18"/>
              </w:rPr>
            </w:pPr>
            <w:r>
              <w:rPr>
                <w:sz w:val="18"/>
                <w:szCs w:val="18"/>
              </w:rPr>
              <w:t>成本指标</w:t>
            </w:r>
          </w:p>
        </w:tc>
        <w:tc>
          <w:tcPr>
            <w:tcW w:w="1332" w:type="dxa"/>
            <w:vAlign w:val="center"/>
          </w:tcPr>
          <w:p>
            <w:pPr>
              <w:pStyle w:val="17"/>
              <w:rPr>
                <w:sz w:val="18"/>
                <w:szCs w:val="18"/>
              </w:rPr>
            </w:pPr>
            <w:r>
              <w:rPr>
                <w:sz w:val="18"/>
                <w:szCs w:val="18"/>
              </w:rPr>
              <w:t>预算控制数</w:t>
            </w:r>
          </w:p>
        </w:tc>
        <w:tc>
          <w:tcPr>
            <w:tcW w:w="2891" w:type="dxa"/>
            <w:vAlign w:val="center"/>
          </w:tcPr>
          <w:p>
            <w:pPr>
              <w:pStyle w:val="17"/>
              <w:rPr>
                <w:sz w:val="18"/>
                <w:szCs w:val="18"/>
              </w:rPr>
            </w:pPr>
            <w:r>
              <w:rPr>
                <w:sz w:val="18"/>
                <w:szCs w:val="18"/>
              </w:rPr>
              <w:t>预算控制数</w:t>
            </w:r>
          </w:p>
        </w:tc>
        <w:tc>
          <w:tcPr>
            <w:tcW w:w="1276" w:type="dxa"/>
            <w:vAlign w:val="center"/>
          </w:tcPr>
          <w:p>
            <w:pPr>
              <w:pStyle w:val="17"/>
              <w:rPr>
                <w:sz w:val="18"/>
                <w:szCs w:val="18"/>
              </w:rPr>
            </w:pPr>
            <w:r>
              <w:rPr>
                <w:sz w:val="18"/>
                <w:szCs w:val="18"/>
              </w:rPr>
              <w:t>≥90预算控制数</w:t>
            </w:r>
          </w:p>
        </w:tc>
        <w:tc>
          <w:tcPr>
            <w:tcW w:w="1843" w:type="dxa"/>
            <w:vAlign w:val="center"/>
          </w:tcPr>
          <w:p>
            <w:pPr>
              <w:pStyle w:val="17"/>
              <w:rPr>
                <w:sz w:val="18"/>
                <w:szCs w:val="18"/>
              </w:rPr>
            </w:pPr>
            <w:r>
              <w:rPr>
                <w:sz w:val="18"/>
                <w:szCs w:val="18"/>
              </w:rP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rPr>
                <w:sz w:val="18"/>
                <w:szCs w:val="18"/>
              </w:rPr>
            </w:pPr>
            <w:r>
              <w:rPr>
                <w:sz w:val="18"/>
                <w:szCs w:val="18"/>
              </w:rPr>
              <w:t>社会效益指标</w:t>
            </w:r>
          </w:p>
        </w:tc>
        <w:tc>
          <w:tcPr>
            <w:tcW w:w="1332" w:type="dxa"/>
            <w:vAlign w:val="center"/>
          </w:tcPr>
          <w:p>
            <w:pPr>
              <w:pStyle w:val="17"/>
              <w:rPr>
                <w:sz w:val="18"/>
                <w:szCs w:val="18"/>
              </w:rPr>
            </w:pPr>
            <w:r>
              <w:rPr>
                <w:sz w:val="18"/>
                <w:szCs w:val="18"/>
              </w:rPr>
              <w:t>到村任职选调生在农村干事创业，名村基层党建工作水平逐步提高</w:t>
            </w:r>
          </w:p>
        </w:tc>
        <w:tc>
          <w:tcPr>
            <w:tcW w:w="2891" w:type="dxa"/>
            <w:vAlign w:val="center"/>
          </w:tcPr>
          <w:p>
            <w:pPr>
              <w:pStyle w:val="17"/>
              <w:rPr>
                <w:sz w:val="18"/>
                <w:szCs w:val="18"/>
              </w:rPr>
            </w:pPr>
            <w:r>
              <w:rPr>
                <w:sz w:val="18"/>
                <w:szCs w:val="18"/>
              </w:rPr>
              <w:t>到村任职选调生在农村干事创业，名村基层党建工作水平逐步提高</w:t>
            </w:r>
          </w:p>
        </w:tc>
        <w:tc>
          <w:tcPr>
            <w:tcW w:w="1276" w:type="dxa"/>
            <w:vAlign w:val="center"/>
          </w:tcPr>
          <w:p>
            <w:pPr>
              <w:pStyle w:val="17"/>
              <w:rPr>
                <w:sz w:val="18"/>
                <w:szCs w:val="18"/>
              </w:rPr>
            </w:pPr>
            <w:r>
              <w:rPr>
                <w:sz w:val="18"/>
                <w:szCs w:val="18"/>
              </w:rPr>
              <w:t>≥90到村任职选调生在农村干事创业，名村基层党建工作水平逐步提高</w:t>
            </w:r>
          </w:p>
        </w:tc>
        <w:tc>
          <w:tcPr>
            <w:tcW w:w="1843" w:type="dxa"/>
            <w:vAlign w:val="center"/>
          </w:tcPr>
          <w:p>
            <w:pPr>
              <w:pStyle w:val="17"/>
              <w:rPr>
                <w:sz w:val="18"/>
                <w:szCs w:val="18"/>
              </w:rPr>
            </w:pPr>
            <w:r>
              <w:rPr>
                <w:sz w:val="18"/>
                <w:szCs w:val="18"/>
              </w:rPr>
              <w:t>到村任职选调生在农村干事创业，名村基层党建工作水平逐步提高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rPr>
                <w:sz w:val="18"/>
                <w:szCs w:val="18"/>
              </w:rPr>
            </w:pPr>
            <w:r>
              <w:rPr>
                <w:sz w:val="18"/>
                <w:szCs w:val="18"/>
              </w:rPr>
              <w:t>服务对象满意度指标</w:t>
            </w:r>
          </w:p>
        </w:tc>
        <w:tc>
          <w:tcPr>
            <w:tcW w:w="1332" w:type="dxa"/>
            <w:vAlign w:val="center"/>
          </w:tcPr>
          <w:p>
            <w:pPr>
              <w:pStyle w:val="17"/>
              <w:rPr>
                <w:sz w:val="18"/>
                <w:szCs w:val="18"/>
              </w:rPr>
            </w:pPr>
            <w:r>
              <w:rPr>
                <w:sz w:val="18"/>
                <w:szCs w:val="18"/>
              </w:rPr>
              <w:t>对政策落实情况满意的到村任职选调生占应保人数之比</w:t>
            </w:r>
          </w:p>
        </w:tc>
        <w:tc>
          <w:tcPr>
            <w:tcW w:w="2891" w:type="dxa"/>
            <w:vAlign w:val="center"/>
          </w:tcPr>
          <w:p>
            <w:pPr>
              <w:pStyle w:val="17"/>
              <w:rPr>
                <w:sz w:val="18"/>
                <w:szCs w:val="18"/>
              </w:rPr>
            </w:pPr>
            <w:r>
              <w:rPr>
                <w:sz w:val="18"/>
                <w:szCs w:val="18"/>
              </w:rPr>
              <w:t>对政策落实情况满意的到村任职选调生占应保人数之比</w:t>
            </w:r>
          </w:p>
        </w:tc>
        <w:tc>
          <w:tcPr>
            <w:tcW w:w="1276" w:type="dxa"/>
            <w:vAlign w:val="center"/>
          </w:tcPr>
          <w:p>
            <w:pPr>
              <w:pStyle w:val="17"/>
              <w:rPr>
                <w:sz w:val="18"/>
                <w:szCs w:val="18"/>
              </w:rPr>
            </w:pPr>
            <w:r>
              <w:rPr>
                <w:sz w:val="18"/>
                <w:szCs w:val="18"/>
              </w:rPr>
              <w:t>100对政策落实情况满意的到村任职选调生占应保人数之比</w:t>
            </w:r>
          </w:p>
        </w:tc>
        <w:tc>
          <w:tcPr>
            <w:tcW w:w="1843" w:type="dxa"/>
            <w:vAlign w:val="center"/>
          </w:tcPr>
          <w:p>
            <w:pPr>
              <w:pStyle w:val="17"/>
              <w:rPr>
                <w:sz w:val="18"/>
                <w:szCs w:val="18"/>
              </w:rPr>
            </w:pPr>
            <w:r>
              <w:rPr>
                <w:sz w:val="18"/>
                <w:szCs w:val="18"/>
              </w:rPr>
              <w:t>对政策落实情况满意的到村任职选调生占应保人数之比</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5" w:name="_Toc_4_4_0000000013"/>
      <w:r>
        <w:rPr>
          <w:rFonts w:ascii="方正仿宋_GBK" w:hAnsi="方正仿宋_GBK" w:eastAsia="方正仿宋_GBK" w:cs="方正仿宋_GBK"/>
          <w:color w:val="000000"/>
          <w:sz w:val="28"/>
        </w:rPr>
        <w:t>10.关于结算下达到村任职高校毕业生中央财政补助资金的通知绩效目标表</w:t>
      </w:r>
      <w:bookmarkEnd w:id="15"/>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13030321P00396310001H</w:t>
            </w:r>
          </w:p>
        </w:tc>
        <w:tc>
          <w:tcPr>
            <w:tcW w:w="1587" w:type="dxa"/>
            <w:vAlign w:val="center"/>
          </w:tcPr>
          <w:p>
            <w:pPr>
              <w:pStyle w:val="15"/>
            </w:pPr>
            <w:r>
              <w:t>项目名称</w:t>
            </w:r>
          </w:p>
        </w:tc>
        <w:tc>
          <w:tcPr>
            <w:tcW w:w="4423" w:type="dxa"/>
            <w:gridSpan w:val="3"/>
            <w:vAlign w:val="center"/>
          </w:tcPr>
          <w:p>
            <w:pPr>
              <w:pStyle w:val="17"/>
            </w:pPr>
            <w:r>
              <w:t>关于结算下达到村任职高校毕业生中央财政补助资金的通知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14.40</w:t>
            </w:r>
          </w:p>
        </w:tc>
        <w:tc>
          <w:tcPr>
            <w:tcW w:w="1587" w:type="dxa"/>
            <w:vAlign w:val="center"/>
          </w:tcPr>
          <w:p>
            <w:pPr>
              <w:pStyle w:val="15"/>
            </w:pPr>
            <w:r>
              <w:t>其中：财政    资金</w:t>
            </w:r>
          </w:p>
        </w:tc>
        <w:tc>
          <w:tcPr>
            <w:tcW w:w="1304" w:type="dxa"/>
            <w:vAlign w:val="center"/>
          </w:tcPr>
          <w:p>
            <w:pPr>
              <w:pStyle w:val="17"/>
            </w:pPr>
            <w:r>
              <w:t>14.40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到村任职高校毕业生中央财政补助</w:t>
            </w:r>
            <w:r>
              <w:rPr>
                <w:rFonts w:hint="eastAsia"/>
                <w:lang w:eastAsia="zh-CN"/>
              </w:rP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1.按时发放。及时将选聘高校毕业生到村任职中央财政补助资金发放到位。</w:t>
            </w:r>
          </w:p>
          <w:p>
            <w:pPr>
              <w:pStyle w:val="17"/>
            </w:pPr>
            <w:r>
              <w:t>2.按标准发放。严格按照有关规定标准，足额将补助发放到到村任职高校别生手中。</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保障补贴对象人数占应保人数之比</w:t>
            </w:r>
          </w:p>
        </w:tc>
        <w:tc>
          <w:tcPr>
            <w:tcW w:w="2891" w:type="dxa"/>
            <w:vAlign w:val="center"/>
          </w:tcPr>
          <w:p>
            <w:pPr>
              <w:pStyle w:val="17"/>
            </w:pPr>
            <w:r>
              <w:t>保障补贴对象人数占应保人数之比</w:t>
            </w:r>
          </w:p>
        </w:tc>
        <w:tc>
          <w:tcPr>
            <w:tcW w:w="1276" w:type="dxa"/>
            <w:vAlign w:val="center"/>
          </w:tcPr>
          <w:p>
            <w:pPr>
              <w:pStyle w:val="17"/>
            </w:pPr>
            <w:r>
              <w:t>100保障补贴对象人数占应保人数之比</w:t>
            </w:r>
          </w:p>
        </w:tc>
        <w:tc>
          <w:tcPr>
            <w:tcW w:w="1843" w:type="dxa"/>
            <w:vAlign w:val="center"/>
          </w:tcPr>
          <w:p>
            <w:pPr>
              <w:pStyle w:val="17"/>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对各类补贴对象补贴标准按规定执行</w:t>
            </w:r>
          </w:p>
        </w:tc>
        <w:tc>
          <w:tcPr>
            <w:tcW w:w="2891" w:type="dxa"/>
            <w:vAlign w:val="center"/>
          </w:tcPr>
          <w:p>
            <w:pPr>
              <w:pStyle w:val="17"/>
            </w:pPr>
            <w:r>
              <w:t>对各类补贴对象补贴标准按规定执行</w:t>
            </w:r>
          </w:p>
        </w:tc>
        <w:tc>
          <w:tcPr>
            <w:tcW w:w="1276" w:type="dxa"/>
            <w:vAlign w:val="center"/>
          </w:tcPr>
          <w:p>
            <w:pPr>
              <w:pStyle w:val="17"/>
            </w:pPr>
            <w:r>
              <w:t>100对各类补贴对象补贴标准按规定执行</w:t>
            </w:r>
          </w:p>
        </w:tc>
        <w:tc>
          <w:tcPr>
            <w:tcW w:w="1843" w:type="dxa"/>
            <w:vAlign w:val="center"/>
          </w:tcPr>
          <w:p>
            <w:pPr>
              <w:pStyle w:val="17"/>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工作任务完成及时率</w:t>
            </w:r>
          </w:p>
        </w:tc>
        <w:tc>
          <w:tcPr>
            <w:tcW w:w="2891" w:type="dxa"/>
            <w:vAlign w:val="center"/>
          </w:tcPr>
          <w:p>
            <w:pPr>
              <w:pStyle w:val="17"/>
            </w:pPr>
            <w:r>
              <w:t>工作任务完成及时率</w:t>
            </w:r>
          </w:p>
        </w:tc>
        <w:tc>
          <w:tcPr>
            <w:tcW w:w="1276" w:type="dxa"/>
            <w:vAlign w:val="center"/>
          </w:tcPr>
          <w:p>
            <w:pPr>
              <w:pStyle w:val="17"/>
            </w:pPr>
            <w:r>
              <w:t>≥90工作任务完成及时率</w:t>
            </w:r>
          </w:p>
        </w:tc>
        <w:tc>
          <w:tcPr>
            <w:tcW w:w="1843" w:type="dxa"/>
            <w:vAlign w:val="center"/>
          </w:tcPr>
          <w:p>
            <w:pPr>
              <w:pStyle w:val="17"/>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≥90预算控制数</w:t>
            </w:r>
          </w:p>
        </w:tc>
        <w:tc>
          <w:tcPr>
            <w:tcW w:w="1843" w:type="dxa"/>
            <w:vAlign w:val="center"/>
          </w:tcPr>
          <w:p>
            <w:pPr>
              <w:pStyle w:val="17"/>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激发到村任职高校毕业生在农村干事创业</w:t>
            </w:r>
          </w:p>
        </w:tc>
        <w:tc>
          <w:tcPr>
            <w:tcW w:w="2891" w:type="dxa"/>
            <w:vAlign w:val="center"/>
          </w:tcPr>
          <w:p>
            <w:pPr>
              <w:pStyle w:val="17"/>
            </w:pPr>
            <w:r>
              <w:t>激发到村任职高校毕业生在农村干事创业</w:t>
            </w:r>
          </w:p>
        </w:tc>
        <w:tc>
          <w:tcPr>
            <w:tcW w:w="1276" w:type="dxa"/>
            <w:vAlign w:val="center"/>
          </w:tcPr>
          <w:p>
            <w:pPr>
              <w:pStyle w:val="17"/>
            </w:pPr>
            <w:r>
              <w:t>≥90激发到村任职高校毕业生在农村干事创业</w:t>
            </w:r>
          </w:p>
        </w:tc>
        <w:tc>
          <w:tcPr>
            <w:tcW w:w="1843" w:type="dxa"/>
            <w:vAlign w:val="center"/>
          </w:tcPr>
          <w:p>
            <w:pPr>
              <w:pStyle w:val="17"/>
            </w:pPr>
            <w:r>
              <w:t>激发到村任职高校毕业生在农村干事创业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对政策落实情况满意的到村任职高校毕业生占应保人数之比</w:t>
            </w:r>
          </w:p>
        </w:tc>
        <w:tc>
          <w:tcPr>
            <w:tcW w:w="2891" w:type="dxa"/>
            <w:vAlign w:val="center"/>
          </w:tcPr>
          <w:p>
            <w:pPr>
              <w:pStyle w:val="17"/>
            </w:pPr>
            <w:r>
              <w:t>对政策落实情况满意的到村任职高校毕业生占应保人数之比</w:t>
            </w:r>
          </w:p>
        </w:tc>
        <w:tc>
          <w:tcPr>
            <w:tcW w:w="1276" w:type="dxa"/>
            <w:vAlign w:val="center"/>
          </w:tcPr>
          <w:p>
            <w:pPr>
              <w:pStyle w:val="17"/>
            </w:pPr>
            <w:r>
              <w:t>100对政策落实情况满意的到村任职高校毕业生占应保人数之比</w:t>
            </w:r>
          </w:p>
        </w:tc>
        <w:tc>
          <w:tcPr>
            <w:tcW w:w="1843" w:type="dxa"/>
            <w:vAlign w:val="center"/>
          </w:tcPr>
          <w:p>
            <w:pPr>
              <w:pStyle w:val="17"/>
            </w:pPr>
            <w:r>
              <w:t>对政策落实情况满意的到村任职高校毕业生占应保人数之比</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6" w:name="_Toc_4_4_0000000014"/>
      <w:r>
        <w:rPr>
          <w:rFonts w:ascii="方正仿宋_GBK" w:hAnsi="方正仿宋_GBK" w:eastAsia="方正仿宋_GBK" w:cs="方正仿宋_GBK"/>
          <w:color w:val="000000"/>
          <w:sz w:val="28"/>
        </w:rPr>
        <w:t>11.关于下达2021年建国前老党员生活补贴市级补助资金绩效目标表</w:t>
      </w:r>
      <w:bookmarkEnd w:id="16"/>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13030321P008DN210002Y</w:t>
            </w:r>
          </w:p>
        </w:tc>
        <w:tc>
          <w:tcPr>
            <w:tcW w:w="1587" w:type="dxa"/>
            <w:vAlign w:val="center"/>
          </w:tcPr>
          <w:p>
            <w:pPr>
              <w:pStyle w:val="15"/>
            </w:pPr>
            <w:r>
              <w:t>项目名称</w:t>
            </w:r>
          </w:p>
        </w:tc>
        <w:tc>
          <w:tcPr>
            <w:tcW w:w="4423" w:type="dxa"/>
            <w:gridSpan w:val="3"/>
            <w:vAlign w:val="center"/>
          </w:tcPr>
          <w:p>
            <w:pPr>
              <w:pStyle w:val="17"/>
            </w:pPr>
            <w:r>
              <w:t>关于下达2021年建国前老党员生活补贴市级补助资金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0.40</w:t>
            </w:r>
          </w:p>
        </w:tc>
        <w:tc>
          <w:tcPr>
            <w:tcW w:w="1587" w:type="dxa"/>
            <w:vAlign w:val="center"/>
          </w:tcPr>
          <w:p>
            <w:pPr>
              <w:pStyle w:val="15"/>
            </w:pPr>
            <w:r>
              <w:t>其中：财政    资金</w:t>
            </w:r>
          </w:p>
        </w:tc>
        <w:tc>
          <w:tcPr>
            <w:tcW w:w="1304" w:type="dxa"/>
            <w:vAlign w:val="center"/>
          </w:tcPr>
          <w:p>
            <w:pPr>
              <w:pStyle w:val="17"/>
            </w:pPr>
            <w:r>
              <w:t>0.40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2021年老党员生活补贴市级补助</w:t>
            </w:r>
            <w:r>
              <w:rPr>
                <w:rFonts w:hint="eastAsia"/>
                <w:lang w:eastAsia="zh-CN"/>
              </w:rP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1.按时发放。按时发放老党员生活补贴市级补助资金。</w:t>
            </w:r>
          </w:p>
          <w:p>
            <w:pPr>
              <w:pStyle w:val="17"/>
            </w:pPr>
            <w:r>
              <w:t>2.按标准发放。按标准发放老党员生活补贴市级补助资金。</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补贴发放人数</w:t>
            </w:r>
          </w:p>
        </w:tc>
        <w:tc>
          <w:tcPr>
            <w:tcW w:w="2891" w:type="dxa"/>
            <w:vAlign w:val="center"/>
          </w:tcPr>
          <w:p>
            <w:pPr>
              <w:pStyle w:val="17"/>
            </w:pPr>
            <w:r>
              <w:t>老党员生活补助发放人数</w:t>
            </w:r>
          </w:p>
        </w:tc>
        <w:tc>
          <w:tcPr>
            <w:tcW w:w="1276" w:type="dxa"/>
            <w:vAlign w:val="center"/>
          </w:tcPr>
          <w:p>
            <w:pPr>
              <w:pStyle w:val="17"/>
            </w:pPr>
            <w:r>
              <w:t>100老党员生活补助发放人数</w:t>
            </w:r>
          </w:p>
        </w:tc>
        <w:tc>
          <w:tcPr>
            <w:tcW w:w="1843" w:type="dxa"/>
            <w:vAlign w:val="center"/>
          </w:tcPr>
          <w:p>
            <w:pPr>
              <w:pStyle w:val="17"/>
            </w:pPr>
            <w:r>
              <w:t>所有</w:t>
            </w:r>
            <w:r>
              <w:rPr>
                <w:rFonts w:hint="eastAsia"/>
                <w:lang w:eastAsia="zh-CN"/>
              </w:rPr>
              <w:t>新中国成立前</w:t>
            </w:r>
            <w:r>
              <w:t>入党的农村老党员和未享受离退休待遇的城镇老党员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经费足额拨付率</w:t>
            </w:r>
          </w:p>
        </w:tc>
        <w:tc>
          <w:tcPr>
            <w:tcW w:w="2891" w:type="dxa"/>
            <w:vAlign w:val="center"/>
          </w:tcPr>
          <w:p>
            <w:pPr>
              <w:pStyle w:val="17"/>
            </w:pPr>
            <w:r>
              <w:t>经费足额拨付率</w:t>
            </w:r>
          </w:p>
        </w:tc>
        <w:tc>
          <w:tcPr>
            <w:tcW w:w="1276" w:type="dxa"/>
            <w:vAlign w:val="center"/>
          </w:tcPr>
          <w:p>
            <w:pPr>
              <w:pStyle w:val="17"/>
            </w:pPr>
            <w:r>
              <w:t>100经费足额拨付率</w:t>
            </w:r>
          </w:p>
        </w:tc>
        <w:tc>
          <w:tcPr>
            <w:tcW w:w="1843" w:type="dxa"/>
            <w:vAlign w:val="center"/>
          </w:tcPr>
          <w:p>
            <w:pPr>
              <w:pStyle w:val="17"/>
            </w:pPr>
            <w:r>
              <w:t>经费足额拨付率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补助资金及时拨付率</w:t>
            </w:r>
          </w:p>
        </w:tc>
        <w:tc>
          <w:tcPr>
            <w:tcW w:w="2891" w:type="dxa"/>
            <w:vAlign w:val="center"/>
          </w:tcPr>
          <w:p>
            <w:pPr>
              <w:pStyle w:val="17"/>
            </w:pPr>
            <w:r>
              <w:t>补助资金及时拨付率</w:t>
            </w:r>
          </w:p>
        </w:tc>
        <w:tc>
          <w:tcPr>
            <w:tcW w:w="1276" w:type="dxa"/>
            <w:vAlign w:val="center"/>
          </w:tcPr>
          <w:p>
            <w:pPr>
              <w:pStyle w:val="17"/>
            </w:pPr>
            <w:r>
              <w:t>100补助资金及时拨付率</w:t>
            </w:r>
          </w:p>
        </w:tc>
        <w:tc>
          <w:tcPr>
            <w:tcW w:w="1843" w:type="dxa"/>
            <w:vAlign w:val="center"/>
          </w:tcPr>
          <w:p>
            <w:pPr>
              <w:pStyle w:val="17"/>
            </w:pPr>
            <w:r>
              <w:t>补助资金及时拨付率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补贴标准按规定执行</w:t>
            </w:r>
          </w:p>
        </w:tc>
        <w:tc>
          <w:tcPr>
            <w:tcW w:w="2891" w:type="dxa"/>
            <w:vAlign w:val="center"/>
          </w:tcPr>
          <w:p>
            <w:pPr>
              <w:pStyle w:val="17"/>
            </w:pPr>
            <w:r>
              <w:t>补贴标准按规定执行</w:t>
            </w:r>
          </w:p>
        </w:tc>
        <w:tc>
          <w:tcPr>
            <w:tcW w:w="1276" w:type="dxa"/>
            <w:vAlign w:val="center"/>
          </w:tcPr>
          <w:p>
            <w:pPr>
              <w:pStyle w:val="17"/>
            </w:pPr>
            <w:r>
              <w:t>100补贴标准按规定执行</w:t>
            </w:r>
          </w:p>
        </w:tc>
        <w:tc>
          <w:tcPr>
            <w:tcW w:w="1843" w:type="dxa"/>
            <w:vAlign w:val="center"/>
          </w:tcPr>
          <w:p>
            <w:pPr>
              <w:pStyle w:val="17"/>
            </w:pPr>
            <w:r>
              <w:t>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老党员生活情况</w:t>
            </w:r>
          </w:p>
        </w:tc>
        <w:tc>
          <w:tcPr>
            <w:tcW w:w="2891" w:type="dxa"/>
            <w:vAlign w:val="center"/>
          </w:tcPr>
          <w:p>
            <w:pPr>
              <w:pStyle w:val="17"/>
            </w:pPr>
            <w:r>
              <w:t>老党员生活情况</w:t>
            </w:r>
          </w:p>
        </w:tc>
        <w:tc>
          <w:tcPr>
            <w:tcW w:w="1276" w:type="dxa"/>
            <w:vAlign w:val="center"/>
          </w:tcPr>
          <w:p>
            <w:pPr>
              <w:pStyle w:val="17"/>
            </w:pPr>
            <w:r>
              <w:t>≥90有效改善</w:t>
            </w:r>
          </w:p>
        </w:tc>
        <w:tc>
          <w:tcPr>
            <w:tcW w:w="1843" w:type="dxa"/>
            <w:vAlign w:val="center"/>
          </w:tcPr>
          <w:p>
            <w:pPr>
              <w:pStyle w:val="17"/>
            </w:pPr>
            <w:r>
              <w:t>老党员生活情况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老党员满意度</w:t>
            </w:r>
          </w:p>
        </w:tc>
        <w:tc>
          <w:tcPr>
            <w:tcW w:w="2891" w:type="dxa"/>
            <w:vAlign w:val="center"/>
          </w:tcPr>
          <w:p>
            <w:pPr>
              <w:pStyle w:val="17"/>
            </w:pPr>
            <w:r>
              <w:t>老党员满意度</w:t>
            </w:r>
          </w:p>
        </w:tc>
        <w:tc>
          <w:tcPr>
            <w:tcW w:w="1276" w:type="dxa"/>
            <w:vAlign w:val="center"/>
          </w:tcPr>
          <w:p>
            <w:pPr>
              <w:pStyle w:val="17"/>
            </w:pPr>
            <w:r>
              <w:t>≥90老党员满意度</w:t>
            </w:r>
          </w:p>
        </w:tc>
        <w:tc>
          <w:tcPr>
            <w:tcW w:w="1843" w:type="dxa"/>
            <w:vAlign w:val="center"/>
          </w:tcPr>
          <w:p>
            <w:pPr>
              <w:pStyle w:val="17"/>
            </w:pPr>
            <w:r>
              <w:t>老党员满意度</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7" w:name="_Toc_4_4_0000000015"/>
      <w:r>
        <w:rPr>
          <w:rFonts w:ascii="方正仿宋_GBK" w:hAnsi="方正仿宋_GBK" w:eastAsia="方正仿宋_GBK" w:cs="方正仿宋_GBK"/>
          <w:color w:val="000000"/>
          <w:sz w:val="28"/>
        </w:rPr>
        <w:t>12.基层党员教育管理、制片经费绩效目标表</w:t>
      </w:r>
      <w:bookmarkEnd w:id="17"/>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13030322P004006100026</w:t>
            </w:r>
          </w:p>
        </w:tc>
        <w:tc>
          <w:tcPr>
            <w:tcW w:w="1587" w:type="dxa"/>
            <w:vAlign w:val="center"/>
          </w:tcPr>
          <w:p>
            <w:pPr>
              <w:pStyle w:val="15"/>
            </w:pPr>
            <w:r>
              <w:t>项目名称</w:t>
            </w:r>
          </w:p>
        </w:tc>
        <w:tc>
          <w:tcPr>
            <w:tcW w:w="4423" w:type="dxa"/>
            <w:gridSpan w:val="3"/>
            <w:vAlign w:val="center"/>
          </w:tcPr>
          <w:p>
            <w:pPr>
              <w:pStyle w:val="17"/>
            </w:pPr>
            <w:r>
              <w:t>基层党员教育管理、制片经费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5.00</w:t>
            </w:r>
          </w:p>
        </w:tc>
        <w:tc>
          <w:tcPr>
            <w:tcW w:w="1587" w:type="dxa"/>
            <w:vAlign w:val="center"/>
          </w:tcPr>
          <w:p>
            <w:pPr>
              <w:pStyle w:val="15"/>
            </w:pPr>
            <w:r>
              <w:t>其中：财政    资金</w:t>
            </w:r>
          </w:p>
        </w:tc>
        <w:tc>
          <w:tcPr>
            <w:tcW w:w="1304" w:type="dxa"/>
            <w:vAlign w:val="center"/>
          </w:tcPr>
          <w:p>
            <w:pPr>
              <w:pStyle w:val="17"/>
            </w:pPr>
            <w:r>
              <w:t>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提高党员教育工作水平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1.按照省委远程教育要求开展工作</w:t>
            </w:r>
          </w:p>
        </w:tc>
      </w:tr>
    </w:tbl>
    <w:p>
      <w:pPr>
        <w:spacing w:line="2" w:lineRule="exact"/>
        <w:jc w:val="center"/>
      </w:pPr>
    </w:p>
    <w:tbl>
      <w:tblPr>
        <w:tblStyle w:val="8"/>
        <w:tblW w:w="101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安装数</w:t>
            </w:r>
          </w:p>
        </w:tc>
        <w:tc>
          <w:tcPr>
            <w:tcW w:w="2891" w:type="dxa"/>
            <w:vAlign w:val="center"/>
          </w:tcPr>
          <w:p>
            <w:pPr>
              <w:pStyle w:val="17"/>
            </w:pPr>
            <w:r>
              <w:t>站点安装数量</w:t>
            </w:r>
          </w:p>
        </w:tc>
        <w:tc>
          <w:tcPr>
            <w:tcW w:w="1276" w:type="dxa"/>
            <w:vAlign w:val="center"/>
          </w:tcPr>
          <w:p>
            <w:pPr>
              <w:pStyle w:val="17"/>
            </w:pPr>
            <w:r>
              <w:t>≥90站点安装数量</w:t>
            </w:r>
          </w:p>
        </w:tc>
        <w:tc>
          <w:tcPr>
            <w:tcW w:w="1843" w:type="dxa"/>
            <w:vAlign w:val="center"/>
          </w:tcPr>
          <w:p>
            <w:pPr>
              <w:pStyle w:val="17"/>
            </w:pPr>
            <w:r>
              <w:t>站点安装数量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正常使用率</w:t>
            </w:r>
          </w:p>
        </w:tc>
        <w:tc>
          <w:tcPr>
            <w:tcW w:w="2891" w:type="dxa"/>
            <w:vAlign w:val="center"/>
          </w:tcPr>
          <w:p>
            <w:pPr>
              <w:pStyle w:val="17"/>
            </w:pPr>
            <w:r>
              <w:t>正常使用率</w:t>
            </w:r>
          </w:p>
        </w:tc>
        <w:tc>
          <w:tcPr>
            <w:tcW w:w="1276" w:type="dxa"/>
            <w:vAlign w:val="center"/>
          </w:tcPr>
          <w:p>
            <w:pPr>
              <w:pStyle w:val="17"/>
            </w:pPr>
            <w:r>
              <w:t>≥90正常使用率</w:t>
            </w:r>
          </w:p>
        </w:tc>
        <w:tc>
          <w:tcPr>
            <w:tcW w:w="1843" w:type="dxa"/>
            <w:vAlign w:val="center"/>
          </w:tcPr>
          <w:p>
            <w:pPr>
              <w:pStyle w:val="17"/>
            </w:pPr>
            <w:r>
              <w:t>正常使用率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及时性</w:t>
            </w:r>
          </w:p>
        </w:tc>
        <w:tc>
          <w:tcPr>
            <w:tcW w:w="2891" w:type="dxa"/>
            <w:vAlign w:val="center"/>
          </w:tcPr>
          <w:p>
            <w:pPr>
              <w:pStyle w:val="17"/>
            </w:pPr>
            <w:r>
              <w:t>及时性</w:t>
            </w:r>
          </w:p>
        </w:tc>
        <w:tc>
          <w:tcPr>
            <w:tcW w:w="1276" w:type="dxa"/>
            <w:vAlign w:val="center"/>
          </w:tcPr>
          <w:p>
            <w:pPr>
              <w:pStyle w:val="17"/>
            </w:pPr>
            <w:r>
              <w:t>≥90及时性</w:t>
            </w:r>
          </w:p>
        </w:tc>
        <w:tc>
          <w:tcPr>
            <w:tcW w:w="1843" w:type="dxa"/>
            <w:vAlign w:val="center"/>
          </w:tcPr>
          <w:p>
            <w:pPr>
              <w:pStyle w:val="17"/>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总成本控制数</w:t>
            </w:r>
          </w:p>
        </w:tc>
        <w:tc>
          <w:tcPr>
            <w:tcW w:w="2891" w:type="dxa"/>
            <w:vAlign w:val="center"/>
          </w:tcPr>
          <w:p>
            <w:pPr>
              <w:pStyle w:val="17"/>
            </w:pPr>
            <w:r>
              <w:t>总成本控制数</w:t>
            </w:r>
          </w:p>
        </w:tc>
        <w:tc>
          <w:tcPr>
            <w:tcW w:w="1276" w:type="dxa"/>
            <w:vAlign w:val="center"/>
          </w:tcPr>
          <w:p>
            <w:pPr>
              <w:pStyle w:val="17"/>
            </w:pPr>
            <w:r>
              <w:t>≥90总成本控制数</w:t>
            </w:r>
          </w:p>
        </w:tc>
        <w:tc>
          <w:tcPr>
            <w:tcW w:w="1843" w:type="dxa"/>
            <w:vAlign w:val="center"/>
          </w:tcPr>
          <w:p>
            <w:pPr>
              <w:pStyle w:val="17"/>
            </w:pPr>
            <w:r>
              <w:t>总成本控制数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长期使用性</w:t>
            </w:r>
          </w:p>
        </w:tc>
        <w:tc>
          <w:tcPr>
            <w:tcW w:w="2891" w:type="dxa"/>
            <w:vAlign w:val="center"/>
          </w:tcPr>
          <w:p>
            <w:pPr>
              <w:pStyle w:val="17"/>
            </w:pPr>
            <w:r>
              <w:t>长期满足村（社区）党员对精神文化的需求</w:t>
            </w:r>
          </w:p>
        </w:tc>
        <w:tc>
          <w:tcPr>
            <w:tcW w:w="1276" w:type="dxa"/>
            <w:vAlign w:val="center"/>
          </w:tcPr>
          <w:p>
            <w:pPr>
              <w:pStyle w:val="17"/>
            </w:pPr>
            <w:r>
              <w:t>≥90长期满足村（社区）党员对精神文化的需求</w:t>
            </w:r>
          </w:p>
        </w:tc>
        <w:tc>
          <w:tcPr>
            <w:tcW w:w="1843" w:type="dxa"/>
            <w:vAlign w:val="center"/>
          </w:tcPr>
          <w:p>
            <w:pPr>
              <w:pStyle w:val="17"/>
            </w:pPr>
            <w:r>
              <w:t>长期满足村（社区）党员对精神文化的需求</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8" w:name="_Toc_4_4_0000000016"/>
      <w:r>
        <w:rPr>
          <w:rFonts w:ascii="方正仿宋_GBK" w:hAnsi="方正仿宋_GBK" w:eastAsia="方正仿宋_GBK" w:cs="方正仿宋_GBK"/>
          <w:color w:val="000000"/>
          <w:sz w:val="28"/>
        </w:rPr>
        <w:t>13.老干部活动及关心下一代经费绩效目标表</w:t>
      </w:r>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13030322P004004100017</w:t>
            </w:r>
          </w:p>
        </w:tc>
        <w:tc>
          <w:tcPr>
            <w:tcW w:w="1587" w:type="dxa"/>
            <w:vAlign w:val="center"/>
          </w:tcPr>
          <w:p>
            <w:pPr>
              <w:pStyle w:val="15"/>
            </w:pPr>
            <w:r>
              <w:t>项目名称</w:t>
            </w:r>
          </w:p>
        </w:tc>
        <w:tc>
          <w:tcPr>
            <w:tcW w:w="4423" w:type="dxa"/>
            <w:gridSpan w:val="3"/>
            <w:vAlign w:val="center"/>
          </w:tcPr>
          <w:p>
            <w:pPr>
              <w:pStyle w:val="17"/>
            </w:pPr>
            <w:r>
              <w:t>老干部活动及关心下一代经费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15.00</w:t>
            </w:r>
          </w:p>
        </w:tc>
        <w:tc>
          <w:tcPr>
            <w:tcW w:w="1587" w:type="dxa"/>
            <w:vAlign w:val="center"/>
          </w:tcPr>
          <w:p>
            <w:pPr>
              <w:pStyle w:val="15"/>
            </w:pPr>
            <w:r>
              <w:t>其中：财政    资金</w:t>
            </w:r>
          </w:p>
        </w:tc>
        <w:tc>
          <w:tcPr>
            <w:tcW w:w="1304" w:type="dxa"/>
            <w:vAlign w:val="center"/>
          </w:tcPr>
          <w:p>
            <w:pPr>
              <w:pStyle w:val="17"/>
            </w:pPr>
            <w:r>
              <w:t>15.00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组织老干部参加社会、文体及各项活动、关心下一代活动组织及离退休干部管理等工作经费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1.落实老干部两项待遇，组织老干部参加社会、文体及各项活动，充分发挥老干部传帮带作用，做好关心下一代活动组织及离退休活动管理服务机构设施维修改造、后勤保障、日常运转。</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老干部参加率</w:t>
            </w:r>
          </w:p>
        </w:tc>
        <w:tc>
          <w:tcPr>
            <w:tcW w:w="2891" w:type="dxa"/>
            <w:vAlign w:val="center"/>
          </w:tcPr>
          <w:p>
            <w:pPr>
              <w:pStyle w:val="17"/>
            </w:pPr>
            <w:r>
              <w:t>老干部参加率</w:t>
            </w:r>
          </w:p>
        </w:tc>
        <w:tc>
          <w:tcPr>
            <w:tcW w:w="1276" w:type="dxa"/>
            <w:vAlign w:val="center"/>
          </w:tcPr>
          <w:p>
            <w:pPr>
              <w:pStyle w:val="17"/>
            </w:pPr>
            <w:r>
              <w:t>≥70老干部参加率</w:t>
            </w:r>
          </w:p>
        </w:tc>
        <w:tc>
          <w:tcPr>
            <w:tcW w:w="1843" w:type="dxa"/>
            <w:vAlign w:val="center"/>
          </w:tcPr>
          <w:p>
            <w:pPr>
              <w:pStyle w:val="17"/>
            </w:pPr>
            <w:r>
              <w:t>老干部参加率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活动组织成功率</w:t>
            </w:r>
          </w:p>
        </w:tc>
        <w:tc>
          <w:tcPr>
            <w:tcW w:w="2891" w:type="dxa"/>
            <w:vAlign w:val="center"/>
          </w:tcPr>
          <w:p>
            <w:pPr>
              <w:pStyle w:val="17"/>
            </w:pPr>
            <w:r>
              <w:t>活动组织成功率</w:t>
            </w:r>
          </w:p>
        </w:tc>
        <w:tc>
          <w:tcPr>
            <w:tcW w:w="1276" w:type="dxa"/>
            <w:vAlign w:val="center"/>
          </w:tcPr>
          <w:p>
            <w:pPr>
              <w:pStyle w:val="17"/>
            </w:pPr>
            <w:r>
              <w:t>≥70活动组织成功率</w:t>
            </w:r>
          </w:p>
        </w:tc>
        <w:tc>
          <w:tcPr>
            <w:tcW w:w="1843" w:type="dxa"/>
            <w:vAlign w:val="center"/>
          </w:tcPr>
          <w:p>
            <w:pPr>
              <w:pStyle w:val="17"/>
            </w:pPr>
            <w:r>
              <w:t>活动组织成功率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及时性</w:t>
            </w:r>
          </w:p>
        </w:tc>
        <w:tc>
          <w:tcPr>
            <w:tcW w:w="2891" w:type="dxa"/>
            <w:vAlign w:val="center"/>
          </w:tcPr>
          <w:p>
            <w:pPr>
              <w:pStyle w:val="17"/>
            </w:pPr>
            <w:r>
              <w:t>及时性</w:t>
            </w:r>
          </w:p>
        </w:tc>
        <w:tc>
          <w:tcPr>
            <w:tcW w:w="1276" w:type="dxa"/>
            <w:vAlign w:val="center"/>
          </w:tcPr>
          <w:p>
            <w:pPr>
              <w:pStyle w:val="17"/>
            </w:pPr>
            <w:r>
              <w:t>≥70及时性</w:t>
            </w:r>
          </w:p>
        </w:tc>
        <w:tc>
          <w:tcPr>
            <w:tcW w:w="1843" w:type="dxa"/>
            <w:vAlign w:val="center"/>
          </w:tcPr>
          <w:p>
            <w:pPr>
              <w:pStyle w:val="17"/>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保障单位日常正常运转率</w:t>
            </w:r>
          </w:p>
        </w:tc>
        <w:tc>
          <w:tcPr>
            <w:tcW w:w="2891" w:type="dxa"/>
            <w:vAlign w:val="center"/>
          </w:tcPr>
          <w:p>
            <w:pPr>
              <w:pStyle w:val="17"/>
            </w:pPr>
            <w:r>
              <w:t>日常运转保障率</w:t>
            </w:r>
          </w:p>
        </w:tc>
        <w:tc>
          <w:tcPr>
            <w:tcW w:w="1276" w:type="dxa"/>
            <w:vAlign w:val="center"/>
          </w:tcPr>
          <w:p>
            <w:pPr>
              <w:pStyle w:val="17"/>
            </w:pPr>
            <w:r>
              <w:t>≥70日常运转保障率</w:t>
            </w:r>
          </w:p>
        </w:tc>
        <w:tc>
          <w:tcPr>
            <w:tcW w:w="1843" w:type="dxa"/>
            <w:vAlign w:val="center"/>
          </w:tcPr>
          <w:p>
            <w:pPr>
              <w:pStyle w:val="17"/>
            </w:pPr>
            <w:r>
              <w:t>日常运转保障率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关爱青少年教育活动</w:t>
            </w:r>
          </w:p>
        </w:tc>
        <w:tc>
          <w:tcPr>
            <w:tcW w:w="2891" w:type="dxa"/>
            <w:vAlign w:val="center"/>
          </w:tcPr>
          <w:p>
            <w:pPr>
              <w:pStyle w:val="17"/>
            </w:pPr>
            <w:r>
              <w:t>关爱青少年教育活动</w:t>
            </w:r>
          </w:p>
        </w:tc>
        <w:tc>
          <w:tcPr>
            <w:tcW w:w="1276" w:type="dxa"/>
            <w:vAlign w:val="center"/>
          </w:tcPr>
          <w:p>
            <w:pPr>
              <w:pStyle w:val="17"/>
            </w:pPr>
            <w:r>
              <w:t>≥70关爱青少年教育活动</w:t>
            </w:r>
          </w:p>
        </w:tc>
        <w:tc>
          <w:tcPr>
            <w:tcW w:w="1843" w:type="dxa"/>
            <w:vAlign w:val="center"/>
          </w:tcPr>
          <w:p>
            <w:pPr>
              <w:pStyle w:val="17"/>
            </w:pPr>
            <w:r>
              <w:t>关爱青少年教育活动</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19" w:name="_Toc_4_4_0000000017"/>
      <w:r>
        <w:rPr>
          <w:rFonts w:ascii="方正仿宋_GBK" w:hAnsi="方正仿宋_GBK" w:eastAsia="方正仿宋_GBK" w:cs="方正仿宋_GBK"/>
          <w:color w:val="000000"/>
          <w:sz w:val="28"/>
        </w:rPr>
        <w:t>14.离休干部医药费绩效目标表</w:t>
      </w:r>
      <w:bookmarkEnd w:id="19"/>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13030322P004012100013</w:t>
            </w:r>
          </w:p>
        </w:tc>
        <w:tc>
          <w:tcPr>
            <w:tcW w:w="1587" w:type="dxa"/>
            <w:vAlign w:val="center"/>
          </w:tcPr>
          <w:p>
            <w:pPr>
              <w:pStyle w:val="15"/>
            </w:pPr>
            <w:r>
              <w:t>项目名称</w:t>
            </w:r>
          </w:p>
        </w:tc>
        <w:tc>
          <w:tcPr>
            <w:tcW w:w="4423" w:type="dxa"/>
            <w:gridSpan w:val="3"/>
            <w:vAlign w:val="center"/>
          </w:tcPr>
          <w:p>
            <w:pPr>
              <w:pStyle w:val="17"/>
            </w:pPr>
            <w:r>
              <w:t>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350.00</w:t>
            </w:r>
          </w:p>
        </w:tc>
        <w:tc>
          <w:tcPr>
            <w:tcW w:w="1587" w:type="dxa"/>
            <w:vAlign w:val="center"/>
          </w:tcPr>
          <w:p>
            <w:pPr>
              <w:pStyle w:val="15"/>
            </w:pPr>
            <w:r>
              <w:t>其中：财政    资金</w:t>
            </w:r>
          </w:p>
        </w:tc>
        <w:tc>
          <w:tcPr>
            <w:tcW w:w="1304" w:type="dxa"/>
            <w:vAlign w:val="center"/>
          </w:tcPr>
          <w:p>
            <w:pPr>
              <w:pStyle w:val="17"/>
            </w:pPr>
            <w:r>
              <w:t>350.00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完善离休干部医药费管理办法，更好地为离休干部解决“老有所医”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1.落实两项待遇，让每位离休干部感受到政治上的关心</w:t>
            </w:r>
          </w:p>
          <w:p>
            <w:pPr>
              <w:pStyle w:val="17"/>
            </w:pPr>
            <w:r>
              <w:t>2.落实两项待遇，让每位离休干部感受到生活上的爱护</w:t>
            </w:r>
          </w:p>
          <w:p>
            <w:pPr>
              <w:pStyle w:val="17"/>
            </w:pPr>
            <w:r>
              <w:t>3.确保实报实销完成率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核销离休干部医药费人数</w:t>
            </w:r>
          </w:p>
        </w:tc>
        <w:tc>
          <w:tcPr>
            <w:tcW w:w="2891" w:type="dxa"/>
            <w:vAlign w:val="center"/>
          </w:tcPr>
          <w:p>
            <w:pPr>
              <w:pStyle w:val="17"/>
            </w:pPr>
            <w:r>
              <w:t>确保离休干部核销医药费人数</w:t>
            </w:r>
          </w:p>
        </w:tc>
        <w:tc>
          <w:tcPr>
            <w:tcW w:w="1276" w:type="dxa"/>
            <w:vAlign w:val="center"/>
          </w:tcPr>
          <w:p>
            <w:pPr>
              <w:pStyle w:val="17"/>
            </w:pPr>
            <w:r>
              <w:t>≥90确保离休干部核销医药费人数</w:t>
            </w:r>
          </w:p>
        </w:tc>
        <w:tc>
          <w:tcPr>
            <w:tcW w:w="1843" w:type="dxa"/>
            <w:vAlign w:val="center"/>
          </w:tcPr>
          <w:p>
            <w:pPr>
              <w:pStyle w:val="17"/>
            </w:pPr>
            <w:r>
              <w:t>确保离休干部核销医药费人数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足额到位率</w:t>
            </w:r>
          </w:p>
        </w:tc>
        <w:tc>
          <w:tcPr>
            <w:tcW w:w="2891" w:type="dxa"/>
            <w:vAlign w:val="center"/>
          </w:tcPr>
          <w:p>
            <w:pPr>
              <w:pStyle w:val="17"/>
            </w:pPr>
            <w:r>
              <w:t>足额到位率</w:t>
            </w:r>
          </w:p>
        </w:tc>
        <w:tc>
          <w:tcPr>
            <w:tcW w:w="1276" w:type="dxa"/>
            <w:vAlign w:val="center"/>
          </w:tcPr>
          <w:p>
            <w:pPr>
              <w:pStyle w:val="17"/>
            </w:pPr>
            <w:r>
              <w:t>≥90足额到位率</w:t>
            </w:r>
          </w:p>
        </w:tc>
        <w:tc>
          <w:tcPr>
            <w:tcW w:w="1843" w:type="dxa"/>
            <w:vAlign w:val="center"/>
          </w:tcPr>
          <w:p>
            <w:pPr>
              <w:pStyle w:val="17"/>
            </w:pPr>
            <w:r>
              <w:t>足额到位率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及时率</w:t>
            </w:r>
          </w:p>
        </w:tc>
        <w:tc>
          <w:tcPr>
            <w:tcW w:w="2891" w:type="dxa"/>
            <w:vAlign w:val="center"/>
          </w:tcPr>
          <w:p>
            <w:pPr>
              <w:pStyle w:val="17"/>
            </w:pPr>
            <w:r>
              <w:t>及时核销离休干部医药费</w:t>
            </w:r>
          </w:p>
        </w:tc>
        <w:tc>
          <w:tcPr>
            <w:tcW w:w="1276" w:type="dxa"/>
            <w:vAlign w:val="center"/>
          </w:tcPr>
          <w:p>
            <w:pPr>
              <w:pStyle w:val="17"/>
            </w:pPr>
            <w:r>
              <w:t>≥90及时核销离休干部医药费</w:t>
            </w:r>
          </w:p>
        </w:tc>
        <w:tc>
          <w:tcPr>
            <w:tcW w:w="1843" w:type="dxa"/>
            <w:vAlign w:val="center"/>
          </w:tcPr>
          <w:p>
            <w:pPr>
              <w:pStyle w:val="17"/>
            </w:pPr>
            <w:r>
              <w:t>及时核销离休干部医药费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按规定核销率</w:t>
            </w:r>
          </w:p>
        </w:tc>
        <w:tc>
          <w:tcPr>
            <w:tcW w:w="2891" w:type="dxa"/>
            <w:vAlign w:val="center"/>
          </w:tcPr>
          <w:p>
            <w:pPr>
              <w:pStyle w:val="17"/>
            </w:pPr>
            <w:r>
              <w:t>严格按规定核销离休干部医药费</w:t>
            </w:r>
          </w:p>
        </w:tc>
        <w:tc>
          <w:tcPr>
            <w:tcW w:w="1276" w:type="dxa"/>
            <w:vAlign w:val="center"/>
          </w:tcPr>
          <w:p>
            <w:pPr>
              <w:pStyle w:val="17"/>
            </w:pPr>
            <w:r>
              <w:t>≥90严格按规定核销离休干部医药费</w:t>
            </w:r>
          </w:p>
        </w:tc>
        <w:tc>
          <w:tcPr>
            <w:tcW w:w="1843" w:type="dxa"/>
            <w:vAlign w:val="center"/>
          </w:tcPr>
          <w:p>
            <w:pPr>
              <w:pStyle w:val="17"/>
            </w:pPr>
            <w:r>
              <w:t>严格按规定核销离休干部医药费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实报实销率</w:t>
            </w:r>
          </w:p>
        </w:tc>
        <w:tc>
          <w:tcPr>
            <w:tcW w:w="2891" w:type="dxa"/>
            <w:vAlign w:val="center"/>
          </w:tcPr>
          <w:p>
            <w:pPr>
              <w:pStyle w:val="17"/>
            </w:pPr>
            <w:r>
              <w:t>实报实销率</w:t>
            </w:r>
          </w:p>
        </w:tc>
        <w:tc>
          <w:tcPr>
            <w:tcW w:w="1276" w:type="dxa"/>
            <w:vAlign w:val="center"/>
          </w:tcPr>
          <w:p>
            <w:pPr>
              <w:pStyle w:val="17"/>
            </w:pPr>
            <w:r>
              <w:t>≥90实报实销率</w:t>
            </w:r>
          </w:p>
        </w:tc>
        <w:tc>
          <w:tcPr>
            <w:tcW w:w="1843" w:type="dxa"/>
            <w:vAlign w:val="center"/>
          </w:tcPr>
          <w:p>
            <w:pPr>
              <w:pStyle w:val="17"/>
            </w:pPr>
            <w:r>
              <w:t>实报实销率</w:t>
            </w:r>
          </w:p>
        </w:tc>
      </w:tr>
    </w:tbl>
    <w:p>
      <w:pPr>
        <w:sectPr>
          <w:pgSz w:w="16840" w:h="11900" w:orient="landscape"/>
          <w:pgMar w:top="1304" w:right="1134" w:bottom="1304" w:left="1985" w:header="720" w:footer="720" w:gutter="0"/>
          <w:cols w:space="720" w:num="1"/>
        </w:sectPr>
      </w:pPr>
    </w:p>
    <w:p>
      <w:pPr>
        <w:jc w:val="center"/>
      </w:pPr>
    </w:p>
    <w:p>
      <w:pPr>
        <w:ind w:firstLine="560"/>
        <w:outlineLvl w:val="3"/>
      </w:pPr>
      <w:bookmarkStart w:id="20" w:name="_Toc_4_4_0000000018"/>
      <w:r>
        <w:rPr>
          <w:rFonts w:ascii="方正仿宋_GBK" w:hAnsi="方正仿宋_GBK" w:eastAsia="方正仿宋_GBK" w:cs="方正仿宋_GBK"/>
          <w:color w:val="000000"/>
          <w:sz w:val="28"/>
        </w:rPr>
        <w:t>15.区重点工作大督查经费绩效目标表</w:t>
      </w:r>
      <w:bookmarkEnd w:id="20"/>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13030322P00401010001P</w:t>
            </w:r>
          </w:p>
        </w:tc>
        <w:tc>
          <w:tcPr>
            <w:tcW w:w="1587" w:type="dxa"/>
            <w:vAlign w:val="center"/>
          </w:tcPr>
          <w:p>
            <w:pPr>
              <w:pStyle w:val="15"/>
            </w:pPr>
            <w:r>
              <w:t>项目名称</w:t>
            </w:r>
          </w:p>
        </w:tc>
        <w:tc>
          <w:tcPr>
            <w:tcW w:w="4423" w:type="dxa"/>
            <w:gridSpan w:val="3"/>
            <w:vAlign w:val="center"/>
          </w:tcPr>
          <w:p>
            <w:pPr>
              <w:pStyle w:val="17"/>
            </w:pPr>
            <w:r>
              <w:t>区重点工作大督查经费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30.00</w:t>
            </w:r>
          </w:p>
        </w:tc>
        <w:tc>
          <w:tcPr>
            <w:tcW w:w="1587" w:type="dxa"/>
            <w:vAlign w:val="center"/>
          </w:tcPr>
          <w:p>
            <w:pPr>
              <w:pStyle w:val="15"/>
            </w:pPr>
            <w:r>
              <w:t>其中：财政    资金</w:t>
            </w:r>
          </w:p>
        </w:tc>
        <w:tc>
          <w:tcPr>
            <w:tcW w:w="1304" w:type="dxa"/>
            <w:vAlign w:val="center"/>
          </w:tcPr>
          <w:p>
            <w:pPr>
              <w:pStyle w:val="17"/>
            </w:pPr>
            <w:r>
              <w:t>30.00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区重点工作大督查工作经费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1.区重点工作大督查协调小组，负责对全区的各镇、园区，各街道，区直各单位，各人民团体承担的省、市、区重点工作任务进行督查。</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督查督办数量</w:t>
            </w:r>
          </w:p>
        </w:tc>
        <w:tc>
          <w:tcPr>
            <w:tcW w:w="2891" w:type="dxa"/>
            <w:vAlign w:val="center"/>
          </w:tcPr>
          <w:p>
            <w:pPr>
              <w:pStyle w:val="17"/>
            </w:pPr>
            <w:r>
              <w:t>督查督办数量</w:t>
            </w:r>
          </w:p>
        </w:tc>
        <w:tc>
          <w:tcPr>
            <w:tcW w:w="1276" w:type="dxa"/>
            <w:vAlign w:val="center"/>
          </w:tcPr>
          <w:p>
            <w:pPr>
              <w:pStyle w:val="17"/>
            </w:pPr>
            <w:r>
              <w:t>≥70工作开展情况</w:t>
            </w:r>
          </w:p>
        </w:tc>
        <w:tc>
          <w:tcPr>
            <w:tcW w:w="1843" w:type="dxa"/>
            <w:vAlign w:val="center"/>
          </w:tcPr>
          <w:p>
            <w:pPr>
              <w:pStyle w:val="17"/>
            </w:pPr>
            <w:r>
              <w:t>督查督办数量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督查工作完成率</w:t>
            </w:r>
          </w:p>
        </w:tc>
        <w:tc>
          <w:tcPr>
            <w:tcW w:w="2891" w:type="dxa"/>
            <w:vAlign w:val="center"/>
          </w:tcPr>
          <w:p>
            <w:pPr>
              <w:pStyle w:val="17"/>
            </w:pPr>
            <w:r>
              <w:t>督查工作完成率</w:t>
            </w:r>
          </w:p>
        </w:tc>
        <w:tc>
          <w:tcPr>
            <w:tcW w:w="1276" w:type="dxa"/>
            <w:vAlign w:val="center"/>
          </w:tcPr>
          <w:p>
            <w:pPr>
              <w:pStyle w:val="17"/>
            </w:pPr>
            <w:r>
              <w:t>≥70工作开展情况</w:t>
            </w:r>
          </w:p>
        </w:tc>
        <w:tc>
          <w:tcPr>
            <w:tcW w:w="1843" w:type="dxa"/>
            <w:vAlign w:val="center"/>
          </w:tcPr>
          <w:p>
            <w:pPr>
              <w:pStyle w:val="17"/>
            </w:pPr>
            <w:r>
              <w:t>督查工作完成率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按时完成督查工作</w:t>
            </w:r>
          </w:p>
        </w:tc>
        <w:tc>
          <w:tcPr>
            <w:tcW w:w="2891" w:type="dxa"/>
            <w:vAlign w:val="center"/>
          </w:tcPr>
          <w:p>
            <w:pPr>
              <w:pStyle w:val="17"/>
            </w:pPr>
            <w:r>
              <w:t>按时完成督查工作</w:t>
            </w:r>
          </w:p>
        </w:tc>
        <w:tc>
          <w:tcPr>
            <w:tcW w:w="1276" w:type="dxa"/>
            <w:vAlign w:val="center"/>
          </w:tcPr>
          <w:p>
            <w:pPr>
              <w:pStyle w:val="17"/>
            </w:pPr>
            <w:r>
              <w:t>≥70工作开展情况</w:t>
            </w:r>
          </w:p>
        </w:tc>
        <w:tc>
          <w:tcPr>
            <w:tcW w:w="1843" w:type="dxa"/>
            <w:vAlign w:val="center"/>
          </w:tcPr>
          <w:p>
            <w:pPr>
              <w:pStyle w:val="17"/>
            </w:pPr>
            <w:r>
              <w:t>按时完成督查工作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完成督查工作成本</w:t>
            </w:r>
          </w:p>
        </w:tc>
        <w:tc>
          <w:tcPr>
            <w:tcW w:w="2891" w:type="dxa"/>
            <w:vAlign w:val="center"/>
          </w:tcPr>
          <w:p>
            <w:pPr>
              <w:pStyle w:val="17"/>
            </w:pPr>
            <w:r>
              <w:t>完成督查工作成本</w:t>
            </w:r>
          </w:p>
        </w:tc>
        <w:tc>
          <w:tcPr>
            <w:tcW w:w="1276" w:type="dxa"/>
            <w:vAlign w:val="center"/>
          </w:tcPr>
          <w:p>
            <w:pPr>
              <w:pStyle w:val="17"/>
            </w:pPr>
            <w:r>
              <w:t>≥70工作开展情况</w:t>
            </w:r>
          </w:p>
        </w:tc>
        <w:tc>
          <w:tcPr>
            <w:tcW w:w="1843" w:type="dxa"/>
            <w:vAlign w:val="center"/>
          </w:tcPr>
          <w:p>
            <w:pPr>
              <w:pStyle w:val="17"/>
            </w:pPr>
            <w:r>
              <w:t>完成督查工作成本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各项工作任务按时完成率</w:t>
            </w:r>
          </w:p>
        </w:tc>
        <w:tc>
          <w:tcPr>
            <w:tcW w:w="2891" w:type="dxa"/>
            <w:vAlign w:val="center"/>
          </w:tcPr>
          <w:p>
            <w:pPr>
              <w:pStyle w:val="17"/>
            </w:pPr>
            <w:r>
              <w:t>各项工作任务按时完成率</w:t>
            </w:r>
          </w:p>
        </w:tc>
        <w:tc>
          <w:tcPr>
            <w:tcW w:w="1276" w:type="dxa"/>
            <w:vAlign w:val="center"/>
          </w:tcPr>
          <w:p>
            <w:pPr>
              <w:pStyle w:val="17"/>
            </w:pPr>
            <w:r>
              <w:t>≥70工作开展情况</w:t>
            </w:r>
          </w:p>
        </w:tc>
        <w:tc>
          <w:tcPr>
            <w:tcW w:w="1843" w:type="dxa"/>
            <w:vAlign w:val="center"/>
          </w:tcPr>
          <w:p>
            <w:pPr>
              <w:pStyle w:val="17"/>
            </w:pPr>
            <w:r>
              <w:t>各项工作任务按时完成率</w:t>
            </w:r>
          </w:p>
        </w:tc>
      </w:tr>
    </w:tbl>
    <w:p>
      <w:pPr>
        <w:sectPr>
          <w:pgSz w:w="16840" w:h="11900" w:orient="landscape"/>
          <w:pgMar w:top="1304" w:right="1134" w:bottom="1304" w:left="1985" w:header="720" w:footer="720" w:gutter="0"/>
          <w:cols w:space="720" w:num="1"/>
        </w:sectPr>
      </w:pPr>
    </w:p>
    <w:p>
      <w:pPr>
        <w:jc w:val="center"/>
      </w:pPr>
    </w:p>
    <w:p>
      <w:pPr>
        <w:ind w:firstLine="560"/>
        <w:outlineLvl w:val="3"/>
      </w:pPr>
      <w:r>
        <w:rPr>
          <w:rFonts w:ascii="方正仿宋_GBK" w:hAnsi="方正仿宋_GBK" w:eastAsia="方正仿宋_GBK" w:cs="方正仿宋_GBK"/>
          <w:color w:val="000000"/>
          <w:sz w:val="28"/>
        </w:rPr>
        <w:t>16.人才工作经费绩效目标表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13030322P00400910001K</w:t>
            </w:r>
          </w:p>
        </w:tc>
        <w:tc>
          <w:tcPr>
            <w:tcW w:w="1587" w:type="dxa"/>
            <w:vAlign w:val="center"/>
          </w:tcPr>
          <w:p>
            <w:pPr>
              <w:pStyle w:val="15"/>
            </w:pPr>
            <w:r>
              <w:t>项目名称</w:t>
            </w:r>
          </w:p>
        </w:tc>
        <w:tc>
          <w:tcPr>
            <w:tcW w:w="4423" w:type="dxa"/>
            <w:gridSpan w:val="3"/>
            <w:vAlign w:val="center"/>
          </w:tcPr>
          <w:p>
            <w:pPr>
              <w:pStyle w:val="17"/>
            </w:pPr>
            <w:r>
              <w:t>人才工作经费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18.00</w:t>
            </w:r>
          </w:p>
        </w:tc>
        <w:tc>
          <w:tcPr>
            <w:tcW w:w="1587" w:type="dxa"/>
            <w:vAlign w:val="center"/>
          </w:tcPr>
          <w:p>
            <w:pPr>
              <w:pStyle w:val="15"/>
            </w:pPr>
            <w:r>
              <w:t>其中：财政    资金</w:t>
            </w:r>
          </w:p>
        </w:tc>
        <w:tc>
          <w:tcPr>
            <w:tcW w:w="1304" w:type="dxa"/>
            <w:vAlign w:val="center"/>
          </w:tcPr>
          <w:p>
            <w:pPr>
              <w:pStyle w:val="17"/>
            </w:pPr>
            <w:r>
              <w:t>18.00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引导和提升全区人才工作开展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75%</w:t>
            </w:r>
          </w:p>
        </w:tc>
        <w:tc>
          <w:tcPr>
            <w:tcW w:w="1587" w:type="dxa"/>
            <w:vAlign w:val="center"/>
          </w:tcPr>
          <w:p>
            <w:pPr>
              <w:pStyle w:val="18"/>
            </w:pPr>
            <w:r>
              <w:t>100%</w:t>
            </w:r>
          </w:p>
        </w:tc>
        <w:tc>
          <w:tcPr>
            <w:tcW w:w="1304" w:type="dxa"/>
            <w:vAlign w:val="center"/>
          </w:tcPr>
          <w:p>
            <w:pPr>
              <w:pStyle w:val="18"/>
            </w:pPr>
            <w:r>
              <w:t>100%</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1.根据中央、省、市、区人才工作精神，为更好推进全区经济社会高质量发展，保障人才工作各项支出。</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引进人才数量</w:t>
            </w:r>
          </w:p>
        </w:tc>
        <w:tc>
          <w:tcPr>
            <w:tcW w:w="2891" w:type="dxa"/>
            <w:vAlign w:val="center"/>
          </w:tcPr>
          <w:p>
            <w:pPr>
              <w:pStyle w:val="17"/>
            </w:pPr>
            <w:r>
              <w:t>引进人才数量</w:t>
            </w:r>
          </w:p>
        </w:tc>
        <w:tc>
          <w:tcPr>
            <w:tcW w:w="1276" w:type="dxa"/>
            <w:vAlign w:val="center"/>
          </w:tcPr>
          <w:p>
            <w:pPr>
              <w:pStyle w:val="17"/>
            </w:pPr>
            <w:r>
              <w:t>≥70引进人才数量</w:t>
            </w:r>
          </w:p>
        </w:tc>
        <w:tc>
          <w:tcPr>
            <w:tcW w:w="1843" w:type="dxa"/>
            <w:vAlign w:val="center"/>
          </w:tcPr>
          <w:p>
            <w:pPr>
              <w:pStyle w:val="17"/>
            </w:pPr>
            <w:r>
              <w:t>引进人才数量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高层次人才数量</w:t>
            </w:r>
          </w:p>
        </w:tc>
        <w:tc>
          <w:tcPr>
            <w:tcW w:w="2891" w:type="dxa"/>
            <w:vAlign w:val="center"/>
          </w:tcPr>
          <w:p>
            <w:pPr>
              <w:pStyle w:val="17"/>
            </w:pPr>
            <w:r>
              <w:t>高层次人才数量</w:t>
            </w:r>
          </w:p>
        </w:tc>
        <w:tc>
          <w:tcPr>
            <w:tcW w:w="1276" w:type="dxa"/>
            <w:vAlign w:val="center"/>
          </w:tcPr>
          <w:p>
            <w:pPr>
              <w:pStyle w:val="17"/>
            </w:pPr>
            <w:r>
              <w:t>≥70高层次人才数量</w:t>
            </w:r>
          </w:p>
        </w:tc>
        <w:tc>
          <w:tcPr>
            <w:tcW w:w="1843" w:type="dxa"/>
            <w:vAlign w:val="center"/>
          </w:tcPr>
          <w:p>
            <w:pPr>
              <w:pStyle w:val="17"/>
            </w:pPr>
            <w:r>
              <w:t>高层次人才数量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完工及时率</w:t>
            </w:r>
          </w:p>
        </w:tc>
        <w:tc>
          <w:tcPr>
            <w:tcW w:w="2891" w:type="dxa"/>
            <w:vAlign w:val="center"/>
          </w:tcPr>
          <w:p>
            <w:pPr>
              <w:pStyle w:val="17"/>
            </w:pPr>
            <w:r>
              <w:t>完工及时率</w:t>
            </w:r>
          </w:p>
        </w:tc>
        <w:tc>
          <w:tcPr>
            <w:tcW w:w="1276" w:type="dxa"/>
            <w:vAlign w:val="center"/>
          </w:tcPr>
          <w:p>
            <w:pPr>
              <w:pStyle w:val="17"/>
            </w:pPr>
            <w:r>
              <w:t>≥70完工及时率</w:t>
            </w:r>
          </w:p>
        </w:tc>
        <w:tc>
          <w:tcPr>
            <w:tcW w:w="1843" w:type="dxa"/>
            <w:vAlign w:val="center"/>
          </w:tcPr>
          <w:p>
            <w:pPr>
              <w:pStyle w:val="17"/>
            </w:pPr>
            <w:r>
              <w:t>完工及时率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资金成本</w:t>
            </w:r>
          </w:p>
        </w:tc>
        <w:tc>
          <w:tcPr>
            <w:tcW w:w="2891" w:type="dxa"/>
            <w:vAlign w:val="center"/>
          </w:tcPr>
          <w:p>
            <w:pPr>
              <w:pStyle w:val="17"/>
            </w:pPr>
            <w:r>
              <w:t>资金成本</w:t>
            </w:r>
          </w:p>
        </w:tc>
        <w:tc>
          <w:tcPr>
            <w:tcW w:w="1276" w:type="dxa"/>
            <w:vAlign w:val="center"/>
          </w:tcPr>
          <w:p>
            <w:pPr>
              <w:pStyle w:val="17"/>
            </w:pPr>
            <w:r>
              <w:t>≥70资金成本</w:t>
            </w:r>
          </w:p>
        </w:tc>
        <w:tc>
          <w:tcPr>
            <w:tcW w:w="1843" w:type="dxa"/>
            <w:vAlign w:val="center"/>
          </w:tcPr>
          <w:p>
            <w:pPr>
              <w:pStyle w:val="17"/>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为社会提供人才支撑和智力支持</w:t>
            </w:r>
          </w:p>
        </w:tc>
        <w:tc>
          <w:tcPr>
            <w:tcW w:w="2891" w:type="dxa"/>
            <w:vAlign w:val="center"/>
          </w:tcPr>
          <w:p>
            <w:pPr>
              <w:pStyle w:val="17"/>
            </w:pPr>
            <w:r>
              <w:t>为社会提供人才支撑和智力支持</w:t>
            </w:r>
          </w:p>
        </w:tc>
        <w:tc>
          <w:tcPr>
            <w:tcW w:w="1276" w:type="dxa"/>
            <w:vAlign w:val="center"/>
          </w:tcPr>
          <w:p>
            <w:pPr>
              <w:pStyle w:val="17"/>
            </w:pPr>
            <w:r>
              <w:t>≥70为社会提供人才支撑和智力支持</w:t>
            </w:r>
          </w:p>
        </w:tc>
        <w:tc>
          <w:tcPr>
            <w:tcW w:w="1843" w:type="dxa"/>
            <w:vAlign w:val="center"/>
          </w:tcPr>
          <w:p>
            <w:pPr>
              <w:pStyle w:val="17"/>
            </w:pPr>
            <w:r>
              <w:t>为社会提供人才支撑和智力支持</w:t>
            </w:r>
          </w:p>
        </w:tc>
      </w:tr>
    </w:tbl>
    <w:p>
      <w:pPr>
        <w:sectPr>
          <w:pgSz w:w="16840" w:h="11900" w:orient="landscape"/>
          <w:pgMar w:top="1304" w:right="1134" w:bottom="1304" w:left="1985" w:header="720" w:footer="720" w:gutter="0"/>
          <w:cols w:space="720" w:num="1"/>
        </w:sectPr>
      </w:pPr>
    </w:p>
    <w:p>
      <w:pPr>
        <w:ind w:firstLine="560"/>
        <w:outlineLvl w:val="3"/>
      </w:pPr>
      <w:r>
        <w:rPr>
          <w:rFonts w:ascii="方正仿宋_GBK" w:hAnsi="方正仿宋_GBK" w:eastAsia="方正仿宋_GBK" w:cs="方正仿宋_GBK"/>
          <w:color w:val="000000"/>
          <w:sz w:val="28"/>
        </w:rPr>
        <w:t>17.提前下达2022年度下派选调生到村工作中央财政补助资金绩效目标表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13030322P00436410001R</w:t>
            </w:r>
          </w:p>
        </w:tc>
        <w:tc>
          <w:tcPr>
            <w:tcW w:w="1587" w:type="dxa"/>
            <w:vAlign w:val="center"/>
          </w:tcPr>
          <w:p>
            <w:pPr>
              <w:pStyle w:val="15"/>
            </w:pPr>
            <w:r>
              <w:t>项目名称</w:t>
            </w:r>
          </w:p>
        </w:tc>
        <w:tc>
          <w:tcPr>
            <w:tcW w:w="4423" w:type="dxa"/>
            <w:gridSpan w:val="3"/>
            <w:vAlign w:val="center"/>
          </w:tcPr>
          <w:p>
            <w:pPr>
              <w:pStyle w:val="17"/>
            </w:pPr>
            <w:r>
              <w:t>提前下达2022年度下派选调生到村工作中央财政补助资金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13.60</w:t>
            </w:r>
          </w:p>
        </w:tc>
        <w:tc>
          <w:tcPr>
            <w:tcW w:w="1587" w:type="dxa"/>
            <w:vAlign w:val="center"/>
          </w:tcPr>
          <w:p>
            <w:pPr>
              <w:pStyle w:val="15"/>
            </w:pPr>
            <w:r>
              <w:t>其中：财政    资金</w:t>
            </w:r>
          </w:p>
        </w:tc>
        <w:tc>
          <w:tcPr>
            <w:tcW w:w="1304" w:type="dxa"/>
            <w:vAlign w:val="center"/>
          </w:tcPr>
          <w:p>
            <w:pPr>
              <w:pStyle w:val="17"/>
            </w:pPr>
            <w:r>
              <w:t>13.60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2022年度下派选调生到村工作中央财政补助</w:t>
            </w:r>
            <w:r>
              <w:rPr>
                <w:rFonts w:hint="eastAsia"/>
                <w:lang w:eastAsia="zh-CN"/>
              </w:rP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1.解决到村任职选调生的后顾之忧，帮助他们尽快适应基层工作。</w:t>
            </w:r>
          </w:p>
          <w:p>
            <w:pPr>
              <w:pStyle w:val="17"/>
            </w:pPr>
            <w:r>
              <w:t>2.加强对到村任职选调生的教育培训，按要求组织开展国情调研，组织他们多参与化解复杂矛盾和问题，让他们在基层真正经受实践锻炼。</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保障补贴对象人数占应保人数之比</w:t>
            </w:r>
          </w:p>
        </w:tc>
        <w:tc>
          <w:tcPr>
            <w:tcW w:w="2891" w:type="dxa"/>
            <w:vAlign w:val="center"/>
          </w:tcPr>
          <w:p>
            <w:pPr>
              <w:pStyle w:val="17"/>
            </w:pPr>
            <w:r>
              <w:t>保障补贴对象人数占应保人数之比</w:t>
            </w:r>
          </w:p>
        </w:tc>
        <w:tc>
          <w:tcPr>
            <w:tcW w:w="1276" w:type="dxa"/>
            <w:vAlign w:val="center"/>
          </w:tcPr>
          <w:p>
            <w:pPr>
              <w:pStyle w:val="17"/>
            </w:pPr>
            <w:r>
              <w:t>100保障补贴对象人数占应保人数之比</w:t>
            </w:r>
          </w:p>
        </w:tc>
        <w:tc>
          <w:tcPr>
            <w:tcW w:w="1843" w:type="dxa"/>
            <w:vAlign w:val="center"/>
          </w:tcPr>
          <w:p>
            <w:pPr>
              <w:pStyle w:val="17"/>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形成一批较高水平的优秀调研成果</w:t>
            </w:r>
          </w:p>
        </w:tc>
        <w:tc>
          <w:tcPr>
            <w:tcW w:w="2891" w:type="dxa"/>
            <w:vAlign w:val="center"/>
          </w:tcPr>
          <w:p>
            <w:pPr>
              <w:pStyle w:val="17"/>
            </w:pPr>
            <w:r>
              <w:t>形成一批较高水平的优秀调研成果</w:t>
            </w:r>
          </w:p>
        </w:tc>
        <w:tc>
          <w:tcPr>
            <w:tcW w:w="1276" w:type="dxa"/>
            <w:vAlign w:val="center"/>
          </w:tcPr>
          <w:p>
            <w:pPr>
              <w:pStyle w:val="17"/>
            </w:pPr>
            <w:r>
              <w:t>≥70成效明显</w:t>
            </w:r>
          </w:p>
        </w:tc>
        <w:tc>
          <w:tcPr>
            <w:tcW w:w="1843" w:type="dxa"/>
            <w:vAlign w:val="center"/>
          </w:tcPr>
          <w:p>
            <w:pPr>
              <w:pStyle w:val="17"/>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工作任务完成及时率</w:t>
            </w:r>
          </w:p>
        </w:tc>
        <w:tc>
          <w:tcPr>
            <w:tcW w:w="2891" w:type="dxa"/>
            <w:vAlign w:val="center"/>
          </w:tcPr>
          <w:p>
            <w:pPr>
              <w:pStyle w:val="17"/>
            </w:pPr>
            <w:r>
              <w:t>工作任务完成及时率</w:t>
            </w:r>
          </w:p>
        </w:tc>
        <w:tc>
          <w:tcPr>
            <w:tcW w:w="1276" w:type="dxa"/>
            <w:vAlign w:val="center"/>
          </w:tcPr>
          <w:p>
            <w:pPr>
              <w:pStyle w:val="17"/>
            </w:pPr>
            <w:r>
              <w:t>≥90工作任务完成及时率</w:t>
            </w:r>
          </w:p>
        </w:tc>
        <w:tc>
          <w:tcPr>
            <w:tcW w:w="1843" w:type="dxa"/>
            <w:vAlign w:val="center"/>
          </w:tcPr>
          <w:p>
            <w:pPr>
              <w:pStyle w:val="17"/>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≥90预算控制数</w:t>
            </w:r>
          </w:p>
        </w:tc>
        <w:tc>
          <w:tcPr>
            <w:tcW w:w="1843" w:type="dxa"/>
            <w:vAlign w:val="center"/>
          </w:tcPr>
          <w:p>
            <w:pPr>
              <w:pStyle w:val="17"/>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80"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到村任职选调生在农村干事创业，农村基层党建工作水平逐步提高</w:t>
            </w:r>
          </w:p>
        </w:tc>
        <w:tc>
          <w:tcPr>
            <w:tcW w:w="2891" w:type="dxa"/>
            <w:vAlign w:val="center"/>
          </w:tcPr>
          <w:p>
            <w:pPr>
              <w:pStyle w:val="17"/>
            </w:pPr>
            <w:r>
              <w:t>到村任职选调生在农村干事创业，农村基层党建工作水平逐步提高</w:t>
            </w:r>
          </w:p>
        </w:tc>
        <w:tc>
          <w:tcPr>
            <w:tcW w:w="1276" w:type="dxa"/>
            <w:vAlign w:val="center"/>
          </w:tcPr>
          <w:p>
            <w:pPr>
              <w:pStyle w:val="17"/>
            </w:pPr>
            <w:r>
              <w:t>≥70成效明显</w:t>
            </w:r>
          </w:p>
        </w:tc>
        <w:tc>
          <w:tcPr>
            <w:tcW w:w="1843" w:type="dxa"/>
            <w:vAlign w:val="center"/>
          </w:tcPr>
          <w:p>
            <w:pPr>
              <w:pStyle w:val="17"/>
            </w:pPr>
            <w:r>
              <w:t>到村任职选调生在农村干事创业，农村基层党建工作水平逐步提高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对政策落实情况满意的到村任职选调生占应保人数之比</w:t>
            </w:r>
          </w:p>
        </w:tc>
        <w:tc>
          <w:tcPr>
            <w:tcW w:w="2891" w:type="dxa"/>
            <w:vAlign w:val="center"/>
          </w:tcPr>
          <w:p>
            <w:pPr>
              <w:pStyle w:val="17"/>
            </w:pPr>
            <w:r>
              <w:t>对政策落实情况满意的到村任职选调生占应保人数之比</w:t>
            </w:r>
          </w:p>
        </w:tc>
        <w:tc>
          <w:tcPr>
            <w:tcW w:w="1276" w:type="dxa"/>
            <w:vAlign w:val="center"/>
          </w:tcPr>
          <w:p>
            <w:pPr>
              <w:pStyle w:val="17"/>
              <w:rPr>
                <w:sz w:val="18"/>
                <w:szCs w:val="18"/>
              </w:rPr>
            </w:pPr>
            <w:r>
              <w:rPr>
                <w:sz w:val="18"/>
                <w:szCs w:val="18"/>
              </w:rPr>
              <w:t>100对政策落实情况满意的到村任职选调生占应保人数之比</w:t>
            </w:r>
          </w:p>
        </w:tc>
        <w:tc>
          <w:tcPr>
            <w:tcW w:w="1843" w:type="dxa"/>
            <w:vAlign w:val="center"/>
          </w:tcPr>
          <w:p>
            <w:pPr>
              <w:pStyle w:val="17"/>
            </w:pPr>
            <w:r>
              <w:t>对政策落实情况满意的到村任职选调生占应保人数之比</w:t>
            </w:r>
          </w:p>
        </w:tc>
      </w:tr>
    </w:tbl>
    <w:p>
      <w:pPr>
        <w:sectPr>
          <w:pgSz w:w="16840" w:h="11900" w:orient="landscape"/>
          <w:pgMar w:top="1304" w:right="1134" w:bottom="1304" w:left="1985" w:header="720" w:footer="720" w:gutter="0"/>
          <w:cols w:space="720" w:num="1"/>
        </w:sectPr>
      </w:pPr>
    </w:p>
    <w:p>
      <w:pPr>
        <w:jc w:val="center"/>
      </w:pPr>
    </w:p>
    <w:p>
      <w:pPr>
        <w:ind w:firstLine="560"/>
        <w:outlineLvl w:val="3"/>
      </w:pPr>
      <w:r>
        <w:rPr>
          <w:rFonts w:ascii="方正仿宋_GBK" w:hAnsi="方正仿宋_GBK" w:eastAsia="方正仿宋_GBK" w:cs="方正仿宋_GBK"/>
          <w:color w:val="000000"/>
          <w:sz w:val="28"/>
        </w:rPr>
        <w:t>18.下派选调生到村工作补助绩效目标表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2"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项目编码</w:t>
            </w:r>
          </w:p>
        </w:tc>
        <w:tc>
          <w:tcPr>
            <w:tcW w:w="2608" w:type="dxa"/>
            <w:gridSpan w:val="2"/>
            <w:vAlign w:val="center"/>
          </w:tcPr>
          <w:p>
            <w:pPr>
              <w:pStyle w:val="17"/>
            </w:pPr>
            <w:r>
              <w:t>13030321GZV93HM6A1HA2</w:t>
            </w:r>
          </w:p>
        </w:tc>
        <w:tc>
          <w:tcPr>
            <w:tcW w:w="1587" w:type="dxa"/>
            <w:vAlign w:val="center"/>
          </w:tcPr>
          <w:p>
            <w:pPr>
              <w:pStyle w:val="15"/>
            </w:pPr>
            <w:r>
              <w:t>项目名称</w:t>
            </w:r>
          </w:p>
        </w:tc>
        <w:tc>
          <w:tcPr>
            <w:tcW w:w="4423" w:type="dxa"/>
            <w:gridSpan w:val="3"/>
            <w:vAlign w:val="center"/>
          </w:tcPr>
          <w:p>
            <w:pPr>
              <w:pStyle w:val="17"/>
            </w:pPr>
            <w:r>
              <w:t>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10.31</w:t>
            </w:r>
          </w:p>
        </w:tc>
        <w:tc>
          <w:tcPr>
            <w:tcW w:w="1587" w:type="dxa"/>
            <w:vAlign w:val="center"/>
          </w:tcPr>
          <w:p>
            <w:pPr>
              <w:pStyle w:val="15"/>
            </w:pPr>
            <w:r>
              <w:t>其中：财政    资金</w:t>
            </w:r>
          </w:p>
        </w:tc>
        <w:tc>
          <w:tcPr>
            <w:tcW w:w="1304" w:type="dxa"/>
            <w:vAlign w:val="center"/>
          </w:tcPr>
          <w:p>
            <w:pPr>
              <w:pStyle w:val="17"/>
            </w:pPr>
            <w:r>
              <w:t>10.31</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8618" w:type="dxa"/>
            <w:gridSpan w:val="6"/>
            <w:vAlign w:val="center"/>
          </w:tcPr>
          <w:p>
            <w:pPr>
              <w:pStyle w:val="17"/>
            </w:pPr>
            <w:r>
              <w:t>发放下派选调生到村工作补助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5"/>
            </w:pPr>
            <w:r>
              <w:t>绩效目标</w:t>
            </w:r>
          </w:p>
        </w:tc>
        <w:tc>
          <w:tcPr>
            <w:tcW w:w="8618" w:type="dxa"/>
            <w:gridSpan w:val="6"/>
            <w:vAlign w:val="center"/>
          </w:tcPr>
          <w:p>
            <w:pPr>
              <w:pStyle w:val="17"/>
            </w:pPr>
            <w:r>
              <w:t>1.按时发放。及时将选聘高校毕业生到村任职中央财政补助资金发放到位。</w:t>
            </w:r>
          </w:p>
          <w:p>
            <w:pPr>
              <w:pStyle w:val="17"/>
            </w:pPr>
            <w:r>
              <w:t>2.按标准发放。严格按照有关规定标准，足额将补助发放到到村任职高校别生手中。</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7"/>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7"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保障补贴对象人数占应保人数之比</w:t>
            </w:r>
          </w:p>
        </w:tc>
        <w:tc>
          <w:tcPr>
            <w:tcW w:w="2891" w:type="dxa"/>
            <w:vAlign w:val="center"/>
          </w:tcPr>
          <w:p>
            <w:pPr>
              <w:pStyle w:val="17"/>
            </w:pPr>
            <w:r>
              <w:t>保障补贴对象人数占应保人数之比</w:t>
            </w:r>
          </w:p>
        </w:tc>
        <w:tc>
          <w:tcPr>
            <w:tcW w:w="1276" w:type="dxa"/>
            <w:vAlign w:val="center"/>
          </w:tcPr>
          <w:p>
            <w:pPr>
              <w:pStyle w:val="17"/>
            </w:pPr>
            <w:r>
              <w:t>100保障补贴对象人数占应保人数之比</w:t>
            </w:r>
          </w:p>
        </w:tc>
        <w:tc>
          <w:tcPr>
            <w:tcW w:w="1843" w:type="dxa"/>
            <w:vAlign w:val="center"/>
          </w:tcPr>
          <w:p>
            <w:pPr>
              <w:pStyle w:val="17"/>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质量指标</w:t>
            </w:r>
          </w:p>
        </w:tc>
        <w:tc>
          <w:tcPr>
            <w:tcW w:w="1332" w:type="dxa"/>
            <w:vAlign w:val="center"/>
          </w:tcPr>
          <w:p>
            <w:pPr>
              <w:pStyle w:val="17"/>
            </w:pPr>
            <w:r>
              <w:t>对各类补贴对象补贴标准按规定执行</w:t>
            </w:r>
          </w:p>
        </w:tc>
        <w:tc>
          <w:tcPr>
            <w:tcW w:w="2891" w:type="dxa"/>
            <w:vAlign w:val="center"/>
          </w:tcPr>
          <w:p>
            <w:pPr>
              <w:pStyle w:val="17"/>
            </w:pPr>
            <w:r>
              <w:t>对各类补贴对象补贴标准按规定执行</w:t>
            </w:r>
          </w:p>
        </w:tc>
        <w:tc>
          <w:tcPr>
            <w:tcW w:w="1276" w:type="dxa"/>
            <w:vAlign w:val="center"/>
          </w:tcPr>
          <w:p>
            <w:pPr>
              <w:pStyle w:val="17"/>
            </w:pPr>
            <w:r>
              <w:t>100对各类补贴对象补贴标准按规定执行</w:t>
            </w:r>
          </w:p>
        </w:tc>
        <w:tc>
          <w:tcPr>
            <w:tcW w:w="1843" w:type="dxa"/>
            <w:vAlign w:val="center"/>
          </w:tcPr>
          <w:p>
            <w:pPr>
              <w:pStyle w:val="17"/>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时效指标</w:t>
            </w:r>
          </w:p>
        </w:tc>
        <w:tc>
          <w:tcPr>
            <w:tcW w:w="1332" w:type="dxa"/>
            <w:vAlign w:val="center"/>
          </w:tcPr>
          <w:p>
            <w:pPr>
              <w:pStyle w:val="17"/>
            </w:pPr>
            <w:r>
              <w:t>工作任务完成及时率</w:t>
            </w:r>
          </w:p>
        </w:tc>
        <w:tc>
          <w:tcPr>
            <w:tcW w:w="2891" w:type="dxa"/>
            <w:vAlign w:val="center"/>
          </w:tcPr>
          <w:p>
            <w:pPr>
              <w:pStyle w:val="17"/>
            </w:pPr>
            <w:r>
              <w:t>工作任务完成及时率</w:t>
            </w:r>
          </w:p>
        </w:tc>
        <w:tc>
          <w:tcPr>
            <w:tcW w:w="1276" w:type="dxa"/>
            <w:vAlign w:val="center"/>
          </w:tcPr>
          <w:p>
            <w:pPr>
              <w:pStyle w:val="17"/>
            </w:pPr>
            <w:r>
              <w:t>≥90工作任务完成及时率</w:t>
            </w:r>
          </w:p>
        </w:tc>
        <w:tc>
          <w:tcPr>
            <w:tcW w:w="1843" w:type="dxa"/>
            <w:vAlign w:val="center"/>
          </w:tcPr>
          <w:p>
            <w:pPr>
              <w:pStyle w:val="17"/>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≥90预算控制数</w:t>
            </w:r>
          </w:p>
        </w:tc>
        <w:tc>
          <w:tcPr>
            <w:tcW w:w="1843" w:type="dxa"/>
            <w:vAlign w:val="center"/>
          </w:tcPr>
          <w:p>
            <w:pPr>
              <w:pStyle w:val="17"/>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激发到村任职高校毕业生在农村干事创业</w:t>
            </w:r>
          </w:p>
        </w:tc>
        <w:tc>
          <w:tcPr>
            <w:tcW w:w="2891" w:type="dxa"/>
            <w:vAlign w:val="center"/>
          </w:tcPr>
          <w:p>
            <w:pPr>
              <w:pStyle w:val="17"/>
            </w:pPr>
            <w:r>
              <w:t>激发到村任职高校毕业生在农村干事创业</w:t>
            </w:r>
          </w:p>
        </w:tc>
        <w:tc>
          <w:tcPr>
            <w:tcW w:w="1276" w:type="dxa"/>
            <w:vAlign w:val="center"/>
          </w:tcPr>
          <w:p>
            <w:pPr>
              <w:pStyle w:val="17"/>
            </w:pPr>
            <w:r>
              <w:t>≥90激发到村任职高校毕业生在农村干事创业</w:t>
            </w:r>
          </w:p>
        </w:tc>
        <w:tc>
          <w:tcPr>
            <w:tcW w:w="1843" w:type="dxa"/>
            <w:vAlign w:val="center"/>
          </w:tcPr>
          <w:p>
            <w:pPr>
              <w:pStyle w:val="17"/>
            </w:pPr>
            <w:r>
              <w:t>激发到村任职高校毕业生在农村干事创业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7"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对政策落实情况满意的到村任职高校毕业生占应保人数之比</w:t>
            </w:r>
          </w:p>
        </w:tc>
        <w:tc>
          <w:tcPr>
            <w:tcW w:w="2891" w:type="dxa"/>
            <w:vAlign w:val="center"/>
          </w:tcPr>
          <w:p>
            <w:pPr>
              <w:pStyle w:val="17"/>
            </w:pPr>
            <w:r>
              <w:t>对政策落实情况满意的到村任职高校毕业生占应保人数之比</w:t>
            </w:r>
          </w:p>
        </w:tc>
        <w:tc>
          <w:tcPr>
            <w:tcW w:w="1276" w:type="dxa"/>
            <w:vAlign w:val="center"/>
          </w:tcPr>
          <w:p>
            <w:pPr>
              <w:pStyle w:val="17"/>
            </w:pPr>
            <w:r>
              <w:t>100对政策落实情况满意的到村任职高校毕业生占应保人数之比</w:t>
            </w:r>
          </w:p>
        </w:tc>
        <w:tc>
          <w:tcPr>
            <w:tcW w:w="1843" w:type="dxa"/>
            <w:vAlign w:val="center"/>
          </w:tcPr>
          <w:p>
            <w:pPr>
              <w:pStyle w:val="17"/>
            </w:pPr>
            <w:r>
              <w:t>对政策落实情况满意的到村任职高校毕业生占应保人数之比</w:t>
            </w:r>
          </w:p>
        </w:tc>
      </w:tr>
    </w:tbl>
    <w:p/>
    <w:p/>
    <w:p>
      <w:pPr>
        <w:ind w:firstLine="560"/>
        <w:outlineLvl w:val="3"/>
      </w:pPr>
      <w:r>
        <w:rPr>
          <w:rFonts w:ascii="方正仿宋_GBK" w:hAnsi="方正仿宋_GBK" w:eastAsia="方正仿宋_GBK" w:cs="方正仿宋_GBK"/>
          <w:color w:val="000000"/>
          <w:sz w:val="28"/>
        </w:rPr>
        <w:t>19.综合事务经费绩效目标表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263" w:type="dxa"/>
            <w:gridSpan w:val="6"/>
            <w:tcBorders>
              <w:top w:val="single" w:color="FFFFFF" w:sz="6" w:space="0"/>
              <w:left w:val="single" w:color="FFFFFF" w:sz="6" w:space="0"/>
              <w:right w:val="single" w:color="FFFFFF" w:sz="6" w:space="0"/>
            </w:tcBorders>
            <w:vAlign w:val="center"/>
          </w:tcPr>
          <w:p>
            <w:pPr>
              <w:pStyle w:val="21"/>
            </w:pPr>
            <w:r>
              <w:t>203001中共秦皇岛市山海关区委组织部本级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项目编码</w:t>
            </w:r>
          </w:p>
        </w:tc>
        <w:tc>
          <w:tcPr>
            <w:tcW w:w="2608" w:type="dxa"/>
            <w:gridSpan w:val="2"/>
            <w:vAlign w:val="center"/>
          </w:tcPr>
          <w:p>
            <w:pPr>
              <w:pStyle w:val="17"/>
            </w:pPr>
            <w:r>
              <w:t>13030322P00400510001W</w:t>
            </w:r>
          </w:p>
        </w:tc>
        <w:tc>
          <w:tcPr>
            <w:tcW w:w="1587" w:type="dxa"/>
            <w:vAlign w:val="center"/>
          </w:tcPr>
          <w:p>
            <w:pPr>
              <w:pStyle w:val="15"/>
            </w:pPr>
            <w:r>
              <w:t>项目名称</w:t>
            </w:r>
          </w:p>
        </w:tc>
        <w:tc>
          <w:tcPr>
            <w:tcW w:w="4423" w:type="dxa"/>
            <w:gridSpan w:val="3"/>
            <w:vAlign w:val="center"/>
          </w:tcPr>
          <w:p>
            <w:pPr>
              <w:pStyle w:val="17"/>
            </w:pPr>
            <w:r>
              <w:t>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15.00</w:t>
            </w:r>
          </w:p>
        </w:tc>
        <w:tc>
          <w:tcPr>
            <w:tcW w:w="1587" w:type="dxa"/>
            <w:vAlign w:val="center"/>
          </w:tcPr>
          <w:p>
            <w:pPr>
              <w:pStyle w:val="15"/>
            </w:pPr>
            <w:r>
              <w:t>其中：财政    资金</w:t>
            </w:r>
          </w:p>
        </w:tc>
        <w:tc>
          <w:tcPr>
            <w:tcW w:w="1304" w:type="dxa"/>
            <w:vAlign w:val="center"/>
          </w:tcPr>
          <w:p>
            <w:pPr>
              <w:pStyle w:val="17"/>
            </w:pPr>
            <w:r>
              <w:t>15.00</w:t>
            </w:r>
          </w:p>
        </w:tc>
        <w:tc>
          <w:tcPr>
            <w:tcW w:w="1276" w:type="dxa"/>
            <w:vAlign w:val="center"/>
          </w:tcPr>
          <w:p>
            <w:pPr>
              <w:pStyle w:val="15"/>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8618" w:type="dxa"/>
            <w:gridSpan w:val="6"/>
            <w:vAlign w:val="center"/>
          </w:tcPr>
          <w:p>
            <w:pPr>
              <w:pStyle w:val="17"/>
            </w:pPr>
            <w:r>
              <w:t>保障机关办公正常运转等项综合事务经费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5"/>
            </w:pPr>
            <w:r>
              <w:t>绩效目标</w:t>
            </w:r>
          </w:p>
        </w:tc>
        <w:tc>
          <w:tcPr>
            <w:tcW w:w="8618" w:type="dxa"/>
            <w:gridSpan w:val="6"/>
            <w:vAlign w:val="center"/>
          </w:tcPr>
          <w:p>
            <w:pPr>
              <w:pStyle w:val="17"/>
            </w:pPr>
            <w:r>
              <w:t>1.组织、指导、协调全区组织系统互联网宣传工作</w:t>
            </w:r>
          </w:p>
          <w:p>
            <w:pPr>
              <w:pStyle w:val="17"/>
            </w:pPr>
            <w:r>
              <w:t>2.保障机关办公正常运转</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8"/>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88"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工作完成率</w:t>
            </w:r>
          </w:p>
        </w:tc>
        <w:tc>
          <w:tcPr>
            <w:tcW w:w="2891" w:type="dxa"/>
            <w:vAlign w:val="center"/>
          </w:tcPr>
          <w:p>
            <w:pPr>
              <w:pStyle w:val="17"/>
            </w:pPr>
            <w:r>
              <w:t>圆满完成全年工作任务</w:t>
            </w:r>
          </w:p>
        </w:tc>
        <w:tc>
          <w:tcPr>
            <w:tcW w:w="1276" w:type="dxa"/>
            <w:vAlign w:val="center"/>
          </w:tcPr>
          <w:p>
            <w:pPr>
              <w:pStyle w:val="17"/>
            </w:pPr>
            <w:r>
              <w:t>≥90圆满完成全年工作任务</w:t>
            </w:r>
          </w:p>
        </w:tc>
        <w:tc>
          <w:tcPr>
            <w:tcW w:w="1843" w:type="dxa"/>
            <w:vAlign w:val="center"/>
          </w:tcPr>
          <w:p>
            <w:pPr>
              <w:pStyle w:val="17"/>
            </w:pPr>
            <w:r>
              <w:t>圆满完成全年工作任务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质量指标</w:t>
            </w:r>
          </w:p>
        </w:tc>
        <w:tc>
          <w:tcPr>
            <w:tcW w:w="1332" w:type="dxa"/>
            <w:vAlign w:val="center"/>
          </w:tcPr>
          <w:p>
            <w:pPr>
              <w:pStyle w:val="17"/>
            </w:pPr>
            <w:r>
              <w:t>高质高效完成年度各项工作</w:t>
            </w:r>
          </w:p>
        </w:tc>
        <w:tc>
          <w:tcPr>
            <w:tcW w:w="2891" w:type="dxa"/>
            <w:vAlign w:val="center"/>
          </w:tcPr>
          <w:p>
            <w:pPr>
              <w:pStyle w:val="17"/>
            </w:pPr>
            <w:r>
              <w:t>高质高效完成年度各项工作</w:t>
            </w:r>
          </w:p>
        </w:tc>
        <w:tc>
          <w:tcPr>
            <w:tcW w:w="1276" w:type="dxa"/>
            <w:vAlign w:val="center"/>
          </w:tcPr>
          <w:p>
            <w:pPr>
              <w:pStyle w:val="17"/>
            </w:pPr>
            <w:r>
              <w:t>≥90高质高效完成年度各项工作</w:t>
            </w:r>
          </w:p>
        </w:tc>
        <w:tc>
          <w:tcPr>
            <w:tcW w:w="1843" w:type="dxa"/>
            <w:vAlign w:val="center"/>
          </w:tcPr>
          <w:p>
            <w:pPr>
              <w:pStyle w:val="17"/>
            </w:pPr>
            <w:r>
              <w:t>高质高效完成年度各项工作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时效指标</w:t>
            </w:r>
          </w:p>
        </w:tc>
        <w:tc>
          <w:tcPr>
            <w:tcW w:w="1332" w:type="dxa"/>
            <w:vAlign w:val="center"/>
          </w:tcPr>
          <w:p>
            <w:pPr>
              <w:pStyle w:val="17"/>
            </w:pPr>
            <w:r>
              <w:t>按时完成率</w:t>
            </w:r>
          </w:p>
        </w:tc>
        <w:tc>
          <w:tcPr>
            <w:tcW w:w="2891" w:type="dxa"/>
            <w:vAlign w:val="center"/>
          </w:tcPr>
          <w:p>
            <w:pPr>
              <w:pStyle w:val="17"/>
            </w:pPr>
            <w:r>
              <w:t>按时完成工作计划</w:t>
            </w:r>
          </w:p>
        </w:tc>
        <w:tc>
          <w:tcPr>
            <w:tcW w:w="1276" w:type="dxa"/>
            <w:vAlign w:val="center"/>
          </w:tcPr>
          <w:p>
            <w:pPr>
              <w:pStyle w:val="17"/>
            </w:pPr>
            <w:r>
              <w:t>≥90按时完成工作计划</w:t>
            </w:r>
          </w:p>
        </w:tc>
        <w:tc>
          <w:tcPr>
            <w:tcW w:w="1843" w:type="dxa"/>
            <w:vAlign w:val="center"/>
          </w:tcPr>
          <w:p>
            <w:pPr>
              <w:pStyle w:val="17"/>
            </w:pPr>
            <w:r>
              <w:t>基本保障日常工作运转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Merge w:val="continue"/>
            <w:vAlign w:val="center"/>
          </w:tcPr>
          <w:p/>
        </w:tc>
        <w:tc>
          <w:tcPr>
            <w:tcW w:w="1276" w:type="dxa"/>
            <w:vAlign w:val="center"/>
          </w:tcPr>
          <w:p>
            <w:pPr>
              <w:pStyle w:val="17"/>
            </w:pPr>
            <w:r>
              <w:t>成本指标</w:t>
            </w:r>
          </w:p>
        </w:tc>
        <w:tc>
          <w:tcPr>
            <w:tcW w:w="1332" w:type="dxa"/>
            <w:vAlign w:val="center"/>
          </w:tcPr>
          <w:p>
            <w:pPr>
              <w:pStyle w:val="17"/>
            </w:pPr>
            <w:r>
              <w:t>保障日常运转率</w:t>
            </w:r>
          </w:p>
        </w:tc>
        <w:tc>
          <w:tcPr>
            <w:tcW w:w="2891" w:type="dxa"/>
            <w:vAlign w:val="center"/>
          </w:tcPr>
          <w:p>
            <w:pPr>
              <w:pStyle w:val="17"/>
            </w:pPr>
            <w:r>
              <w:t>基本保障日常工作运转</w:t>
            </w:r>
          </w:p>
        </w:tc>
        <w:tc>
          <w:tcPr>
            <w:tcW w:w="1276" w:type="dxa"/>
            <w:vAlign w:val="center"/>
          </w:tcPr>
          <w:p>
            <w:pPr>
              <w:pStyle w:val="17"/>
            </w:pPr>
            <w:r>
              <w:t>≥90基本保障日常工作运转</w:t>
            </w:r>
          </w:p>
        </w:tc>
        <w:tc>
          <w:tcPr>
            <w:tcW w:w="1843" w:type="dxa"/>
            <w:vAlign w:val="center"/>
          </w:tcPr>
          <w:p>
            <w:pPr>
              <w:pStyle w:val="17"/>
            </w:pPr>
            <w:r>
              <w:t>基本保障日常工作运转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8"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完成机关自身建设任务</w:t>
            </w:r>
          </w:p>
        </w:tc>
        <w:tc>
          <w:tcPr>
            <w:tcW w:w="2891" w:type="dxa"/>
            <w:vAlign w:val="center"/>
          </w:tcPr>
          <w:p>
            <w:pPr>
              <w:pStyle w:val="17"/>
            </w:pPr>
            <w:r>
              <w:t>机关自身建设任务完成率</w:t>
            </w:r>
          </w:p>
        </w:tc>
        <w:tc>
          <w:tcPr>
            <w:tcW w:w="1276" w:type="dxa"/>
            <w:vAlign w:val="center"/>
          </w:tcPr>
          <w:p>
            <w:pPr>
              <w:pStyle w:val="17"/>
            </w:pPr>
            <w:r>
              <w:t>≥90机关自身建设任务完成率</w:t>
            </w:r>
          </w:p>
        </w:tc>
        <w:tc>
          <w:tcPr>
            <w:tcW w:w="1843" w:type="dxa"/>
            <w:vAlign w:val="center"/>
          </w:tcPr>
          <w:p>
            <w:pPr>
              <w:pStyle w:val="17"/>
            </w:pPr>
            <w:r>
              <w:t>机关自身建设任务完成率</w:t>
            </w:r>
          </w:p>
        </w:tc>
      </w:tr>
    </w:tbl>
    <w:p/>
    <w:p>
      <w:pPr>
        <w:sectPr>
          <w:pgSz w:w="16840" w:h="11900" w:orient="landscape"/>
          <w:pgMar w:top="1304" w:right="1134" w:bottom="1304" w:left="1985" w:header="720" w:footer="720" w:gutter="0"/>
          <w:cols w:space="720" w:num="1"/>
        </w:sectPr>
      </w:pPr>
    </w:p>
    <w:p>
      <w:pPr>
        <w:jc w:val="center"/>
      </w:pPr>
    </w:p>
    <w:bookmarkEnd w:id="5"/>
    <w:p>
      <w:pPr>
        <w:ind w:firstLine="640" w:firstLineChars="200"/>
        <w:rPr>
          <w:rFonts w:ascii="黑体" w:hAnsi="黑体" w:eastAsia="黑体"/>
          <w:color w:val="000000"/>
          <w:sz w:val="32"/>
        </w:rPr>
      </w:pPr>
      <w:r>
        <w:rPr>
          <w:rFonts w:ascii="黑体" w:hAnsi="黑体" w:eastAsia="黑体"/>
          <w:color w:val="000000"/>
          <w:sz w:val="32"/>
        </w:rPr>
        <w:t>六、政府采购预算情况</w:t>
      </w:r>
    </w:p>
    <w:p>
      <w:pPr>
        <w:ind w:firstLine="640"/>
        <w:rPr>
          <w:rFonts w:ascii="仿宋_GB2312" w:eastAsia="仿宋_GB2312"/>
          <w:sz w:val="32"/>
          <w:szCs w:val="32"/>
        </w:rPr>
      </w:pPr>
      <w:r>
        <w:rPr>
          <w:rFonts w:hint="eastAsia" w:ascii="仿宋_GB2312" w:eastAsia="仿宋_GB2312"/>
          <w:sz w:val="32"/>
          <w:szCs w:val="32"/>
        </w:rPr>
        <w:t>2022年，我单位安排政府采购预算具体内容见下表。</w:t>
      </w:r>
    </w:p>
    <w:p>
      <w:pPr>
        <w:jc w:val="center"/>
        <w:outlineLvl w:val="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单位政府采购预算</w:t>
      </w:r>
    </w:p>
    <w:tbl>
      <w:tblPr>
        <w:tblStyle w:val="8"/>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vAlign w:val="center"/>
          </w:tcPr>
          <w:p>
            <w:pPr>
              <w:spacing w:line="300" w:lineRule="exact"/>
              <w:rPr>
                <w:rFonts w:ascii="仿宋" w:hAnsi="仿宋" w:eastAsia="仿宋" w:cs="仿宋"/>
              </w:rPr>
            </w:pPr>
            <w:r>
              <w:t>203001</w:t>
            </w:r>
            <w:r>
              <w:rPr>
                <w:rFonts w:hint="eastAsia" w:ascii="宋体" w:hAnsi="宋体" w:eastAsia="宋体" w:cs="宋体"/>
              </w:rPr>
              <w:t>中共秦皇岛市山海关区委组织部本级</w:t>
            </w:r>
          </w:p>
        </w:tc>
        <w:tc>
          <w:tcPr>
            <w:tcW w:w="6942" w:type="dxa"/>
            <w:gridSpan w:val="7"/>
            <w:tcBorders>
              <w:top w:val="single" w:color="FFFFFF" w:sz="6" w:space="0"/>
              <w:left w:val="single" w:color="FFFFFF" w:sz="6" w:space="0"/>
              <w:right w:val="single" w:color="FFFFFF" w:sz="6" w:space="0"/>
            </w:tcBorders>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政府采购项目来源</w:t>
            </w:r>
          </w:p>
        </w:tc>
        <w:tc>
          <w:tcPr>
            <w:tcW w:w="1018"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采购物品名称</w:t>
            </w:r>
          </w:p>
        </w:tc>
        <w:tc>
          <w:tcPr>
            <w:tcW w:w="1112"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政府采购目录序号</w:t>
            </w:r>
          </w:p>
        </w:tc>
        <w:tc>
          <w:tcPr>
            <w:tcW w:w="1017"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数量  单位</w:t>
            </w:r>
          </w:p>
        </w:tc>
        <w:tc>
          <w:tcPr>
            <w:tcW w:w="615"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数量</w:t>
            </w:r>
          </w:p>
        </w:tc>
        <w:tc>
          <w:tcPr>
            <w:tcW w:w="1047"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单价</w:t>
            </w:r>
          </w:p>
        </w:tc>
        <w:tc>
          <w:tcPr>
            <w:tcW w:w="6942" w:type="dxa"/>
            <w:gridSpan w:val="7"/>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项目名称</w:t>
            </w:r>
          </w:p>
        </w:tc>
        <w:tc>
          <w:tcPr>
            <w:tcW w:w="897"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预算资金</w:t>
            </w:r>
          </w:p>
        </w:tc>
        <w:tc>
          <w:tcPr>
            <w:tcW w:w="1018" w:type="dxa"/>
            <w:vMerge w:val="continue"/>
            <w:vAlign w:val="center"/>
          </w:tcPr>
          <w:p>
            <w:pPr>
              <w:spacing w:line="300" w:lineRule="exact"/>
              <w:outlineLvl w:val="0"/>
              <w:rPr>
                <w:rFonts w:ascii="仿宋_GB2312" w:hAnsi="仿宋" w:eastAsia="仿宋_GB2312" w:cs="仿宋"/>
              </w:rPr>
            </w:pPr>
          </w:p>
        </w:tc>
        <w:tc>
          <w:tcPr>
            <w:tcW w:w="1112" w:type="dxa"/>
            <w:vMerge w:val="continue"/>
            <w:vAlign w:val="center"/>
          </w:tcPr>
          <w:p>
            <w:pPr>
              <w:spacing w:line="300" w:lineRule="exact"/>
              <w:outlineLvl w:val="0"/>
              <w:rPr>
                <w:rFonts w:ascii="仿宋_GB2312" w:hAnsi="仿宋" w:eastAsia="仿宋_GB2312" w:cs="仿宋"/>
              </w:rPr>
            </w:pPr>
          </w:p>
        </w:tc>
        <w:tc>
          <w:tcPr>
            <w:tcW w:w="1017" w:type="dxa"/>
            <w:vMerge w:val="continue"/>
            <w:vAlign w:val="center"/>
          </w:tcPr>
          <w:p>
            <w:pPr>
              <w:spacing w:line="300" w:lineRule="exact"/>
              <w:outlineLvl w:val="0"/>
              <w:rPr>
                <w:rFonts w:ascii="仿宋_GB2312" w:hAnsi="仿宋" w:eastAsia="仿宋_GB2312" w:cs="仿宋"/>
              </w:rPr>
            </w:pPr>
          </w:p>
        </w:tc>
        <w:tc>
          <w:tcPr>
            <w:tcW w:w="615" w:type="dxa"/>
            <w:vMerge w:val="continue"/>
            <w:vAlign w:val="center"/>
          </w:tcPr>
          <w:p>
            <w:pPr>
              <w:spacing w:line="300" w:lineRule="exact"/>
              <w:outlineLvl w:val="0"/>
              <w:rPr>
                <w:rFonts w:ascii="仿宋_GB2312" w:hAnsi="仿宋" w:eastAsia="仿宋_GB2312" w:cs="仿宋"/>
              </w:rPr>
            </w:pPr>
          </w:p>
        </w:tc>
        <w:tc>
          <w:tcPr>
            <w:tcW w:w="1047" w:type="dxa"/>
            <w:vMerge w:val="continue"/>
            <w:vAlign w:val="center"/>
          </w:tcPr>
          <w:p>
            <w:pPr>
              <w:spacing w:line="300" w:lineRule="exact"/>
              <w:outlineLvl w:val="0"/>
              <w:rPr>
                <w:rFonts w:ascii="仿宋_GB2312" w:hAnsi="仿宋" w:eastAsia="仿宋_GB2312" w:cs="仿宋"/>
              </w:rPr>
            </w:pPr>
          </w:p>
        </w:tc>
        <w:tc>
          <w:tcPr>
            <w:tcW w:w="898"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总计</w:t>
            </w:r>
          </w:p>
        </w:tc>
        <w:tc>
          <w:tcPr>
            <w:tcW w:w="5085" w:type="dxa"/>
            <w:gridSpan w:val="5"/>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当年中共秦皇岛市山海关区委组织部本级预算安排资金</w:t>
            </w:r>
          </w:p>
        </w:tc>
        <w:tc>
          <w:tcPr>
            <w:tcW w:w="959" w:type="dxa"/>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vAlign w:val="center"/>
          </w:tcPr>
          <w:p>
            <w:pPr>
              <w:spacing w:line="300" w:lineRule="exact"/>
              <w:outlineLvl w:val="0"/>
              <w:rPr>
                <w:rFonts w:ascii="仿宋_GB2312" w:hAnsi="仿宋" w:eastAsia="仿宋_GB2312" w:cs="仿宋"/>
              </w:rPr>
            </w:pPr>
          </w:p>
        </w:tc>
        <w:tc>
          <w:tcPr>
            <w:tcW w:w="897" w:type="dxa"/>
            <w:vMerge w:val="continue"/>
            <w:vAlign w:val="center"/>
          </w:tcPr>
          <w:p>
            <w:pPr>
              <w:spacing w:line="300" w:lineRule="exact"/>
              <w:outlineLvl w:val="0"/>
              <w:rPr>
                <w:rFonts w:ascii="仿宋_GB2312" w:hAnsi="仿宋" w:eastAsia="仿宋_GB2312" w:cs="仿宋"/>
              </w:rPr>
            </w:pPr>
          </w:p>
        </w:tc>
        <w:tc>
          <w:tcPr>
            <w:tcW w:w="1018" w:type="dxa"/>
            <w:vMerge w:val="continue"/>
            <w:vAlign w:val="center"/>
          </w:tcPr>
          <w:p>
            <w:pPr>
              <w:spacing w:line="300" w:lineRule="exact"/>
              <w:outlineLvl w:val="0"/>
              <w:rPr>
                <w:rFonts w:ascii="仿宋_GB2312" w:hAnsi="仿宋" w:eastAsia="仿宋_GB2312" w:cs="仿宋"/>
              </w:rPr>
            </w:pPr>
          </w:p>
        </w:tc>
        <w:tc>
          <w:tcPr>
            <w:tcW w:w="1112" w:type="dxa"/>
            <w:vMerge w:val="continue"/>
            <w:vAlign w:val="center"/>
          </w:tcPr>
          <w:p>
            <w:pPr>
              <w:spacing w:line="300" w:lineRule="exact"/>
              <w:outlineLvl w:val="0"/>
              <w:rPr>
                <w:rFonts w:ascii="仿宋_GB2312" w:hAnsi="仿宋" w:eastAsia="仿宋_GB2312" w:cs="仿宋"/>
              </w:rPr>
            </w:pPr>
          </w:p>
        </w:tc>
        <w:tc>
          <w:tcPr>
            <w:tcW w:w="1017" w:type="dxa"/>
            <w:vMerge w:val="continue"/>
            <w:vAlign w:val="center"/>
          </w:tcPr>
          <w:p>
            <w:pPr>
              <w:spacing w:line="300" w:lineRule="exact"/>
              <w:outlineLvl w:val="0"/>
              <w:rPr>
                <w:rFonts w:ascii="仿宋_GB2312" w:hAnsi="仿宋" w:eastAsia="仿宋_GB2312" w:cs="仿宋"/>
              </w:rPr>
            </w:pPr>
          </w:p>
        </w:tc>
        <w:tc>
          <w:tcPr>
            <w:tcW w:w="615" w:type="dxa"/>
            <w:vMerge w:val="continue"/>
            <w:vAlign w:val="center"/>
          </w:tcPr>
          <w:p>
            <w:pPr>
              <w:spacing w:line="300" w:lineRule="exact"/>
              <w:outlineLvl w:val="0"/>
              <w:rPr>
                <w:rFonts w:ascii="仿宋_GB2312" w:hAnsi="仿宋" w:eastAsia="仿宋_GB2312" w:cs="仿宋"/>
              </w:rPr>
            </w:pPr>
          </w:p>
        </w:tc>
        <w:tc>
          <w:tcPr>
            <w:tcW w:w="1047" w:type="dxa"/>
            <w:vMerge w:val="continue"/>
            <w:vAlign w:val="center"/>
          </w:tcPr>
          <w:p>
            <w:pPr>
              <w:spacing w:line="300" w:lineRule="exact"/>
              <w:outlineLvl w:val="0"/>
              <w:rPr>
                <w:rFonts w:ascii="仿宋_GB2312" w:hAnsi="仿宋" w:eastAsia="仿宋_GB2312" w:cs="仿宋"/>
              </w:rPr>
            </w:pPr>
          </w:p>
        </w:tc>
        <w:tc>
          <w:tcPr>
            <w:tcW w:w="898" w:type="dxa"/>
            <w:vMerge w:val="continue"/>
            <w:vAlign w:val="center"/>
          </w:tcPr>
          <w:p>
            <w:pPr>
              <w:spacing w:line="300" w:lineRule="exact"/>
              <w:outlineLvl w:val="0"/>
              <w:rPr>
                <w:rFonts w:ascii="仿宋_GB2312" w:hAnsi="仿宋" w:eastAsia="仿宋_GB2312" w:cs="仿宋"/>
              </w:rPr>
            </w:pPr>
          </w:p>
        </w:tc>
        <w:tc>
          <w:tcPr>
            <w:tcW w:w="1017" w:type="dxa"/>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合计</w:t>
            </w:r>
          </w:p>
        </w:tc>
        <w:tc>
          <w:tcPr>
            <w:tcW w:w="1017" w:type="dxa"/>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一般公共预算拨款</w:t>
            </w:r>
          </w:p>
        </w:tc>
        <w:tc>
          <w:tcPr>
            <w:tcW w:w="1017" w:type="dxa"/>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基金预算拨款</w:t>
            </w:r>
          </w:p>
        </w:tc>
        <w:tc>
          <w:tcPr>
            <w:tcW w:w="1017" w:type="dxa"/>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财政专户核拨</w:t>
            </w:r>
          </w:p>
        </w:tc>
        <w:tc>
          <w:tcPr>
            <w:tcW w:w="1017" w:type="dxa"/>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其他来源收入</w:t>
            </w:r>
          </w:p>
        </w:tc>
        <w:tc>
          <w:tcPr>
            <w:tcW w:w="959" w:type="dxa"/>
            <w:vMerge w:val="continue"/>
            <w:vAlign w:val="center"/>
          </w:tcPr>
          <w:p>
            <w:pPr>
              <w:spacing w:line="300" w:lineRule="exact"/>
              <w:outlineLvl w:val="0"/>
              <w:rPr>
                <w:rFonts w:ascii="仿宋_GB2312" w:hAnsi="仿宋" w:eastAsia="仿宋_GB2312"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vAlign w:val="center"/>
          </w:tcPr>
          <w:p>
            <w:pPr>
              <w:spacing w:line="300" w:lineRule="exact"/>
              <w:jc w:val="center"/>
              <w:rPr>
                <w:rFonts w:ascii="仿宋_GB2312" w:hAnsi="仿宋" w:eastAsia="仿宋_GB2312" w:cs="仿宋"/>
                <w:b/>
              </w:rPr>
            </w:pPr>
          </w:p>
        </w:tc>
        <w:tc>
          <w:tcPr>
            <w:tcW w:w="897" w:type="dxa"/>
            <w:vAlign w:val="center"/>
          </w:tcPr>
          <w:p>
            <w:pPr>
              <w:spacing w:line="300" w:lineRule="exact"/>
              <w:jc w:val="right"/>
              <w:rPr>
                <w:rFonts w:ascii="仿宋_GB2312" w:hAnsi="仿宋" w:eastAsia="仿宋_GB2312" w:cs="仿宋"/>
                <w:b/>
              </w:rPr>
            </w:pPr>
          </w:p>
        </w:tc>
        <w:tc>
          <w:tcPr>
            <w:tcW w:w="1018" w:type="dxa"/>
            <w:vAlign w:val="center"/>
          </w:tcPr>
          <w:p>
            <w:pPr>
              <w:spacing w:line="300" w:lineRule="exact"/>
              <w:rPr>
                <w:rFonts w:ascii="仿宋_GB2312" w:hAnsi="仿宋" w:eastAsia="仿宋_GB2312" w:cs="仿宋"/>
                <w:b/>
              </w:rPr>
            </w:pPr>
          </w:p>
        </w:tc>
        <w:tc>
          <w:tcPr>
            <w:tcW w:w="1112" w:type="dxa"/>
            <w:vAlign w:val="center"/>
          </w:tcPr>
          <w:p>
            <w:pPr>
              <w:spacing w:line="300" w:lineRule="exact"/>
              <w:rPr>
                <w:rFonts w:ascii="仿宋_GB2312" w:hAnsi="仿宋" w:eastAsia="仿宋_GB2312" w:cs="仿宋"/>
                <w:b/>
              </w:rPr>
            </w:pPr>
          </w:p>
        </w:tc>
        <w:tc>
          <w:tcPr>
            <w:tcW w:w="1017" w:type="dxa"/>
            <w:vAlign w:val="center"/>
          </w:tcPr>
          <w:p>
            <w:pPr>
              <w:spacing w:line="300" w:lineRule="exact"/>
              <w:rPr>
                <w:rFonts w:ascii="仿宋_GB2312" w:hAnsi="仿宋" w:eastAsia="仿宋_GB2312" w:cs="仿宋"/>
                <w:b/>
              </w:rPr>
            </w:pPr>
          </w:p>
        </w:tc>
        <w:tc>
          <w:tcPr>
            <w:tcW w:w="615" w:type="dxa"/>
            <w:vAlign w:val="center"/>
          </w:tcPr>
          <w:p>
            <w:pPr>
              <w:spacing w:line="300" w:lineRule="exact"/>
              <w:jc w:val="right"/>
              <w:rPr>
                <w:rFonts w:ascii="仿宋_GB2312" w:hAnsi="仿宋" w:eastAsia="仿宋_GB2312" w:cs="仿宋"/>
                <w:b/>
              </w:rPr>
            </w:pPr>
          </w:p>
        </w:tc>
        <w:tc>
          <w:tcPr>
            <w:tcW w:w="1047" w:type="dxa"/>
            <w:vAlign w:val="center"/>
          </w:tcPr>
          <w:p>
            <w:pPr>
              <w:spacing w:line="300" w:lineRule="exact"/>
              <w:jc w:val="right"/>
              <w:rPr>
                <w:rFonts w:ascii="仿宋_GB2312" w:hAnsi="仿宋" w:eastAsia="仿宋_GB2312" w:cs="仿宋"/>
                <w:b/>
              </w:rPr>
            </w:pPr>
          </w:p>
        </w:tc>
        <w:tc>
          <w:tcPr>
            <w:tcW w:w="898" w:type="dxa"/>
            <w:vAlign w:val="center"/>
          </w:tcPr>
          <w:p>
            <w:pPr>
              <w:spacing w:line="300" w:lineRule="exact"/>
              <w:jc w:val="right"/>
              <w:rPr>
                <w:rFonts w:ascii="仿宋_GB2312" w:hAnsi="仿宋" w:eastAsia="仿宋_GB2312" w:cs="仿宋"/>
                <w:b/>
              </w:rPr>
            </w:pPr>
          </w:p>
        </w:tc>
        <w:tc>
          <w:tcPr>
            <w:tcW w:w="1017" w:type="dxa"/>
            <w:vAlign w:val="center"/>
          </w:tcPr>
          <w:p>
            <w:pPr>
              <w:spacing w:line="300" w:lineRule="exact"/>
              <w:jc w:val="right"/>
              <w:rPr>
                <w:rFonts w:ascii="仿宋_GB2312" w:hAnsi="仿宋" w:eastAsia="仿宋_GB2312" w:cs="仿宋"/>
                <w:b/>
              </w:rPr>
            </w:pPr>
          </w:p>
        </w:tc>
        <w:tc>
          <w:tcPr>
            <w:tcW w:w="1017" w:type="dxa"/>
            <w:vAlign w:val="center"/>
          </w:tcPr>
          <w:p>
            <w:pPr>
              <w:spacing w:line="300" w:lineRule="exact"/>
              <w:jc w:val="right"/>
              <w:rPr>
                <w:rFonts w:ascii="仿宋_GB2312" w:hAnsi="仿宋" w:eastAsia="仿宋_GB2312" w:cs="仿宋"/>
                <w:b/>
              </w:rPr>
            </w:pPr>
          </w:p>
        </w:tc>
        <w:tc>
          <w:tcPr>
            <w:tcW w:w="1017" w:type="dxa"/>
            <w:vAlign w:val="center"/>
          </w:tcPr>
          <w:p>
            <w:pPr>
              <w:spacing w:line="300" w:lineRule="exact"/>
              <w:jc w:val="right"/>
              <w:rPr>
                <w:rFonts w:ascii="仿宋_GB2312" w:hAnsi="仿宋" w:eastAsia="仿宋_GB2312" w:cs="仿宋"/>
                <w:b/>
              </w:rPr>
            </w:pPr>
          </w:p>
        </w:tc>
        <w:tc>
          <w:tcPr>
            <w:tcW w:w="1017" w:type="dxa"/>
            <w:vAlign w:val="center"/>
          </w:tcPr>
          <w:p>
            <w:pPr>
              <w:spacing w:line="300" w:lineRule="exact"/>
              <w:jc w:val="right"/>
              <w:rPr>
                <w:rFonts w:ascii="仿宋_GB2312" w:hAnsi="仿宋" w:eastAsia="仿宋_GB2312" w:cs="仿宋"/>
                <w:b/>
              </w:rPr>
            </w:pPr>
          </w:p>
        </w:tc>
        <w:tc>
          <w:tcPr>
            <w:tcW w:w="1017" w:type="dxa"/>
            <w:vAlign w:val="center"/>
          </w:tcPr>
          <w:p>
            <w:pPr>
              <w:spacing w:line="300" w:lineRule="exact"/>
              <w:jc w:val="right"/>
              <w:rPr>
                <w:rFonts w:ascii="仿宋_GB2312" w:hAnsi="仿宋" w:eastAsia="仿宋_GB2312" w:cs="仿宋"/>
                <w:b/>
              </w:rPr>
            </w:pPr>
          </w:p>
        </w:tc>
        <w:tc>
          <w:tcPr>
            <w:tcW w:w="959" w:type="dxa"/>
            <w:vAlign w:val="center"/>
          </w:tcPr>
          <w:p>
            <w:pPr>
              <w:spacing w:line="300" w:lineRule="exact"/>
              <w:jc w:val="right"/>
              <w:rPr>
                <w:rFonts w:ascii="仿宋_GB2312" w:hAnsi="仿宋" w:eastAsia="仿宋_GB2312"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vAlign w:val="center"/>
          </w:tcPr>
          <w:p>
            <w:pPr>
              <w:spacing w:line="300" w:lineRule="exact"/>
              <w:rPr>
                <w:rFonts w:ascii="仿宋" w:hAnsi="仿宋" w:eastAsia="仿宋" w:cs="仿宋"/>
              </w:rPr>
            </w:pPr>
          </w:p>
        </w:tc>
        <w:tc>
          <w:tcPr>
            <w:tcW w:w="897" w:type="dxa"/>
            <w:vAlign w:val="center"/>
          </w:tcPr>
          <w:p>
            <w:pPr>
              <w:spacing w:line="300" w:lineRule="exact"/>
              <w:jc w:val="right"/>
              <w:rPr>
                <w:rFonts w:ascii="仿宋" w:hAnsi="仿宋" w:eastAsia="仿宋" w:cs="仿宋"/>
              </w:rPr>
            </w:pPr>
          </w:p>
        </w:tc>
        <w:tc>
          <w:tcPr>
            <w:tcW w:w="1018" w:type="dxa"/>
            <w:vAlign w:val="center"/>
          </w:tcPr>
          <w:p>
            <w:pPr>
              <w:spacing w:line="300" w:lineRule="exact"/>
              <w:rPr>
                <w:rFonts w:ascii="仿宋" w:hAnsi="仿宋" w:eastAsia="仿宋" w:cs="仿宋"/>
              </w:rPr>
            </w:pPr>
          </w:p>
        </w:tc>
        <w:tc>
          <w:tcPr>
            <w:tcW w:w="1112" w:type="dxa"/>
            <w:vAlign w:val="center"/>
          </w:tcPr>
          <w:p>
            <w:pPr>
              <w:spacing w:line="300" w:lineRule="exact"/>
              <w:rPr>
                <w:rFonts w:ascii="仿宋" w:hAnsi="仿宋" w:eastAsia="仿宋" w:cs="仿宋"/>
              </w:rPr>
            </w:pPr>
          </w:p>
        </w:tc>
        <w:tc>
          <w:tcPr>
            <w:tcW w:w="1017" w:type="dxa"/>
            <w:vAlign w:val="center"/>
          </w:tcPr>
          <w:p>
            <w:pPr>
              <w:spacing w:line="300" w:lineRule="exact"/>
              <w:rPr>
                <w:rFonts w:ascii="仿宋" w:hAnsi="仿宋" w:eastAsia="仿宋" w:cs="仿宋"/>
              </w:rPr>
            </w:pPr>
          </w:p>
        </w:tc>
        <w:tc>
          <w:tcPr>
            <w:tcW w:w="615" w:type="dxa"/>
            <w:vAlign w:val="center"/>
          </w:tcPr>
          <w:p>
            <w:pPr>
              <w:spacing w:line="300" w:lineRule="exact"/>
              <w:jc w:val="right"/>
              <w:rPr>
                <w:rFonts w:ascii="仿宋" w:hAnsi="仿宋" w:eastAsia="仿宋" w:cs="仿宋"/>
              </w:rPr>
            </w:pPr>
          </w:p>
        </w:tc>
        <w:tc>
          <w:tcPr>
            <w:tcW w:w="1047" w:type="dxa"/>
            <w:vAlign w:val="center"/>
          </w:tcPr>
          <w:p>
            <w:pPr>
              <w:spacing w:line="300" w:lineRule="exact"/>
              <w:jc w:val="right"/>
              <w:rPr>
                <w:rFonts w:ascii="仿宋" w:hAnsi="仿宋" w:eastAsia="仿宋" w:cs="仿宋"/>
              </w:rPr>
            </w:pPr>
          </w:p>
        </w:tc>
        <w:tc>
          <w:tcPr>
            <w:tcW w:w="898"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959" w:type="dxa"/>
            <w:vAlign w:val="center"/>
          </w:tcPr>
          <w:p>
            <w:pPr>
              <w:spacing w:line="300" w:lineRule="exact"/>
              <w:jc w:val="righ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vAlign w:val="center"/>
          </w:tcPr>
          <w:p>
            <w:pPr>
              <w:spacing w:line="300" w:lineRule="exact"/>
              <w:rPr>
                <w:rFonts w:ascii="仿宋" w:hAnsi="仿宋" w:eastAsia="仿宋" w:cs="仿宋"/>
              </w:rPr>
            </w:pPr>
          </w:p>
        </w:tc>
        <w:tc>
          <w:tcPr>
            <w:tcW w:w="897" w:type="dxa"/>
            <w:vAlign w:val="center"/>
          </w:tcPr>
          <w:p>
            <w:pPr>
              <w:spacing w:line="300" w:lineRule="exact"/>
              <w:jc w:val="right"/>
              <w:rPr>
                <w:rFonts w:ascii="仿宋" w:hAnsi="仿宋" w:eastAsia="仿宋" w:cs="仿宋"/>
              </w:rPr>
            </w:pPr>
          </w:p>
        </w:tc>
        <w:tc>
          <w:tcPr>
            <w:tcW w:w="1018" w:type="dxa"/>
            <w:vAlign w:val="center"/>
          </w:tcPr>
          <w:p>
            <w:pPr>
              <w:spacing w:line="300" w:lineRule="exact"/>
              <w:rPr>
                <w:rFonts w:ascii="仿宋" w:hAnsi="仿宋" w:eastAsia="仿宋" w:cs="仿宋"/>
              </w:rPr>
            </w:pPr>
          </w:p>
        </w:tc>
        <w:tc>
          <w:tcPr>
            <w:tcW w:w="1112" w:type="dxa"/>
            <w:vAlign w:val="center"/>
          </w:tcPr>
          <w:p>
            <w:pPr>
              <w:spacing w:line="300" w:lineRule="exact"/>
              <w:rPr>
                <w:rFonts w:ascii="仿宋" w:hAnsi="仿宋" w:eastAsia="仿宋" w:cs="仿宋"/>
              </w:rPr>
            </w:pPr>
          </w:p>
        </w:tc>
        <w:tc>
          <w:tcPr>
            <w:tcW w:w="1017" w:type="dxa"/>
            <w:vAlign w:val="center"/>
          </w:tcPr>
          <w:p>
            <w:pPr>
              <w:spacing w:line="300" w:lineRule="exact"/>
              <w:rPr>
                <w:rFonts w:ascii="仿宋" w:hAnsi="仿宋" w:eastAsia="仿宋" w:cs="仿宋"/>
              </w:rPr>
            </w:pPr>
          </w:p>
        </w:tc>
        <w:tc>
          <w:tcPr>
            <w:tcW w:w="615" w:type="dxa"/>
            <w:vAlign w:val="center"/>
          </w:tcPr>
          <w:p>
            <w:pPr>
              <w:spacing w:line="300" w:lineRule="exact"/>
              <w:jc w:val="right"/>
              <w:rPr>
                <w:rFonts w:ascii="仿宋" w:hAnsi="仿宋" w:eastAsia="仿宋" w:cs="仿宋"/>
              </w:rPr>
            </w:pPr>
          </w:p>
        </w:tc>
        <w:tc>
          <w:tcPr>
            <w:tcW w:w="1047" w:type="dxa"/>
            <w:vAlign w:val="center"/>
          </w:tcPr>
          <w:p>
            <w:pPr>
              <w:spacing w:line="300" w:lineRule="exact"/>
              <w:jc w:val="right"/>
              <w:rPr>
                <w:rFonts w:ascii="仿宋" w:hAnsi="仿宋" w:eastAsia="仿宋" w:cs="仿宋"/>
              </w:rPr>
            </w:pPr>
          </w:p>
        </w:tc>
        <w:tc>
          <w:tcPr>
            <w:tcW w:w="898"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1017" w:type="dxa"/>
            <w:vAlign w:val="center"/>
          </w:tcPr>
          <w:p>
            <w:pPr>
              <w:spacing w:line="300" w:lineRule="exact"/>
              <w:jc w:val="right"/>
              <w:rPr>
                <w:rFonts w:ascii="仿宋" w:hAnsi="仿宋" w:eastAsia="仿宋" w:cs="仿宋"/>
              </w:rPr>
            </w:pPr>
          </w:p>
        </w:tc>
        <w:tc>
          <w:tcPr>
            <w:tcW w:w="959" w:type="dxa"/>
            <w:vAlign w:val="center"/>
          </w:tcPr>
          <w:p>
            <w:pPr>
              <w:spacing w:line="300" w:lineRule="exact"/>
              <w:jc w:val="right"/>
              <w:rPr>
                <w:rFonts w:ascii="仿宋" w:hAnsi="仿宋" w:eastAsia="仿宋" w:cs="仿宋"/>
              </w:rPr>
            </w:pPr>
          </w:p>
        </w:tc>
      </w:tr>
    </w:tbl>
    <w:p>
      <w:pPr>
        <w:rPr>
          <w:rFonts w:ascii="仿宋_GB2312" w:eastAsia="仿宋_GB2312"/>
          <w:sz w:val="32"/>
          <w:szCs w:val="32"/>
        </w:rPr>
      </w:pPr>
      <w:r>
        <w:rPr>
          <w:rFonts w:hint="eastAsia" w:ascii="仿宋_GB2312" w:eastAsia="仿宋_GB2312"/>
          <w:sz w:val="32"/>
          <w:szCs w:val="32"/>
        </w:rPr>
        <w:t>无此项公开内容，空表列示。</w:t>
      </w:r>
    </w:p>
    <w:p>
      <w:pPr>
        <w:rPr>
          <w:rFonts w:ascii="黑体" w:hAnsi="黑体" w:eastAsia="黑体"/>
          <w:color w:val="000000"/>
          <w:sz w:val="32"/>
        </w:rPr>
      </w:pPr>
    </w:p>
    <w:p>
      <w:pPr>
        <w:rPr>
          <w:rFonts w:ascii="黑体" w:hAnsi="黑体" w:eastAsia="黑体"/>
          <w:color w:val="000000"/>
          <w:sz w:val="32"/>
        </w:rPr>
      </w:pPr>
      <w:r>
        <w:rPr>
          <w:rFonts w:hint="eastAsia" w:ascii="黑体" w:hAnsi="黑体" w:eastAsia="黑体"/>
          <w:color w:val="000000"/>
          <w:sz w:val="32"/>
        </w:rPr>
        <w:t xml:space="preserve">    </w:t>
      </w:r>
    </w:p>
    <w:p>
      <w:pPr>
        <w:rPr>
          <w:rFonts w:ascii="黑体" w:hAnsi="黑体" w:eastAsia="黑体"/>
          <w:color w:val="000000"/>
          <w:sz w:val="32"/>
        </w:rPr>
      </w:pPr>
    </w:p>
    <w:p>
      <w:pPr>
        <w:rPr>
          <w:rFonts w:ascii="黑体" w:hAnsi="黑体" w:eastAsia="黑体"/>
          <w:color w:val="000000"/>
          <w:sz w:val="32"/>
        </w:rPr>
      </w:pPr>
    </w:p>
    <w:p>
      <w:pPr>
        <w:rPr>
          <w:rFonts w:ascii="黑体" w:hAnsi="黑体" w:eastAsia="黑体"/>
          <w:color w:val="000000"/>
          <w:sz w:val="32"/>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rPr>
          <w:rFonts w:ascii="黑体" w:hAnsi="黑体" w:eastAsia="黑体"/>
          <w:color w:val="000000"/>
          <w:sz w:val="32"/>
          <w:lang w:eastAsia="zh-CN"/>
        </w:rPr>
      </w:pPr>
    </w:p>
    <w:p>
      <w:pPr>
        <w:ind w:firstLine="640" w:firstLineChars="200"/>
        <w:rPr>
          <w:rFonts w:ascii="黑体" w:hAnsi="黑体" w:eastAsia="黑体"/>
          <w:color w:val="000000"/>
          <w:sz w:val="32"/>
        </w:rPr>
      </w:pPr>
      <w:r>
        <w:rPr>
          <w:rFonts w:ascii="黑体" w:hAnsi="黑体" w:eastAsia="黑体"/>
          <w:color w:val="000000"/>
          <w:sz w:val="32"/>
        </w:rPr>
        <w:t>七、国有资产信息</w:t>
      </w:r>
    </w:p>
    <w:p>
      <w:pPr>
        <w:widowControl w:val="0"/>
        <w:spacing w:after="120" w:afterLines="50" w:line="360" w:lineRule="auto"/>
        <w:ind w:firstLine="640" w:firstLineChars="200"/>
        <w:rPr>
          <w:rFonts w:ascii="仿宋_GB2312" w:eastAsia="仿宋_GB2312"/>
          <w:color w:val="FF0000"/>
          <w:sz w:val="32"/>
          <w:szCs w:val="32"/>
        </w:rPr>
      </w:pPr>
      <w:r>
        <w:rPr>
          <w:rFonts w:hint="eastAsia" w:ascii="仿宋_GB2312" w:eastAsia="仿宋_GB2312"/>
          <w:sz w:val="32"/>
          <w:szCs w:val="32"/>
        </w:rPr>
        <w:t>截至上年末，我单位固定资产总额275.73万元，本年度无新增固定资产预算。</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jc w:val="center"/>
              <w:rPr>
                <w:rFonts w:ascii="仿宋_GB2312" w:eastAsia="仿宋_GB2312"/>
                <w:sz w:val="32"/>
                <w:szCs w:val="32"/>
              </w:rPr>
            </w:pPr>
            <w:r>
              <w:rPr>
                <w:rFonts w:hint="eastAsia" w:ascii="仿宋_GB2312" w:eastAsia="仿宋_GB2312"/>
                <w:sz w:val="32"/>
                <w:szCs w:val="32"/>
              </w:rPr>
              <w:t>单位固定资产占用情况表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rPr>
                <w:rFonts w:ascii="宋体" w:hAnsi="宋体" w:cs="宋体"/>
                <w:sz w:val="22"/>
              </w:rPr>
            </w:pPr>
            <w:r>
              <w:rPr>
                <w:rFonts w:hint="eastAsia" w:ascii="宋体" w:hAnsi="宋体" w:cs="宋体"/>
                <w:sz w:val="22"/>
              </w:rPr>
              <w:t>编制中共秦皇岛市山海关区委组织部本级：</w:t>
            </w:r>
            <w:r>
              <w:t>203001</w:t>
            </w:r>
            <w:r>
              <w:rPr>
                <w:rFonts w:hint="eastAsia" w:ascii="宋体" w:hAnsi="宋体" w:eastAsia="宋体" w:cs="宋体"/>
              </w:rPr>
              <w:t>中共秦皇岛市山海关区委组织部本级</w:t>
            </w:r>
          </w:p>
        </w:tc>
        <w:tc>
          <w:tcPr>
            <w:tcW w:w="5103" w:type="dxa"/>
            <w:tcBorders>
              <w:top w:val="nil"/>
              <w:left w:val="nil"/>
              <w:bottom w:val="nil"/>
              <w:right w:val="nil"/>
            </w:tcBorders>
            <w:vAlign w:val="center"/>
          </w:tcPr>
          <w:p>
            <w:pPr>
              <w:ind w:firstLine="1760" w:firstLineChars="800"/>
              <w:rPr>
                <w:rFonts w:ascii="宋体" w:hAnsi="宋体" w:cs="宋体"/>
                <w:sz w:val="22"/>
              </w:rPr>
            </w:pPr>
            <w:r>
              <w:rPr>
                <w:rFonts w:hint="eastAsia" w:ascii="宋体" w:hAnsi="宋体" w:cs="宋体"/>
                <w:sz w:val="22"/>
              </w:rPr>
              <w:t>截止时间：20</w:t>
            </w:r>
            <w:r>
              <w:rPr>
                <w:rFonts w:hint="eastAsia" w:ascii="宋体" w:hAnsi="宋体" w:cs="宋体" w:eastAsiaTheme="minorEastAsia"/>
                <w:sz w:val="22"/>
                <w:lang w:eastAsia="zh-CN"/>
              </w:rPr>
              <w:t>21</w:t>
            </w:r>
            <w:r>
              <w:rPr>
                <w:rFonts w:hint="eastAsia" w:ascii="宋体" w:hAnsi="宋体" w:cs="宋体"/>
                <w:sz w:val="22"/>
              </w:rPr>
              <w:t xml:space="preserve">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rPr>
            </w:pPr>
            <w:r>
              <w:rPr>
                <w:rFonts w:hint="eastAsia" w:ascii="宋体" w:hAnsi="宋体" w:cs="宋体"/>
                <w:b/>
                <w:bCs/>
                <w:sz w:val="22"/>
              </w:rPr>
              <w:t>项   目</w:t>
            </w:r>
          </w:p>
        </w:tc>
        <w:tc>
          <w:tcPr>
            <w:tcW w:w="3155"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2"/>
              </w:rPr>
            </w:pPr>
            <w:r>
              <w:rPr>
                <w:rFonts w:hint="eastAsia" w:ascii="宋体" w:hAnsi="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资产总额</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1、房屋（平方米）</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2</w:t>
            </w: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83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2、车辆（台、辆）</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3</w:t>
            </w: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60.51</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3、单价在20万元以上设备</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4、</w:t>
            </w:r>
            <w:r>
              <w:rPr>
                <w:rFonts w:ascii="宋体" w:hAnsi="宋体" w:cs="宋体"/>
                <w:sz w:val="22"/>
              </w:rPr>
              <w:t>……………</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rPr>
                <w:rFonts w:ascii="宋体" w:hAnsi="宋体" w:cs="宋体"/>
                <w:sz w:val="22"/>
              </w:rPr>
            </w:pPr>
            <w:r>
              <w:rPr>
                <w:rFonts w:hint="eastAsia" w:ascii="宋体" w:hAnsi="宋体" w:cs="宋体"/>
                <w:sz w:val="22"/>
              </w:rPr>
              <w:t>5、其他固定资产</w:t>
            </w:r>
          </w:p>
        </w:tc>
        <w:tc>
          <w:tcPr>
            <w:tcW w:w="3155"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1311</w:t>
            </w:r>
          </w:p>
        </w:tc>
        <w:tc>
          <w:tcPr>
            <w:tcW w:w="5103"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132.22</w:t>
            </w:r>
          </w:p>
        </w:tc>
      </w:tr>
    </w:tbl>
    <w:p>
      <w:pPr>
        <w:ind w:firstLine="640" w:firstLineChars="200"/>
        <w:rPr>
          <w:rFonts w:ascii="黑体" w:hAnsi="黑体" w:eastAsia="黑体"/>
          <w:color w:val="000000"/>
          <w:sz w:val="32"/>
          <w:lang w:eastAsia="zh-CN"/>
        </w:rPr>
      </w:pPr>
      <w:r>
        <w:rPr>
          <w:rFonts w:hint="eastAsia" w:ascii="黑体" w:hAnsi="黑体" w:eastAsia="黑体"/>
          <w:color w:val="000000"/>
          <w:sz w:val="32"/>
        </w:rPr>
        <w:t xml:space="preserve">    </w:t>
      </w:r>
    </w:p>
    <w:p>
      <w:pPr>
        <w:ind w:firstLine="640" w:firstLineChars="200"/>
        <w:rPr>
          <w:rFonts w:ascii="黑体" w:hAnsi="黑体" w:eastAsia="黑体"/>
          <w:color w:val="000000"/>
          <w:sz w:val="32"/>
          <w:lang w:eastAsia="zh-CN"/>
        </w:rPr>
      </w:pPr>
    </w:p>
    <w:p>
      <w:pPr>
        <w:ind w:firstLine="640" w:firstLineChars="200"/>
        <w:rPr>
          <w:rFonts w:ascii="黑体" w:hAnsi="黑体" w:eastAsia="黑体"/>
          <w:color w:val="000000"/>
          <w:sz w:val="32"/>
          <w:lang w:eastAsia="zh-CN"/>
        </w:rPr>
      </w:pPr>
    </w:p>
    <w:p>
      <w:pPr>
        <w:ind w:firstLine="640" w:firstLineChars="200"/>
        <w:rPr>
          <w:rFonts w:ascii="黑体" w:hAnsi="黑体" w:eastAsia="黑体"/>
          <w:color w:val="000000"/>
          <w:sz w:val="32"/>
          <w:lang w:eastAsia="zh-CN"/>
        </w:rPr>
      </w:pPr>
    </w:p>
    <w:p>
      <w:pPr>
        <w:ind w:firstLine="640" w:firstLineChars="200"/>
        <w:rPr>
          <w:rFonts w:ascii="黑体" w:hAnsi="黑体" w:eastAsia="黑体"/>
          <w:color w:val="000000"/>
          <w:sz w:val="32"/>
          <w:lang w:eastAsia="zh-CN"/>
        </w:rPr>
      </w:pPr>
    </w:p>
    <w:p>
      <w:pPr>
        <w:ind w:firstLine="640" w:firstLineChars="200"/>
        <w:rPr>
          <w:rFonts w:ascii="黑体" w:hAnsi="黑体" w:eastAsia="黑体"/>
          <w:color w:val="000000"/>
          <w:sz w:val="32"/>
        </w:rPr>
      </w:pPr>
      <w:r>
        <w:rPr>
          <w:rFonts w:ascii="黑体" w:hAnsi="黑体" w:eastAsia="黑体"/>
          <w:color w:val="000000"/>
          <w:sz w:val="32"/>
        </w:rPr>
        <w:t>八、名词解释</w:t>
      </w:r>
    </w:p>
    <w:p>
      <w:pPr>
        <w:rPr>
          <w:rFonts w:ascii="仿宋_GB2312" w:eastAsia="仿宋_GB2312"/>
          <w:sz w:val="32"/>
          <w:szCs w:val="32"/>
        </w:rPr>
      </w:pPr>
      <w:r>
        <w:rPr>
          <w:rFonts w:hint="eastAsia"/>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w:t>
      </w:r>
      <w:r>
        <w:rPr>
          <w:rFonts w:hint="eastAsia" w:ascii="仿宋_GB2312" w:eastAsia="仿宋_GB2312"/>
          <w:sz w:val="32"/>
          <w:szCs w:val="32"/>
          <w:lang w:eastAsia="zh-CN"/>
        </w:rPr>
        <w:t>区</w:t>
      </w:r>
      <w:r>
        <w:rPr>
          <w:rFonts w:hint="eastAsia" w:ascii="仿宋_GB2312" w:eastAsia="仿宋_GB2312"/>
          <w:sz w:val="32"/>
          <w:szCs w:val="32"/>
        </w:rPr>
        <w:t>级财政当年拨付的资金。</w:t>
      </w:r>
    </w:p>
    <w:p>
      <w:pPr>
        <w:rPr>
          <w:rFonts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pPr>
        <w:rPr>
          <w:rFonts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pPr>
        <w:rPr>
          <w:rFonts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pPr>
        <w:rPr>
          <w:rFonts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pPr>
        <w:rPr>
          <w:rFonts w:ascii="仿宋_GB2312" w:eastAsia="仿宋_GB2312"/>
          <w:sz w:val="32"/>
          <w:szCs w:val="32"/>
        </w:rPr>
      </w:pPr>
      <w:r>
        <w:rPr>
          <w:rFonts w:hint="eastAsia" w:ascii="仿宋_GB2312" w:eastAsia="仿宋_GB2312"/>
          <w:sz w:val="32"/>
          <w:szCs w:val="32"/>
        </w:rPr>
        <w:t xml:space="preserve">    6、“三公”经费：纳入</w:t>
      </w:r>
      <w:r>
        <w:rPr>
          <w:rFonts w:hint="eastAsia" w:ascii="仿宋_GB2312" w:eastAsia="仿宋_GB2312"/>
          <w:sz w:val="32"/>
          <w:szCs w:val="32"/>
          <w:lang w:eastAsia="zh-CN"/>
        </w:rPr>
        <w:t>区</w:t>
      </w:r>
      <w:r>
        <w:rPr>
          <w:rFonts w:hint="eastAsia" w:ascii="仿宋_GB2312" w:eastAsia="仿宋_GB2312"/>
          <w:sz w:val="32"/>
          <w:szCs w:val="32"/>
        </w:rPr>
        <w:t>级财政预算管理的“三公”经费，是指</w:t>
      </w:r>
      <w:r>
        <w:rPr>
          <w:rFonts w:hint="eastAsia" w:ascii="仿宋_GB2312" w:eastAsia="仿宋_GB2312"/>
          <w:sz w:val="32"/>
          <w:szCs w:val="32"/>
          <w:lang w:eastAsia="zh-CN"/>
        </w:rPr>
        <w:t>区</w:t>
      </w:r>
      <w:r>
        <w:rPr>
          <w:rFonts w:hint="eastAsia" w:ascii="仿宋_GB2312" w:eastAsia="仿宋_GB2312"/>
          <w:sz w:val="32"/>
          <w:szCs w:val="32"/>
        </w:rPr>
        <w:t>级中共秦皇岛市山海关区委组织部本级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2"/>
        <w:rPr>
          <w:rFonts w:ascii="仿宋_GB2312" w:eastAsia="仿宋_GB2312"/>
          <w:sz w:val="32"/>
          <w:szCs w:val="32"/>
        </w:rPr>
      </w:pPr>
      <w:r>
        <w:rPr>
          <w:rFonts w:hint="eastAsia" w:ascii="仿宋_GB2312" w:eastAsia="仿宋_GB2312"/>
          <w:sz w:val="32"/>
          <w:szCs w:val="32"/>
        </w:rPr>
        <w:t>7、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黑体" w:hAnsi="黑体" w:eastAsia="黑体"/>
          <w:color w:val="000000"/>
          <w:sz w:val="32"/>
        </w:rPr>
      </w:pPr>
      <w:r>
        <w:rPr>
          <w:rFonts w:hint="eastAsia" w:ascii="黑体" w:hAnsi="黑体" w:eastAsia="黑体"/>
          <w:color w:val="000000"/>
          <w:sz w:val="32"/>
        </w:rPr>
        <w:t xml:space="preserve">    九</w:t>
      </w:r>
      <w:r>
        <w:rPr>
          <w:rFonts w:ascii="黑体" w:hAnsi="黑体" w:eastAsia="黑体"/>
          <w:color w:val="000000"/>
          <w:sz w:val="32"/>
        </w:rPr>
        <w:t>、</w:t>
      </w:r>
      <w:r>
        <w:rPr>
          <w:rFonts w:hint="eastAsia" w:ascii="黑体" w:hAnsi="黑体" w:eastAsia="黑体"/>
          <w:color w:val="000000"/>
          <w:sz w:val="32"/>
        </w:rPr>
        <w:t>其他需要说明的事项</w:t>
      </w:r>
    </w:p>
    <w:p>
      <w:pPr>
        <w:ind w:firstLine="642"/>
        <w:rPr>
          <w:rFonts w:ascii="仿宋_GB2312" w:eastAsia="仿宋_GB2312"/>
          <w:sz w:val="32"/>
          <w:szCs w:val="32"/>
        </w:rPr>
      </w:pPr>
      <w:r>
        <w:rPr>
          <w:rFonts w:hint="eastAsia" w:ascii="仿宋_GB2312" w:eastAsia="仿宋_GB2312"/>
          <w:sz w:val="32"/>
          <w:szCs w:val="32"/>
        </w:rPr>
        <w:t>无其他需要说明的事项。</w:t>
      </w:r>
    </w:p>
    <w:p>
      <w:pPr>
        <w:jc w:val="center"/>
        <w:outlineLvl w:val="3"/>
        <w:rPr>
          <w:rFonts w:ascii="方正小标宋_GBK" w:hAnsi="方正小标宋_GBK" w:eastAsia="方正小标宋_GBK" w:cs="方正小标宋_GBK"/>
          <w:color w:val="000000"/>
          <w:sz w:val="44"/>
          <w:lang w:eastAsia="zh-CN"/>
        </w:rPr>
      </w:pPr>
    </w:p>
    <w:p>
      <w:pPr>
        <w:jc w:val="center"/>
        <w:outlineLvl w:val="3"/>
        <w:rPr>
          <w:rFonts w:ascii="方正小标宋_GBK" w:hAnsi="方正小标宋_GBK" w:eastAsia="方正小标宋_GBK" w:cs="方正小标宋_GBK"/>
          <w:color w:val="000000"/>
          <w:sz w:val="44"/>
          <w:lang w:eastAsia="zh-CN"/>
        </w:rPr>
      </w:pPr>
    </w:p>
    <w:p>
      <w:pPr>
        <w:jc w:val="center"/>
        <w:outlineLvl w:val="3"/>
        <w:rPr>
          <w:rFonts w:ascii="方正小标宋_GBK" w:hAnsi="方正小标宋_GBK" w:eastAsia="方正小标宋_GBK" w:cs="方正小标宋_GBK"/>
          <w:color w:val="000000"/>
          <w:sz w:val="44"/>
          <w:lang w:eastAsia="zh-CN"/>
        </w:rPr>
      </w:pPr>
    </w:p>
    <w:bookmarkEnd w:id="1"/>
    <w:p>
      <w:pPr>
        <w:jc w:val="center"/>
        <w:outlineLvl w:val="3"/>
        <w:rPr>
          <w:rFonts w:ascii="方正小标宋_GBK" w:hAnsi="方正小标宋_GBK" w:eastAsia="方正小标宋_GBK" w:cs="方正小标宋_GBK"/>
          <w:color w:val="000000"/>
          <w:sz w:val="44"/>
          <w:lang w:eastAsia="zh-CN"/>
        </w:rPr>
      </w:pPr>
    </w:p>
    <w:sectPr>
      <w:footerReference r:id="rId5" w:type="default"/>
      <w:footerReference r:id="rId6" w:type="even"/>
      <w:pgSz w:w="16840" w:h="11900" w:orient="landscape"/>
      <w:pgMar w:top="1304" w:right="1134" w:bottom="1304" w:left="198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31</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zhjY2MxZTJhYmY4NjQ5YWVjZTRhZjg5MTY5NTkifQ=="/>
  </w:docVars>
  <w:rsids>
    <w:rsidRoot w:val="00C84184"/>
    <w:rsid w:val="000128E9"/>
    <w:rsid w:val="00040FB6"/>
    <w:rsid w:val="000C7718"/>
    <w:rsid w:val="000F3CDB"/>
    <w:rsid w:val="00114E59"/>
    <w:rsid w:val="00126012"/>
    <w:rsid w:val="001D357E"/>
    <w:rsid w:val="001E0312"/>
    <w:rsid w:val="00275CAC"/>
    <w:rsid w:val="002B1007"/>
    <w:rsid w:val="002B2DAC"/>
    <w:rsid w:val="002D2B84"/>
    <w:rsid w:val="002F25E6"/>
    <w:rsid w:val="003178C4"/>
    <w:rsid w:val="00340746"/>
    <w:rsid w:val="003504D7"/>
    <w:rsid w:val="003E4FD1"/>
    <w:rsid w:val="00400FF3"/>
    <w:rsid w:val="005417EF"/>
    <w:rsid w:val="0054295A"/>
    <w:rsid w:val="005535C1"/>
    <w:rsid w:val="00656F07"/>
    <w:rsid w:val="00657FD9"/>
    <w:rsid w:val="007359B4"/>
    <w:rsid w:val="0074098C"/>
    <w:rsid w:val="00766785"/>
    <w:rsid w:val="007900B3"/>
    <w:rsid w:val="007A3B8D"/>
    <w:rsid w:val="007A6D26"/>
    <w:rsid w:val="007E6891"/>
    <w:rsid w:val="00814AE4"/>
    <w:rsid w:val="00821A6B"/>
    <w:rsid w:val="00841AFA"/>
    <w:rsid w:val="0086544A"/>
    <w:rsid w:val="00870091"/>
    <w:rsid w:val="008B7EEF"/>
    <w:rsid w:val="00924D52"/>
    <w:rsid w:val="00951521"/>
    <w:rsid w:val="00964DEC"/>
    <w:rsid w:val="009660C6"/>
    <w:rsid w:val="009A03F4"/>
    <w:rsid w:val="009B2569"/>
    <w:rsid w:val="009E10C2"/>
    <w:rsid w:val="009F6417"/>
    <w:rsid w:val="00A02401"/>
    <w:rsid w:val="00A03340"/>
    <w:rsid w:val="00A1654D"/>
    <w:rsid w:val="00A53486"/>
    <w:rsid w:val="00A842B1"/>
    <w:rsid w:val="00AF3701"/>
    <w:rsid w:val="00B10CB1"/>
    <w:rsid w:val="00B23AB6"/>
    <w:rsid w:val="00B30356"/>
    <w:rsid w:val="00C34CC4"/>
    <w:rsid w:val="00C43C70"/>
    <w:rsid w:val="00C775F0"/>
    <w:rsid w:val="00C84184"/>
    <w:rsid w:val="00CB3E16"/>
    <w:rsid w:val="00CB533E"/>
    <w:rsid w:val="00CF205D"/>
    <w:rsid w:val="00CF5A07"/>
    <w:rsid w:val="00D23897"/>
    <w:rsid w:val="00D80079"/>
    <w:rsid w:val="00DC58E7"/>
    <w:rsid w:val="00E26674"/>
    <w:rsid w:val="00E4000C"/>
    <w:rsid w:val="00E632BE"/>
    <w:rsid w:val="00F84FF4"/>
    <w:rsid w:val="00F934F5"/>
    <w:rsid w:val="00FF6EF0"/>
    <w:rsid w:val="0A0C6881"/>
    <w:rsid w:val="132848ED"/>
    <w:rsid w:val="23CF6518"/>
    <w:rsid w:val="479D0E7F"/>
    <w:rsid w:val="52021C26"/>
    <w:rsid w:val="78A50E1A"/>
    <w:rsid w:val="7EE54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40"/>
    <w:unhideWhenUsed/>
    <w:qFormat/>
    <w:uiPriority w:val="99"/>
    <w:pPr>
      <w:tabs>
        <w:tab w:val="center" w:pos="4153"/>
        <w:tab w:val="right" w:pos="8306"/>
      </w:tabs>
      <w:snapToGrid w:val="0"/>
    </w:pPr>
    <w:rPr>
      <w:sz w:val="18"/>
    </w:rPr>
  </w:style>
  <w:style w:type="paragraph" w:styleId="4">
    <w:name w:val="header"/>
    <w:basedOn w:val="1"/>
    <w:link w:val="3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39"/>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Normal_a27759fa-9d7f-4e31-ba69-eab77e87124b"/>
    <w:qFormat/>
    <w:uiPriority w:val="0"/>
    <w:rPr>
      <w:rFonts w:ascii="Times New Roman" w:hAnsi="Times New Roman" w:eastAsia="Times New Roman" w:cs="Times New Roman"/>
      <w:sz w:val="24"/>
      <w:szCs w:val="24"/>
      <w:lang w:val="en-US" w:eastAsia="uk-UA" w:bidi="ar-SA"/>
    </w:rPr>
  </w:style>
  <w:style w:type="paragraph" w:customStyle="1" w:styleId="30">
    <w:name w:val="单元格样式1_d2ea85c3-1efd-49fd-a2f1-429dad33a650"/>
    <w:basedOn w:val="1"/>
    <w:qFormat/>
    <w:uiPriority w:val="0"/>
    <w:pPr>
      <w:jc w:val="center"/>
    </w:pPr>
    <w:rPr>
      <w:rFonts w:ascii="方正书宋_GBK" w:hAnsi="方正书宋_GBK" w:eastAsia="方正书宋_GBK" w:cs="方正书宋_GBK"/>
      <w:b/>
      <w:sz w:val="21"/>
    </w:rPr>
  </w:style>
  <w:style w:type="paragraph" w:customStyle="1" w:styleId="31">
    <w:name w:val="单元格样式2_acd9741a-c560-41f7-84ad-0cd8a7905e55"/>
    <w:basedOn w:val="1"/>
    <w:qFormat/>
    <w:uiPriority w:val="0"/>
    <w:rPr>
      <w:rFonts w:ascii="方正书宋_GBK" w:hAnsi="方正书宋_GBK" w:eastAsia="方正书宋_GBK" w:cs="方正书宋_GBK"/>
      <w:sz w:val="21"/>
    </w:rPr>
  </w:style>
  <w:style w:type="paragraph" w:customStyle="1" w:styleId="32">
    <w:name w:val="单元格样式3_76c87c86-eb83-4d82-bc38-97ad69480404"/>
    <w:basedOn w:val="1"/>
    <w:qFormat/>
    <w:uiPriority w:val="0"/>
    <w:pPr>
      <w:jc w:val="center"/>
    </w:pPr>
    <w:rPr>
      <w:rFonts w:ascii="方正书宋_GBK" w:hAnsi="方正书宋_GBK" w:eastAsia="方正书宋_GBK" w:cs="方正书宋_GBK"/>
      <w:sz w:val="21"/>
    </w:rPr>
  </w:style>
  <w:style w:type="paragraph" w:customStyle="1" w:styleId="33">
    <w:name w:val="单元格样式23"/>
    <w:basedOn w:val="1"/>
    <w:qFormat/>
    <w:uiPriority w:val="0"/>
    <w:pPr>
      <w:jc w:val="right"/>
    </w:pPr>
    <w:rPr>
      <w:rFonts w:ascii="方正书宋_GBK" w:hAnsi="方正书宋_GBK" w:eastAsia="方正书宋_GBK" w:cs="方正书宋_GBK"/>
    </w:rPr>
  </w:style>
  <w:style w:type="paragraph" w:customStyle="1" w:styleId="34">
    <w:name w:val="插入文本样式-插入单位职责文件"/>
    <w:basedOn w:val="1"/>
    <w:qFormat/>
    <w:uiPriority w:val="0"/>
    <w:pPr>
      <w:spacing w:line="500" w:lineRule="exact"/>
      <w:ind w:firstLine="560"/>
    </w:pPr>
    <w:rPr>
      <w:rFonts w:eastAsia="方正仿宋_GBK"/>
      <w:sz w:val="28"/>
    </w:rPr>
  </w:style>
  <w:style w:type="paragraph" w:customStyle="1" w:styleId="3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8">
    <w:name w:val="Default"/>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character" w:customStyle="1" w:styleId="39">
    <w:name w:val="页眉 Char"/>
    <w:basedOn w:val="10"/>
    <w:link w:val="4"/>
    <w:qFormat/>
    <w:uiPriority w:val="99"/>
    <w:rPr>
      <w:rFonts w:eastAsia="Times New Roman"/>
      <w:sz w:val="18"/>
      <w:szCs w:val="24"/>
      <w:lang w:eastAsia="uk-UA"/>
    </w:rPr>
  </w:style>
  <w:style w:type="character" w:customStyle="1" w:styleId="40">
    <w:name w:val="页脚 Char"/>
    <w:basedOn w:val="10"/>
    <w:link w:val="3"/>
    <w:qFormat/>
    <w:uiPriority w:val="99"/>
    <w:rPr>
      <w:rFonts w:eastAsia="Times New Roman"/>
      <w:sz w:val="18"/>
      <w:szCs w:val="24"/>
      <w:lang w:eastAsia="uk-UA"/>
    </w:rPr>
  </w:style>
  <w:style w:type="paragraph" w:customStyle="1" w:styleId="41">
    <w:name w:val="目录 21"/>
    <w:basedOn w:val="1"/>
    <w:qFormat/>
    <w:uiPriority w:val="0"/>
    <w:pPr>
      <w:ind w:left="240"/>
    </w:pPr>
  </w:style>
  <w:style w:type="paragraph" w:customStyle="1" w:styleId="42">
    <w:name w:val="目录 41"/>
    <w:basedOn w:val="1"/>
    <w:qFormat/>
    <w:uiPriority w:val="0"/>
    <w:pPr>
      <w:ind w:left="720"/>
    </w:pPr>
  </w:style>
  <w:style w:type="paragraph" w:customStyle="1" w:styleId="43">
    <w:name w:val="目录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2022-01-19T11:51:19Z</dcterms:created>
  <dcterms:modified xsi:type="dcterms:W3CDTF">2022-01-19T03:51:19Z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2022-01-19T11:51:25Z</dcterms:created>
  <dcterms:modified xsi:type="dcterms:W3CDTF">2022-01-19T03:51:25Z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2022-01-19T11:51:32Z</dcterms:created>
  <dcterms:modified xsi:type="dcterms:W3CDTF">2022-01-19T03:51:32Z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2022-01-19T11:51:23Z</dcterms:created>
  <dcterms:modified xsi:type="dcterms:W3CDTF">2022-01-19T03:51:23Z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2022-01-19T11:51:29Z</dcterms:created>
  <dcterms:modified xsi:type="dcterms:W3CDTF">2022-01-19T03:51:29Z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2022-01-19T11:51:17Z</dcterms:created>
  <dcterms:modified xsi:type="dcterms:W3CDTF">2022-01-19T03:51:16Z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2022-01-19T11:51:21Z</dcterms:created>
  <dcterms:modified xsi:type="dcterms:W3CDTF">2022-01-19T03:51:21Z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2022-01-19T11:51:27Z</dcterms:created>
  <dcterms:modified xsi:type="dcterms:W3CDTF">2022-01-19T03:51:27Z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2022-01-19T11:50:57Z</dcterms:created>
  <dcterms:modified xsi:type="dcterms:W3CDTF">2022-01-19T03:50:57Z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2022-01-19T11:51:31Z</dcterms:created>
  <dcterms:modified xsi:type="dcterms:W3CDTF">2022-01-19T03:51:31Z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2022-01-19T11:51:08Z</dcterms:created>
  <dcterms:modified xsi:type="dcterms:W3CDTF">2022-01-19T03:51:08Z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2022-01-19T11:51:05Z</dcterms:created>
  <dcterms:modified xsi:type="dcterms:W3CDTF">2022-01-19T03:51:05Z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F05F81E-811C-471C-995D-950B471207EC}">
  <ds:schemaRefs/>
</ds:datastoreItem>
</file>

<file path=customXml/itemProps11.xml><?xml version="1.0" encoding="utf-8"?>
<ds:datastoreItem xmlns:ds="http://schemas.openxmlformats.org/officeDocument/2006/customXml" ds:itemID="{797968C7-1544-4913-B02E-CC72BD280379}">
  <ds:schemaRefs/>
</ds:datastoreItem>
</file>

<file path=customXml/itemProps12.xml><?xml version="1.0" encoding="utf-8"?>
<ds:datastoreItem xmlns:ds="http://schemas.openxmlformats.org/officeDocument/2006/customXml" ds:itemID="{6A119EDA-3D4C-4794-8FC0-7DD413DE467F}">
  <ds:schemaRefs/>
</ds:datastoreItem>
</file>

<file path=customXml/itemProps13.xml><?xml version="1.0" encoding="utf-8"?>
<ds:datastoreItem xmlns:ds="http://schemas.openxmlformats.org/officeDocument/2006/customXml" ds:itemID="{9FE0D322-B35C-465A-8FC8-72460E41D219}">
  <ds:schemaRefs/>
</ds:datastoreItem>
</file>

<file path=customXml/itemProps14.xml><?xml version="1.0" encoding="utf-8"?>
<ds:datastoreItem xmlns:ds="http://schemas.openxmlformats.org/officeDocument/2006/customXml" ds:itemID="{C07A7E1E-45A2-4BC8-9837-638E0EB4F3AE}">
  <ds:schemaRefs/>
</ds:datastoreItem>
</file>

<file path=customXml/itemProps15.xml><?xml version="1.0" encoding="utf-8"?>
<ds:datastoreItem xmlns:ds="http://schemas.openxmlformats.org/officeDocument/2006/customXml" ds:itemID="{9565B230-51E0-4C20-B4D7-15ACAE157807}">
  <ds:schemaRefs/>
</ds:datastoreItem>
</file>

<file path=customXml/itemProps16.xml><?xml version="1.0" encoding="utf-8"?>
<ds:datastoreItem xmlns:ds="http://schemas.openxmlformats.org/officeDocument/2006/customXml" ds:itemID="{433FD7D1-D62E-49F9-9ACE-A5CE003E76CC}">
  <ds:schemaRefs/>
</ds:datastoreItem>
</file>

<file path=customXml/itemProps17.xml><?xml version="1.0" encoding="utf-8"?>
<ds:datastoreItem xmlns:ds="http://schemas.openxmlformats.org/officeDocument/2006/customXml" ds:itemID="{3CF31A63-82A0-4F7C-9AF1-4F93AB337AA7}">
  <ds:schemaRefs/>
</ds:datastoreItem>
</file>

<file path=customXml/itemProps18.xml><?xml version="1.0" encoding="utf-8"?>
<ds:datastoreItem xmlns:ds="http://schemas.openxmlformats.org/officeDocument/2006/customXml" ds:itemID="{6CDA3ED3-0D63-4469-B5F0-C6A9592633EB}">
  <ds:schemaRefs/>
</ds:datastoreItem>
</file>

<file path=customXml/itemProps19.xml><?xml version="1.0" encoding="utf-8"?>
<ds:datastoreItem xmlns:ds="http://schemas.openxmlformats.org/officeDocument/2006/customXml" ds:itemID="{82937828-C790-4BD8-AAE7-221FEBEE022F}">
  <ds:schemaRefs/>
</ds:datastoreItem>
</file>

<file path=customXml/itemProps2.xml><?xml version="1.0" encoding="utf-8"?>
<ds:datastoreItem xmlns:ds="http://schemas.openxmlformats.org/officeDocument/2006/customXml" ds:itemID="{2212281B-8C1C-4D30-82D9-C3A9969F023A}">
  <ds:schemaRefs/>
</ds:datastoreItem>
</file>

<file path=customXml/itemProps20.xml><?xml version="1.0" encoding="utf-8"?>
<ds:datastoreItem xmlns:ds="http://schemas.openxmlformats.org/officeDocument/2006/customXml" ds:itemID="{464D1B81-58C5-4607-9FD7-CC1ABBD678CF}">
  <ds:schemaRefs/>
</ds:datastoreItem>
</file>

<file path=customXml/itemProps21.xml><?xml version="1.0" encoding="utf-8"?>
<ds:datastoreItem xmlns:ds="http://schemas.openxmlformats.org/officeDocument/2006/customXml" ds:itemID="{6F857038-F34E-4E57-933F-82DF716FF1A0}">
  <ds:schemaRefs/>
</ds:datastoreItem>
</file>

<file path=customXml/itemProps22.xml><?xml version="1.0" encoding="utf-8"?>
<ds:datastoreItem xmlns:ds="http://schemas.openxmlformats.org/officeDocument/2006/customXml" ds:itemID="{D2E40858-80D9-4F07-9AFE-4DCDC2F329A4}">
  <ds:schemaRefs/>
</ds:datastoreItem>
</file>

<file path=customXml/itemProps23.xml><?xml version="1.0" encoding="utf-8"?>
<ds:datastoreItem xmlns:ds="http://schemas.openxmlformats.org/officeDocument/2006/customXml" ds:itemID="{B0CA9BB7-80DC-46E4-BB1B-7FBBDEFF5846}">
  <ds:schemaRefs/>
</ds:datastoreItem>
</file>

<file path=customXml/itemProps24.xml><?xml version="1.0" encoding="utf-8"?>
<ds:datastoreItem xmlns:ds="http://schemas.openxmlformats.org/officeDocument/2006/customXml" ds:itemID="{8CE8DB1F-BADB-45C8-8AB8-4A00E6121841}">
  <ds:schemaRefs/>
</ds:datastoreItem>
</file>

<file path=customXml/itemProps25.xml><?xml version="1.0" encoding="utf-8"?>
<ds:datastoreItem xmlns:ds="http://schemas.openxmlformats.org/officeDocument/2006/customXml" ds:itemID="{AFBFE560-862B-4453-820C-530344D81E7E}">
  <ds:schemaRefs/>
</ds:datastoreItem>
</file>

<file path=customXml/itemProps26.xml><?xml version="1.0" encoding="utf-8"?>
<ds:datastoreItem xmlns:ds="http://schemas.openxmlformats.org/officeDocument/2006/customXml" ds:itemID="{D38D2A91-67F1-44DF-A688-069EFEEF3CC4}">
  <ds:schemaRefs/>
</ds:datastoreItem>
</file>

<file path=customXml/itemProps3.xml><?xml version="1.0" encoding="utf-8"?>
<ds:datastoreItem xmlns:ds="http://schemas.openxmlformats.org/officeDocument/2006/customXml" ds:itemID="{D78EF07C-4340-4B9B-B05B-00BDDE8F6C8A}">
  <ds:schemaRefs/>
</ds:datastoreItem>
</file>

<file path=customXml/itemProps4.xml><?xml version="1.0" encoding="utf-8"?>
<ds:datastoreItem xmlns:ds="http://schemas.openxmlformats.org/officeDocument/2006/customXml" ds:itemID="{90D06CF5-EB31-45B6-A403-083A49825FF4}">
  <ds:schemaRefs/>
</ds:datastoreItem>
</file>

<file path=customXml/itemProps5.xml><?xml version="1.0" encoding="utf-8"?>
<ds:datastoreItem xmlns:ds="http://schemas.openxmlformats.org/officeDocument/2006/customXml" ds:itemID="{7E9D496C-8D63-450C-949D-19880FBEC3FE}">
  <ds:schemaRefs/>
</ds:datastoreItem>
</file>

<file path=customXml/itemProps6.xml><?xml version="1.0" encoding="utf-8"?>
<ds:datastoreItem xmlns:ds="http://schemas.openxmlformats.org/officeDocument/2006/customXml" ds:itemID="{1B7E6B4C-B726-4BED-805A-7C7D697C7192}">
  <ds:schemaRefs/>
</ds:datastoreItem>
</file>

<file path=customXml/itemProps7.xml><?xml version="1.0" encoding="utf-8"?>
<ds:datastoreItem xmlns:ds="http://schemas.openxmlformats.org/officeDocument/2006/customXml" ds:itemID="{2CD50D00-82AF-41F0-AA7F-DD622DCAE6EF}">
  <ds:schemaRefs/>
</ds:datastoreItem>
</file>

<file path=customXml/itemProps8.xml><?xml version="1.0" encoding="utf-8"?>
<ds:datastoreItem xmlns:ds="http://schemas.openxmlformats.org/officeDocument/2006/customXml" ds:itemID="{4FB67A8D-248E-49CB-8DAE-776C90BCCF1B}">
  <ds:schemaRefs/>
</ds:datastoreItem>
</file>

<file path=customXml/itemProps9.xml><?xml version="1.0" encoding="utf-8"?>
<ds:datastoreItem xmlns:ds="http://schemas.openxmlformats.org/officeDocument/2006/customXml" ds:itemID="{FBDC2801-F26F-47E4-8776-F953928CAD75}">
  <ds:schemaRefs/>
</ds:datastoreItem>
</file>

<file path=docProps/app.xml><?xml version="1.0" encoding="utf-8"?>
<Properties xmlns="http://schemas.openxmlformats.org/officeDocument/2006/extended-properties" xmlns:vt="http://schemas.openxmlformats.org/officeDocument/2006/docPropsVTypes">
  <Template>Normal</Template>
  <Pages>59</Pages>
  <Words>4733</Words>
  <Characters>26980</Characters>
  <Lines>224</Lines>
  <Paragraphs>63</Paragraphs>
  <TotalTime>8</TotalTime>
  <ScaleCrop>false</ScaleCrop>
  <LinksUpToDate>false</LinksUpToDate>
  <CharactersWithSpaces>31650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2024-01-16T08:35:00Z</dcterms:created>
  <dc:creator>Administrator</dc:creator>
  <cp:lastModifiedBy>Lenovo</cp:lastModifiedBy>
  <dcterms:modified xsi:type="dcterms:W3CDTF">2026-03-06T07:12:34Z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63D09D8BC9B24C34BA79115F33E0A12E</vt:lpwstr>
  </property>
</Properties>
</file>