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2026年单位预算信息公开目录</w:t>
      </w:r>
    </w:p>
    <w:p>
      <w:pPr>
        <w:jc w:val="center"/>
      </w:pPr>
      <w:r>
        <w:rPr>
          <w:rFonts w:ascii="黑体" w:hAnsi="黑体" w:eastAsia="黑体" w:cs="黑体"/>
          <w:b/>
          <w:color w:val="000000"/>
          <w:sz w:val="30"/>
        </w:rPr>
        <w:t xml:space="preserve"> </w:t>
      </w:r>
    </w:p>
    <w:p>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一、发改部门发展和改革局本级收支预算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一、发改部门发展和改革局本级收支预算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303001发改部门发展和改革局本级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815.80</w:t>
            </w:r>
          </w:p>
        </w:tc>
        <w:tc>
          <w:tcPr>
            <w:tcW w:w="4535" w:type="dxa"/>
            <w:vAlign w:val="center"/>
          </w:tcPr>
          <w:p>
            <w:pPr>
              <w:pStyle w:val="12"/>
            </w:pPr>
            <w:r>
              <w:t>一、一般公共服务支出</w:t>
            </w:r>
          </w:p>
        </w:tc>
        <w:tc>
          <w:tcPr>
            <w:tcW w:w="2126" w:type="dxa"/>
            <w:vAlign w:val="center"/>
          </w:tcPr>
          <w:p>
            <w:pPr>
              <w:pStyle w:val="11"/>
            </w:pPr>
            <w:r>
              <w:t>464.57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116.67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19.77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815.80</w:t>
            </w:r>
          </w:p>
        </w:tc>
        <w:tc>
          <w:tcPr>
            <w:tcW w:w="4535" w:type="dxa"/>
            <w:vAlign w:val="center"/>
          </w:tcPr>
          <w:p>
            <w:pPr>
              <w:pStyle w:val="14"/>
            </w:pPr>
            <w:r>
              <w:t>本年支出合计</w:t>
            </w:r>
          </w:p>
        </w:tc>
        <w:tc>
          <w:tcPr>
            <w:tcW w:w="2126" w:type="dxa"/>
            <w:vAlign w:val="center"/>
          </w:tcPr>
          <w:p>
            <w:pPr>
              <w:pStyle w:val="15"/>
            </w:pPr>
            <w:r>
              <w:t>815.80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815.80</w:t>
            </w:r>
          </w:p>
        </w:tc>
        <w:tc>
          <w:tcPr>
            <w:tcW w:w="4535" w:type="dxa"/>
            <w:vAlign w:val="center"/>
          </w:tcPr>
          <w:p>
            <w:pPr>
              <w:pStyle w:val="14"/>
            </w:pPr>
            <w:r>
              <w:t>支出总计</w:t>
            </w:r>
          </w:p>
        </w:tc>
        <w:tc>
          <w:tcPr>
            <w:tcW w:w="2126" w:type="dxa"/>
            <w:vAlign w:val="center"/>
          </w:tcPr>
          <w:p>
            <w:pPr>
              <w:pStyle w:val="15"/>
            </w:pPr>
            <w:r>
              <w:t>815.80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303001发改部门发展和改革局本级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815.80</w:t>
            </w:r>
          </w:p>
        </w:tc>
        <w:tc>
          <w:tcPr>
            <w:tcW w:w="1134" w:type="dxa"/>
            <w:vAlign w:val="center"/>
          </w:tcPr>
          <w:p>
            <w:pPr>
              <w:pStyle w:val="15"/>
            </w:pPr>
            <w:r>
              <w:t>815.80</w:t>
            </w:r>
          </w:p>
        </w:tc>
        <w:tc>
          <w:tcPr>
            <w:tcW w:w="1134" w:type="dxa"/>
            <w:vAlign w:val="center"/>
          </w:tcPr>
          <w:p>
            <w:pPr>
              <w:pStyle w:val="15"/>
            </w:pPr>
            <w:r>
              <w:t>815.80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464.57</w:t>
            </w:r>
          </w:p>
        </w:tc>
        <w:tc>
          <w:tcPr>
            <w:tcW w:w="1134" w:type="dxa"/>
            <w:vAlign w:val="center"/>
          </w:tcPr>
          <w:p>
            <w:pPr>
              <w:pStyle w:val="11"/>
            </w:pPr>
            <w:r>
              <w:t>464.57</w:t>
            </w:r>
          </w:p>
        </w:tc>
        <w:tc>
          <w:tcPr>
            <w:tcW w:w="1134" w:type="dxa"/>
            <w:vAlign w:val="center"/>
          </w:tcPr>
          <w:p>
            <w:pPr>
              <w:pStyle w:val="11"/>
            </w:pPr>
            <w:r>
              <w:t>464.57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20104</w:t>
            </w:r>
          </w:p>
        </w:tc>
        <w:tc>
          <w:tcPr>
            <w:tcW w:w="1559" w:type="dxa"/>
            <w:vAlign w:val="center"/>
          </w:tcPr>
          <w:p>
            <w:pPr>
              <w:pStyle w:val="12"/>
            </w:pPr>
            <w:r>
              <w:t>发展与改革事务</w:t>
            </w:r>
          </w:p>
        </w:tc>
        <w:tc>
          <w:tcPr>
            <w:tcW w:w="1134" w:type="dxa"/>
            <w:vAlign w:val="center"/>
          </w:tcPr>
          <w:p>
            <w:pPr>
              <w:pStyle w:val="11"/>
            </w:pPr>
            <w:r>
              <w:t>454.57</w:t>
            </w:r>
          </w:p>
        </w:tc>
        <w:tc>
          <w:tcPr>
            <w:tcW w:w="1134" w:type="dxa"/>
            <w:vAlign w:val="center"/>
          </w:tcPr>
          <w:p>
            <w:pPr>
              <w:pStyle w:val="11"/>
            </w:pPr>
            <w:r>
              <w:t>454.57</w:t>
            </w:r>
          </w:p>
        </w:tc>
        <w:tc>
          <w:tcPr>
            <w:tcW w:w="1134" w:type="dxa"/>
            <w:vAlign w:val="center"/>
          </w:tcPr>
          <w:p>
            <w:pPr>
              <w:pStyle w:val="11"/>
            </w:pPr>
            <w:r>
              <w:t>454.57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2010401</w:t>
            </w:r>
          </w:p>
        </w:tc>
        <w:tc>
          <w:tcPr>
            <w:tcW w:w="1559" w:type="dxa"/>
            <w:vAlign w:val="center"/>
          </w:tcPr>
          <w:p>
            <w:pPr>
              <w:pStyle w:val="12"/>
            </w:pPr>
            <w:r>
              <w:t>行政运行</w:t>
            </w:r>
          </w:p>
        </w:tc>
        <w:tc>
          <w:tcPr>
            <w:tcW w:w="1134" w:type="dxa"/>
            <w:vAlign w:val="center"/>
          </w:tcPr>
          <w:p>
            <w:pPr>
              <w:pStyle w:val="11"/>
            </w:pPr>
            <w:r>
              <w:t>402.57</w:t>
            </w:r>
          </w:p>
        </w:tc>
        <w:tc>
          <w:tcPr>
            <w:tcW w:w="1134" w:type="dxa"/>
            <w:vAlign w:val="center"/>
          </w:tcPr>
          <w:p>
            <w:pPr>
              <w:pStyle w:val="11"/>
            </w:pPr>
            <w:r>
              <w:t>402.57</w:t>
            </w:r>
          </w:p>
        </w:tc>
        <w:tc>
          <w:tcPr>
            <w:tcW w:w="1134" w:type="dxa"/>
            <w:vAlign w:val="center"/>
          </w:tcPr>
          <w:p>
            <w:pPr>
              <w:pStyle w:val="11"/>
            </w:pPr>
            <w:r>
              <w:t>402.57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2010404</w:t>
            </w:r>
          </w:p>
        </w:tc>
        <w:tc>
          <w:tcPr>
            <w:tcW w:w="1559" w:type="dxa"/>
            <w:vAlign w:val="center"/>
          </w:tcPr>
          <w:p>
            <w:pPr>
              <w:pStyle w:val="12"/>
            </w:pPr>
            <w:r>
              <w:t>战略规划与实施</w:t>
            </w:r>
          </w:p>
        </w:tc>
        <w:tc>
          <w:tcPr>
            <w:tcW w:w="1134" w:type="dxa"/>
            <w:vAlign w:val="center"/>
          </w:tcPr>
          <w:p>
            <w:pPr>
              <w:pStyle w:val="11"/>
            </w:pPr>
            <w:r>
              <w:t>51.00</w:t>
            </w:r>
          </w:p>
        </w:tc>
        <w:tc>
          <w:tcPr>
            <w:tcW w:w="1134" w:type="dxa"/>
            <w:vAlign w:val="center"/>
          </w:tcPr>
          <w:p>
            <w:pPr>
              <w:pStyle w:val="11"/>
            </w:pPr>
            <w:r>
              <w:t>51.00</w:t>
            </w:r>
          </w:p>
        </w:tc>
        <w:tc>
          <w:tcPr>
            <w:tcW w:w="1134" w:type="dxa"/>
            <w:vAlign w:val="center"/>
          </w:tcPr>
          <w:p>
            <w:pPr>
              <w:pStyle w:val="11"/>
            </w:pPr>
            <w:r>
              <w:t>51.00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2010499</w:t>
            </w:r>
          </w:p>
        </w:tc>
        <w:tc>
          <w:tcPr>
            <w:tcW w:w="1559" w:type="dxa"/>
            <w:vAlign w:val="center"/>
          </w:tcPr>
          <w:p>
            <w:pPr>
              <w:pStyle w:val="12"/>
            </w:pPr>
            <w:r>
              <w:t>其他发展与改革事务支出</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20199</w:t>
            </w:r>
          </w:p>
        </w:tc>
        <w:tc>
          <w:tcPr>
            <w:tcW w:w="1559" w:type="dxa"/>
            <w:vAlign w:val="center"/>
          </w:tcPr>
          <w:p>
            <w:pPr>
              <w:pStyle w:val="12"/>
            </w:pPr>
            <w:r>
              <w:t>其他一般公共服务支出</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2019999</w:t>
            </w:r>
          </w:p>
        </w:tc>
        <w:tc>
          <w:tcPr>
            <w:tcW w:w="1559" w:type="dxa"/>
            <w:vAlign w:val="center"/>
          </w:tcPr>
          <w:p>
            <w:pPr>
              <w:pStyle w:val="12"/>
            </w:pPr>
            <w:r>
              <w:t>其他一般公共服务支出</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203</w:t>
            </w:r>
          </w:p>
        </w:tc>
        <w:tc>
          <w:tcPr>
            <w:tcW w:w="1559" w:type="dxa"/>
            <w:vAlign w:val="center"/>
          </w:tcPr>
          <w:p>
            <w:pPr>
              <w:pStyle w:val="12"/>
            </w:pPr>
            <w:r>
              <w:t>国防支出</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20306</w:t>
            </w:r>
          </w:p>
        </w:tc>
        <w:tc>
          <w:tcPr>
            <w:tcW w:w="1559" w:type="dxa"/>
            <w:vAlign w:val="center"/>
          </w:tcPr>
          <w:p>
            <w:pPr>
              <w:pStyle w:val="12"/>
            </w:pPr>
            <w:r>
              <w:t>国防动员</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2030603</w:t>
            </w:r>
          </w:p>
        </w:tc>
        <w:tc>
          <w:tcPr>
            <w:tcW w:w="1559" w:type="dxa"/>
            <w:vAlign w:val="center"/>
          </w:tcPr>
          <w:p>
            <w:pPr>
              <w:pStyle w:val="12"/>
            </w:pPr>
            <w:r>
              <w:t>人民防空</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116.67</w:t>
            </w:r>
          </w:p>
        </w:tc>
        <w:tc>
          <w:tcPr>
            <w:tcW w:w="1134" w:type="dxa"/>
            <w:vAlign w:val="center"/>
          </w:tcPr>
          <w:p>
            <w:pPr>
              <w:pStyle w:val="11"/>
            </w:pPr>
            <w:r>
              <w:t>116.67</w:t>
            </w:r>
          </w:p>
        </w:tc>
        <w:tc>
          <w:tcPr>
            <w:tcW w:w="1134" w:type="dxa"/>
            <w:vAlign w:val="center"/>
          </w:tcPr>
          <w:p>
            <w:pPr>
              <w:pStyle w:val="11"/>
            </w:pPr>
            <w:r>
              <w:t>116.67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114.29</w:t>
            </w:r>
          </w:p>
        </w:tc>
        <w:tc>
          <w:tcPr>
            <w:tcW w:w="1134" w:type="dxa"/>
            <w:vAlign w:val="center"/>
          </w:tcPr>
          <w:p>
            <w:pPr>
              <w:pStyle w:val="11"/>
            </w:pPr>
            <w:r>
              <w:t>114.29</w:t>
            </w:r>
          </w:p>
        </w:tc>
        <w:tc>
          <w:tcPr>
            <w:tcW w:w="1134" w:type="dxa"/>
            <w:vAlign w:val="center"/>
          </w:tcPr>
          <w:p>
            <w:pPr>
              <w:pStyle w:val="11"/>
            </w:pPr>
            <w:r>
              <w:t>114.29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58.92</w:t>
            </w:r>
          </w:p>
        </w:tc>
        <w:tc>
          <w:tcPr>
            <w:tcW w:w="1134" w:type="dxa"/>
            <w:vAlign w:val="center"/>
          </w:tcPr>
          <w:p>
            <w:pPr>
              <w:pStyle w:val="11"/>
            </w:pPr>
            <w:r>
              <w:t>58.92</w:t>
            </w:r>
          </w:p>
        </w:tc>
        <w:tc>
          <w:tcPr>
            <w:tcW w:w="1134" w:type="dxa"/>
            <w:vAlign w:val="center"/>
          </w:tcPr>
          <w:p>
            <w:pPr>
              <w:pStyle w:val="11"/>
            </w:pPr>
            <w:r>
              <w:t>58.92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52.23</w:t>
            </w:r>
          </w:p>
        </w:tc>
        <w:tc>
          <w:tcPr>
            <w:tcW w:w="1134" w:type="dxa"/>
            <w:vAlign w:val="center"/>
          </w:tcPr>
          <w:p>
            <w:pPr>
              <w:pStyle w:val="11"/>
            </w:pPr>
            <w:r>
              <w:t>52.23</w:t>
            </w:r>
          </w:p>
        </w:tc>
        <w:tc>
          <w:tcPr>
            <w:tcW w:w="1134" w:type="dxa"/>
            <w:vAlign w:val="center"/>
          </w:tcPr>
          <w:p>
            <w:pPr>
              <w:pStyle w:val="11"/>
            </w:pPr>
            <w:r>
              <w:t>52.23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3.13</w:t>
            </w:r>
          </w:p>
        </w:tc>
        <w:tc>
          <w:tcPr>
            <w:tcW w:w="1134" w:type="dxa"/>
            <w:vAlign w:val="center"/>
          </w:tcPr>
          <w:p>
            <w:pPr>
              <w:pStyle w:val="11"/>
            </w:pPr>
            <w:r>
              <w:t>3.13</w:t>
            </w:r>
          </w:p>
        </w:tc>
        <w:tc>
          <w:tcPr>
            <w:tcW w:w="1134" w:type="dxa"/>
            <w:vAlign w:val="center"/>
          </w:tcPr>
          <w:p>
            <w:pPr>
              <w:pStyle w:val="11"/>
            </w:pPr>
            <w:r>
              <w:t>3.13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71.60</w:t>
            </w:r>
          </w:p>
        </w:tc>
        <w:tc>
          <w:tcPr>
            <w:tcW w:w="1134" w:type="dxa"/>
            <w:vAlign w:val="center"/>
          </w:tcPr>
          <w:p>
            <w:pPr>
              <w:pStyle w:val="11"/>
            </w:pPr>
            <w:r>
              <w:t>71.60</w:t>
            </w:r>
          </w:p>
        </w:tc>
        <w:tc>
          <w:tcPr>
            <w:tcW w:w="1134" w:type="dxa"/>
            <w:vAlign w:val="center"/>
          </w:tcPr>
          <w:p>
            <w:pPr>
              <w:pStyle w:val="11"/>
            </w:pPr>
            <w:r>
              <w:t>71.60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71.60</w:t>
            </w:r>
          </w:p>
        </w:tc>
        <w:tc>
          <w:tcPr>
            <w:tcW w:w="1134" w:type="dxa"/>
            <w:vAlign w:val="center"/>
          </w:tcPr>
          <w:p>
            <w:pPr>
              <w:pStyle w:val="11"/>
            </w:pPr>
            <w:r>
              <w:t>71.60</w:t>
            </w:r>
          </w:p>
        </w:tc>
        <w:tc>
          <w:tcPr>
            <w:tcW w:w="1134" w:type="dxa"/>
            <w:vAlign w:val="center"/>
          </w:tcPr>
          <w:p>
            <w:pPr>
              <w:pStyle w:val="11"/>
            </w:pPr>
            <w:r>
              <w:t>71.60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22.79</w:t>
            </w:r>
          </w:p>
        </w:tc>
        <w:tc>
          <w:tcPr>
            <w:tcW w:w="1134" w:type="dxa"/>
            <w:vAlign w:val="center"/>
          </w:tcPr>
          <w:p>
            <w:pPr>
              <w:pStyle w:val="11"/>
            </w:pPr>
            <w:r>
              <w:t>22.79</w:t>
            </w:r>
          </w:p>
        </w:tc>
        <w:tc>
          <w:tcPr>
            <w:tcW w:w="1134" w:type="dxa"/>
            <w:vAlign w:val="center"/>
          </w:tcPr>
          <w:p>
            <w:pPr>
              <w:pStyle w:val="11"/>
            </w:pPr>
            <w:r>
              <w:t>22.79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48.81</w:t>
            </w:r>
          </w:p>
        </w:tc>
        <w:tc>
          <w:tcPr>
            <w:tcW w:w="1134" w:type="dxa"/>
            <w:vAlign w:val="center"/>
          </w:tcPr>
          <w:p>
            <w:pPr>
              <w:pStyle w:val="11"/>
            </w:pPr>
            <w:r>
              <w:t>48.81</w:t>
            </w:r>
          </w:p>
        </w:tc>
        <w:tc>
          <w:tcPr>
            <w:tcW w:w="1134" w:type="dxa"/>
            <w:vAlign w:val="center"/>
          </w:tcPr>
          <w:p>
            <w:pPr>
              <w:pStyle w:val="11"/>
            </w:pPr>
            <w:r>
              <w:t>48.81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19.77</w:t>
            </w:r>
          </w:p>
        </w:tc>
        <w:tc>
          <w:tcPr>
            <w:tcW w:w="1134" w:type="dxa"/>
            <w:vAlign w:val="center"/>
          </w:tcPr>
          <w:p>
            <w:pPr>
              <w:pStyle w:val="11"/>
            </w:pPr>
            <w:r>
              <w:t>19.77</w:t>
            </w:r>
          </w:p>
        </w:tc>
        <w:tc>
          <w:tcPr>
            <w:tcW w:w="1134" w:type="dxa"/>
            <w:vAlign w:val="center"/>
          </w:tcPr>
          <w:p>
            <w:pPr>
              <w:pStyle w:val="11"/>
            </w:pPr>
            <w:r>
              <w:t>19.77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19.77</w:t>
            </w:r>
          </w:p>
        </w:tc>
        <w:tc>
          <w:tcPr>
            <w:tcW w:w="1134" w:type="dxa"/>
            <w:vAlign w:val="center"/>
          </w:tcPr>
          <w:p>
            <w:pPr>
              <w:pStyle w:val="11"/>
            </w:pPr>
            <w:r>
              <w:t>19.77</w:t>
            </w:r>
          </w:p>
        </w:tc>
        <w:tc>
          <w:tcPr>
            <w:tcW w:w="1134" w:type="dxa"/>
            <w:vAlign w:val="center"/>
          </w:tcPr>
          <w:p>
            <w:pPr>
              <w:pStyle w:val="11"/>
            </w:pPr>
            <w:r>
              <w:t>19.77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19.77</w:t>
            </w:r>
          </w:p>
        </w:tc>
        <w:tc>
          <w:tcPr>
            <w:tcW w:w="1134" w:type="dxa"/>
            <w:vAlign w:val="center"/>
          </w:tcPr>
          <w:p>
            <w:pPr>
              <w:pStyle w:val="11"/>
            </w:pPr>
            <w:r>
              <w:t>19.77</w:t>
            </w:r>
          </w:p>
        </w:tc>
        <w:tc>
          <w:tcPr>
            <w:tcW w:w="1134" w:type="dxa"/>
            <w:vAlign w:val="center"/>
          </w:tcPr>
          <w:p>
            <w:pPr>
              <w:pStyle w:val="11"/>
            </w:pPr>
            <w:r>
              <w:t>19.77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40.19</w:t>
            </w:r>
          </w:p>
        </w:tc>
        <w:tc>
          <w:tcPr>
            <w:tcW w:w="1134" w:type="dxa"/>
            <w:vAlign w:val="center"/>
          </w:tcPr>
          <w:p>
            <w:pPr>
              <w:pStyle w:val="11"/>
            </w:pPr>
            <w:r>
              <w:t>40.19</w:t>
            </w:r>
          </w:p>
        </w:tc>
        <w:tc>
          <w:tcPr>
            <w:tcW w:w="1134" w:type="dxa"/>
            <w:vAlign w:val="center"/>
          </w:tcPr>
          <w:p>
            <w:pPr>
              <w:pStyle w:val="11"/>
            </w:pPr>
            <w:r>
              <w:t>40.19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40.19</w:t>
            </w:r>
          </w:p>
        </w:tc>
        <w:tc>
          <w:tcPr>
            <w:tcW w:w="1134" w:type="dxa"/>
            <w:vAlign w:val="center"/>
          </w:tcPr>
          <w:p>
            <w:pPr>
              <w:pStyle w:val="11"/>
            </w:pPr>
            <w:r>
              <w:t>40.19</w:t>
            </w:r>
          </w:p>
        </w:tc>
        <w:tc>
          <w:tcPr>
            <w:tcW w:w="1134" w:type="dxa"/>
            <w:vAlign w:val="center"/>
          </w:tcPr>
          <w:p>
            <w:pPr>
              <w:pStyle w:val="11"/>
            </w:pPr>
            <w:r>
              <w:t>40.19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40.19</w:t>
            </w:r>
          </w:p>
        </w:tc>
        <w:tc>
          <w:tcPr>
            <w:tcW w:w="1134" w:type="dxa"/>
            <w:vAlign w:val="center"/>
          </w:tcPr>
          <w:p>
            <w:pPr>
              <w:pStyle w:val="11"/>
            </w:pPr>
            <w:r>
              <w:t>40.19</w:t>
            </w:r>
          </w:p>
        </w:tc>
        <w:tc>
          <w:tcPr>
            <w:tcW w:w="1134" w:type="dxa"/>
            <w:vAlign w:val="center"/>
          </w:tcPr>
          <w:p>
            <w:pPr>
              <w:pStyle w:val="11"/>
            </w:pPr>
            <w:r>
              <w:t>40.19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222</w:t>
            </w:r>
          </w:p>
        </w:tc>
        <w:tc>
          <w:tcPr>
            <w:tcW w:w="1559" w:type="dxa"/>
            <w:vAlign w:val="center"/>
          </w:tcPr>
          <w:p>
            <w:pPr>
              <w:pStyle w:val="12"/>
            </w:pPr>
            <w:r>
              <w:t>粮油物资储备支出</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22201</w:t>
            </w:r>
          </w:p>
        </w:tc>
        <w:tc>
          <w:tcPr>
            <w:tcW w:w="1559" w:type="dxa"/>
            <w:vAlign w:val="center"/>
          </w:tcPr>
          <w:p>
            <w:pPr>
              <w:pStyle w:val="12"/>
            </w:pPr>
            <w:r>
              <w:t>粮油物资事务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2220199</w:t>
            </w:r>
          </w:p>
        </w:tc>
        <w:tc>
          <w:tcPr>
            <w:tcW w:w="1559" w:type="dxa"/>
            <w:vAlign w:val="center"/>
          </w:tcPr>
          <w:p>
            <w:pPr>
              <w:pStyle w:val="12"/>
            </w:pPr>
            <w:r>
              <w:t>其他粮油物资事务支出</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303001发改部门发展和改革局本级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815.80</w:t>
            </w:r>
          </w:p>
        </w:tc>
        <w:tc>
          <w:tcPr>
            <w:tcW w:w="1361" w:type="dxa"/>
            <w:vAlign w:val="center"/>
          </w:tcPr>
          <w:p>
            <w:pPr>
              <w:pStyle w:val="15"/>
            </w:pPr>
            <w:r>
              <w:t>631.03</w:t>
            </w:r>
          </w:p>
        </w:tc>
        <w:tc>
          <w:tcPr>
            <w:tcW w:w="1361" w:type="dxa"/>
            <w:vAlign w:val="center"/>
          </w:tcPr>
          <w:p>
            <w:pPr>
              <w:pStyle w:val="15"/>
            </w:pPr>
            <w:r>
              <w:t>184.77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464.57</w:t>
            </w:r>
          </w:p>
        </w:tc>
        <w:tc>
          <w:tcPr>
            <w:tcW w:w="1361" w:type="dxa"/>
            <w:vAlign w:val="center"/>
          </w:tcPr>
          <w:p>
            <w:pPr>
              <w:pStyle w:val="11"/>
            </w:pPr>
            <w:r>
              <w:t>402.57</w:t>
            </w:r>
          </w:p>
        </w:tc>
        <w:tc>
          <w:tcPr>
            <w:tcW w:w="1361" w:type="dxa"/>
            <w:vAlign w:val="center"/>
          </w:tcPr>
          <w:p>
            <w:pPr>
              <w:pStyle w:val="11"/>
            </w:pPr>
            <w:r>
              <w:t>62.00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20104</w:t>
            </w:r>
          </w:p>
        </w:tc>
        <w:tc>
          <w:tcPr>
            <w:tcW w:w="4535" w:type="dxa"/>
            <w:vAlign w:val="center"/>
          </w:tcPr>
          <w:p>
            <w:pPr>
              <w:pStyle w:val="12"/>
            </w:pPr>
            <w:r>
              <w:t>发展与改革事务</w:t>
            </w:r>
          </w:p>
        </w:tc>
        <w:tc>
          <w:tcPr>
            <w:tcW w:w="1361" w:type="dxa"/>
            <w:vAlign w:val="center"/>
          </w:tcPr>
          <w:p>
            <w:pPr>
              <w:pStyle w:val="11"/>
            </w:pPr>
            <w:r>
              <w:t>454.57</w:t>
            </w:r>
          </w:p>
        </w:tc>
        <w:tc>
          <w:tcPr>
            <w:tcW w:w="1361" w:type="dxa"/>
            <w:vAlign w:val="center"/>
          </w:tcPr>
          <w:p>
            <w:pPr>
              <w:pStyle w:val="11"/>
            </w:pPr>
            <w:r>
              <w:t>402.57</w:t>
            </w:r>
          </w:p>
        </w:tc>
        <w:tc>
          <w:tcPr>
            <w:tcW w:w="1361" w:type="dxa"/>
            <w:vAlign w:val="center"/>
          </w:tcPr>
          <w:p>
            <w:pPr>
              <w:pStyle w:val="11"/>
            </w:pPr>
            <w:r>
              <w:t>52.00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2010401</w:t>
            </w:r>
          </w:p>
        </w:tc>
        <w:tc>
          <w:tcPr>
            <w:tcW w:w="4535" w:type="dxa"/>
            <w:vAlign w:val="center"/>
          </w:tcPr>
          <w:p>
            <w:pPr>
              <w:pStyle w:val="12"/>
            </w:pPr>
            <w:r>
              <w:t>行政运行</w:t>
            </w:r>
          </w:p>
        </w:tc>
        <w:tc>
          <w:tcPr>
            <w:tcW w:w="1361" w:type="dxa"/>
            <w:vAlign w:val="center"/>
          </w:tcPr>
          <w:p>
            <w:pPr>
              <w:pStyle w:val="11"/>
            </w:pPr>
            <w:r>
              <w:t>402.57</w:t>
            </w:r>
          </w:p>
        </w:tc>
        <w:tc>
          <w:tcPr>
            <w:tcW w:w="1361" w:type="dxa"/>
            <w:vAlign w:val="center"/>
          </w:tcPr>
          <w:p>
            <w:pPr>
              <w:pStyle w:val="11"/>
            </w:pPr>
            <w:r>
              <w:t>402.57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2010404</w:t>
            </w:r>
          </w:p>
        </w:tc>
        <w:tc>
          <w:tcPr>
            <w:tcW w:w="4535" w:type="dxa"/>
            <w:vAlign w:val="center"/>
          </w:tcPr>
          <w:p>
            <w:pPr>
              <w:pStyle w:val="12"/>
            </w:pPr>
            <w:r>
              <w:t>战略规划与实施</w:t>
            </w:r>
          </w:p>
        </w:tc>
        <w:tc>
          <w:tcPr>
            <w:tcW w:w="1361" w:type="dxa"/>
            <w:vAlign w:val="center"/>
          </w:tcPr>
          <w:p>
            <w:pPr>
              <w:pStyle w:val="11"/>
            </w:pPr>
            <w:r>
              <w:t>51.00</w:t>
            </w:r>
          </w:p>
        </w:tc>
        <w:tc>
          <w:tcPr>
            <w:tcW w:w="1361" w:type="dxa"/>
            <w:vAlign w:val="center"/>
          </w:tcPr>
          <w:p>
            <w:pPr>
              <w:pStyle w:val="11"/>
            </w:pPr>
          </w:p>
        </w:tc>
        <w:tc>
          <w:tcPr>
            <w:tcW w:w="1361" w:type="dxa"/>
            <w:vAlign w:val="center"/>
          </w:tcPr>
          <w:p>
            <w:pPr>
              <w:pStyle w:val="11"/>
            </w:pPr>
            <w:r>
              <w:t>51.00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2010499</w:t>
            </w:r>
          </w:p>
        </w:tc>
        <w:tc>
          <w:tcPr>
            <w:tcW w:w="4535" w:type="dxa"/>
            <w:vAlign w:val="center"/>
          </w:tcPr>
          <w:p>
            <w:pPr>
              <w:pStyle w:val="12"/>
            </w:pPr>
            <w:r>
              <w:t>其他发展与改革事务支出</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20199</w:t>
            </w:r>
          </w:p>
        </w:tc>
        <w:tc>
          <w:tcPr>
            <w:tcW w:w="4535" w:type="dxa"/>
            <w:vAlign w:val="center"/>
          </w:tcPr>
          <w:p>
            <w:pPr>
              <w:pStyle w:val="12"/>
            </w:pPr>
            <w:r>
              <w:t>其他一般公共服务支出</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2019999</w:t>
            </w:r>
          </w:p>
        </w:tc>
        <w:tc>
          <w:tcPr>
            <w:tcW w:w="4535" w:type="dxa"/>
            <w:vAlign w:val="center"/>
          </w:tcPr>
          <w:p>
            <w:pPr>
              <w:pStyle w:val="12"/>
            </w:pPr>
            <w:r>
              <w:t>其他一般公共服务支出</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203</w:t>
            </w:r>
          </w:p>
        </w:tc>
        <w:tc>
          <w:tcPr>
            <w:tcW w:w="4535" w:type="dxa"/>
            <w:vAlign w:val="center"/>
          </w:tcPr>
          <w:p>
            <w:pPr>
              <w:pStyle w:val="12"/>
            </w:pPr>
            <w:r>
              <w:t>国防支出</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20306</w:t>
            </w:r>
          </w:p>
        </w:tc>
        <w:tc>
          <w:tcPr>
            <w:tcW w:w="4535" w:type="dxa"/>
            <w:vAlign w:val="center"/>
          </w:tcPr>
          <w:p>
            <w:pPr>
              <w:pStyle w:val="12"/>
            </w:pPr>
            <w:r>
              <w:t>国防动员</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2030603</w:t>
            </w:r>
          </w:p>
        </w:tc>
        <w:tc>
          <w:tcPr>
            <w:tcW w:w="4535" w:type="dxa"/>
            <w:vAlign w:val="center"/>
          </w:tcPr>
          <w:p>
            <w:pPr>
              <w:pStyle w:val="12"/>
            </w:pPr>
            <w:r>
              <w:t>人民防空</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116.67</w:t>
            </w:r>
          </w:p>
        </w:tc>
        <w:tc>
          <w:tcPr>
            <w:tcW w:w="1361" w:type="dxa"/>
            <w:vAlign w:val="center"/>
          </w:tcPr>
          <w:p>
            <w:pPr>
              <w:pStyle w:val="11"/>
            </w:pPr>
            <w:r>
              <w:t>116.67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114.29</w:t>
            </w:r>
          </w:p>
        </w:tc>
        <w:tc>
          <w:tcPr>
            <w:tcW w:w="1361" w:type="dxa"/>
            <w:vAlign w:val="center"/>
          </w:tcPr>
          <w:p>
            <w:pPr>
              <w:pStyle w:val="11"/>
            </w:pPr>
            <w:r>
              <w:t>114.29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58.92</w:t>
            </w:r>
          </w:p>
        </w:tc>
        <w:tc>
          <w:tcPr>
            <w:tcW w:w="1361" w:type="dxa"/>
            <w:vAlign w:val="center"/>
          </w:tcPr>
          <w:p>
            <w:pPr>
              <w:pStyle w:val="11"/>
            </w:pPr>
            <w:r>
              <w:t>58.92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52.23</w:t>
            </w:r>
          </w:p>
        </w:tc>
        <w:tc>
          <w:tcPr>
            <w:tcW w:w="1361" w:type="dxa"/>
            <w:vAlign w:val="center"/>
          </w:tcPr>
          <w:p>
            <w:pPr>
              <w:pStyle w:val="11"/>
            </w:pPr>
            <w:r>
              <w:t>52.23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3.13</w:t>
            </w:r>
          </w:p>
        </w:tc>
        <w:tc>
          <w:tcPr>
            <w:tcW w:w="1361" w:type="dxa"/>
            <w:vAlign w:val="center"/>
          </w:tcPr>
          <w:p>
            <w:pPr>
              <w:pStyle w:val="11"/>
            </w:pPr>
            <w:r>
              <w:t>3.13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2.38</w:t>
            </w:r>
          </w:p>
        </w:tc>
        <w:tc>
          <w:tcPr>
            <w:tcW w:w="1361" w:type="dxa"/>
            <w:vAlign w:val="center"/>
          </w:tcPr>
          <w:p>
            <w:pPr>
              <w:pStyle w:val="11"/>
            </w:pPr>
            <w:r>
              <w:t>2.38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2.38</w:t>
            </w:r>
          </w:p>
        </w:tc>
        <w:tc>
          <w:tcPr>
            <w:tcW w:w="1361" w:type="dxa"/>
            <w:vAlign w:val="center"/>
          </w:tcPr>
          <w:p>
            <w:pPr>
              <w:pStyle w:val="11"/>
            </w:pPr>
            <w:r>
              <w:t>2.38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71.60</w:t>
            </w:r>
          </w:p>
        </w:tc>
        <w:tc>
          <w:tcPr>
            <w:tcW w:w="1361" w:type="dxa"/>
            <w:vAlign w:val="center"/>
          </w:tcPr>
          <w:p>
            <w:pPr>
              <w:pStyle w:val="11"/>
            </w:pPr>
            <w:r>
              <w:t>71.60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71.60</w:t>
            </w:r>
          </w:p>
        </w:tc>
        <w:tc>
          <w:tcPr>
            <w:tcW w:w="1361" w:type="dxa"/>
            <w:vAlign w:val="center"/>
          </w:tcPr>
          <w:p>
            <w:pPr>
              <w:pStyle w:val="11"/>
            </w:pPr>
            <w:r>
              <w:t>71.60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22.79</w:t>
            </w:r>
          </w:p>
        </w:tc>
        <w:tc>
          <w:tcPr>
            <w:tcW w:w="1361" w:type="dxa"/>
            <w:vAlign w:val="center"/>
          </w:tcPr>
          <w:p>
            <w:pPr>
              <w:pStyle w:val="11"/>
            </w:pPr>
            <w:r>
              <w:t>22.79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48.81</w:t>
            </w:r>
          </w:p>
        </w:tc>
        <w:tc>
          <w:tcPr>
            <w:tcW w:w="1361" w:type="dxa"/>
            <w:vAlign w:val="center"/>
          </w:tcPr>
          <w:p>
            <w:pPr>
              <w:pStyle w:val="11"/>
            </w:pPr>
            <w:r>
              <w:t>48.81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19.77</w:t>
            </w:r>
          </w:p>
        </w:tc>
        <w:tc>
          <w:tcPr>
            <w:tcW w:w="1361" w:type="dxa"/>
            <w:vAlign w:val="center"/>
          </w:tcPr>
          <w:p>
            <w:pPr>
              <w:pStyle w:val="11"/>
            </w:pPr>
          </w:p>
        </w:tc>
        <w:tc>
          <w:tcPr>
            <w:tcW w:w="1361" w:type="dxa"/>
            <w:vAlign w:val="center"/>
          </w:tcPr>
          <w:p>
            <w:pPr>
              <w:pStyle w:val="11"/>
            </w:pPr>
            <w:r>
              <w:t>19.77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19.77</w:t>
            </w:r>
          </w:p>
        </w:tc>
        <w:tc>
          <w:tcPr>
            <w:tcW w:w="1361" w:type="dxa"/>
            <w:vAlign w:val="center"/>
          </w:tcPr>
          <w:p>
            <w:pPr>
              <w:pStyle w:val="11"/>
            </w:pPr>
          </w:p>
        </w:tc>
        <w:tc>
          <w:tcPr>
            <w:tcW w:w="1361" w:type="dxa"/>
            <w:vAlign w:val="center"/>
          </w:tcPr>
          <w:p>
            <w:pPr>
              <w:pStyle w:val="11"/>
            </w:pPr>
            <w:r>
              <w:t>19.77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19.77</w:t>
            </w:r>
          </w:p>
        </w:tc>
        <w:tc>
          <w:tcPr>
            <w:tcW w:w="1361" w:type="dxa"/>
            <w:vAlign w:val="center"/>
          </w:tcPr>
          <w:p>
            <w:pPr>
              <w:pStyle w:val="11"/>
            </w:pPr>
          </w:p>
        </w:tc>
        <w:tc>
          <w:tcPr>
            <w:tcW w:w="1361" w:type="dxa"/>
            <w:vAlign w:val="center"/>
          </w:tcPr>
          <w:p>
            <w:pPr>
              <w:pStyle w:val="11"/>
            </w:pPr>
            <w:r>
              <w:t>19.77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40.19</w:t>
            </w:r>
          </w:p>
        </w:tc>
        <w:tc>
          <w:tcPr>
            <w:tcW w:w="1361" w:type="dxa"/>
            <w:vAlign w:val="center"/>
          </w:tcPr>
          <w:p>
            <w:pPr>
              <w:pStyle w:val="11"/>
            </w:pPr>
            <w:r>
              <w:t>40.19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40.19</w:t>
            </w:r>
          </w:p>
        </w:tc>
        <w:tc>
          <w:tcPr>
            <w:tcW w:w="1361" w:type="dxa"/>
            <w:vAlign w:val="center"/>
          </w:tcPr>
          <w:p>
            <w:pPr>
              <w:pStyle w:val="11"/>
            </w:pPr>
            <w:r>
              <w:t>40.19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40.19</w:t>
            </w:r>
          </w:p>
        </w:tc>
        <w:tc>
          <w:tcPr>
            <w:tcW w:w="1361" w:type="dxa"/>
            <w:vAlign w:val="center"/>
          </w:tcPr>
          <w:p>
            <w:pPr>
              <w:pStyle w:val="11"/>
            </w:pPr>
            <w:r>
              <w:t>40.19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222</w:t>
            </w:r>
          </w:p>
        </w:tc>
        <w:tc>
          <w:tcPr>
            <w:tcW w:w="4535" w:type="dxa"/>
            <w:vAlign w:val="center"/>
          </w:tcPr>
          <w:p>
            <w:pPr>
              <w:pStyle w:val="12"/>
            </w:pPr>
            <w:r>
              <w:t>粮油物资储备支出</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22201</w:t>
            </w:r>
          </w:p>
        </w:tc>
        <w:tc>
          <w:tcPr>
            <w:tcW w:w="4535" w:type="dxa"/>
            <w:vAlign w:val="center"/>
          </w:tcPr>
          <w:p>
            <w:pPr>
              <w:pStyle w:val="12"/>
            </w:pPr>
            <w:r>
              <w:t>粮油物资事务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2220199</w:t>
            </w:r>
          </w:p>
        </w:tc>
        <w:tc>
          <w:tcPr>
            <w:tcW w:w="4535" w:type="dxa"/>
            <w:vAlign w:val="center"/>
          </w:tcPr>
          <w:p>
            <w:pPr>
              <w:pStyle w:val="12"/>
            </w:pPr>
            <w:r>
              <w:t>其他粮油物资事务支出</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303001发改部门发展和改革局本级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815.80</w:t>
            </w:r>
          </w:p>
        </w:tc>
        <w:tc>
          <w:tcPr>
            <w:tcW w:w="3402" w:type="dxa"/>
            <w:vAlign w:val="center"/>
          </w:tcPr>
          <w:p>
            <w:pPr>
              <w:pStyle w:val="12"/>
            </w:pPr>
            <w:r>
              <w:t>一、一般公共服务支出</w:t>
            </w:r>
          </w:p>
        </w:tc>
        <w:tc>
          <w:tcPr>
            <w:tcW w:w="1474" w:type="dxa"/>
            <w:vAlign w:val="center"/>
          </w:tcPr>
          <w:p>
            <w:pPr>
              <w:pStyle w:val="11"/>
            </w:pPr>
            <w:r>
              <w:t>464.57</w:t>
            </w:r>
          </w:p>
        </w:tc>
        <w:tc>
          <w:tcPr>
            <w:tcW w:w="1474" w:type="dxa"/>
            <w:vAlign w:val="center"/>
          </w:tcPr>
          <w:p>
            <w:pPr>
              <w:pStyle w:val="11"/>
            </w:pPr>
            <w:r>
              <w:t>464.57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r>
              <w:t>100.00</w:t>
            </w:r>
          </w:p>
        </w:tc>
        <w:tc>
          <w:tcPr>
            <w:tcW w:w="1474" w:type="dxa"/>
            <w:vAlign w:val="center"/>
          </w:tcPr>
          <w:p>
            <w:pPr>
              <w:pStyle w:val="11"/>
            </w:pPr>
            <w:r>
              <w:t>100.00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116.67</w:t>
            </w:r>
          </w:p>
        </w:tc>
        <w:tc>
          <w:tcPr>
            <w:tcW w:w="1474" w:type="dxa"/>
            <w:vAlign w:val="center"/>
          </w:tcPr>
          <w:p>
            <w:pPr>
              <w:pStyle w:val="11"/>
            </w:pPr>
            <w:r>
              <w:t>116.67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71.60</w:t>
            </w:r>
          </w:p>
        </w:tc>
        <w:tc>
          <w:tcPr>
            <w:tcW w:w="1474" w:type="dxa"/>
            <w:vAlign w:val="center"/>
          </w:tcPr>
          <w:p>
            <w:pPr>
              <w:pStyle w:val="11"/>
            </w:pPr>
            <w:r>
              <w:t>71.60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19.77</w:t>
            </w:r>
          </w:p>
        </w:tc>
        <w:tc>
          <w:tcPr>
            <w:tcW w:w="1474" w:type="dxa"/>
            <w:vAlign w:val="center"/>
          </w:tcPr>
          <w:p>
            <w:pPr>
              <w:pStyle w:val="11"/>
            </w:pPr>
            <w:r>
              <w:t>19.77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40.19</w:t>
            </w:r>
          </w:p>
        </w:tc>
        <w:tc>
          <w:tcPr>
            <w:tcW w:w="1474" w:type="dxa"/>
            <w:vAlign w:val="center"/>
          </w:tcPr>
          <w:p>
            <w:pPr>
              <w:pStyle w:val="11"/>
            </w:pPr>
            <w:r>
              <w:t>40.19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r>
              <w:t>3.00</w:t>
            </w:r>
          </w:p>
        </w:tc>
        <w:tc>
          <w:tcPr>
            <w:tcW w:w="1474" w:type="dxa"/>
            <w:vAlign w:val="center"/>
          </w:tcPr>
          <w:p>
            <w:pPr>
              <w:pStyle w:val="11"/>
            </w:pPr>
            <w:r>
              <w:t>3.00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815.80</w:t>
            </w:r>
          </w:p>
        </w:tc>
        <w:tc>
          <w:tcPr>
            <w:tcW w:w="3402" w:type="dxa"/>
            <w:vAlign w:val="center"/>
          </w:tcPr>
          <w:p>
            <w:pPr>
              <w:pStyle w:val="14"/>
            </w:pPr>
            <w:r>
              <w:t>本年支出合计</w:t>
            </w:r>
          </w:p>
        </w:tc>
        <w:tc>
          <w:tcPr>
            <w:tcW w:w="1474" w:type="dxa"/>
            <w:vAlign w:val="center"/>
          </w:tcPr>
          <w:p>
            <w:pPr>
              <w:pStyle w:val="15"/>
            </w:pPr>
            <w:r>
              <w:t>815.80</w:t>
            </w:r>
          </w:p>
        </w:tc>
        <w:tc>
          <w:tcPr>
            <w:tcW w:w="1474" w:type="dxa"/>
            <w:vAlign w:val="center"/>
          </w:tcPr>
          <w:p>
            <w:pPr>
              <w:pStyle w:val="15"/>
            </w:pPr>
            <w:r>
              <w:t>815.80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815.80</w:t>
            </w:r>
          </w:p>
        </w:tc>
        <w:tc>
          <w:tcPr>
            <w:tcW w:w="3402" w:type="dxa"/>
            <w:vAlign w:val="center"/>
          </w:tcPr>
          <w:p>
            <w:pPr>
              <w:pStyle w:val="14"/>
            </w:pPr>
            <w:r>
              <w:t>支出总计</w:t>
            </w:r>
          </w:p>
        </w:tc>
        <w:tc>
          <w:tcPr>
            <w:tcW w:w="1474" w:type="dxa"/>
            <w:vAlign w:val="center"/>
          </w:tcPr>
          <w:p>
            <w:pPr>
              <w:pStyle w:val="15"/>
            </w:pPr>
            <w:r>
              <w:t>815.80</w:t>
            </w:r>
          </w:p>
        </w:tc>
        <w:tc>
          <w:tcPr>
            <w:tcW w:w="1474" w:type="dxa"/>
            <w:vAlign w:val="center"/>
          </w:tcPr>
          <w:p>
            <w:pPr>
              <w:pStyle w:val="15"/>
            </w:pPr>
            <w:r>
              <w:t>815.80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303001发改部门发展和改革局本级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815.80</w:t>
            </w:r>
          </w:p>
        </w:tc>
        <w:tc>
          <w:tcPr>
            <w:tcW w:w="2551" w:type="dxa"/>
            <w:vAlign w:val="center"/>
          </w:tcPr>
          <w:p>
            <w:pPr>
              <w:pStyle w:val="15"/>
            </w:pPr>
            <w:r>
              <w:t>631.03</w:t>
            </w:r>
          </w:p>
        </w:tc>
        <w:tc>
          <w:tcPr>
            <w:tcW w:w="2551" w:type="dxa"/>
            <w:vAlign w:val="center"/>
          </w:tcPr>
          <w:p>
            <w:pPr>
              <w:pStyle w:val="15"/>
            </w:pPr>
            <w:r>
              <w:t>184.77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464.57</w:t>
            </w:r>
          </w:p>
        </w:tc>
        <w:tc>
          <w:tcPr>
            <w:tcW w:w="2551" w:type="dxa"/>
            <w:vAlign w:val="center"/>
          </w:tcPr>
          <w:p>
            <w:pPr>
              <w:pStyle w:val="11"/>
            </w:pPr>
            <w:r>
              <w:t>402.57</w:t>
            </w:r>
          </w:p>
        </w:tc>
        <w:tc>
          <w:tcPr>
            <w:tcW w:w="2551" w:type="dxa"/>
            <w:vAlign w:val="center"/>
          </w:tcPr>
          <w:p>
            <w:pPr>
              <w:pStyle w:val="11"/>
            </w:pPr>
            <w:r>
              <w:t>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20104</w:t>
            </w:r>
          </w:p>
        </w:tc>
        <w:tc>
          <w:tcPr>
            <w:tcW w:w="4535" w:type="dxa"/>
            <w:vAlign w:val="center"/>
          </w:tcPr>
          <w:p>
            <w:pPr>
              <w:pStyle w:val="12"/>
            </w:pPr>
            <w:r>
              <w:t>发展与改革事务</w:t>
            </w:r>
          </w:p>
        </w:tc>
        <w:tc>
          <w:tcPr>
            <w:tcW w:w="2551" w:type="dxa"/>
            <w:vAlign w:val="center"/>
          </w:tcPr>
          <w:p>
            <w:pPr>
              <w:pStyle w:val="11"/>
            </w:pPr>
            <w:r>
              <w:t>454.57</w:t>
            </w:r>
          </w:p>
        </w:tc>
        <w:tc>
          <w:tcPr>
            <w:tcW w:w="2551" w:type="dxa"/>
            <w:vAlign w:val="center"/>
          </w:tcPr>
          <w:p>
            <w:pPr>
              <w:pStyle w:val="11"/>
            </w:pPr>
            <w:r>
              <w:t>402.57</w:t>
            </w:r>
          </w:p>
        </w:tc>
        <w:tc>
          <w:tcPr>
            <w:tcW w:w="2551" w:type="dxa"/>
            <w:vAlign w:val="center"/>
          </w:tcPr>
          <w:p>
            <w:pPr>
              <w:pStyle w:val="11"/>
            </w:pPr>
            <w:r>
              <w:t>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2010401</w:t>
            </w:r>
          </w:p>
        </w:tc>
        <w:tc>
          <w:tcPr>
            <w:tcW w:w="4535" w:type="dxa"/>
            <w:vAlign w:val="center"/>
          </w:tcPr>
          <w:p>
            <w:pPr>
              <w:pStyle w:val="12"/>
            </w:pPr>
            <w:r>
              <w:t>行政运行</w:t>
            </w:r>
          </w:p>
        </w:tc>
        <w:tc>
          <w:tcPr>
            <w:tcW w:w="2551" w:type="dxa"/>
            <w:vAlign w:val="center"/>
          </w:tcPr>
          <w:p>
            <w:pPr>
              <w:pStyle w:val="11"/>
            </w:pPr>
            <w:r>
              <w:t>402.57</w:t>
            </w:r>
          </w:p>
        </w:tc>
        <w:tc>
          <w:tcPr>
            <w:tcW w:w="2551" w:type="dxa"/>
            <w:vAlign w:val="center"/>
          </w:tcPr>
          <w:p>
            <w:pPr>
              <w:pStyle w:val="11"/>
            </w:pPr>
            <w:r>
              <w:t>402.57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2010404</w:t>
            </w:r>
          </w:p>
        </w:tc>
        <w:tc>
          <w:tcPr>
            <w:tcW w:w="4535" w:type="dxa"/>
            <w:vAlign w:val="center"/>
          </w:tcPr>
          <w:p>
            <w:pPr>
              <w:pStyle w:val="12"/>
            </w:pPr>
            <w:r>
              <w:t>战略规划与实施</w:t>
            </w:r>
          </w:p>
        </w:tc>
        <w:tc>
          <w:tcPr>
            <w:tcW w:w="2551" w:type="dxa"/>
            <w:vAlign w:val="center"/>
          </w:tcPr>
          <w:p>
            <w:pPr>
              <w:pStyle w:val="11"/>
            </w:pPr>
            <w:r>
              <w:t>51.00</w:t>
            </w:r>
          </w:p>
        </w:tc>
        <w:tc>
          <w:tcPr>
            <w:tcW w:w="2551" w:type="dxa"/>
            <w:vAlign w:val="center"/>
          </w:tcPr>
          <w:p>
            <w:pPr>
              <w:pStyle w:val="11"/>
            </w:pPr>
          </w:p>
        </w:tc>
        <w:tc>
          <w:tcPr>
            <w:tcW w:w="2551" w:type="dxa"/>
            <w:vAlign w:val="center"/>
          </w:tcPr>
          <w:p>
            <w:pPr>
              <w:pStyle w:val="11"/>
            </w:pPr>
            <w:r>
              <w:t>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2010499</w:t>
            </w:r>
          </w:p>
        </w:tc>
        <w:tc>
          <w:tcPr>
            <w:tcW w:w="4535" w:type="dxa"/>
            <w:vAlign w:val="center"/>
          </w:tcPr>
          <w:p>
            <w:pPr>
              <w:pStyle w:val="12"/>
            </w:pPr>
            <w:r>
              <w:t>其他发展与改革事务支出</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20199</w:t>
            </w:r>
          </w:p>
        </w:tc>
        <w:tc>
          <w:tcPr>
            <w:tcW w:w="4535" w:type="dxa"/>
            <w:vAlign w:val="center"/>
          </w:tcPr>
          <w:p>
            <w:pPr>
              <w:pStyle w:val="12"/>
            </w:pPr>
            <w:r>
              <w:t>其他一般公共服务支出</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8</w:t>
            </w:r>
          </w:p>
        </w:tc>
        <w:tc>
          <w:tcPr>
            <w:tcW w:w="1191" w:type="dxa"/>
            <w:vAlign w:val="center"/>
          </w:tcPr>
          <w:p>
            <w:pPr>
              <w:pStyle w:val="12"/>
            </w:pPr>
            <w:r>
              <w:t>2019999</w:t>
            </w:r>
          </w:p>
        </w:tc>
        <w:tc>
          <w:tcPr>
            <w:tcW w:w="4535" w:type="dxa"/>
            <w:vAlign w:val="center"/>
          </w:tcPr>
          <w:p>
            <w:pPr>
              <w:pStyle w:val="12"/>
            </w:pPr>
            <w:r>
              <w:t>其他一般公共服务支出</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9</w:t>
            </w:r>
          </w:p>
        </w:tc>
        <w:tc>
          <w:tcPr>
            <w:tcW w:w="1191" w:type="dxa"/>
            <w:vAlign w:val="center"/>
          </w:tcPr>
          <w:p>
            <w:pPr>
              <w:pStyle w:val="12"/>
            </w:pPr>
            <w:r>
              <w:t>203</w:t>
            </w:r>
          </w:p>
        </w:tc>
        <w:tc>
          <w:tcPr>
            <w:tcW w:w="4535" w:type="dxa"/>
            <w:vAlign w:val="center"/>
          </w:tcPr>
          <w:p>
            <w:pPr>
              <w:pStyle w:val="12"/>
            </w:pPr>
            <w:r>
              <w:t>国防支出</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20306</w:t>
            </w:r>
          </w:p>
        </w:tc>
        <w:tc>
          <w:tcPr>
            <w:tcW w:w="4535" w:type="dxa"/>
            <w:vAlign w:val="center"/>
          </w:tcPr>
          <w:p>
            <w:pPr>
              <w:pStyle w:val="12"/>
            </w:pPr>
            <w:r>
              <w:t>国防动员</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11</w:t>
            </w:r>
          </w:p>
        </w:tc>
        <w:tc>
          <w:tcPr>
            <w:tcW w:w="1191" w:type="dxa"/>
            <w:vAlign w:val="center"/>
          </w:tcPr>
          <w:p>
            <w:pPr>
              <w:pStyle w:val="12"/>
            </w:pPr>
            <w:r>
              <w:t>2030603</w:t>
            </w:r>
          </w:p>
        </w:tc>
        <w:tc>
          <w:tcPr>
            <w:tcW w:w="4535" w:type="dxa"/>
            <w:vAlign w:val="center"/>
          </w:tcPr>
          <w:p>
            <w:pPr>
              <w:pStyle w:val="12"/>
            </w:pPr>
            <w:r>
              <w:t>人民防空</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116.67</w:t>
            </w:r>
          </w:p>
        </w:tc>
        <w:tc>
          <w:tcPr>
            <w:tcW w:w="2551" w:type="dxa"/>
            <w:vAlign w:val="center"/>
          </w:tcPr>
          <w:p>
            <w:pPr>
              <w:pStyle w:val="11"/>
            </w:pPr>
            <w:r>
              <w:t>116.67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114.29</w:t>
            </w:r>
          </w:p>
        </w:tc>
        <w:tc>
          <w:tcPr>
            <w:tcW w:w="2551" w:type="dxa"/>
            <w:vAlign w:val="center"/>
          </w:tcPr>
          <w:p>
            <w:pPr>
              <w:pStyle w:val="11"/>
            </w:pPr>
            <w:r>
              <w:t>114.29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58.92</w:t>
            </w:r>
          </w:p>
        </w:tc>
        <w:tc>
          <w:tcPr>
            <w:tcW w:w="2551" w:type="dxa"/>
            <w:vAlign w:val="center"/>
          </w:tcPr>
          <w:p>
            <w:pPr>
              <w:pStyle w:val="11"/>
            </w:pPr>
            <w:r>
              <w:t>58.92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52.23</w:t>
            </w:r>
          </w:p>
        </w:tc>
        <w:tc>
          <w:tcPr>
            <w:tcW w:w="2551" w:type="dxa"/>
            <w:vAlign w:val="center"/>
          </w:tcPr>
          <w:p>
            <w:pPr>
              <w:pStyle w:val="11"/>
            </w:pPr>
            <w:r>
              <w:t>52.23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3.13</w:t>
            </w:r>
          </w:p>
        </w:tc>
        <w:tc>
          <w:tcPr>
            <w:tcW w:w="2551" w:type="dxa"/>
            <w:vAlign w:val="center"/>
          </w:tcPr>
          <w:p>
            <w:pPr>
              <w:pStyle w:val="11"/>
            </w:pPr>
            <w:r>
              <w:t>3.13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2.38</w:t>
            </w:r>
          </w:p>
        </w:tc>
        <w:tc>
          <w:tcPr>
            <w:tcW w:w="2551" w:type="dxa"/>
            <w:vAlign w:val="center"/>
          </w:tcPr>
          <w:p>
            <w:pPr>
              <w:pStyle w:val="11"/>
            </w:pPr>
            <w:r>
              <w:t>2.38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2.38</w:t>
            </w:r>
          </w:p>
        </w:tc>
        <w:tc>
          <w:tcPr>
            <w:tcW w:w="2551" w:type="dxa"/>
            <w:vAlign w:val="center"/>
          </w:tcPr>
          <w:p>
            <w:pPr>
              <w:pStyle w:val="11"/>
            </w:pPr>
            <w:r>
              <w:t>2.38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71.60</w:t>
            </w:r>
          </w:p>
        </w:tc>
        <w:tc>
          <w:tcPr>
            <w:tcW w:w="2551" w:type="dxa"/>
            <w:vAlign w:val="center"/>
          </w:tcPr>
          <w:p>
            <w:pPr>
              <w:pStyle w:val="11"/>
            </w:pPr>
            <w:r>
              <w:t>71.60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71.60</w:t>
            </w:r>
          </w:p>
        </w:tc>
        <w:tc>
          <w:tcPr>
            <w:tcW w:w="2551" w:type="dxa"/>
            <w:vAlign w:val="center"/>
          </w:tcPr>
          <w:p>
            <w:pPr>
              <w:pStyle w:val="11"/>
            </w:pPr>
            <w:r>
              <w:t>71.60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22.79</w:t>
            </w:r>
          </w:p>
        </w:tc>
        <w:tc>
          <w:tcPr>
            <w:tcW w:w="2551" w:type="dxa"/>
            <w:vAlign w:val="center"/>
          </w:tcPr>
          <w:p>
            <w:pPr>
              <w:pStyle w:val="11"/>
            </w:pPr>
            <w:r>
              <w:t>22.79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48.81</w:t>
            </w:r>
          </w:p>
        </w:tc>
        <w:tc>
          <w:tcPr>
            <w:tcW w:w="2551" w:type="dxa"/>
            <w:vAlign w:val="center"/>
          </w:tcPr>
          <w:p>
            <w:pPr>
              <w:pStyle w:val="11"/>
            </w:pPr>
            <w:r>
              <w:t>48.81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23</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19.77</w:t>
            </w:r>
          </w:p>
        </w:tc>
        <w:tc>
          <w:tcPr>
            <w:tcW w:w="2551" w:type="dxa"/>
            <w:vAlign w:val="center"/>
          </w:tcPr>
          <w:p>
            <w:pPr>
              <w:pStyle w:val="11"/>
            </w:pPr>
          </w:p>
        </w:tc>
        <w:tc>
          <w:tcPr>
            <w:tcW w:w="2551" w:type="dxa"/>
            <w:vAlign w:val="center"/>
          </w:tcPr>
          <w:p>
            <w:pPr>
              <w:pStyle w:val="11"/>
            </w:pPr>
            <w:r>
              <w:t>19.77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24</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19.77</w:t>
            </w:r>
          </w:p>
        </w:tc>
        <w:tc>
          <w:tcPr>
            <w:tcW w:w="2551" w:type="dxa"/>
            <w:vAlign w:val="center"/>
          </w:tcPr>
          <w:p>
            <w:pPr>
              <w:pStyle w:val="11"/>
            </w:pPr>
          </w:p>
        </w:tc>
        <w:tc>
          <w:tcPr>
            <w:tcW w:w="2551" w:type="dxa"/>
            <w:vAlign w:val="center"/>
          </w:tcPr>
          <w:p>
            <w:pPr>
              <w:pStyle w:val="11"/>
            </w:pPr>
            <w:r>
              <w:t>19.77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19.77</w:t>
            </w:r>
          </w:p>
        </w:tc>
        <w:tc>
          <w:tcPr>
            <w:tcW w:w="2551" w:type="dxa"/>
            <w:vAlign w:val="center"/>
          </w:tcPr>
          <w:p>
            <w:pPr>
              <w:pStyle w:val="11"/>
            </w:pPr>
          </w:p>
        </w:tc>
        <w:tc>
          <w:tcPr>
            <w:tcW w:w="2551" w:type="dxa"/>
            <w:vAlign w:val="center"/>
          </w:tcPr>
          <w:p>
            <w:pPr>
              <w:pStyle w:val="11"/>
            </w:pPr>
            <w:r>
              <w:t>19.77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40.19</w:t>
            </w:r>
          </w:p>
        </w:tc>
        <w:tc>
          <w:tcPr>
            <w:tcW w:w="2551" w:type="dxa"/>
            <w:vAlign w:val="center"/>
          </w:tcPr>
          <w:p>
            <w:pPr>
              <w:pStyle w:val="11"/>
            </w:pPr>
            <w:r>
              <w:t>40.19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40.19</w:t>
            </w:r>
          </w:p>
        </w:tc>
        <w:tc>
          <w:tcPr>
            <w:tcW w:w="2551" w:type="dxa"/>
            <w:vAlign w:val="center"/>
          </w:tcPr>
          <w:p>
            <w:pPr>
              <w:pStyle w:val="11"/>
            </w:pPr>
            <w:r>
              <w:t>40.19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40.19</w:t>
            </w:r>
          </w:p>
        </w:tc>
        <w:tc>
          <w:tcPr>
            <w:tcW w:w="2551" w:type="dxa"/>
            <w:vAlign w:val="center"/>
          </w:tcPr>
          <w:p>
            <w:pPr>
              <w:pStyle w:val="11"/>
            </w:pPr>
            <w:r>
              <w:t>40.19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29</w:t>
            </w:r>
          </w:p>
        </w:tc>
        <w:tc>
          <w:tcPr>
            <w:tcW w:w="1191" w:type="dxa"/>
            <w:vAlign w:val="center"/>
          </w:tcPr>
          <w:p>
            <w:pPr>
              <w:pStyle w:val="12"/>
            </w:pPr>
            <w:r>
              <w:t>222</w:t>
            </w:r>
          </w:p>
        </w:tc>
        <w:tc>
          <w:tcPr>
            <w:tcW w:w="4535" w:type="dxa"/>
            <w:vAlign w:val="center"/>
          </w:tcPr>
          <w:p>
            <w:pPr>
              <w:pStyle w:val="12"/>
            </w:pPr>
            <w:r>
              <w:t>粮油物资储备支出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22201</w:t>
            </w:r>
          </w:p>
        </w:tc>
        <w:tc>
          <w:tcPr>
            <w:tcW w:w="4535" w:type="dxa"/>
            <w:vAlign w:val="center"/>
          </w:tcPr>
          <w:p>
            <w:pPr>
              <w:pStyle w:val="12"/>
            </w:pPr>
            <w:r>
              <w:t>粮油物资事务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2220199</w:t>
            </w:r>
          </w:p>
        </w:tc>
        <w:tc>
          <w:tcPr>
            <w:tcW w:w="4535" w:type="dxa"/>
            <w:vAlign w:val="center"/>
          </w:tcPr>
          <w:p>
            <w:pPr>
              <w:pStyle w:val="12"/>
            </w:pPr>
            <w:r>
              <w:t>其他粮油物资事务支出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303001发改部门发展和改革局本级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631.03</w:t>
            </w:r>
          </w:p>
        </w:tc>
        <w:tc>
          <w:tcPr>
            <w:tcW w:w="2551" w:type="dxa"/>
            <w:vAlign w:val="center"/>
          </w:tcPr>
          <w:p>
            <w:pPr>
              <w:pStyle w:val="15"/>
            </w:pPr>
            <w:r>
              <w:t>590.64</w:t>
            </w:r>
          </w:p>
        </w:tc>
        <w:tc>
          <w:tcPr>
            <w:tcW w:w="2551" w:type="dxa"/>
            <w:vAlign w:val="center"/>
          </w:tcPr>
          <w:p>
            <w:pPr>
              <w:pStyle w:val="15"/>
            </w:pPr>
            <w:r>
              <w:t>40.39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531.09</w:t>
            </w:r>
          </w:p>
        </w:tc>
        <w:tc>
          <w:tcPr>
            <w:tcW w:w="2551" w:type="dxa"/>
            <w:vAlign w:val="center"/>
          </w:tcPr>
          <w:p>
            <w:pPr>
              <w:pStyle w:val="11"/>
            </w:pPr>
            <w:r>
              <w:t>531.09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150.12</w:t>
            </w:r>
          </w:p>
        </w:tc>
        <w:tc>
          <w:tcPr>
            <w:tcW w:w="2551" w:type="dxa"/>
            <w:vAlign w:val="center"/>
          </w:tcPr>
          <w:p>
            <w:pPr>
              <w:pStyle w:val="11"/>
            </w:pPr>
            <w:r>
              <w:t>150.12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68.87</w:t>
            </w:r>
          </w:p>
        </w:tc>
        <w:tc>
          <w:tcPr>
            <w:tcW w:w="2551" w:type="dxa"/>
            <w:vAlign w:val="center"/>
          </w:tcPr>
          <w:p>
            <w:pPr>
              <w:pStyle w:val="11"/>
            </w:pPr>
            <w:r>
              <w:t>68.87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14.05</w:t>
            </w:r>
          </w:p>
        </w:tc>
        <w:tc>
          <w:tcPr>
            <w:tcW w:w="2551" w:type="dxa"/>
            <w:vAlign w:val="center"/>
          </w:tcPr>
          <w:p>
            <w:pPr>
              <w:pStyle w:val="11"/>
            </w:pPr>
            <w:r>
              <w:t>14.05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84.60</w:t>
            </w:r>
          </w:p>
        </w:tc>
        <w:tc>
          <w:tcPr>
            <w:tcW w:w="2551" w:type="dxa"/>
            <w:vAlign w:val="center"/>
          </w:tcPr>
          <w:p>
            <w:pPr>
              <w:pStyle w:val="11"/>
            </w:pPr>
            <w:r>
              <w:t>84.60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45.97</w:t>
            </w:r>
          </w:p>
        </w:tc>
        <w:tc>
          <w:tcPr>
            <w:tcW w:w="2551" w:type="dxa"/>
            <w:vAlign w:val="center"/>
          </w:tcPr>
          <w:p>
            <w:pPr>
              <w:pStyle w:val="11"/>
            </w:pPr>
            <w:r>
              <w:t>45.97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19.99</w:t>
            </w:r>
          </w:p>
        </w:tc>
        <w:tc>
          <w:tcPr>
            <w:tcW w:w="2551" w:type="dxa"/>
            <w:vAlign w:val="center"/>
          </w:tcPr>
          <w:p>
            <w:pPr>
              <w:pStyle w:val="11"/>
            </w:pPr>
            <w:r>
              <w:t>19.99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45.70</w:t>
            </w:r>
          </w:p>
        </w:tc>
        <w:tc>
          <w:tcPr>
            <w:tcW w:w="2551" w:type="dxa"/>
            <w:vAlign w:val="center"/>
          </w:tcPr>
          <w:p>
            <w:pPr>
              <w:pStyle w:val="11"/>
            </w:pPr>
            <w:r>
              <w:t>45.70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2.58</w:t>
            </w:r>
          </w:p>
        </w:tc>
        <w:tc>
          <w:tcPr>
            <w:tcW w:w="2551" w:type="dxa"/>
            <w:vAlign w:val="center"/>
          </w:tcPr>
          <w:p>
            <w:pPr>
              <w:pStyle w:val="11"/>
            </w:pPr>
            <w:r>
              <w:t>2.58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35.36</w:t>
            </w:r>
          </w:p>
        </w:tc>
        <w:tc>
          <w:tcPr>
            <w:tcW w:w="2551" w:type="dxa"/>
            <w:vAlign w:val="center"/>
          </w:tcPr>
          <w:p>
            <w:pPr>
              <w:pStyle w:val="11"/>
            </w:pPr>
            <w:r>
              <w:t>35.36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63.84</w:t>
            </w:r>
          </w:p>
        </w:tc>
        <w:tc>
          <w:tcPr>
            <w:tcW w:w="2551" w:type="dxa"/>
            <w:vAlign w:val="center"/>
          </w:tcPr>
          <w:p>
            <w:pPr>
              <w:pStyle w:val="11"/>
            </w:pPr>
            <w:r>
              <w:t>63.84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40.39</w:t>
            </w:r>
          </w:p>
        </w:tc>
        <w:tc>
          <w:tcPr>
            <w:tcW w:w="2551" w:type="dxa"/>
            <w:vAlign w:val="center"/>
          </w:tcPr>
          <w:p>
            <w:pPr>
              <w:pStyle w:val="11"/>
            </w:pPr>
          </w:p>
        </w:tc>
        <w:tc>
          <w:tcPr>
            <w:tcW w:w="2551" w:type="dxa"/>
            <w:vAlign w:val="center"/>
          </w:tcPr>
          <w:p>
            <w:pPr>
              <w:pStyle w:val="11"/>
            </w:pPr>
            <w:r>
              <w:t>40.39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4.80</w:t>
            </w:r>
          </w:p>
        </w:tc>
        <w:tc>
          <w:tcPr>
            <w:tcW w:w="2551" w:type="dxa"/>
            <w:vAlign w:val="center"/>
          </w:tcPr>
          <w:p>
            <w:pPr>
              <w:pStyle w:val="11"/>
            </w:pPr>
          </w:p>
        </w:tc>
        <w:tc>
          <w:tcPr>
            <w:tcW w:w="2551"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1.70</w:t>
            </w:r>
          </w:p>
        </w:tc>
        <w:tc>
          <w:tcPr>
            <w:tcW w:w="2551" w:type="dxa"/>
            <w:vAlign w:val="center"/>
          </w:tcPr>
          <w:p>
            <w:pPr>
              <w:pStyle w:val="11"/>
            </w:pPr>
          </w:p>
        </w:tc>
        <w:tc>
          <w:tcPr>
            <w:tcW w:w="2551" w:type="dxa"/>
            <w:vAlign w:val="center"/>
          </w:tcPr>
          <w:p>
            <w:pPr>
              <w:pStyle w:val="11"/>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6.19</w:t>
            </w:r>
          </w:p>
        </w:tc>
        <w:tc>
          <w:tcPr>
            <w:tcW w:w="2551" w:type="dxa"/>
            <w:vAlign w:val="center"/>
          </w:tcPr>
          <w:p>
            <w:pPr>
              <w:pStyle w:val="11"/>
            </w:pPr>
          </w:p>
        </w:tc>
        <w:tc>
          <w:tcPr>
            <w:tcW w:w="2551" w:type="dxa"/>
            <w:vAlign w:val="center"/>
          </w:tcPr>
          <w:p>
            <w:pPr>
              <w:pStyle w:val="11"/>
            </w:pPr>
            <w:r>
              <w:t>6.19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7.98</w:t>
            </w:r>
          </w:p>
        </w:tc>
        <w:tc>
          <w:tcPr>
            <w:tcW w:w="2551" w:type="dxa"/>
            <w:vAlign w:val="center"/>
          </w:tcPr>
          <w:p>
            <w:pPr>
              <w:pStyle w:val="11"/>
            </w:pPr>
          </w:p>
        </w:tc>
        <w:tc>
          <w:tcPr>
            <w:tcW w:w="2551" w:type="dxa"/>
            <w:vAlign w:val="center"/>
          </w:tcPr>
          <w:p>
            <w:pPr>
              <w:pStyle w:val="11"/>
            </w:pPr>
            <w:r>
              <w:t>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16.22</w:t>
            </w:r>
          </w:p>
        </w:tc>
        <w:tc>
          <w:tcPr>
            <w:tcW w:w="2551" w:type="dxa"/>
            <w:vAlign w:val="center"/>
          </w:tcPr>
          <w:p>
            <w:pPr>
              <w:pStyle w:val="11"/>
            </w:pPr>
          </w:p>
        </w:tc>
        <w:tc>
          <w:tcPr>
            <w:tcW w:w="2551" w:type="dxa"/>
            <w:vAlign w:val="center"/>
          </w:tcPr>
          <w:p>
            <w:pPr>
              <w:pStyle w:val="11"/>
            </w:pPr>
            <w:r>
              <w:t>16.22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59.55</w:t>
            </w:r>
          </w:p>
        </w:tc>
        <w:tc>
          <w:tcPr>
            <w:tcW w:w="2551" w:type="dxa"/>
            <w:vAlign w:val="center"/>
          </w:tcPr>
          <w:p>
            <w:pPr>
              <w:pStyle w:val="11"/>
            </w:pPr>
            <w:r>
              <w:t>59.55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57.17</w:t>
            </w:r>
          </w:p>
        </w:tc>
        <w:tc>
          <w:tcPr>
            <w:tcW w:w="2551" w:type="dxa"/>
            <w:vAlign w:val="center"/>
          </w:tcPr>
          <w:p>
            <w:pPr>
              <w:pStyle w:val="11"/>
            </w:pPr>
            <w:r>
              <w:t>57.17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2.38</w:t>
            </w:r>
          </w:p>
        </w:tc>
        <w:tc>
          <w:tcPr>
            <w:tcW w:w="2551" w:type="dxa"/>
            <w:vAlign w:val="center"/>
          </w:tcPr>
          <w:p>
            <w:pPr>
              <w:pStyle w:val="11"/>
            </w:pPr>
            <w:r>
              <w:t>2.38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303001发改部门发展和改革局本级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303001发改部门发展和改革局本级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303001发改部门发展和改革局本级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2.00</w:t>
            </w:r>
          </w:p>
        </w:tc>
        <w:tc>
          <w:tcPr>
            <w:tcW w:w="2381" w:type="dxa"/>
            <w:vAlign w:val="center"/>
          </w:tcPr>
          <w:p>
            <w:pPr>
              <w:pStyle w:val="15"/>
            </w:pPr>
            <w:r>
              <w:t>2.00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发改部门发展和改革局本级2026年单位预算信息公开情况说明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按照《中华人民共和国预算法》、《地方预决算公开操作规程》和《关于进一步推进预算公开工作的实施意见》规定，现将发改部门发展和改革局本级2026年单位预算公开如下：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一）拟订并组织实施全区国民经济和社会发展战略、中长期规划和年度计划。牵头组织统一规划体系建设。负责区级专项规划、区域规划、空间规划与全区发展规划的统筹衔接。起草国民经济和社会发展、经济体制改革和对外开放的有关政府规范性文件。</w:t>
      </w:r>
    </w:p>
    <w:p>
      <w:pPr>
        <w:pStyle w:val="17"/>
      </w:pPr>
      <w:r>
        <w:t>（二）提出加快建设全区现代化经济体系、推动高质量发展的总体目标、重大任务以及相关政策。组织开展重大战略规划、重大政策、重大工程等的评估督导，提出相关调整建议。</w:t>
      </w:r>
    </w:p>
    <w:p>
      <w:pPr>
        <w:pStyle w:val="17"/>
      </w:pPr>
      <w:r>
        <w:t>（三）贯彻落实国家、省和市宏观调控政策，统筹提出全区国民经济和社会发展主要目标，监测预测预警宏观经济和社会发展态势趋势，提出经济调节政策和应对措施的建议。调节经济运行，协调解决经济运行中的重大问题。拟订并组织实施有关价格政策，组织制定由区级管理的商品、服务价格和收费标准。</w:t>
      </w:r>
    </w:p>
    <w:p>
      <w:pPr>
        <w:pStyle w:val="17"/>
      </w:pPr>
      <w:r>
        <w:t>（四）指导推进和综合协调经济体制改革有关工作，提出相关改革建议。推进供给侧结构性改革。协调推进要素市场化配置改革。落实国家完善基本经济制度政策，推进现代化市场体系建设，会同有关部门组织实施市场准入负面清单制度。根据区委、区政府决策部署，推进优化营商环境工作。</w:t>
      </w:r>
    </w:p>
    <w:p>
      <w:pPr>
        <w:pStyle w:val="17"/>
      </w:pPr>
      <w:r>
        <w:t>（五）贯彻落实国家、省和市利用外资和境外投资的战略、规划和结构优化政策。配合省、市做好“一带一路”建设有关工作。承担统筹协调“走出去”有关工作。会同有关部门贯彻落实国家外商投资准入负面清单。</w:t>
      </w:r>
    </w:p>
    <w:p>
      <w:pPr>
        <w:pStyle w:val="17"/>
      </w:pPr>
      <w:r>
        <w:t>（六）负责全区投资综合管理。拟订全区固定资产投资总规模、结构调控目标和政策。规划全区重点建设项目和生产力布局，组织推动重点建设项目。贯彻实施鼓励民间投资政策措施。</w:t>
      </w:r>
    </w:p>
    <w:p>
      <w:pPr>
        <w:pStyle w:val="17"/>
      </w:pPr>
      <w:r>
        <w:t>（七）推进落实区域协调发展战略、新型城镇化战略和重大政策，组织拟订相关区域规划和政策。推进实施融入京津冀协同发展等区域发展战略。组织实施异地扶贫搬迁。统筹协调区域合作和对口支援工作。推动实施新型城镇化规划。</w:t>
      </w:r>
    </w:p>
    <w:p>
      <w:pPr>
        <w:pStyle w:val="17"/>
      </w:pPr>
      <w:r>
        <w:t>（八）组织贯彻实施国家、省和市产业政策，拟订全区综合性产业政策。协调一二三产业发展重大问题并统筹衔接相关发展规划和重大政策。协调推进重大基础设施建设发展，组织拟定并推动实施服务业及现代物流业规划和政策。</w:t>
      </w:r>
    </w:p>
    <w:p>
      <w:pPr>
        <w:pStyle w:val="17"/>
      </w:pPr>
      <w:r>
        <w:t>（九）推动实施全区创新驱动发展战略。会同相关部门拟订全区推进创新创业的规划和政策，提出创新发展和培育经济发展新动能的政策。推动实施高技术产业和战略性新兴产业发展规划政策，协调产业升级、重大技术装备推广应用等方面的重大问题。</w:t>
      </w:r>
    </w:p>
    <w:p>
      <w:pPr>
        <w:pStyle w:val="17"/>
      </w:pPr>
      <w:r>
        <w:t>（十）跟踪研判涉及经济安全、生态安全、资源安全、科技安全、社会安全等各类风险隐患，提出相关工作建议。会同有关部门拟订全区储备物资品种目录、总体发展规划。</w:t>
      </w:r>
    </w:p>
    <w:p>
      <w:pPr>
        <w:pStyle w:val="17"/>
      </w:pPr>
      <w:r>
        <w:t>（十一）负责全区社会发展与国民经济发展的政策衔接，协调有关重大问题。组织拟订社会发展战略、总体规划，统筹推进基本公共服务体系建设和收入分配制度改革，提出促进就业、完善社会保障与经济协调发展的政策建议。</w:t>
      </w:r>
    </w:p>
    <w:p>
      <w:pPr>
        <w:pStyle w:val="17"/>
      </w:pPr>
      <w:r>
        <w:t>（十二）推进实施可持续发展战略，推动生态文明建设和改革，协调生态环境保护与修复、能源资源节约和综合利用等工作。提出落实生态保护补偿机制的政策建议，综合协调环保产业和清洁生产促进有关工作。贯彻落实市定能源消费控制目标、任务。负责全区能源方面的行业管理工作。</w:t>
      </w:r>
    </w:p>
    <w:p>
      <w:pPr>
        <w:pStyle w:val="17"/>
      </w:pPr>
      <w:r>
        <w:t>（十三）组织拟订推进全区经济建设与国防建设协调发展的规划，组织推进经济建设项目贯彻国防要求。</w:t>
      </w:r>
    </w:p>
    <w:p>
      <w:pPr>
        <w:pStyle w:val="17"/>
      </w:pPr>
      <w:r>
        <w:t>（十四）负责项目建设工作。指导管理政府投资代建制工作。负责重点项目的综合谋划、筛选、储备，不断充实完善项目库；负责全区项目协调调度、督导考核、综合分析工作；负责省市重点项目的申报工作；对重点建设项目提供政策咨询、手续办理等服务。</w:t>
      </w:r>
    </w:p>
    <w:p>
      <w:pPr>
        <w:pStyle w:val="17"/>
      </w:pPr>
      <w:r>
        <w:t>（十五）负责向国家、省争取有利于区域发展的重大优惠政策；负责向上级对口单位争取预算内资金、以工代赈资金、国债资金及贴息贷款工作，并负责安排和监督使用；向上级争取资金项目的谋划储备、对接跑办、督导考核、综合汇总工作。</w:t>
      </w:r>
    </w:p>
    <w:p>
      <w:pPr>
        <w:pStyle w:val="17"/>
      </w:pPr>
      <w:r>
        <w:t>（十六）落实区委财经委员会、推动京津冀协同发展工作领导小组、沿海地区率先发展领导小组等有关具体工作。</w:t>
      </w:r>
    </w:p>
    <w:p>
      <w:pPr>
        <w:pStyle w:val="17"/>
      </w:pPr>
      <w:r>
        <w:t>（十七）负责粮食和物资储备工作。贯彻落实国家、省有关粮食流通的法律、法规和方针政策；负责粮食流通体制改革，监督调控粮食市场供应；制定应急预案，加强粮食和物资储备应急保障；负责重要物资和应急物资收储、轮换和日常管理工作。</w:t>
      </w:r>
    </w:p>
    <w:p>
      <w:pPr>
        <w:pStyle w:val="17"/>
      </w:pPr>
      <w:r>
        <w:t>（十八）负责物价管理工作。贯彻落实国家、省和市级有关价格（收费）法规规章和政策等，监测、预测全区价格总水平及其结构变动趋势。</w:t>
      </w:r>
    </w:p>
    <w:p>
      <w:pPr>
        <w:pStyle w:val="17"/>
      </w:pPr>
      <w:r>
        <w:t>（十九）落实行业主管部门的安全生产监管职责，各股室落实各自分管领域的安全生产监管职责。</w:t>
      </w:r>
    </w:p>
    <w:p>
      <w:pPr>
        <w:pStyle w:val="17"/>
      </w:pPr>
      <w:r>
        <w:t>（二十）完成区委、区政府交办的其他任务。</w:t>
      </w:r>
    </w:p>
    <w:p>
      <w:pPr>
        <w:pStyle w:val="17"/>
      </w:pPr>
      <w:r>
        <w:t>有关职责分工：1.与区卫健局有关职责分工。区发改局负责组织监测和评估人口变动情况及趋势影响，建立人口预警预报制度，开展重大决策人口影响评估，完善重大人口政策咨询机制，研究提出全区人口发展战略，拟订人口发展规划和人口政策，研究提出人口与经济、社会、资源、环境协调可持续发展，以及统筹促进人口长期均衡发展的政策建议。 2.与区应急管理局有关职责分工。区发改局根据区政府下达的年度计划和动用指令具体调出、运送。区应急管理局负责提出区级救灾物资的储备需求和动用预案。</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发改部门发展和改革局本级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815.80万元，其中：一般公共预算收入815.80万元，基金预算收入0.00万元，国有资本经营预算收入0.00万元，财政专户核拨收入0.00万元，单位资金收入0.00万元，上年结转结余0.00万元。</w:t>
      </w:r>
    </w:p>
    <w:p>
      <w:pPr>
        <w:pStyle w:val="18"/>
      </w:pPr>
      <w:r>
        <w:t>2、支出说明</w:t>
      </w:r>
    </w:p>
    <w:p>
      <w:pPr>
        <w:pStyle w:val="26"/>
      </w:pPr>
      <w:r>
        <w:t>收支预算总表支出栏、基本支出表、项目支出表按经济分类和支出功能分类科目编制，反映发改部门发展和改革局本级年度单位预算中支出预算的总体情况。2026年支出预算815.80万元，其中基本支出631.03万元，包括人员经费590.64万元和日常公用经费40.39万元；项目支出184.77万元，主要为</w:t>
      </w:r>
      <w:r>
        <w:rPr>
          <w:rFonts w:hint="eastAsia"/>
          <w:lang w:val="en-US" w:eastAsia="zh-CN"/>
        </w:rPr>
        <w:t>2025至2026年采暖季农村煤改气月月户天然气终端销售价格补贴1.27万元，粮食安全责任制1万元，粮食质量安全检查和监测经费2万元，秦皇岛市山海关区国民经济和社会发展第十五个五年规划纲要技术服务费、印刷费31万元，人防建设经费100万元，山海关区碳达峰实施方案编制费18.5万元，涉案资产价格认定1万元，项目建设及谋划管理工作经费20万元，应急救灾物资10万元</w:t>
      </w:r>
      <w:r>
        <w:t>；预计下年使用的单位资金结余0.00万元。</w:t>
      </w:r>
    </w:p>
    <w:p>
      <w:pPr>
        <w:pStyle w:val="18"/>
      </w:pPr>
      <w:r>
        <w:t>3、比上年增减情况</w:t>
      </w:r>
    </w:p>
    <w:p>
      <w:pPr>
        <w:pStyle w:val="18"/>
      </w:pPr>
      <w:r>
        <w:t>2026年预算收支安排815.80万元，较2025年预算减少52.5</w:t>
      </w:r>
      <w:r>
        <w:rPr>
          <w:rFonts w:hint="eastAsia"/>
          <w:lang w:val="en-US" w:eastAsia="zh-CN"/>
        </w:rPr>
        <w:t>9</w:t>
      </w:r>
      <w:r>
        <w:t>万元，其中：基本支出增加55.79万元，主要为人员经费支出</w:t>
      </w:r>
      <w:r>
        <w:rPr>
          <w:rFonts w:hint="eastAsia"/>
          <w:lang w:eastAsia="zh-CN"/>
        </w:rPr>
        <w:t>。</w:t>
      </w:r>
      <w:r>
        <w:t>项目支出减少108.38万元，主要为</w:t>
      </w:r>
      <w:r>
        <w:rPr>
          <w:rFonts w:hint="eastAsia"/>
          <w:lang w:val="en-US" w:eastAsia="zh-CN"/>
        </w:rPr>
        <w:t>人防</w:t>
      </w:r>
      <w:r>
        <w:t>经费支出。预计下年使用的单位资金结余增加0.00万元。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19"/>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27"/>
      </w:pPr>
      <w:r>
        <w:t>202</w:t>
      </w:r>
      <w:r>
        <w:rPr>
          <w:rFonts w:hint="eastAsia"/>
          <w:lang w:val="en-US" w:eastAsia="zh-CN"/>
        </w:rPr>
        <w:t>6</w:t>
      </w:r>
      <w:r>
        <w:t>年，我部门财政拨款“三公”经费预算安排2.00万元，其中因公出国（境）费0.00万元；公务用车购置及运维费2.00万元（其中：公务用车购置费为0.00万元，公务用车运维费2.00万元)；公务接待费0.00万元。与202</w:t>
      </w:r>
      <w:r>
        <w:rPr>
          <w:rFonts w:hint="eastAsia"/>
          <w:lang w:val="en-US" w:eastAsia="zh-CN"/>
        </w:rPr>
        <w:t>5</w:t>
      </w:r>
      <w:r>
        <w:t>年</w:t>
      </w:r>
      <w:r>
        <w:rPr>
          <w:rFonts w:hint="eastAsia"/>
          <w:lang w:val="en-US" w:eastAsia="zh-CN"/>
        </w:rPr>
        <w:t>持平</w:t>
      </w:r>
      <w:r>
        <w:t>。</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1、2025至2026年采暖季农村煤改气用户天然气终端销售价格补贴绩效目标表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13030326P00000410010Y</w:t>
            </w:r>
          </w:p>
        </w:tc>
        <w:tc>
          <w:tcPr>
            <w:tcW w:w="2835" w:type="dxa"/>
            <w:vAlign w:val="center"/>
          </w:tcPr>
          <w:p>
            <w:pPr>
              <w:pStyle w:val="10"/>
            </w:pPr>
            <w:r>
              <w:t>项目名称</w:t>
            </w:r>
          </w:p>
        </w:tc>
        <w:tc>
          <w:tcPr>
            <w:tcW w:w="6095" w:type="dxa"/>
            <w:gridSpan w:val="3"/>
            <w:vAlign w:val="center"/>
          </w:tcPr>
          <w:p>
            <w:pPr>
              <w:pStyle w:val="12"/>
            </w:pPr>
            <w:r>
              <w:t>2025至2026年采暖季农村煤改气用户天然气终端销售价格补贴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1.27</w:t>
            </w:r>
          </w:p>
        </w:tc>
        <w:tc>
          <w:tcPr>
            <w:tcW w:w="2835" w:type="dxa"/>
            <w:vAlign w:val="center"/>
          </w:tcPr>
          <w:p>
            <w:pPr>
              <w:pStyle w:val="10"/>
            </w:pPr>
            <w:r>
              <w:t>其中：财政    资金</w:t>
            </w:r>
          </w:p>
        </w:tc>
        <w:tc>
          <w:tcPr>
            <w:tcW w:w="2551" w:type="dxa"/>
            <w:vAlign w:val="center"/>
          </w:tcPr>
          <w:p>
            <w:pPr>
              <w:pStyle w:val="12"/>
            </w:pPr>
            <w:r>
              <w:t>1.27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用于农村煤改气用户终端销售价格补贴省级负担。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0.32</w:t>
            </w:r>
          </w:p>
        </w:tc>
        <w:tc>
          <w:tcPr>
            <w:tcW w:w="2835" w:type="dxa"/>
            <w:vAlign w:val="center"/>
          </w:tcPr>
          <w:p>
            <w:pPr>
              <w:pStyle w:val="13"/>
            </w:pPr>
            <w:r>
              <w:t>0.64</w:t>
            </w:r>
          </w:p>
        </w:tc>
        <w:tc>
          <w:tcPr>
            <w:tcW w:w="2551" w:type="dxa"/>
            <w:vAlign w:val="center"/>
          </w:tcPr>
          <w:p>
            <w:pPr>
              <w:pStyle w:val="13"/>
            </w:pPr>
            <w:r>
              <w:t>0.95</w:t>
            </w:r>
          </w:p>
        </w:tc>
        <w:tc>
          <w:tcPr>
            <w:tcW w:w="3544" w:type="dxa"/>
            <w:gridSpan w:val="2"/>
            <w:vAlign w:val="center"/>
          </w:tcPr>
          <w:p>
            <w:pPr>
              <w:pStyle w:val="13"/>
            </w:pPr>
            <w:r>
              <w:t>1.27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1.通过此次拨付，用于农村煤改气用户终端销售价格补贴省级负担。</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煤改气用户销售价格补贴完成率</w:t>
            </w:r>
          </w:p>
        </w:tc>
        <w:tc>
          <w:tcPr>
            <w:tcW w:w="2268" w:type="dxa"/>
            <w:vAlign w:val="center"/>
          </w:tcPr>
          <w:p>
            <w:pPr>
              <w:pStyle w:val="12"/>
            </w:pPr>
            <w:r>
              <w:t>≥90%</w:t>
            </w:r>
          </w:p>
        </w:tc>
        <w:tc>
          <w:tcPr>
            <w:tcW w:w="1276" w:type="dxa"/>
            <w:vAlign w:val="center"/>
          </w:tcPr>
          <w:p>
            <w:pPr>
              <w:pStyle w:val="12"/>
            </w:pPr>
            <w:r>
              <w:t>2025年至2026年采暖季农村煤改气用户天然气终端销售价格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拨付次数</w:t>
            </w:r>
          </w:p>
        </w:tc>
        <w:tc>
          <w:tcPr>
            <w:tcW w:w="5386" w:type="dxa"/>
            <w:vAlign w:val="center"/>
          </w:tcPr>
          <w:p>
            <w:pPr>
              <w:pStyle w:val="12"/>
            </w:pPr>
            <w:r>
              <w:t>煤改气用户销售价格拨付次数</w:t>
            </w:r>
          </w:p>
        </w:tc>
        <w:tc>
          <w:tcPr>
            <w:tcW w:w="2268" w:type="dxa"/>
            <w:vAlign w:val="center"/>
          </w:tcPr>
          <w:p>
            <w:pPr>
              <w:pStyle w:val="12"/>
            </w:pPr>
            <w:r>
              <w:t>≥1次</w:t>
            </w:r>
          </w:p>
        </w:tc>
        <w:tc>
          <w:tcPr>
            <w:tcW w:w="1276" w:type="dxa"/>
            <w:vAlign w:val="center"/>
          </w:tcPr>
          <w:p>
            <w:pPr>
              <w:pStyle w:val="12"/>
            </w:pPr>
            <w:r>
              <w:t>2025年至2026年采暖季农村煤改气用户天然气终端销售价格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完成计划工作</w:t>
            </w:r>
          </w:p>
        </w:tc>
        <w:tc>
          <w:tcPr>
            <w:tcW w:w="5386" w:type="dxa"/>
            <w:vAlign w:val="center"/>
          </w:tcPr>
          <w:p>
            <w:pPr>
              <w:pStyle w:val="12"/>
            </w:pPr>
            <w:r>
              <w:t>及时拨付</w:t>
            </w:r>
          </w:p>
        </w:tc>
        <w:tc>
          <w:tcPr>
            <w:tcW w:w="2268" w:type="dxa"/>
            <w:vAlign w:val="center"/>
          </w:tcPr>
          <w:p>
            <w:pPr>
              <w:pStyle w:val="12"/>
            </w:pPr>
            <w:r>
              <w:t>按时拨付</w:t>
            </w:r>
          </w:p>
        </w:tc>
        <w:tc>
          <w:tcPr>
            <w:tcW w:w="1276" w:type="dxa"/>
            <w:vAlign w:val="center"/>
          </w:tcPr>
          <w:p>
            <w:pPr>
              <w:pStyle w:val="12"/>
            </w:pPr>
            <w:r>
              <w:t>2025年至2026年采暖季农村煤改气用户天然气终端销售价格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控制在预算资金内</w:t>
            </w:r>
          </w:p>
        </w:tc>
        <w:tc>
          <w:tcPr>
            <w:tcW w:w="2268" w:type="dxa"/>
            <w:vAlign w:val="center"/>
          </w:tcPr>
          <w:p>
            <w:pPr>
              <w:pStyle w:val="12"/>
            </w:pPr>
            <w:r>
              <w:t>≤1.28万元</w:t>
            </w:r>
          </w:p>
        </w:tc>
        <w:tc>
          <w:tcPr>
            <w:tcW w:w="1276" w:type="dxa"/>
            <w:vAlign w:val="center"/>
          </w:tcPr>
          <w:p>
            <w:pPr>
              <w:pStyle w:val="12"/>
            </w:pPr>
            <w:r>
              <w:t>2025年至2026年采暖季农村煤改气用户天然气终端销售价格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影响程度</w:t>
            </w:r>
          </w:p>
        </w:tc>
        <w:tc>
          <w:tcPr>
            <w:tcW w:w="5386" w:type="dxa"/>
            <w:vAlign w:val="center"/>
          </w:tcPr>
          <w:p>
            <w:pPr>
              <w:pStyle w:val="12"/>
            </w:pPr>
            <w:r>
              <w:t>对农村煤改气用户影响程度</w:t>
            </w:r>
          </w:p>
        </w:tc>
        <w:tc>
          <w:tcPr>
            <w:tcW w:w="2268" w:type="dxa"/>
            <w:vAlign w:val="center"/>
          </w:tcPr>
          <w:p>
            <w:pPr>
              <w:pStyle w:val="12"/>
            </w:pPr>
            <w:r>
              <w:t>较高影响</w:t>
            </w:r>
          </w:p>
        </w:tc>
        <w:tc>
          <w:tcPr>
            <w:tcW w:w="1276" w:type="dxa"/>
            <w:vAlign w:val="center"/>
          </w:tcPr>
          <w:p>
            <w:pPr>
              <w:pStyle w:val="12"/>
            </w:pPr>
            <w:r>
              <w:t>2025年至2026年采暖季农村煤改气用户天然气终端销售价格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农村煤改气用户满意度</w:t>
            </w:r>
          </w:p>
        </w:tc>
        <w:tc>
          <w:tcPr>
            <w:tcW w:w="2268" w:type="dxa"/>
            <w:vAlign w:val="center"/>
          </w:tcPr>
          <w:p>
            <w:pPr>
              <w:pStyle w:val="12"/>
            </w:pPr>
            <w:r>
              <w:t>≥90%</w:t>
            </w:r>
          </w:p>
        </w:tc>
        <w:tc>
          <w:tcPr>
            <w:tcW w:w="1276" w:type="dxa"/>
            <w:vAlign w:val="center"/>
          </w:tcPr>
          <w:p>
            <w:pPr>
              <w:pStyle w:val="12"/>
            </w:pPr>
            <w:r>
              <w:t>2025年至2026年采暖季农村煤改气用户天然气终端销售价格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2、粮食安全责任制绩效目标表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13030326P0006HT10014K</w:t>
            </w:r>
          </w:p>
        </w:tc>
        <w:tc>
          <w:tcPr>
            <w:tcW w:w="2835" w:type="dxa"/>
            <w:vAlign w:val="center"/>
          </w:tcPr>
          <w:p>
            <w:pPr>
              <w:pStyle w:val="10"/>
            </w:pPr>
            <w:r>
              <w:t>项目名称</w:t>
            </w:r>
          </w:p>
        </w:tc>
        <w:tc>
          <w:tcPr>
            <w:tcW w:w="6095" w:type="dxa"/>
            <w:gridSpan w:val="3"/>
            <w:vAlign w:val="center"/>
          </w:tcPr>
          <w:p>
            <w:pPr>
              <w:pStyle w:val="12"/>
            </w:pPr>
            <w:r>
              <w:t>粮食安全责任制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用于完成粮食安全责任制考核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0.25</w:t>
            </w:r>
          </w:p>
        </w:tc>
        <w:tc>
          <w:tcPr>
            <w:tcW w:w="2835" w:type="dxa"/>
            <w:vAlign w:val="center"/>
          </w:tcPr>
          <w:p>
            <w:pPr>
              <w:pStyle w:val="13"/>
            </w:pPr>
            <w:r>
              <w:t>0.50</w:t>
            </w:r>
          </w:p>
        </w:tc>
        <w:tc>
          <w:tcPr>
            <w:tcW w:w="2551" w:type="dxa"/>
            <w:vAlign w:val="center"/>
          </w:tcPr>
          <w:p>
            <w:pPr>
              <w:pStyle w:val="13"/>
            </w:pPr>
            <w:r>
              <w:t>0.75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1.通过完成此项工作，较好完成粮食安全责任制考核。</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监管率</w:t>
            </w:r>
          </w:p>
        </w:tc>
        <w:tc>
          <w:tcPr>
            <w:tcW w:w="5386" w:type="dxa"/>
            <w:vAlign w:val="center"/>
          </w:tcPr>
          <w:p>
            <w:pPr>
              <w:pStyle w:val="12"/>
            </w:pPr>
            <w:r>
              <w:t>粮食质量和品质监管数量占粮食计划数量的比例</w:t>
            </w:r>
          </w:p>
        </w:tc>
        <w:tc>
          <w:tcPr>
            <w:tcW w:w="2268" w:type="dxa"/>
            <w:vAlign w:val="center"/>
          </w:tcPr>
          <w:p>
            <w:pPr>
              <w:pStyle w:val="12"/>
            </w:pPr>
            <w:r>
              <w:t>≥95%</w:t>
            </w:r>
          </w:p>
        </w:tc>
        <w:tc>
          <w:tcPr>
            <w:tcW w:w="1276" w:type="dxa"/>
            <w:vAlign w:val="center"/>
          </w:tcPr>
          <w:p>
            <w:pPr>
              <w:pStyle w:val="12"/>
            </w:pPr>
            <w:r>
              <w:t>检测率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检测率</w:t>
            </w:r>
          </w:p>
        </w:tc>
        <w:tc>
          <w:tcPr>
            <w:tcW w:w="5386" w:type="dxa"/>
            <w:vAlign w:val="center"/>
          </w:tcPr>
          <w:p>
            <w:pPr>
              <w:pStyle w:val="12"/>
            </w:pPr>
            <w:r>
              <w:t>检测量占储存政策性粮食总量的比例</w:t>
            </w:r>
          </w:p>
        </w:tc>
        <w:tc>
          <w:tcPr>
            <w:tcW w:w="2268" w:type="dxa"/>
            <w:vAlign w:val="center"/>
          </w:tcPr>
          <w:p>
            <w:pPr>
              <w:pStyle w:val="12"/>
            </w:pPr>
            <w:r>
              <w:t>≥95%</w:t>
            </w:r>
          </w:p>
        </w:tc>
        <w:tc>
          <w:tcPr>
            <w:tcW w:w="1276" w:type="dxa"/>
            <w:vAlign w:val="center"/>
          </w:tcPr>
          <w:p>
            <w:pPr>
              <w:pStyle w:val="12"/>
            </w:pPr>
            <w:r>
              <w:t>考核要求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及时按要求完成工作任务</w:t>
            </w:r>
          </w:p>
        </w:tc>
        <w:tc>
          <w:tcPr>
            <w:tcW w:w="2268" w:type="dxa"/>
            <w:vAlign w:val="center"/>
          </w:tcPr>
          <w:p>
            <w:pPr>
              <w:pStyle w:val="12"/>
            </w:pPr>
            <w:r>
              <w:t>≥95%</w:t>
            </w:r>
          </w:p>
        </w:tc>
        <w:tc>
          <w:tcPr>
            <w:tcW w:w="1276" w:type="dxa"/>
            <w:vAlign w:val="center"/>
          </w:tcPr>
          <w:p>
            <w:pPr>
              <w:pStyle w:val="12"/>
            </w:pPr>
            <w:r>
              <w:t>考核要求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控制预算数</w:t>
            </w:r>
          </w:p>
        </w:tc>
        <w:tc>
          <w:tcPr>
            <w:tcW w:w="5386" w:type="dxa"/>
            <w:vAlign w:val="center"/>
          </w:tcPr>
          <w:p>
            <w:pPr>
              <w:pStyle w:val="12"/>
            </w:pPr>
            <w:r>
              <w:t>控制在预算资金内</w:t>
            </w:r>
          </w:p>
        </w:tc>
        <w:tc>
          <w:tcPr>
            <w:tcW w:w="2268" w:type="dxa"/>
            <w:vAlign w:val="center"/>
          </w:tcPr>
          <w:p>
            <w:pPr>
              <w:pStyle w:val="12"/>
            </w:pPr>
            <w:r>
              <w:t>≤1万元</w:t>
            </w:r>
          </w:p>
        </w:tc>
        <w:tc>
          <w:tcPr>
            <w:tcW w:w="1276" w:type="dxa"/>
            <w:vAlign w:val="center"/>
          </w:tcPr>
          <w:p>
            <w:pPr>
              <w:pStyle w:val="12"/>
            </w:pPr>
            <w:r>
              <w:t>考核要求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提升粮食质量</w:t>
            </w:r>
          </w:p>
        </w:tc>
        <w:tc>
          <w:tcPr>
            <w:tcW w:w="5386" w:type="dxa"/>
            <w:vAlign w:val="center"/>
          </w:tcPr>
          <w:p>
            <w:pPr>
              <w:pStyle w:val="12"/>
            </w:pPr>
            <w:r>
              <w:t>保障粮食安全</w:t>
            </w:r>
          </w:p>
        </w:tc>
        <w:tc>
          <w:tcPr>
            <w:tcW w:w="2268" w:type="dxa"/>
            <w:vAlign w:val="center"/>
          </w:tcPr>
          <w:p>
            <w:pPr>
              <w:pStyle w:val="12"/>
            </w:pPr>
            <w:r>
              <w:t>保障</w:t>
            </w:r>
          </w:p>
        </w:tc>
        <w:tc>
          <w:tcPr>
            <w:tcW w:w="1276" w:type="dxa"/>
            <w:vAlign w:val="center"/>
          </w:tcPr>
          <w:p>
            <w:pPr>
              <w:pStyle w:val="12"/>
            </w:pPr>
            <w:r>
              <w:t>考核要求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单位工作人员满意度</w:t>
            </w:r>
          </w:p>
        </w:tc>
        <w:tc>
          <w:tcPr>
            <w:tcW w:w="5386" w:type="dxa"/>
            <w:vAlign w:val="center"/>
          </w:tcPr>
          <w:p>
            <w:pPr>
              <w:pStyle w:val="12"/>
            </w:pPr>
            <w:r>
              <w:t>调查中企业对工作环境满意度和较满意的人数占调查总人数的比率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3、粮食质量安全检查和监测经费绩效目标表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13030326P0006HT10012C</w:t>
            </w:r>
          </w:p>
        </w:tc>
        <w:tc>
          <w:tcPr>
            <w:tcW w:w="2835" w:type="dxa"/>
            <w:vAlign w:val="center"/>
          </w:tcPr>
          <w:p>
            <w:pPr>
              <w:pStyle w:val="10"/>
            </w:pPr>
            <w:r>
              <w:t>项目名称</w:t>
            </w:r>
          </w:p>
        </w:tc>
        <w:tc>
          <w:tcPr>
            <w:tcW w:w="6095" w:type="dxa"/>
            <w:gridSpan w:val="3"/>
            <w:vAlign w:val="center"/>
          </w:tcPr>
          <w:p>
            <w:pPr>
              <w:pStyle w:val="12"/>
            </w:pPr>
            <w:r>
              <w:t>粮食质量安全检查和监测经费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用于粮食质量安全检测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1.00</w:t>
            </w:r>
          </w:p>
        </w:tc>
        <w:tc>
          <w:tcPr>
            <w:tcW w:w="2551" w:type="dxa"/>
            <w:vAlign w:val="center"/>
          </w:tcPr>
          <w:p>
            <w:pPr>
              <w:pStyle w:val="13"/>
            </w:pPr>
            <w:r>
              <w:t>1.50</w:t>
            </w:r>
          </w:p>
        </w:tc>
        <w:tc>
          <w:tcPr>
            <w:tcW w:w="3544"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1.通过粮食质量安全检测，达到储备粮质量数量安全统一。</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粮食质量检测次数</w:t>
            </w:r>
          </w:p>
        </w:tc>
        <w:tc>
          <w:tcPr>
            <w:tcW w:w="5386" w:type="dxa"/>
            <w:vAlign w:val="center"/>
          </w:tcPr>
          <w:p>
            <w:pPr>
              <w:pStyle w:val="12"/>
            </w:pPr>
            <w:r>
              <w:t>组织开展粮食质量检测</w:t>
            </w:r>
          </w:p>
        </w:tc>
        <w:tc>
          <w:tcPr>
            <w:tcW w:w="2268" w:type="dxa"/>
            <w:vAlign w:val="center"/>
          </w:tcPr>
          <w:p>
            <w:pPr>
              <w:pStyle w:val="12"/>
            </w:pPr>
            <w:r>
              <w:t>≥2次</w:t>
            </w:r>
          </w:p>
        </w:tc>
        <w:tc>
          <w:tcPr>
            <w:tcW w:w="1276" w:type="dxa"/>
            <w:vAlign w:val="center"/>
          </w:tcPr>
          <w:p>
            <w:pPr>
              <w:pStyle w:val="12"/>
            </w:pPr>
            <w:r>
              <w:t>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粮食质量检测合格率</w:t>
            </w:r>
          </w:p>
        </w:tc>
        <w:tc>
          <w:tcPr>
            <w:tcW w:w="5386" w:type="dxa"/>
            <w:vAlign w:val="center"/>
          </w:tcPr>
          <w:p>
            <w:pPr>
              <w:pStyle w:val="12"/>
            </w:pPr>
            <w:r>
              <w:t>检测结果合格情况</w:t>
            </w:r>
          </w:p>
        </w:tc>
        <w:tc>
          <w:tcPr>
            <w:tcW w:w="2268" w:type="dxa"/>
            <w:vAlign w:val="center"/>
          </w:tcPr>
          <w:p>
            <w:pPr>
              <w:pStyle w:val="12"/>
            </w:pPr>
            <w:r>
              <w:t>≥95%</w:t>
            </w:r>
          </w:p>
        </w:tc>
        <w:tc>
          <w:tcPr>
            <w:tcW w:w="1276" w:type="dxa"/>
            <w:vAlign w:val="center"/>
          </w:tcPr>
          <w:p>
            <w:pPr>
              <w:pStyle w:val="12"/>
            </w:pPr>
            <w:r>
              <w:t>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及时按要求完成工作任务</w:t>
            </w:r>
          </w:p>
        </w:tc>
        <w:tc>
          <w:tcPr>
            <w:tcW w:w="2268" w:type="dxa"/>
            <w:vAlign w:val="center"/>
          </w:tcPr>
          <w:p>
            <w:pPr>
              <w:pStyle w:val="12"/>
            </w:pPr>
            <w:r>
              <w:t>及时</w:t>
            </w:r>
          </w:p>
        </w:tc>
        <w:tc>
          <w:tcPr>
            <w:tcW w:w="1276" w:type="dxa"/>
            <w:vAlign w:val="center"/>
          </w:tcPr>
          <w:p>
            <w:pPr>
              <w:pStyle w:val="12"/>
            </w:pPr>
            <w:r>
              <w:t>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成本控制额</w:t>
            </w:r>
          </w:p>
        </w:tc>
        <w:tc>
          <w:tcPr>
            <w:tcW w:w="5386" w:type="dxa"/>
            <w:vAlign w:val="center"/>
          </w:tcPr>
          <w:p>
            <w:pPr>
              <w:pStyle w:val="12"/>
            </w:pPr>
            <w:r>
              <w:t>预算范围内</w:t>
            </w:r>
          </w:p>
        </w:tc>
        <w:tc>
          <w:tcPr>
            <w:tcW w:w="2268" w:type="dxa"/>
            <w:vAlign w:val="center"/>
          </w:tcPr>
          <w:p>
            <w:pPr>
              <w:pStyle w:val="12"/>
            </w:pPr>
            <w:r>
              <w:t>≤2万元</w:t>
            </w:r>
          </w:p>
        </w:tc>
        <w:tc>
          <w:tcPr>
            <w:tcW w:w="127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提升储备粮质量</w:t>
            </w:r>
          </w:p>
        </w:tc>
        <w:tc>
          <w:tcPr>
            <w:tcW w:w="5386" w:type="dxa"/>
            <w:vAlign w:val="center"/>
          </w:tcPr>
          <w:p>
            <w:pPr>
              <w:pStyle w:val="12"/>
            </w:pPr>
            <w:r>
              <w:t>提升粮食质量安全</w:t>
            </w:r>
          </w:p>
        </w:tc>
        <w:tc>
          <w:tcPr>
            <w:tcW w:w="2268" w:type="dxa"/>
            <w:vAlign w:val="center"/>
          </w:tcPr>
          <w:p>
            <w:pPr>
              <w:pStyle w:val="12"/>
            </w:pPr>
            <w:r>
              <w:t>提升</w:t>
            </w:r>
          </w:p>
        </w:tc>
        <w:tc>
          <w:tcPr>
            <w:tcW w:w="1276" w:type="dxa"/>
            <w:vAlign w:val="center"/>
          </w:tcPr>
          <w:p>
            <w:pPr>
              <w:pStyle w:val="12"/>
            </w:pPr>
            <w:r>
              <w:t>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主管部门满意度</w:t>
            </w:r>
          </w:p>
        </w:tc>
        <w:tc>
          <w:tcPr>
            <w:tcW w:w="5386" w:type="dxa"/>
            <w:vAlign w:val="center"/>
          </w:tcPr>
          <w:p>
            <w:pPr>
              <w:pStyle w:val="12"/>
            </w:pPr>
            <w:r>
              <w:t>相关部门、企业满意度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4、秦皇岛市山海关区国民经济和社会发展第十五个五年规划纲要技术服务费、印刷费绩效目标表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13030326P00385510162A</w:t>
            </w:r>
          </w:p>
        </w:tc>
        <w:tc>
          <w:tcPr>
            <w:tcW w:w="2835" w:type="dxa"/>
            <w:vAlign w:val="center"/>
          </w:tcPr>
          <w:p>
            <w:pPr>
              <w:pStyle w:val="10"/>
            </w:pPr>
            <w:r>
              <w:t>项目名称</w:t>
            </w:r>
          </w:p>
        </w:tc>
        <w:tc>
          <w:tcPr>
            <w:tcW w:w="6095" w:type="dxa"/>
            <w:gridSpan w:val="3"/>
            <w:vAlign w:val="center"/>
          </w:tcPr>
          <w:p>
            <w:pPr>
              <w:pStyle w:val="12"/>
            </w:pPr>
            <w:r>
              <w:t>秦皇岛市山海关区国民经济和社会发展第十五个五年规划纲要技术服务费、印刷费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31.00</w:t>
            </w:r>
          </w:p>
        </w:tc>
        <w:tc>
          <w:tcPr>
            <w:tcW w:w="2835" w:type="dxa"/>
            <w:vAlign w:val="center"/>
          </w:tcPr>
          <w:p>
            <w:pPr>
              <w:pStyle w:val="10"/>
            </w:pPr>
            <w:r>
              <w:t>其中：财政    资金</w:t>
            </w:r>
          </w:p>
        </w:tc>
        <w:tc>
          <w:tcPr>
            <w:tcW w:w="2551" w:type="dxa"/>
            <w:vAlign w:val="center"/>
          </w:tcPr>
          <w:p>
            <w:pPr>
              <w:pStyle w:val="12"/>
            </w:pPr>
            <w:r>
              <w:t>31.00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用于进行山海关区国民经济和社会发展第十五个五年规划纲要技术服务费、印刷费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7.75</w:t>
            </w:r>
          </w:p>
        </w:tc>
        <w:tc>
          <w:tcPr>
            <w:tcW w:w="2835" w:type="dxa"/>
            <w:vAlign w:val="center"/>
          </w:tcPr>
          <w:p>
            <w:pPr>
              <w:pStyle w:val="13"/>
            </w:pPr>
            <w:r>
              <w:t>15.50</w:t>
            </w:r>
          </w:p>
        </w:tc>
        <w:tc>
          <w:tcPr>
            <w:tcW w:w="2551" w:type="dxa"/>
            <w:vAlign w:val="center"/>
          </w:tcPr>
          <w:p>
            <w:pPr>
              <w:pStyle w:val="13"/>
            </w:pPr>
            <w:r>
              <w:t>23.25</w:t>
            </w:r>
          </w:p>
        </w:tc>
        <w:tc>
          <w:tcPr>
            <w:tcW w:w="3544" w:type="dxa"/>
            <w:gridSpan w:val="2"/>
            <w:vAlign w:val="center"/>
          </w:tcPr>
          <w:p>
            <w:pPr>
              <w:pStyle w:val="13"/>
            </w:pPr>
            <w:r>
              <w:t>31.00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1.通过进行山海关区国民经济和社会发展第十五个五年规划纲要技术费、印刷费，满足工作需要。</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质量保障率</w:t>
            </w:r>
          </w:p>
        </w:tc>
        <w:tc>
          <w:tcPr>
            <w:tcW w:w="5386" w:type="dxa"/>
            <w:vAlign w:val="center"/>
          </w:tcPr>
          <w:p>
            <w:pPr>
              <w:pStyle w:val="12"/>
            </w:pPr>
            <w:r>
              <w:t>印刷质量满足工作需要</w:t>
            </w:r>
          </w:p>
        </w:tc>
        <w:tc>
          <w:tcPr>
            <w:tcW w:w="2268" w:type="dxa"/>
            <w:vAlign w:val="center"/>
          </w:tcPr>
          <w:p>
            <w:pPr>
              <w:pStyle w:val="12"/>
            </w:pPr>
            <w:r>
              <w:t>≥95%</w:t>
            </w:r>
          </w:p>
        </w:tc>
        <w:tc>
          <w:tcPr>
            <w:tcW w:w="1276" w:type="dxa"/>
            <w:vAlign w:val="center"/>
          </w:tcPr>
          <w:p>
            <w:pPr>
              <w:pStyle w:val="12"/>
            </w:pPr>
            <w:r>
              <w:t>印刷质量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印刷次数</w:t>
            </w:r>
          </w:p>
        </w:tc>
        <w:tc>
          <w:tcPr>
            <w:tcW w:w="5386" w:type="dxa"/>
            <w:vAlign w:val="center"/>
          </w:tcPr>
          <w:p>
            <w:pPr>
              <w:pStyle w:val="12"/>
            </w:pPr>
            <w:r>
              <w:t>印刷次数满足工作需要</w:t>
            </w:r>
          </w:p>
        </w:tc>
        <w:tc>
          <w:tcPr>
            <w:tcW w:w="2268" w:type="dxa"/>
            <w:vAlign w:val="center"/>
          </w:tcPr>
          <w:p>
            <w:pPr>
              <w:pStyle w:val="12"/>
            </w:pPr>
            <w:r>
              <w:t>≥1次</w:t>
            </w:r>
          </w:p>
        </w:tc>
        <w:tc>
          <w:tcPr>
            <w:tcW w:w="1276" w:type="dxa"/>
            <w:vAlign w:val="center"/>
          </w:tcPr>
          <w:p>
            <w:pPr>
              <w:pStyle w:val="12"/>
            </w:pPr>
            <w:r>
              <w:t>印刷次数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印刷及时率</w:t>
            </w:r>
          </w:p>
        </w:tc>
        <w:tc>
          <w:tcPr>
            <w:tcW w:w="5386" w:type="dxa"/>
            <w:vAlign w:val="center"/>
          </w:tcPr>
          <w:p>
            <w:pPr>
              <w:pStyle w:val="12"/>
            </w:pPr>
            <w:r>
              <w:t>保障按时印刷完成任务</w:t>
            </w:r>
          </w:p>
        </w:tc>
        <w:tc>
          <w:tcPr>
            <w:tcW w:w="2268" w:type="dxa"/>
            <w:vAlign w:val="center"/>
          </w:tcPr>
          <w:p>
            <w:pPr>
              <w:pStyle w:val="12"/>
            </w:pPr>
            <w:r>
              <w:t>按时完成</w:t>
            </w:r>
          </w:p>
        </w:tc>
        <w:tc>
          <w:tcPr>
            <w:tcW w:w="1276" w:type="dxa"/>
            <w:vAlign w:val="center"/>
          </w:tcPr>
          <w:p>
            <w:pPr>
              <w:pStyle w:val="12"/>
            </w:pPr>
            <w:r>
              <w:t>印刷及时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项目控制预算数</w:t>
            </w:r>
          </w:p>
        </w:tc>
        <w:tc>
          <w:tcPr>
            <w:tcW w:w="5386" w:type="dxa"/>
            <w:vAlign w:val="center"/>
          </w:tcPr>
          <w:p>
            <w:pPr>
              <w:pStyle w:val="12"/>
            </w:pPr>
            <w:r>
              <w:t>不超过财政支持经费</w:t>
            </w:r>
          </w:p>
        </w:tc>
        <w:tc>
          <w:tcPr>
            <w:tcW w:w="2268" w:type="dxa"/>
            <w:vAlign w:val="center"/>
          </w:tcPr>
          <w:p>
            <w:pPr>
              <w:pStyle w:val="12"/>
            </w:pPr>
            <w:r>
              <w:t>≤31万元</w:t>
            </w:r>
          </w:p>
        </w:tc>
        <w:tc>
          <w:tcPr>
            <w:tcW w:w="127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节约成本</w:t>
            </w:r>
          </w:p>
        </w:tc>
        <w:tc>
          <w:tcPr>
            <w:tcW w:w="5386" w:type="dxa"/>
            <w:vAlign w:val="center"/>
          </w:tcPr>
          <w:p>
            <w:pPr>
              <w:pStyle w:val="12"/>
            </w:pPr>
            <w:r>
              <w:t>降低能耗、节约纸张</w:t>
            </w:r>
          </w:p>
        </w:tc>
        <w:tc>
          <w:tcPr>
            <w:tcW w:w="2268" w:type="dxa"/>
            <w:vAlign w:val="center"/>
          </w:tcPr>
          <w:p>
            <w:pPr>
              <w:pStyle w:val="12"/>
            </w:pPr>
            <w:r>
              <w:t>降低成本</w:t>
            </w:r>
          </w:p>
        </w:tc>
        <w:tc>
          <w:tcPr>
            <w:tcW w:w="1276" w:type="dxa"/>
            <w:vAlign w:val="center"/>
          </w:tcPr>
          <w:p>
            <w:pPr>
              <w:pStyle w:val="12"/>
            </w:pPr>
            <w:r>
              <w:t>节约成本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单位工作人员满意度</w:t>
            </w:r>
          </w:p>
        </w:tc>
        <w:tc>
          <w:tcPr>
            <w:tcW w:w="5386" w:type="dxa"/>
            <w:vAlign w:val="center"/>
          </w:tcPr>
          <w:p>
            <w:pPr>
              <w:pStyle w:val="12"/>
            </w:pPr>
            <w:r>
              <w:t>工作人员满意度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5、人防建设经费绩效目标表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13030326P003855101603</w:t>
            </w:r>
          </w:p>
        </w:tc>
        <w:tc>
          <w:tcPr>
            <w:tcW w:w="2835" w:type="dxa"/>
            <w:vAlign w:val="center"/>
          </w:tcPr>
          <w:p>
            <w:pPr>
              <w:pStyle w:val="10"/>
            </w:pPr>
            <w:r>
              <w:t>项目名称</w:t>
            </w:r>
          </w:p>
        </w:tc>
        <w:tc>
          <w:tcPr>
            <w:tcW w:w="6095" w:type="dxa"/>
            <w:gridSpan w:val="3"/>
            <w:vAlign w:val="center"/>
          </w:tcPr>
          <w:p>
            <w:pPr>
              <w:pStyle w:val="12"/>
            </w:pPr>
            <w:r>
              <w:t>人防建设经费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用于保障人防通信畅通，防空防灾宣传教育成效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w:t>
            </w:r>
          </w:p>
        </w:tc>
        <w:tc>
          <w:tcPr>
            <w:tcW w:w="2835" w:type="dxa"/>
            <w:vAlign w:val="center"/>
          </w:tcPr>
          <w:p>
            <w:pPr>
              <w:pStyle w:val="13"/>
            </w:pPr>
            <w:r>
              <w:t>50.00</w:t>
            </w:r>
          </w:p>
        </w:tc>
        <w:tc>
          <w:tcPr>
            <w:tcW w:w="2551" w:type="dxa"/>
            <w:vAlign w:val="center"/>
          </w:tcPr>
          <w:p>
            <w:pPr>
              <w:pStyle w:val="13"/>
            </w:pPr>
            <w:r>
              <w:t>75.00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1.通过保障人防通信畅通，防空防灾宣传教育成效，达到了整体应战应急防灾保障能力。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人员演练参训次数</w:t>
            </w:r>
          </w:p>
        </w:tc>
        <w:tc>
          <w:tcPr>
            <w:tcW w:w="5386" w:type="dxa"/>
            <w:vAlign w:val="center"/>
          </w:tcPr>
          <w:p>
            <w:pPr>
              <w:pStyle w:val="12"/>
            </w:pPr>
            <w:r>
              <w:t>年度内完成12次卫星电话训练</w:t>
            </w:r>
          </w:p>
        </w:tc>
        <w:tc>
          <w:tcPr>
            <w:tcW w:w="2268" w:type="dxa"/>
            <w:vAlign w:val="center"/>
          </w:tcPr>
          <w:p>
            <w:pPr>
              <w:pStyle w:val="12"/>
            </w:pPr>
            <w:r>
              <w:t>≥12次</w:t>
            </w:r>
          </w:p>
        </w:tc>
        <w:tc>
          <w:tcPr>
            <w:tcW w:w="1276" w:type="dxa"/>
            <w:vAlign w:val="center"/>
          </w:tcPr>
          <w:p>
            <w:pPr>
              <w:pStyle w:val="12"/>
            </w:pPr>
            <w:r>
              <w:t>省市办训练任务安排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设备正常运转率</w:t>
            </w:r>
          </w:p>
        </w:tc>
        <w:tc>
          <w:tcPr>
            <w:tcW w:w="5386" w:type="dxa"/>
            <w:vAlign w:val="center"/>
          </w:tcPr>
          <w:p>
            <w:pPr>
              <w:pStyle w:val="12"/>
            </w:pPr>
            <w:r>
              <w:t>系统正常运转，完成制定训练任务</w:t>
            </w:r>
          </w:p>
        </w:tc>
        <w:tc>
          <w:tcPr>
            <w:tcW w:w="2268" w:type="dxa"/>
            <w:vAlign w:val="center"/>
          </w:tcPr>
          <w:p>
            <w:pPr>
              <w:pStyle w:val="12"/>
            </w:pPr>
            <w:r>
              <w:t>≥95%</w:t>
            </w:r>
          </w:p>
        </w:tc>
        <w:tc>
          <w:tcPr>
            <w:tcW w:w="1276" w:type="dxa"/>
            <w:vAlign w:val="center"/>
          </w:tcPr>
          <w:p>
            <w:pPr>
              <w:pStyle w:val="12"/>
            </w:pPr>
            <w:r>
              <w:t>市办工作要点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完成工作时效</w:t>
            </w:r>
          </w:p>
        </w:tc>
        <w:tc>
          <w:tcPr>
            <w:tcW w:w="5386" w:type="dxa"/>
            <w:vAlign w:val="center"/>
          </w:tcPr>
          <w:p>
            <w:pPr>
              <w:pStyle w:val="12"/>
            </w:pPr>
            <w:r>
              <w:t>严格按照市办训练时间完成</w:t>
            </w:r>
          </w:p>
        </w:tc>
        <w:tc>
          <w:tcPr>
            <w:tcW w:w="2268" w:type="dxa"/>
            <w:vAlign w:val="center"/>
          </w:tcPr>
          <w:p>
            <w:pPr>
              <w:pStyle w:val="12"/>
            </w:pPr>
            <w:r>
              <w:t>≤12月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预算额度</w:t>
            </w:r>
          </w:p>
        </w:tc>
        <w:tc>
          <w:tcPr>
            <w:tcW w:w="5386" w:type="dxa"/>
            <w:vAlign w:val="center"/>
          </w:tcPr>
          <w:p>
            <w:pPr>
              <w:pStyle w:val="12"/>
            </w:pPr>
            <w:r>
              <w:t>控制在预算范围内</w:t>
            </w:r>
          </w:p>
        </w:tc>
        <w:tc>
          <w:tcPr>
            <w:tcW w:w="2268" w:type="dxa"/>
            <w:vAlign w:val="center"/>
          </w:tcPr>
          <w:p>
            <w:pPr>
              <w:pStyle w:val="12"/>
            </w:pPr>
            <w:r>
              <w:t>≤100万元</w:t>
            </w:r>
          </w:p>
        </w:tc>
        <w:tc>
          <w:tcPr>
            <w:tcW w:w="127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提高公众防灾减灾意识</w:t>
            </w:r>
          </w:p>
        </w:tc>
        <w:tc>
          <w:tcPr>
            <w:tcW w:w="5386" w:type="dxa"/>
            <w:vAlign w:val="center"/>
          </w:tcPr>
          <w:p>
            <w:pPr>
              <w:pStyle w:val="12"/>
            </w:pPr>
            <w:r>
              <w:t>提高人民国防安全意识</w:t>
            </w:r>
          </w:p>
        </w:tc>
        <w:tc>
          <w:tcPr>
            <w:tcW w:w="2268" w:type="dxa"/>
            <w:vAlign w:val="center"/>
          </w:tcPr>
          <w:p>
            <w:pPr>
              <w:pStyle w:val="12"/>
            </w:pPr>
            <w:r>
              <w:t>提高</w:t>
            </w:r>
          </w:p>
        </w:tc>
        <w:tc>
          <w:tcPr>
            <w:tcW w:w="1276" w:type="dxa"/>
            <w:vAlign w:val="center"/>
          </w:tcPr>
          <w:p>
            <w:pPr>
              <w:pStyle w:val="12"/>
            </w:pPr>
            <w:r>
              <w:t>活动效果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群众意见留言</w:t>
            </w:r>
          </w:p>
        </w:tc>
        <w:tc>
          <w:tcPr>
            <w:tcW w:w="2268" w:type="dxa"/>
            <w:vAlign w:val="center"/>
          </w:tcPr>
          <w:p>
            <w:pPr>
              <w:pStyle w:val="12"/>
            </w:pPr>
            <w:r>
              <w:t>≥95%</w:t>
            </w:r>
          </w:p>
        </w:tc>
        <w:tc>
          <w:tcPr>
            <w:tcW w:w="1276" w:type="dxa"/>
            <w:vAlign w:val="center"/>
          </w:tcPr>
          <w:p>
            <w:pPr>
              <w:pStyle w:val="12"/>
            </w:pPr>
            <w:r>
              <w:t>群众意见留言内容</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6、山海关区碳达峰实施方案编制费绩效目标表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13030326P00385510161N</w:t>
            </w:r>
          </w:p>
        </w:tc>
        <w:tc>
          <w:tcPr>
            <w:tcW w:w="2835" w:type="dxa"/>
            <w:vAlign w:val="center"/>
          </w:tcPr>
          <w:p>
            <w:pPr>
              <w:pStyle w:val="10"/>
            </w:pPr>
            <w:r>
              <w:t>项目名称</w:t>
            </w:r>
          </w:p>
        </w:tc>
        <w:tc>
          <w:tcPr>
            <w:tcW w:w="6095" w:type="dxa"/>
            <w:gridSpan w:val="3"/>
            <w:vAlign w:val="center"/>
          </w:tcPr>
          <w:p>
            <w:pPr>
              <w:pStyle w:val="12"/>
            </w:pPr>
            <w:r>
              <w:t>山海关区碳达峰实施方案编制费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18.50</w:t>
            </w:r>
          </w:p>
        </w:tc>
        <w:tc>
          <w:tcPr>
            <w:tcW w:w="2835" w:type="dxa"/>
            <w:vAlign w:val="center"/>
          </w:tcPr>
          <w:p>
            <w:pPr>
              <w:pStyle w:val="10"/>
            </w:pPr>
            <w:r>
              <w:t>其中：财政    资金</w:t>
            </w:r>
          </w:p>
        </w:tc>
        <w:tc>
          <w:tcPr>
            <w:tcW w:w="2551" w:type="dxa"/>
            <w:vAlign w:val="center"/>
          </w:tcPr>
          <w:p>
            <w:pPr>
              <w:pStyle w:val="12"/>
            </w:pPr>
            <w:r>
              <w:t>18.50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用于印发碳达峰实施方案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4.63</w:t>
            </w:r>
          </w:p>
        </w:tc>
        <w:tc>
          <w:tcPr>
            <w:tcW w:w="2835" w:type="dxa"/>
            <w:vAlign w:val="center"/>
          </w:tcPr>
          <w:p>
            <w:pPr>
              <w:pStyle w:val="13"/>
            </w:pPr>
            <w:r>
              <w:t>9.25</w:t>
            </w:r>
          </w:p>
        </w:tc>
        <w:tc>
          <w:tcPr>
            <w:tcW w:w="2551" w:type="dxa"/>
            <w:vAlign w:val="center"/>
          </w:tcPr>
          <w:p>
            <w:pPr>
              <w:pStyle w:val="13"/>
            </w:pPr>
            <w:r>
              <w:t>13.88</w:t>
            </w:r>
          </w:p>
        </w:tc>
        <w:tc>
          <w:tcPr>
            <w:tcW w:w="3544" w:type="dxa"/>
            <w:gridSpan w:val="2"/>
            <w:vAlign w:val="center"/>
          </w:tcPr>
          <w:p>
            <w:pPr>
              <w:pStyle w:val="13"/>
            </w:pPr>
            <w:r>
              <w:t>18.50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1.通过印发碳达峰实施方案，保障工作顺利开展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印刷计划</w:t>
            </w:r>
          </w:p>
        </w:tc>
        <w:tc>
          <w:tcPr>
            <w:tcW w:w="5386" w:type="dxa"/>
            <w:vAlign w:val="center"/>
          </w:tcPr>
          <w:p>
            <w:pPr>
              <w:pStyle w:val="12"/>
            </w:pPr>
            <w:r>
              <w:t>印刷计划完成量</w:t>
            </w:r>
          </w:p>
        </w:tc>
        <w:tc>
          <w:tcPr>
            <w:tcW w:w="2268" w:type="dxa"/>
            <w:vAlign w:val="center"/>
          </w:tcPr>
          <w:p>
            <w:pPr>
              <w:pStyle w:val="12"/>
            </w:pPr>
            <w:r>
              <w:t>≥1个</w:t>
            </w:r>
          </w:p>
        </w:tc>
        <w:tc>
          <w:tcPr>
            <w:tcW w:w="1276" w:type="dxa"/>
            <w:vAlign w:val="center"/>
          </w:tcPr>
          <w:p>
            <w:pPr>
              <w:pStyle w:val="12"/>
            </w:pPr>
            <w:r>
              <w:t>印刷数量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完成效果</w:t>
            </w:r>
          </w:p>
        </w:tc>
        <w:tc>
          <w:tcPr>
            <w:tcW w:w="5386" w:type="dxa"/>
            <w:vAlign w:val="center"/>
          </w:tcPr>
          <w:p>
            <w:pPr>
              <w:pStyle w:val="12"/>
            </w:pPr>
            <w:r>
              <w:t>完成升级效果</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支付完成率</w:t>
            </w:r>
          </w:p>
        </w:tc>
        <w:tc>
          <w:tcPr>
            <w:tcW w:w="5386" w:type="dxa"/>
            <w:vAlign w:val="center"/>
          </w:tcPr>
          <w:p>
            <w:pPr>
              <w:pStyle w:val="12"/>
            </w:pPr>
            <w:r>
              <w:t>按时有序支付</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w:t>
            </w:r>
          </w:p>
        </w:tc>
        <w:tc>
          <w:tcPr>
            <w:tcW w:w="5386" w:type="dxa"/>
            <w:vAlign w:val="center"/>
          </w:tcPr>
          <w:p>
            <w:pPr>
              <w:pStyle w:val="12"/>
            </w:pPr>
            <w:r>
              <w:t>完成总成本</w:t>
            </w:r>
          </w:p>
        </w:tc>
        <w:tc>
          <w:tcPr>
            <w:tcW w:w="2268" w:type="dxa"/>
            <w:vAlign w:val="center"/>
          </w:tcPr>
          <w:p>
            <w:pPr>
              <w:pStyle w:val="12"/>
            </w:pPr>
            <w:r>
              <w:t>≤18.5万元</w:t>
            </w:r>
          </w:p>
        </w:tc>
        <w:tc>
          <w:tcPr>
            <w:tcW w:w="1276" w:type="dxa"/>
            <w:vAlign w:val="center"/>
          </w:tcPr>
          <w:p>
            <w:pPr>
              <w:pStyle w:val="12"/>
            </w:pPr>
            <w:r>
              <w:t>预算额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有较好的社会影响</w:t>
            </w:r>
          </w:p>
        </w:tc>
        <w:tc>
          <w:tcPr>
            <w:tcW w:w="5386" w:type="dxa"/>
            <w:vAlign w:val="center"/>
          </w:tcPr>
          <w:p>
            <w:pPr>
              <w:pStyle w:val="12"/>
            </w:pPr>
            <w:r>
              <w:t>提高社会影响力</w:t>
            </w:r>
          </w:p>
        </w:tc>
        <w:tc>
          <w:tcPr>
            <w:tcW w:w="2268" w:type="dxa"/>
            <w:vAlign w:val="center"/>
          </w:tcPr>
          <w:p>
            <w:pPr>
              <w:pStyle w:val="12"/>
            </w:pPr>
            <w:r>
              <w:t>提升社会影响力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7、涉案资产价格认定绩效目标表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13030326P00385510163X</w:t>
            </w:r>
          </w:p>
        </w:tc>
        <w:tc>
          <w:tcPr>
            <w:tcW w:w="2835" w:type="dxa"/>
            <w:vAlign w:val="center"/>
          </w:tcPr>
          <w:p>
            <w:pPr>
              <w:pStyle w:val="10"/>
            </w:pPr>
            <w:r>
              <w:t>项目名称</w:t>
            </w:r>
          </w:p>
        </w:tc>
        <w:tc>
          <w:tcPr>
            <w:tcW w:w="6095" w:type="dxa"/>
            <w:gridSpan w:val="3"/>
            <w:vAlign w:val="center"/>
          </w:tcPr>
          <w:p>
            <w:pPr>
              <w:pStyle w:val="12"/>
            </w:pPr>
            <w:r>
              <w:t>涉案资产价格认定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用于异地询价、参加培训、聘请专家等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0.25</w:t>
            </w:r>
          </w:p>
        </w:tc>
        <w:tc>
          <w:tcPr>
            <w:tcW w:w="2835" w:type="dxa"/>
            <w:vAlign w:val="center"/>
          </w:tcPr>
          <w:p>
            <w:pPr>
              <w:pStyle w:val="13"/>
            </w:pPr>
            <w:r>
              <w:t>0.50</w:t>
            </w:r>
          </w:p>
        </w:tc>
        <w:tc>
          <w:tcPr>
            <w:tcW w:w="2551" w:type="dxa"/>
            <w:vAlign w:val="center"/>
          </w:tcPr>
          <w:p>
            <w:pPr>
              <w:pStyle w:val="13"/>
            </w:pPr>
            <w:r>
              <w:t>0.75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1.通过异地询价、参加培训、聘请专家等方式，达到价格认定结论更加客观、准确的目的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参加上级组织会议或培训</w:t>
            </w:r>
          </w:p>
        </w:tc>
        <w:tc>
          <w:tcPr>
            <w:tcW w:w="5386" w:type="dxa"/>
            <w:vAlign w:val="center"/>
          </w:tcPr>
          <w:p>
            <w:pPr>
              <w:pStyle w:val="12"/>
            </w:pPr>
            <w:r>
              <w:t>培训会议参加次数</w:t>
            </w:r>
          </w:p>
        </w:tc>
        <w:tc>
          <w:tcPr>
            <w:tcW w:w="2268" w:type="dxa"/>
            <w:vAlign w:val="center"/>
          </w:tcPr>
          <w:p>
            <w:pPr>
              <w:pStyle w:val="12"/>
            </w:pPr>
            <w:r>
              <w:t>≥2次</w:t>
            </w:r>
          </w:p>
        </w:tc>
        <w:tc>
          <w:tcPr>
            <w:tcW w:w="1276" w:type="dxa"/>
            <w:vAlign w:val="center"/>
          </w:tcPr>
          <w:p>
            <w:pPr>
              <w:pStyle w:val="12"/>
            </w:pPr>
            <w:r>
              <w:t>会议文件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完成工作任务</w:t>
            </w:r>
          </w:p>
        </w:tc>
        <w:tc>
          <w:tcPr>
            <w:tcW w:w="5386" w:type="dxa"/>
            <w:vAlign w:val="center"/>
          </w:tcPr>
          <w:p>
            <w:pPr>
              <w:pStyle w:val="12"/>
            </w:pPr>
            <w:r>
              <w:t>保质保量完成询价工作</w:t>
            </w:r>
          </w:p>
        </w:tc>
        <w:tc>
          <w:tcPr>
            <w:tcW w:w="2268" w:type="dxa"/>
            <w:vAlign w:val="center"/>
          </w:tcPr>
          <w:p>
            <w:pPr>
              <w:pStyle w:val="12"/>
            </w:pPr>
            <w:r>
              <w:t>保障</w:t>
            </w:r>
          </w:p>
        </w:tc>
        <w:tc>
          <w:tcPr>
            <w:tcW w:w="1276" w:type="dxa"/>
            <w:vAlign w:val="center"/>
          </w:tcPr>
          <w:p>
            <w:pPr>
              <w:pStyle w:val="12"/>
            </w:pPr>
            <w:r>
              <w:t>委托标的状况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完成工作进度</w:t>
            </w:r>
          </w:p>
        </w:tc>
        <w:tc>
          <w:tcPr>
            <w:tcW w:w="5386" w:type="dxa"/>
            <w:vAlign w:val="center"/>
          </w:tcPr>
          <w:p>
            <w:pPr>
              <w:pStyle w:val="12"/>
            </w:pPr>
            <w:r>
              <w:t>及时完成</w:t>
            </w:r>
          </w:p>
        </w:tc>
        <w:tc>
          <w:tcPr>
            <w:tcW w:w="2268" w:type="dxa"/>
            <w:vAlign w:val="center"/>
          </w:tcPr>
          <w:p>
            <w:pPr>
              <w:pStyle w:val="12"/>
            </w:pPr>
            <w:r>
              <w:t>及时</w:t>
            </w:r>
          </w:p>
        </w:tc>
        <w:tc>
          <w:tcPr>
            <w:tcW w:w="1276" w:type="dxa"/>
            <w:vAlign w:val="center"/>
          </w:tcPr>
          <w:p>
            <w:pPr>
              <w:pStyle w:val="12"/>
            </w:pPr>
            <w:r>
              <w:t>约定期限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成本金额控制</w:t>
            </w:r>
          </w:p>
        </w:tc>
        <w:tc>
          <w:tcPr>
            <w:tcW w:w="5386" w:type="dxa"/>
            <w:vAlign w:val="center"/>
          </w:tcPr>
          <w:p>
            <w:pPr>
              <w:pStyle w:val="12"/>
            </w:pPr>
            <w:r>
              <w:t>控制在预算范围内</w:t>
            </w:r>
          </w:p>
        </w:tc>
        <w:tc>
          <w:tcPr>
            <w:tcW w:w="2268" w:type="dxa"/>
            <w:vAlign w:val="center"/>
          </w:tcPr>
          <w:p>
            <w:pPr>
              <w:pStyle w:val="12"/>
            </w:pPr>
            <w:r>
              <w:t>≤1万元</w:t>
            </w:r>
          </w:p>
        </w:tc>
        <w:tc>
          <w:tcPr>
            <w:tcW w:w="127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有效提供公共服务，维护公共利益</w:t>
            </w:r>
          </w:p>
        </w:tc>
        <w:tc>
          <w:tcPr>
            <w:tcW w:w="5386" w:type="dxa"/>
            <w:vAlign w:val="center"/>
          </w:tcPr>
          <w:p>
            <w:pPr>
              <w:pStyle w:val="12"/>
            </w:pPr>
            <w:r>
              <w:t>保障了公共服务，维护了公共利益</w:t>
            </w:r>
          </w:p>
        </w:tc>
        <w:tc>
          <w:tcPr>
            <w:tcW w:w="2268" w:type="dxa"/>
            <w:vAlign w:val="center"/>
          </w:tcPr>
          <w:p>
            <w:pPr>
              <w:pStyle w:val="12"/>
            </w:pPr>
            <w:r>
              <w:t>保障</w:t>
            </w:r>
          </w:p>
        </w:tc>
        <w:tc>
          <w:tcPr>
            <w:tcW w:w="1276" w:type="dxa"/>
            <w:vAlign w:val="center"/>
          </w:tcPr>
          <w:p>
            <w:pPr>
              <w:pStyle w:val="12"/>
            </w:pPr>
            <w:r>
              <w:t>价格认定结论书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单位职工和专家满意度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8、项目建设及谋划管理工作经费绩效目标表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13030326P00385510164H</w:t>
            </w:r>
          </w:p>
        </w:tc>
        <w:tc>
          <w:tcPr>
            <w:tcW w:w="2835" w:type="dxa"/>
            <w:vAlign w:val="center"/>
          </w:tcPr>
          <w:p>
            <w:pPr>
              <w:pStyle w:val="10"/>
            </w:pPr>
            <w:r>
              <w:t>项目名称</w:t>
            </w:r>
          </w:p>
        </w:tc>
        <w:tc>
          <w:tcPr>
            <w:tcW w:w="6095" w:type="dxa"/>
            <w:gridSpan w:val="3"/>
            <w:vAlign w:val="center"/>
          </w:tcPr>
          <w:p>
            <w:pPr>
              <w:pStyle w:val="12"/>
            </w:pPr>
            <w:r>
              <w:t>项目建设及谋划管理工作经费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用于支持重点项目的洽谈、谋划和组织推进。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1.通过资金的支出和使用，有力支持重点项目的洽谈、谋划和组织推进，有力推进对上争取资金、政策。</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宣传类别数量</w:t>
            </w:r>
          </w:p>
        </w:tc>
        <w:tc>
          <w:tcPr>
            <w:tcW w:w="5386" w:type="dxa"/>
            <w:vAlign w:val="center"/>
          </w:tcPr>
          <w:p>
            <w:pPr>
              <w:pStyle w:val="12"/>
            </w:pPr>
            <w:r>
              <w:t>项目宣传、宣传册、宣传展板</w:t>
            </w:r>
          </w:p>
        </w:tc>
        <w:tc>
          <w:tcPr>
            <w:tcW w:w="2268" w:type="dxa"/>
            <w:vAlign w:val="center"/>
          </w:tcPr>
          <w:p>
            <w:pPr>
              <w:pStyle w:val="12"/>
            </w:pPr>
            <w:r>
              <w:t>3种</w:t>
            </w:r>
          </w:p>
        </w:tc>
        <w:tc>
          <w:tcPr>
            <w:tcW w:w="1276" w:type="dxa"/>
            <w:vAlign w:val="center"/>
          </w:tcPr>
          <w:p>
            <w:pPr>
              <w:pStyle w:val="12"/>
            </w:pPr>
            <w:r>
              <w:t>项目宣传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重点项目建设成功率</w:t>
            </w:r>
          </w:p>
        </w:tc>
        <w:tc>
          <w:tcPr>
            <w:tcW w:w="5386" w:type="dxa"/>
            <w:vAlign w:val="center"/>
          </w:tcPr>
          <w:p>
            <w:pPr>
              <w:pStyle w:val="12"/>
            </w:pPr>
            <w:r>
              <w:t>重点项目建设成功率</w:t>
            </w:r>
          </w:p>
        </w:tc>
        <w:tc>
          <w:tcPr>
            <w:tcW w:w="2268" w:type="dxa"/>
            <w:vAlign w:val="center"/>
          </w:tcPr>
          <w:p>
            <w:pPr>
              <w:pStyle w:val="12"/>
            </w:pPr>
            <w:r>
              <w:t>≥95%</w:t>
            </w:r>
          </w:p>
        </w:tc>
        <w:tc>
          <w:tcPr>
            <w:tcW w:w="1276" w:type="dxa"/>
            <w:vAlign w:val="center"/>
          </w:tcPr>
          <w:p>
            <w:pPr>
              <w:pStyle w:val="12"/>
            </w:pPr>
            <w:r>
              <w:t>项目总结报告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拨付时间</w:t>
            </w:r>
          </w:p>
        </w:tc>
        <w:tc>
          <w:tcPr>
            <w:tcW w:w="5386" w:type="dxa"/>
            <w:vAlign w:val="center"/>
          </w:tcPr>
          <w:p>
            <w:pPr>
              <w:pStyle w:val="12"/>
            </w:pPr>
            <w:r>
              <w:t>拨付时间是否及时</w:t>
            </w:r>
          </w:p>
        </w:tc>
        <w:tc>
          <w:tcPr>
            <w:tcW w:w="2268" w:type="dxa"/>
            <w:vAlign w:val="center"/>
          </w:tcPr>
          <w:p>
            <w:pPr>
              <w:pStyle w:val="12"/>
            </w:pPr>
            <w:r>
              <w:t>按时拨付</w:t>
            </w:r>
          </w:p>
        </w:tc>
        <w:tc>
          <w:tcPr>
            <w:tcW w:w="1276" w:type="dxa"/>
            <w:vAlign w:val="center"/>
          </w:tcPr>
          <w:p>
            <w:pPr>
              <w:pStyle w:val="12"/>
            </w:pPr>
            <w:r>
              <w:t>资金支付申请单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经费金额</w:t>
            </w:r>
          </w:p>
        </w:tc>
        <w:tc>
          <w:tcPr>
            <w:tcW w:w="5386" w:type="dxa"/>
            <w:vAlign w:val="center"/>
          </w:tcPr>
          <w:p>
            <w:pPr>
              <w:pStyle w:val="12"/>
            </w:pPr>
            <w:r>
              <w:t>经费金额不超预算</w:t>
            </w:r>
          </w:p>
        </w:tc>
        <w:tc>
          <w:tcPr>
            <w:tcW w:w="2268" w:type="dxa"/>
            <w:vAlign w:val="center"/>
          </w:tcPr>
          <w:p>
            <w:pPr>
              <w:pStyle w:val="12"/>
            </w:pPr>
            <w:r>
              <w:t>≤20万元</w:t>
            </w:r>
          </w:p>
        </w:tc>
        <w:tc>
          <w:tcPr>
            <w:tcW w:w="127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项目建设力</w:t>
            </w:r>
          </w:p>
        </w:tc>
        <w:tc>
          <w:tcPr>
            <w:tcW w:w="5386" w:type="dxa"/>
            <w:vAlign w:val="center"/>
          </w:tcPr>
          <w:p>
            <w:pPr>
              <w:pStyle w:val="12"/>
            </w:pPr>
            <w:r>
              <w:t>提高项目建设力</w:t>
            </w:r>
          </w:p>
        </w:tc>
        <w:tc>
          <w:tcPr>
            <w:tcW w:w="2268" w:type="dxa"/>
            <w:vAlign w:val="center"/>
          </w:tcPr>
          <w:p>
            <w:pPr>
              <w:pStyle w:val="12"/>
            </w:pPr>
            <w:r>
              <w:t>提高</w:t>
            </w:r>
          </w:p>
        </w:tc>
        <w:tc>
          <w:tcPr>
            <w:tcW w:w="1276" w:type="dxa"/>
            <w:vAlign w:val="center"/>
          </w:tcPr>
          <w:p>
            <w:pPr>
              <w:pStyle w:val="12"/>
            </w:pPr>
            <w:r>
              <w:t>项目总结报告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职工满意度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9、应急救灾物资绩效目标表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13030326P00RBR210007B</w:t>
            </w:r>
          </w:p>
        </w:tc>
        <w:tc>
          <w:tcPr>
            <w:tcW w:w="2835" w:type="dxa"/>
            <w:vAlign w:val="center"/>
          </w:tcPr>
          <w:p>
            <w:pPr>
              <w:pStyle w:val="10"/>
            </w:pPr>
            <w:r>
              <w:t>项目名称</w:t>
            </w:r>
          </w:p>
        </w:tc>
        <w:tc>
          <w:tcPr>
            <w:tcW w:w="6095" w:type="dxa"/>
            <w:gridSpan w:val="3"/>
            <w:vAlign w:val="center"/>
          </w:tcPr>
          <w:p>
            <w:pPr>
              <w:pStyle w:val="12"/>
            </w:pPr>
            <w:r>
              <w:t>应急救灾物资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用于储备应急救灾物资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w:t>
            </w:r>
          </w:p>
        </w:tc>
        <w:tc>
          <w:tcPr>
            <w:tcW w:w="2835" w:type="dxa"/>
            <w:vAlign w:val="center"/>
          </w:tcPr>
          <w:p>
            <w:pPr>
              <w:pStyle w:val="13"/>
            </w:pPr>
            <w:r>
              <w:t>5.00</w:t>
            </w:r>
          </w:p>
        </w:tc>
        <w:tc>
          <w:tcPr>
            <w:tcW w:w="2551" w:type="dxa"/>
            <w:vAlign w:val="center"/>
          </w:tcPr>
          <w:p>
            <w:pPr>
              <w:pStyle w:val="13"/>
            </w:pPr>
            <w:r>
              <w:t>7.50</w:t>
            </w:r>
          </w:p>
        </w:tc>
        <w:tc>
          <w:tcPr>
            <w:tcW w:w="3544"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1.通过储备应急救灾物资，达到切实加强应急保障能力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救灾物资储备种类</w:t>
            </w:r>
          </w:p>
        </w:tc>
        <w:tc>
          <w:tcPr>
            <w:tcW w:w="5386" w:type="dxa"/>
            <w:vAlign w:val="center"/>
          </w:tcPr>
          <w:p>
            <w:pPr>
              <w:pStyle w:val="12"/>
            </w:pPr>
            <w:r>
              <w:t>救灾物资储备20种以上</w:t>
            </w:r>
          </w:p>
        </w:tc>
        <w:tc>
          <w:tcPr>
            <w:tcW w:w="2268" w:type="dxa"/>
            <w:vAlign w:val="center"/>
          </w:tcPr>
          <w:p>
            <w:pPr>
              <w:pStyle w:val="12"/>
            </w:pPr>
            <w:r>
              <w:t>≥20种</w:t>
            </w:r>
          </w:p>
        </w:tc>
        <w:tc>
          <w:tcPr>
            <w:tcW w:w="1276" w:type="dxa"/>
            <w:vAlign w:val="center"/>
          </w:tcPr>
          <w:p>
            <w:pPr>
              <w:pStyle w:val="12"/>
            </w:pPr>
            <w:r>
              <w:t>河北省粮食和物资储备局救灾储备监督管理办法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救灾物资储备质量合格率</w:t>
            </w:r>
          </w:p>
        </w:tc>
        <w:tc>
          <w:tcPr>
            <w:tcW w:w="5386" w:type="dxa"/>
            <w:vAlign w:val="center"/>
          </w:tcPr>
          <w:p>
            <w:pPr>
              <w:pStyle w:val="12"/>
            </w:pPr>
            <w:r>
              <w:t>救灾物资储备质量合格情况</w:t>
            </w:r>
          </w:p>
        </w:tc>
        <w:tc>
          <w:tcPr>
            <w:tcW w:w="2268" w:type="dxa"/>
            <w:vAlign w:val="center"/>
          </w:tcPr>
          <w:p>
            <w:pPr>
              <w:pStyle w:val="12"/>
            </w:pPr>
            <w:r>
              <w:t>≥95%</w:t>
            </w:r>
          </w:p>
        </w:tc>
        <w:tc>
          <w:tcPr>
            <w:tcW w:w="1276" w:type="dxa"/>
            <w:vAlign w:val="center"/>
          </w:tcPr>
          <w:p>
            <w:pPr>
              <w:pStyle w:val="12"/>
            </w:pPr>
            <w:r>
              <w:t>检验报告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购买及时性</w:t>
            </w:r>
          </w:p>
        </w:tc>
        <w:tc>
          <w:tcPr>
            <w:tcW w:w="5386" w:type="dxa"/>
            <w:vAlign w:val="center"/>
          </w:tcPr>
          <w:p>
            <w:pPr>
              <w:pStyle w:val="12"/>
            </w:pPr>
            <w:r>
              <w:t>及时按照上级要求购买</w:t>
            </w:r>
          </w:p>
        </w:tc>
        <w:tc>
          <w:tcPr>
            <w:tcW w:w="2268" w:type="dxa"/>
            <w:vAlign w:val="center"/>
          </w:tcPr>
          <w:p>
            <w:pPr>
              <w:pStyle w:val="12"/>
            </w:pPr>
            <w:r>
              <w:t>及时</w:t>
            </w:r>
          </w:p>
        </w:tc>
        <w:tc>
          <w:tcPr>
            <w:tcW w:w="1276" w:type="dxa"/>
            <w:vAlign w:val="center"/>
          </w:tcPr>
          <w:p>
            <w:pPr>
              <w:pStyle w:val="12"/>
            </w:pPr>
            <w:r>
              <w:t>实际工作进展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成本控制额</w:t>
            </w:r>
          </w:p>
        </w:tc>
        <w:tc>
          <w:tcPr>
            <w:tcW w:w="5386" w:type="dxa"/>
            <w:vAlign w:val="center"/>
          </w:tcPr>
          <w:p>
            <w:pPr>
              <w:pStyle w:val="12"/>
            </w:pPr>
            <w:r>
              <w:t>控制预算范围内</w:t>
            </w:r>
          </w:p>
        </w:tc>
        <w:tc>
          <w:tcPr>
            <w:tcW w:w="2268" w:type="dxa"/>
            <w:vAlign w:val="center"/>
          </w:tcPr>
          <w:p>
            <w:pPr>
              <w:pStyle w:val="12"/>
            </w:pPr>
            <w:r>
              <w:t>≤10万元</w:t>
            </w:r>
          </w:p>
        </w:tc>
        <w:tc>
          <w:tcPr>
            <w:tcW w:w="127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应急保障能力提升</w:t>
            </w:r>
          </w:p>
        </w:tc>
        <w:tc>
          <w:tcPr>
            <w:tcW w:w="5386" w:type="dxa"/>
            <w:vAlign w:val="center"/>
          </w:tcPr>
          <w:p>
            <w:pPr>
              <w:pStyle w:val="12"/>
            </w:pPr>
            <w:r>
              <w:t>应急保障能力提升情况</w:t>
            </w:r>
          </w:p>
        </w:tc>
        <w:tc>
          <w:tcPr>
            <w:tcW w:w="2268" w:type="dxa"/>
            <w:vAlign w:val="center"/>
          </w:tcPr>
          <w:p>
            <w:pPr>
              <w:pStyle w:val="12"/>
            </w:pPr>
            <w:r>
              <w:t>提升</w:t>
            </w:r>
          </w:p>
        </w:tc>
        <w:tc>
          <w:tcPr>
            <w:tcW w:w="1276" w:type="dxa"/>
            <w:vAlign w:val="center"/>
          </w:tcPr>
          <w:p>
            <w:pPr>
              <w:pStyle w:val="12"/>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主管部门满意度</w:t>
            </w:r>
          </w:p>
        </w:tc>
        <w:tc>
          <w:tcPr>
            <w:tcW w:w="5386" w:type="dxa"/>
            <w:vAlign w:val="center"/>
          </w:tcPr>
          <w:p>
            <w:pPr>
              <w:pStyle w:val="12"/>
            </w:pPr>
            <w:r>
              <w:t>主管部门对救灾物资的满意度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303001发改部门发展和改革局本级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发改部门发展和改革局本级上年末固定资产金额为</w:t>
      </w:r>
      <w:r>
        <w:rPr>
          <w:rFonts w:hint="eastAsia" w:eastAsia="方正仿宋_GBK"/>
          <w:color w:val="000000"/>
          <w:sz w:val="28"/>
          <w:lang w:val="en-US" w:eastAsia="zh-CN"/>
        </w:rPr>
        <w:t>1935.266493</w:t>
      </w:r>
      <w:r>
        <w:rPr>
          <w:rFonts w:eastAsia="方正仿宋_GBK"/>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303001发改部门发展和改革局本级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rPr>
                <w:rFonts w:ascii="方正书宋_GBK" w:hAnsi="方正书宋_GBK" w:eastAsia="方正书宋_GBK" w:cs="方正书宋_GBK"/>
                <w:b/>
                <w:sz w:val="21"/>
                <w:lang w:val="en-US" w:eastAsia="zh-CN" w:bidi="ar-SA"/>
              </w:rPr>
            </w:pPr>
            <w:r>
              <w:t>项   目</w:t>
            </w:r>
          </w:p>
        </w:tc>
        <w:tc>
          <w:tcPr>
            <w:tcW w:w="2835" w:type="dxa"/>
            <w:vAlign w:val="center"/>
          </w:tcPr>
          <w:p>
            <w:pPr>
              <w:pStyle w:val="10"/>
              <w:rPr>
                <w:rFonts w:ascii="方正书宋_GBK" w:hAnsi="方正书宋_GBK" w:eastAsia="方正书宋_GBK" w:cs="方正书宋_GBK"/>
                <w:b/>
                <w:sz w:val="21"/>
                <w:lang w:val="en-US" w:eastAsia="zh-CN" w:bidi="ar-SA"/>
              </w:rPr>
            </w:pPr>
            <w:r>
              <w:t>数量</w:t>
            </w:r>
          </w:p>
        </w:tc>
        <w:tc>
          <w:tcPr>
            <w:tcW w:w="2835" w:type="dxa"/>
            <w:vAlign w:val="center"/>
          </w:tcPr>
          <w:p>
            <w:pPr>
              <w:pStyle w:val="10"/>
              <w:rPr>
                <w:rFonts w:ascii="方正书宋_GBK" w:hAnsi="方正书宋_GBK" w:eastAsia="方正书宋_GBK" w:cs="方正书宋_GBK"/>
                <w:b/>
                <w:sz w:val="21"/>
                <w:lang w:val="en-US" w:eastAsia="zh-CN" w:bidi="ar-SA"/>
              </w:rPr>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ascii="方正书宋_GBK" w:hAnsi="方正书宋_GBK" w:eastAsia="方正书宋_GBK" w:cs="方正书宋_GBK"/>
                <w:sz w:val="21"/>
                <w:lang w:val="en-US" w:eastAsia="zh-CN" w:bidi="ar-SA"/>
              </w:rPr>
            </w:pPr>
            <w:r>
              <w:rPr>
                <w:rFonts w:hint="eastAsia"/>
                <w:lang w:val="en-US" w:eastAsia="zh-CN"/>
              </w:rPr>
              <w:t>资产总额</w:t>
            </w:r>
          </w:p>
        </w:tc>
        <w:tc>
          <w:tcPr>
            <w:tcW w:w="2835" w:type="dxa"/>
            <w:vAlign w:val="center"/>
          </w:tcPr>
          <w:p>
            <w:pPr>
              <w:pStyle w:val="13"/>
              <w:rPr>
                <w:rFonts w:hint="default" w:ascii="方正书宋_GBK" w:hAnsi="方正书宋_GBK" w:eastAsia="方正书宋_GBK" w:cs="方正书宋_GBK"/>
                <w:sz w:val="21"/>
                <w:lang w:val="en-US" w:eastAsia="zh-CN" w:bidi="ar-SA"/>
              </w:rPr>
            </w:pPr>
            <w:r>
              <w:rPr>
                <w:rFonts w:hint="eastAsia"/>
                <w:lang w:val="en-US" w:eastAsia="zh-CN"/>
              </w:rPr>
              <w:t>16087.78</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1876.745493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default" w:ascii="方正书宋_GBK" w:hAnsi="方正书宋_GBK" w:eastAsia="方正书宋_GBK" w:cs="方正书宋_GBK"/>
                <w:sz w:val="21"/>
                <w:lang w:val="en-US" w:eastAsia="zh-CN" w:bidi="ar-SA"/>
              </w:rPr>
            </w:pPr>
            <w:r>
              <w:rPr>
                <w:rFonts w:hint="eastAsia"/>
                <w:lang w:val="en-US" w:eastAsia="zh-CN"/>
              </w:rPr>
              <w:t>1、房屋（平方米）</w:t>
            </w:r>
          </w:p>
        </w:tc>
        <w:tc>
          <w:tcPr>
            <w:tcW w:w="2835" w:type="dxa"/>
            <w:vAlign w:val="center"/>
          </w:tcPr>
          <w:p>
            <w:pPr>
              <w:pStyle w:val="13"/>
              <w:rPr>
                <w:rFonts w:hint="default" w:ascii="方正书宋_GBK" w:hAnsi="方正书宋_GBK" w:eastAsia="方正书宋_GBK" w:cs="方正书宋_GBK"/>
                <w:sz w:val="21"/>
                <w:lang w:val="en-US" w:eastAsia="zh-CN" w:bidi="ar-SA"/>
              </w:rPr>
            </w:pPr>
            <w:r>
              <w:rPr>
                <w:rFonts w:hint="eastAsia"/>
                <w:lang w:val="en-US" w:eastAsia="zh-CN"/>
              </w:rPr>
              <w:t>4928.78</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1192.148708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default" w:ascii="方正书宋_GBK" w:hAnsi="方正书宋_GBK" w:eastAsia="方正书宋_GBK" w:cs="方正书宋_GBK"/>
                <w:sz w:val="21"/>
                <w:lang w:val="en-US" w:eastAsia="zh-CN" w:bidi="ar-SA"/>
              </w:rPr>
            </w:pPr>
            <w:r>
              <w:rPr>
                <w:rFonts w:hint="eastAsia"/>
                <w:lang w:val="en-US" w:eastAsia="zh-CN"/>
              </w:rPr>
              <w:t>2、车辆（台、辆）</w:t>
            </w:r>
          </w:p>
        </w:tc>
        <w:tc>
          <w:tcPr>
            <w:tcW w:w="2835" w:type="dxa"/>
            <w:vAlign w:val="center"/>
          </w:tcPr>
          <w:p>
            <w:pPr>
              <w:pStyle w:val="13"/>
              <w:rPr>
                <w:rFonts w:hint="eastAsia" w:ascii="方正书宋_GBK" w:hAnsi="方正书宋_GBK" w:eastAsia="方正书宋_GBK" w:cs="方正书宋_GBK"/>
                <w:sz w:val="21"/>
                <w:lang w:val="en-US" w:eastAsia="zh-CN" w:bidi="ar-SA"/>
              </w:rPr>
            </w:pPr>
            <w:r>
              <w:rPr>
                <w:rFonts w:hint="eastAsia"/>
                <w:lang w:val="en-US" w:eastAsia="zh-CN"/>
              </w:rPr>
              <w:t>2</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43.3861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default" w:ascii="方正书宋_GBK" w:hAnsi="方正书宋_GBK" w:eastAsia="方正书宋_GBK" w:cs="方正书宋_GBK"/>
                <w:sz w:val="21"/>
                <w:lang w:val="en-US" w:eastAsia="zh-CN" w:bidi="ar-SA"/>
              </w:rPr>
            </w:pPr>
            <w:r>
              <w:rPr>
                <w:rFonts w:hint="eastAsia"/>
                <w:lang w:val="en-US" w:eastAsia="zh-CN"/>
              </w:rPr>
              <w:t>3、设备</w:t>
            </w:r>
          </w:p>
        </w:tc>
        <w:tc>
          <w:tcPr>
            <w:tcW w:w="2835" w:type="dxa"/>
            <w:vAlign w:val="center"/>
          </w:tcPr>
          <w:p>
            <w:pPr>
              <w:pStyle w:val="13"/>
              <w:rPr>
                <w:rFonts w:hint="default" w:ascii="方正书宋_GBK" w:hAnsi="方正书宋_GBK" w:eastAsia="方正书宋_GBK" w:cs="方正书宋_GBK"/>
                <w:sz w:val="21"/>
                <w:lang w:val="en-US" w:eastAsia="zh-CN" w:bidi="ar-SA"/>
              </w:rPr>
            </w:pPr>
            <w:r>
              <w:rPr>
                <w:rFonts w:hint="eastAsia"/>
                <w:lang w:val="en-US" w:eastAsia="zh-CN"/>
              </w:rPr>
              <w:t>557</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433.290511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default" w:ascii="方正书宋_GBK" w:hAnsi="方正书宋_GBK" w:eastAsia="方正书宋_GBK" w:cs="方正书宋_GBK"/>
                <w:sz w:val="21"/>
                <w:lang w:val="en-US" w:eastAsia="zh-CN" w:bidi="ar-SA"/>
              </w:rPr>
            </w:pPr>
            <w:r>
              <w:rPr>
                <w:rFonts w:hint="eastAsia"/>
                <w:lang w:val="en-US" w:eastAsia="zh-CN"/>
              </w:rPr>
              <w:t>4、土地使用权</w:t>
            </w:r>
          </w:p>
        </w:tc>
        <w:tc>
          <w:tcPr>
            <w:tcW w:w="2835" w:type="dxa"/>
            <w:vAlign w:val="center"/>
          </w:tcPr>
          <w:p>
            <w:pPr>
              <w:pStyle w:val="13"/>
              <w:rPr>
                <w:rFonts w:hint="default" w:ascii="方正书宋_GBK" w:hAnsi="方正书宋_GBK" w:eastAsia="方正书宋_GBK" w:cs="方正书宋_GBK"/>
                <w:sz w:val="21"/>
                <w:lang w:val="en-US" w:eastAsia="zh-CN" w:bidi="ar-SA"/>
              </w:rPr>
            </w:pPr>
            <w:r>
              <w:rPr>
                <w:rFonts w:hint="eastAsia"/>
                <w:lang w:val="en-US" w:eastAsia="zh-CN"/>
              </w:rPr>
              <w:t>10000</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177.21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default" w:ascii="方正书宋_GBK" w:hAnsi="方正书宋_GBK" w:eastAsia="方正书宋_GBK" w:cs="方正书宋_GBK"/>
                <w:sz w:val="21"/>
                <w:lang w:val="en-US" w:eastAsia="zh-CN" w:bidi="ar-SA"/>
              </w:rPr>
            </w:pPr>
            <w:r>
              <w:rPr>
                <w:rFonts w:hint="eastAsia"/>
                <w:lang w:val="en-US" w:eastAsia="zh-CN"/>
              </w:rPr>
              <w:t>5、家具和用具</w:t>
            </w:r>
          </w:p>
        </w:tc>
        <w:tc>
          <w:tcPr>
            <w:tcW w:w="2835" w:type="dxa"/>
            <w:vAlign w:val="center"/>
          </w:tcPr>
          <w:p>
            <w:pPr>
              <w:pStyle w:val="13"/>
              <w:rPr>
                <w:rFonts w:hint="default" w:ascii="方正书宋_GBK" w:hAnsi="方正书宋_GBK" w:eastAsia="方正书宋_GBK" w:cs="方正书宋_GBK"/>
                <w:sz w:val="21"/>
                <w:lang w:val="en-US" w:eastAsia="zh-CN" w:bidi="ar-SA"/>
              </w:rPr>
            </w:pPr>
            <w:r>
              <w:rPr>
                <w:rFonts w:hint="eastAsia"/>
                <w:lang w:val="en-US" w:eastAsia="zh-CN"/>
              </w:rPr>
              <w:t>595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lang w:val="en-US" w:eastAsia="zh-CN"/>
              </w:rPr>
              <w:t>24.908174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default" w:ascii="方正书宋_GBK" w:hAnsi="方正书宋_GBK" w:eastAsia="方正书宋_GBK" w:cs="方正书宋_GBK"/>
                <w:sz w:val="21"/>
                <w:lang w:val="en-US" w:eastAsia="zh-CN" w:bidi="ar-SA"/>
              </w:rPr>
            </w:pPr>
            <w:r>
              <w:rPr>
                <w:rFonts w:hint="eastAsia" w:cs="方正书宋_GBK"/>
                <w:sz w:val="21"/>
                <w:lang w:val="en-US" w:eastAsia="zh-CN" w:bidi="ar-SA"/>
              </w:rPr>
              <w:t>6、构筑物</w:t>
            </w:r>
          </w:p>
        </w:tc>
        <w:tc>
          <w:tcPr>
            <w:tcW w:w="2835" w:type="dxa"/>
            <w:vAlign w:val="center"/>
          </w:tcPr>
          <w:p>
            <w:pPr>
              <w:pStyle w:val="13"/>
              <w:rPr>
                <w:rFonts w:hint="default" w:ascii="方正书宋_GBK" w:hAnsi="方正书宋_GBK" w:eastAsia="方正书宋_GBK" w:cs="方正书宋_GBK"/>
                <w:sz w:val="21"/>
                <w:lang w:val="en-US" w:eastAsia="zh-CN" w:bidi="ar-SA"/>
              </w:rPr>
            </w:pPr>
            <w:r>
              <w:rPr>
                <w:rFonts w:hint="eastAsia" w:cs="方正书宋_GBK"/>
                <w:sz w:val="21"/>
                <w:lang w:val="en-US" w:eastAsia="zh-CN" w:bidi="ar-SA"/>
              </w:rPr>
              <w:t>5</w:t>
            </w:r>
          </w:p>
        </w:tc>
        <w:tc>
          <w:tcPr>
            <w:tcW w:w="2835" w:type="dxa"/>
            <w:vAlign w:val="center"/>
          </w:tcPr>
          <w:p>
            <w:pPr>
              <w:pStyle w:val="11"/>
              <w:rPr>
                <w:rFonts w:hint="default" w:ascii="方正书宋_GBK" w:hAnsi="方正书宋_GBK" w:eastAsia="方正书宋_GBK" w:cs="方正书宋_GBK"/>
                <w:sz w:val="21"/>
                <w:lang w:val="en-US" w:eastAsia="zh-CN" w:bidi="ar-SA"/>
              </w:rPr>
            </w:pPr>
            <w:r>
              <w:rPr>
                <w:rFonts w:hint="eastAsia" w:cs="方正书宋_GBK"/>
                <w:sz w:val="21"/>
                <w:lang w:val="en-US" w:eastAsia="zh-CN" w:bidi="ar-SA"/>
              </w:rPr>
              <w:t>5.802</w:t>
            </w: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bookmarkStart w:id="1" w:name="_GoBack"/>
      <w:bookmarkEnd w:id="1"/>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roman"/>
    <w:pitch w:val="default"/>
    <w:sig w:usb0="00000001" w:usb1="080E0000" w:usb2="00000000" w:usb3="00000000" w:csb0="00040000" w:csb1="00000000"/>
  </w:font>
  <w:font w:name="方正书宋_GBK">
    <w:panose1 w:val="03000509000000000000"/>
    <w:charset w:val="86"/>
    <w:family w:val="roman"/>
    <w:pitch w:val="default"/>
    <w:sig w:usb0="00000001" w:usb1="080E0000" w:usb2="00000000" w:usb3="00000000" w:csb0="00040000" w:csb1="00000000"/>
  </w:font>
  <w:font w:name="方正仿宋_GBK">
    <w:panose1 w:val="03000509000000000000"/>
    <w:charset w:val="86"/>
    <w:family w:val="roman"/>
    <w:pitch w:val="default"/>
    <w:sig w:usb0="00000001" w:usb1="080E0000" w:usb2="00000000" w:usb3="00000000" w:csb0="00040000" w:csb1="00000000"/>
  </w:font>
  <w:font w:name="方正楷体_GBK">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4E63E6"/>
    <w:rsid w:val="004E63E6"/>
    <w:rsid w:val="00502D67"/>
    <w:rsid w:val="23AF245C"/>
    <w:rsid w:val="2BFA0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uiPriority w:val="99"/>
    <w:pPr>
      <w:tabs>
        <w:tab w:val="center" w:pos="4153"/>
        <w:tab w:val="right" w:pos="8306"/>
      </w:tabs>
      <w:snapToGrid w:val="0"/>
    </w:pPr>
    <w:rPr>
      <w:sz w:val="18"/>
      <w:szCs w:val="18"/>
    </w:rPr>
  </w:style>
  <w:style w:type="paragraph" w:styleId="3">
    <w:name w:val="header"/>
    <w:basedOn w:val="1"/>
    <w:link w:val="24"/>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uiPriority w:val="99"/>
    <w:rPr>
      <w:sz w:val="18"/>
      <w:szCs w:val="18"/>
      <w:lang w:eastAsia="uk-UA"/>
    </w:rPr>
  </w:style>
  <w:style w:type="character" w:customStyle="1" w:styleId="25">
    <w:name w:val="页脚 Char"/>
    <w:basedOn w:val="6"/>
    <w:link w:val="2"/>
    <w:semiHidden/>
    <w:uiPriority w:val="99"/>
    <w:rPr>
      <w:sz w:val="18"/>
      <w:szCs w:val="18"/>
      <w:lang w:eastAsia="uk-UA"/>
    </w:rPr>
  </w:style>
  <w:style w:type="paragraph" w:customStyle="1" w:styleId="2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36</Pages>
  <Words>2441</Words>
  <Characters>13915</Characters>
  <Lines>115</Lines>
  <Paragraphs>32</Paragraphs>
  <TotalTime>0</TotalTime>
  <ScaleCrop>false</ScaleCrop>
  <LinksUpToDate>false</LinksUpToDate>
  <CharactersWithSpaces>16324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2026-03-06T02:43:00Z</dcterms:created>
  <dc:creator>Administrator</dc:creator>
  <cp:lastModifiedBy>A</cp:lastModifiedBy>
  <dcterms:modified xsi:type="dcterms:W3CDTF">2026-03-06T06:35:56Z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3C923B19B6A7463B8AC0064D4D607194</vt:lpwstr>
  </property>
</Properties>
</file>