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303发改部门</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815.80</w:t>
            </w:r>
          </w:p>
        </w:tc>
        <w:tc>
          <w:tcPr>
            <w:tcW w:w="4535" w:type="dxa"/>
            <w:vAlign w:val="center"/>
          </w:tcPr>
          <w:p>
            <w:pPr>
              <w:pStyle w:val="12"/>
            </w:pPr>
            <w:r>
              <w:t>一、一般公共服务支出</w:t>
            </w:r>
          </w:p>
        </w:tc>
        <w:tc>
          <w:tcPr>
            <w:tcW w:w="2126" w:type="dxa"/>
            <w:vAlign w:val="center"/>
          </w:tcPr>
          <w:p>
            <w:pPr>
              <w:pStyle w:val="11"/>
            </w:pPr>
            <w:r>
              <w:t>464.57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815.80</w:t>
            </w:r>
          </w:p>
        </w:tc>
        <w:tc>
          <w:tcPr>
            <w:tcW w:w="4535" w:type="dxa"/>
            <w:vAlign w:val="center"/>
          </w:tcPr>
          <w:p>
            <w:pPr>
              <w:pStyle w:val="14"/>
            </w:pPr>
            <w:r>
              <w:t>本年支出合计</w:t>
            </w:r>
          </w:p>
        </w:tc>
        <w:tc>
          <w:tcPr>
            <w:tcW w:w="2126" w:type="dxa"/>
            <w:vAlign w:val="center"/>
          </w:tcPr>
          <w:p>
            <w:pPr>
              <w:pStyle w:val="15"/>
            </w:pPr>
            <w:r>
              <w:t>815.80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815.80</w:t>
            </w:r>
          </w:p>
        </w:tc>
        <w:tc>
          <w:tcPr>
            <w:tcW w:w="4535" w:type="dxa"/>
            <w:vAlign w:val="center"/>
          </w:tcPr>
          <w:p>
            <w:pPr>
              <w:pStyle w:val="14"/>
            </w:pPr>
            <w:r>
              <w:t>支出总计</w:t>
            </w:r>
          </w:p>
        </w:tc>
        <w:tc>
          <w:tcPr>
            <w:tcW w:w="2126" w:type="dxa"/>
            <w:vAlign w:val="center"/>
          </w:tcPr>
          <w:p>
            <w:pPr>
              <w:pStyle w:val="15"/>
            </w:pPr>
            <w:r>
              <w:t>815.80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303发改部门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815.80</w:t>
            </w:r>
          </w:p>
        </w:tc>
        <w:tc>
          <w:tcPr>
            <w:tcW w:w="1134" w:type="dxa"/>
            <w:vAlign w:val="center"/>
          </w:tcPr>
          <w:p>
            <w:pPr>
              <w:pStyle w:val="15"/>
            </w:pPr>
            <w:r>
              <w:t>815.80</w:t>
            </w:r>
          </w:p>
        </w:tc>
        <w:tc>
          <w:tcPr>
            <w:tcW w:w="1134" w:type="dxa"/>
            <w:vAlign w:val="center"/>
          </w:tcPr>
          <w:p>
            <w:pPr>
              <w:pStyle w:val="15"/>
            </w:pPr>
            <w:r>
              <w:t>815.80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464.57</w:t>
            </w:r>
          </w:p>
        </w:tc>
        <w:tc>
          <w:tcPr>
            <w:tcW w:w="1134" w:type="dxa"/>
            <w:vAlign w:val="center"/>
          </w:tcPr>
          <w:p>
            <w:pPr>
              <w:pStyle w:val="11"/>
            </w:pPr>
            <w:r>
              <w:t>464.57</w:t>
            </w:r>
          </w:p>
        </w:tc>
        <w:tc>
          <w:tcPr>
            <w:tcW w:w="1134" w:type="dxa"/>
            <w:vAlign w:val="center"/>
          </w:tcPr>
          <w:p>
            <w:pPr>
              <w:pStyle w:val="11"/>
            </w:pPr>
            <w:r>
              <w:t>464.57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454.57</w:t>
            </w:r>
          </w:p>
        </w:tc>
        <w:tc>
          <w:tcPr>
            <w:tcW w:w="1134" w:type="dxa"/>
            <w:vAlign w:val="center"/>
          </w:tcPr>
          <w:p>
            <w:pPr>
              <w:pStyle w:val="11"/>
            </w:pPr>
            <w:r>
              <w:t>454.57</w:t>
            </w:r>
          </w:p>
        </w:tc>
        <w:tc>
          <w:tcPr>
            <w:tcW w:w="1134" w:type="dxa"/>
            <w:vAlign w:val="center"/>
          </w:tcPr>
          <w:p>
            <w:pPr>
              <w:pStyle w:val="11"/>
            </w:pPr>
            <w:r>
              <w:t>454.57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2010401</w:t>
            </w:r>
          </w:p>
        </w:tc>
        <w:tc>
          <w:tcPr>
            <w:tcW w:w="1559" w:type="dxa"/>
            <w:vAlign w:val="center"/>
          </w:tcPr>
          <w:p>
            <w:pPr>
              <w:pStyle w:val="12"/>
            </w:pPr>
            <w:r>
              <w:t>行政运行</w:t>
            </w:r>
          </w:p>
        </w:tc>
        <w:tc>
          <w:tcPr>
            <w:tcW w:w="1134" w:type="dxa"/>
            <w:vAlign w:val="center"/>
          </w:tcPr>
          <w:p>
            <w:pPr>
              <w:pStyle w:val="11"/>
            </w:pPr>
            <w:r>
              <w:t>402.57</w:t>
            </w:r>
          </w:p>
        </w:tc>
        <w:tc>
          <w:tcPr>
            <w:tcW w:w="1134" w:type="dxa"/>
            <w:vAlign w:val="center"/>
          </w:tcPr>
          <w:p>
            <w:pPr>
              <w:pStyle w:val="11"/>
            </w:pPr>
            <w:r>
              <w:t>402.57</w:t>
            </w:r>
          </w:p>
        </w:tc>
        <w:tc>
          <w:tcPr>
            <w:tcW w:w="1134" w:type="dxa"/>
            <w:vAlign w:val="center"/>
          </w:tcPr>
          <w:p>
            <w:pPr>
              <w:pStyle w:val="11"/>
            </w:pPr>
            <w:r>
              <w:t>402.57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5</w:t>
            </w:r>
          </w:p>
        </w:tc>
        <w:tc>
          <w:tcPr>
            <w:tcW w:w="992" w:type="dxa"/>
            <w:vAlign w:val="center"/>
          </w:tcPr>
          <w:p>
            <w:pPr>
              <w:pStyle w:val="12"/>
            </w:pPr>
            <w:r>
              <w:t>2010404</w:t>
            </w:r>
          </w:p>
        </w:tc>
        <w:tc>
          <w:tcPr>
            <w:tcW w:w="1559" w:type="dxa"/>
            <w:vAlign w:val="center"/>
          </w:tcPr>
          <w:p>
            <w:pPr>
              <w:pStyle w:val="12"/>
            </w:pPr>
            <w:r>
              <w:t>战略规划与实施</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7</w:t>
            </w:r>
          </w:p>
        </w:tc>
        <w:tc>
          <w:tcPr>
            <w:tcW w:w="992" w:type="dxa"/>
            <w:vAlign w:val="center"/>
          </w:tcPr>
          <w:p>
            <w:pPr>
              <w:pStyle w:val="12"/>
            </w:pPr>
            <w:r>
              <w:t>20199</w:t>
            </w:r>
          </w:p>
        </w:tc>
        <w:tc>
          <w:tcPr>
            <w:tcW w:w="1559" w:type="dxa"/>
            <w:vAlign w:val="center"/>
          </w:tcPr>
          <w:p>
            <w:pPr>
              <w:pStyle w:val="12"/>
            </w:pPr>
            <w:r>
              <w:t>其他一般公共服务支出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2019999</w:t>
            </w:r>
          </w:p>
        </w:tc>
        <w:tc>
          <w:tcPr>
            <w:tcW w:w="1559" w:type="dxa"/>
            <w:vAlign w:val="center"/>
          </w:tcPr>
          <w:p>
            <w:pPr>
              <w:pStyle w:val="12"/>
            </w:pPr>
            <w:r>
              <w:t>其他一般公共服务支出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9</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2030603</w:t>
            </w:r>
          </w:p>
        </w:tc>
        <w:tc>
          <w:tcPr>
            <w:tcW w:w="1559" w:type="dxa"/>
            <w:vAlign w:val="center"/>
          </w:tcPr>
          <w:p>
            <w:pPr>
              <w:pStyle w:val="12"/>
            </w:pPr>
            <w:r>
              <w:t>人民防空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116.67</w:t>
            </w:r>
          </w:p>
        </w:tc>
        <w:tc>
          <w:tcPr>
            <w:tcW w:w="1134" w:type="dxa"/>
            <w:vAlign w:val="center"/>
          </w:tcPr>
          <w:p>
            <w:pPr>
              <w:pStyle w:val="11"/>
            </w:pPr>
            <w:r>
              <w:t>116.67</w:t>
            </w:r>
          </w:p>
        </w:tc>
        <w:tc>
          <w:tcPr>
            <w:tcW w:w="1134" w:type="dxa"/>
            <w:vAlign w:val="center"/>
          </w:tcPr>
          <w:p>
            <w:pPr>
              <w:pStyle w:val="11"/>
            </w:pPr>
            <w:r>
              <w:t>116.67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114.29</w:t>
            </w:r>
          </w:p>
        </w:tc>
        <w:tc>
          <w:tcPr>
            <w:tcW w:w="1134" w:type="dxa"/>
            <w:vAlign w:val="center"/>
          </w:tcPr>
          <w:p>
            <w:pPr>
              <w:pStyle w:val="11"/>
            </w:pPr>
            <w:r>
              <w:t>114.29</w:t>
            </w:r>
          </w:p>
        </w:tc>
        <w:tc>
          <w:tcPr>
            <w:tcW w:w="1134" w:type="dxa"/>
            <w:vAlign w:val="center"/>
          </w:tcPr>
          <w:p>
            <w:pPr>
              <w:pStyle w:val="11"/>
            </w:pPr>
            <w:r>
              <w:t>114.29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58.92</w:t>
            </w:r>
          </w:p>
        </w:tc>
        <w:tc>
          <w:tcPr>
            <w:tcW w:w="1134" w:type="dxa"/>
            <w:vAlign w:val="center"/>
          </w:tcPr>
          <w:p>
            <w:pPr>
              <w:pStyle w:val="11"/>
            </w:pPr>
            <w:r>
              <w:t>58.92</w:t>
            </w:r>
          </w:p>
        </w:tc>
        <w:tc>
          <w:tcPr>
            <w:tcW w:w="1134" w:type="dxa"/>
            <w:vAlign w:val="center"/>
          </w:tcPr>
          <w:p>
            <w:pPr>
              <w:pStyle w:val="11"/>
            </w:pPr>
            <w:r>
              <w:t>58.92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52.23</w:t>
            </w:r>
          </w:p>
        </w:tc>
        <w:tc>
          <w:tcPr>
            <w:tcW w:w="1134" w:type="dxa"/>
            <w:vAlign w:val="center"/>
          </w:tcPr>
          <w:p>
            <w:pPr>
              <w:pStyle w:val="11"/>
            </w:pPr>
            <w:r>
              <w:t>52.23</w:t>
            </w:r>
          </w:p>
        </w:tc>
        <w:tc>
          <w:tcPr>
            <w:tcW w:w="1134" w:type="dxa"/>
            <w:vAlign w:val="center"/>
          </w:tcPr>
          <w:p>
            <w:pPr>
              <w:pStyle w:val="11"/>
            </w:pPr>
            <w:r>
              <w:t>52.23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3.13</w:t>
            </w:r>
          </w:p>
        </w:tc>
        <w:tc>
          <w:tcPr>
            <w:tcW w:w="1134" w:type="dxa"/>
            <w:vAlign w:val="center"/>
          </w:tcPr>
          <w:p>
            <w:pPr>
              <w:pStyle w:val="11"/>
            </w:pPr>
            <w:r>
              <w:t>3.13</w:t>
            </w:r>
          </w:p>
        </w:tc>
        <w:tc>
          <w:tcPr>
            <w:tcW w:w="1134" w:type="dxa"/>
            <w:vAlign w:val="center"/>
          </w:tcPr>
          <w:p>
            <w:pPr>
              <w:pStyle w:val="11"/>
            </w:pPr>
            <w:r>
              <w:t>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22.79</w:t>
            </w:r>
          </w:p>
        </w:tc>
        <w:tc>
          <w:tcPr>
            <w:tcW w:w="1134" w:type="dxa"/>
            <w:vAlign w:val="center"/>
          </w:tcPr>
          <w:p>
            <w:pPr>
              <w:pStyle w:val="11"/>
            </w:pPr>
            <w:r>
              <w:t>22.79</w:t>
            </w:r>
          </w:p>
        </w:tc>
        <w:tc>
          <w:tcPr>
            <w:tcW w:w="1134" w:type="dxa"/>
            <w:vAlign w:val="center"/>
          </w:tcPr>
          <w:p>
            <w:pPr>
              <w:pStyle w:val="11"/>
            </w:pPr>
            <w:r>
              <w:t>22.79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48.81</w:t>
            </w:r>
          </w:p>
        </w:tc>
        <w:tc>
          <w:tcPr>
            <w:tcW w:w="1134" w:type="dxa"/>
            <w:vAlign w:val="center"/>
          </w:tcPr>
          <w:p>
            <w:pPr>
              <w:pStyle w:val="11"/>
            </w:pPr>
            <w:r>
              <w:t>48.81</w:t>
            </w:r>
          </w:p>
        </w:tc>
        <w:tc>
          <w:tcPr>
            <w:tcW w:w="1134" w:type="dxa"/>
            <w:vAlign w:val="center"/>
          </w:tcPr>
          <w:p>
            <w:pPr>
              <w:pStyle w:val="11"/>
            </w:pPr>
            <w:r>
              <w:t>48.81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29</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31</w:t>
            </w:r>
          </w:p>
        </w:tc>
        <w:tc>
          <w:tcPr>
            <w:tcW w:w="992" w:type="dxa"/>
            <w:vAlign w:val="center"/>
          </w:tcPr>
          <w:p>
            <w:pPr>
              <w:pStyle w:val="12"/>
            </w:pPr>
            <w:r>
              <w:t>2220199</w:t>
            </w:r>
          </w:p>
        </w:tc>
        <w:tc>
          <w:tcPr>
            <w:tcW w:w="1559" w:type="dxa"/>
            <w:vAlign w:val="center"/>
          </w:tcPr>
          <w:p>
            <w:pPr>
              <w:pStyle w:val="12"/>
            </w:pPr>
            <w:r>
              <w:t>其他粮油物资事务支出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815.80</w:t>
            </w:r>
          </w:p>
        </w:tc>
        <w:tc>
          <w:tcPr>
            <w:tcW w:w="1361" w:type="dxa"/>
            <w:vAlign w:val="center"/>
          </w:tcPr>
          <w:p>
            <w:pPr>
              <w:pStyle w:val="15"/>
            </w:pPr>
            <w:r>
              <w:t>631.03</w:t>
            </w:r>
          </w:p>
        </w:tc>
        <w:tc>
          <w:tcPr>
            <w:tcW w:w="1361" w:type="dxa"/>
            <w:vAlign w:val="center"/>
          </w:tcPr>
          <w:p>
            <w:pPr>
              <w:pStyle w:val="15"/>
            </w:pPr>
            <w:r>
              <w:t>184.77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464.57</w:t>
            </w:r>
          </w:p>
        </w:tc>
        <w:tc>
          <w:tcPr>
            <w:tcW w:w="1361" w:type="dxa"/>
            <w:vAlign w:val="center"/>
          </w:tcPr>
          <w:p>
            <w:pPr>
              <w:pStyle w:val="11"/>
            </w:pPr>
            <w:r>
              <w:t>402.57</w:t>
            </w: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454.57</w:t>
            </w:r>
          </w:p>
        </w:tc>
        <w:tc>
          <w:tcPr>
            <w:tcW w:w="1361" w:type="dxa"/>
            <w:vAlign w:val="center"/>
          </w:tcPr>
          <w:p>
            <w:pPr>
              <w:pStyle w:val="11"/>
            </w:pPr>
            <w:r>
              <w:t>402.57</w:t>
            </w: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2010401</w:t>
            </w:r>
          </w:p>
        </w:tc>
        <w:tc>
          <w:tcPr>
            <w:tcW w:w="4535" w:type="dxa"/>
            <w:vAlign w:val="center"/>
          </w:tcPr>
          <w:p>
            <w:pPr>
              <w:pStyle w:val="12"/>
            </w:pPr>
            <w:r>
              <w:t>行政运行</w:t>
            </w:r>
          </w:p>
        </w:tc>
        <w:tc>
          <w:tcPr>
            <w:tcW w:w="1361" w:type="dxa"/>
            <w:vAlign w:val="center"/>
          </w:tcPr>
          <w:p>
            <w:pPr>
              <w:pStyle w:val="11"/>
            </w:pPr>
            <w:r>
              <w:t>402.57</w:t>
            </w:r>
          </w:p>
        </w:tc>
        <w:tc>
          <w:tcPr>
            <w:tcW w:w="1361" w:type="dxa"/>
            <w:vAlign w:val="center"/>
          </w:tcPr>
          <w:p>
            <w:pPr>
              <w:pStyle w:val="11"/>
            </w:pPr>
            <w:r>
              <w:t>402.57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2010404</w:t>
            </w:r>
          </w:p>
        </w:tc>
        <w:tc>
          <w:tcPr>
            <w:tcW w:w="4535" w:type="dxa"/>
            <w:vAlign w:val="center"/>
          </w:tcPr>
          <w:p>
            <w:pPr>
              <w:pStyle w:val="12"/>
            </w:pPr>
            <w:r>
              <w:t>战略规划与实施</w:t>
            </w:r>
          </w:p>
        </w:tc>
        <w:tc>
          <w:tcPr>
            <w:tcW w:w="1361" w:type="dxa"/>
            <w:vAlign w:val="center"/>
          </w:tcPr>
          <w:p>
            <w:pPr>
              <w:pStyle w:val="11"/>
            </w:pPr>
            <w:r>
              <w:t>51.00</w:t>
            </w:r>
          </w:p>
        </w:tc>
        <w:tc>
          <w:tcPr>
            <w:tcW w:w="1361" w:type="dxa"/>
            <w:vAlign w:val="center"/>
          </w:tcPr>
          <w:p>
            <w:pPr>
              <w:pStyle w:val="11"/>
            </w:pPr>
          </w:p>
        </w:tc>
        <w:tc>
          <w:tcPr>
            <w:tcW w:w="1361" w:type="dxa"/>
            <w:vAlign w:val="center"/>
          </w:tcPr>
          <w:p>
            <w:pPr>
              <w:pStyle w:val="11"/>
            </w:pPr>
            <w:r>
              <w:t>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20199</w:t>
            </w:r>
          </w:p>
        </w:tc>
        <w:tc>
          <w:tcPr>
            <w:tcW w:w="4535" w:type="dxa"/>
            <w:vAlign w:val="center"/>
          </w:tcPr>
          <w:p>
            <w:pPr>
              <w:pStyle w:val="12"/>
            </w:pPr>
            <w:r>
              <w:t>其他一般公共服务支出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2019999</w:t>
            </w:r>
          </w:p>
        </w:tc>
        <w:tc>
          <w:tcPr>
            <w:tcW w:w="4535" w:type="dxa"/>
            <w:vAlign w:val="center"/>
          </w:tcPr>
          <w:p>
            <w:pPr>
              <w:pStyle w:val="12"/>
            </w:pPr>
            <w:r>
              <w:t>其他一般公共服务支出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2030603</w:t>
            </w:r>
          </w:p>
        </w:tc>
        <w:tc>
          <w:tcPr>
            <w:tcW w:w="4535" w:type="dxa"/>
            <w:vAlign w:val="center"/>
          </w:tcPr>
          <w:p>
            <w:pPr>
              <w:pStyle w:val="12"/>
            </w:pPr>
            <w:r>
              <w:t>人民防空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116.67</w:t>
            </w:r>
          </w:p>
        </w:tc>
        <w:tc>
          <w:tcPr>
            <w:tcW w:w="1361" w:type="dxa"/>
            <w:vAlign w:val="center"/>
          </w:tcPr>
          <w:p>
            <w:pPr>
              <w:pStyle w:val="11"/>
            </w:pPr>
            <w:r>
              <w:t>116.67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114.29</w:t>
            </w:r>
          </w:p>
        </w:tc>
        <w:tc>
          <w:tcPr>
            <w:tcW w:w="1361" w:type="dxa"/>
            <w:vAlign w:val="center"/>
          </w:tcPr>
          <w:p>
            <w:pPr>
              <w:pStyle w:val="11"/>
            </w:pPr>
            <w:r>
              <w:t>114.29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58.92</w:t>
            </w:r>
          </w:p>
        </w:tc>
        <w:tc>
          <w:tcPr>
            <w:tcW w:w="1361" w:type="dxa"/>
            <w:vAlign w:val="center"/>
          </w:tcPr>
          <w:p>
            <w:pPr>
              <w:pStyle w:val="11"/>
            </w:pPr>
            <w:r>
              <w:t>58.92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52.23</w:t>
            </w:r>
          </w:p>
        </w:tc>
        <w:tc>
          <w:tcPr>
            <w:tcW w:w="1361" w:type="dxa"/>
            <w:vAlign w:val="center"/>
          </w:tcPr>
          <w:p>
            <w:pPr>
              <w:pStyle w:val="11"/>
            </w:pPr>
            <w:r>
              <w:t>52.23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3.13</w:t>
            </w:r>
          </w:p>
        </w:tc>
        <w:tc>
          <w:tcPr>
            <w:tcW w:w="1361" w:type="dxa"/>
            <w:vAlign w:val="center"/>
          </w:tcPr>
          <w:p>
            <w:pPr>
              <w:pStyle w:val="11"/>
            </w:pPr>
            <w:r>
              <w:t>3.13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2.38</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2.38</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71.60</w:t>
            </w:r>
          </w:p>
        </w:tc>
        <w:tc>
          <w:tcPr>
            <w:tcW w:w="1361" w:type="dxa"/>
            <w:vAlign w:val="center"/>
          </w:tcPr>
          <w:p>
            <w:pPr>
              <w:pStyle w:val="11"/>
            </w:pPr>
            <w:r>
              <w:t>71.60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71.60</w:t>
            </w:r>
          </w:p>
        </w:tc>
        <w:tc>
          <w:tcPr>
            <w:tcW w:w="1361" w:type="dxa"/>
            <w:vAlign w:val="center"/>
          </w:tcPr>
          <w:p>
            <w:pPr>
              <w:pStyle w:val="11"/>
            </w:pPr>
            <w:r>
              <w:t>71.60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22.79</w:t>
            </w:r>
          </w:p>
        </w:tc>
        <w:tc>
          <w:tcPr>
            <w:tcW w:w="1361" w:type="dxa"/>
            <w:vAlign w:val="center"/>
          </w:tcPr>
          <w:p>
            <w:pPr>
              <w:pStyle w:val="11"/>
            </w:pPr>
            <w:r>
              <w:t>22.79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48.81</w:t>
            </w:r>
          </w:p>
        </w:tc>
        <w:tc>
          <w:tcPr>
            <w:tcW w:w="1361" w:type="dxa"/>
            <w:vAlign w:val="center"/>
          </w:tcPr>
          <w:p>
            <w:pPr>
              <w:pStyle w:val="11"/>
            </w:pPr>
            <w:r>
              <w:t>48.81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2220199</w:t>
            </w:r>
          </w:p>
        </w:tc>
        <w:tc>
          <w:tcPr>
            <w:tcW w:w="4535" w:type="dxa"/>
            <w:vAlign w:val="center"/>
          </w:tcPr>
          <w:p>
            <w:pPr>
              <w:pStyle w:val="12"/>
            </w:pPr>
            <w:r>
              <w:t>其他粮油物资事务支出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303发改部门</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815.80</w:t>
            </w:r>
          </w:p>
        </w:tc>
        <w:tc>
          <w:tcPr>
            <w:tcW w:w="3402" w:type="dxa"/>
            <w:vAlign w:val="center"/>
          </w:tcPr>
          <w:p>
            <w:pPr>
              <w:pStyle w:val="12"/>
            </w:pPr>
            <w:r>
              <w:t>一、一般公共服务支出</w:t>
            </w:r>
          </w:p>
        </w:tc>
        <w:tc>
          <w:tcPr>
            <w:tcW w:w="1474" w:type="dxa"/>
            <w:vAlign w:val="center"/>
          </w:tcPr>
          <w:p>
            <w:pPr>
              <w:pStyle w:val="11"/>
            </w:pPr>
            <w:r>
              <w:t>464.57</w:t>
            </w:r>
          </w:p>
        </w:tc>
        <w:tc>
          <w:tcPr>
            <w:tcW w:w="1474" w:type="dxa"/>
            <w:vAlign w:val="center"/>
          </w:tcPr>
          <w:p>
            <w:pPr>
              <w:pStyle w:val="11"/>
            </w:pPr>
            <w:r>
              <w:t>464.57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100.00</w:t>
            </w:r>
          </w:p>
        </w:tc>
        <w:tc>
          <w:tcPr>
            <w:tcW w:w="1474" w:type="dxa"/>
            <w:vAlign w:val="center"/>
          </w:tcPr>
          <w:p>
            <w:pPr>
              <w:pStyle w:val="11"/>
            </w:pPr>
            <w:r>
              <w:t>100.00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116.67</w:t>
            </w:r>
          </w:p>
        </w:tc>
        <w:tc>
          <w:tcPr>
            <w:tcW w:w="1474" w:type="dxa"/>
            <w:vAlign w:val="center"/>
          </w:tcPr>
          <w:p>
            <w:pPr>
              <w:pStyle w:val="11"/>
            </w:pPr>
            <w:r>
              <w:t>116.67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71.60</w:t>
            </w:r>
          </w:p>
        </w:tc>
        <w:tc>
          <w:tcPr>
            <w:tcW w:w="1474" w:type="dxa"/>
            <w:vAlign w:val="center"/>
          </w:tcPr>
          <w:p>
            <w:pPr>
              <w:pStyle w:val="11"/>
            </w:pPr>
            <w:r>
              <w:t>71.60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19.77</w:t>
            </w:r>
          </w:p>
        </w:tc>
        <w:tc>
          <w:tcPr>
            <w:tcW w:w="1474" w:type="dxa"/>
            <w:vAlign w:val="center"/>
          </w:tcPr>
          <w:p>
            <w:pPr>
              <w:pStyle w:val="11"/>
            </w:pPr>
            <w:r>
              <w:t>19.77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40.19</w:t>
            </w:r>
          </w:p>
        </w:tc>
        <w:tc>
          <w:tcPr>
            <w:tcW w:w="1474" w:type="dxa"/>
            <w:vAlign w:val="center"/>
          </w:tcPr>
          <w:p>
            <w:pPr>
              <w:pStyle w:val="11"/>
            </w:pPr>
            <w:r>
              <w:t>40.19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815.80</w:t>
            </w:r>
          </w:p>
        </w:tc>
        <w:tc>
          <w:tcPr>
            <w:tcW w:w="3402" w:type="dxa"/>
            <w:vAlign w:val="center"/>
          </w:tcPr>
          <w:p>
            <w:pPr>
              <w:pStyle w:val="14"/>
            </w:pPr>
            <w:r>
              <w:t>本年支出合计</w:t>
            </w:r>
          </w:p>
        </w:tc>
        <w:tc>
          <w:tcPr>
            <w:tcW w:w="1474" w:type="dxa"/>
            <w:vAlign w:val="center"/>
          </w:tcPr>
          <w:p>
            <w:pPr>
              <w:pStyle w:val="15"/>
            </w:pPr>
            <w:r>
              <w:t>815.80</w:t>
            </w:r>
          </w:p>
        </w:tc>
        <w:tc>
          <w:tcPr>
            <w:tcW w:w="1474" w:type="dxa"/>
            <w:vAlign w:val="center"/>
          </w:tcPr>
          <w:p>
            <w:pPr>
              <w:pStyle w:val="15"/>
            </w:pPr>
            <w:r>
              <w:t>815.80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815.80</w:t>
            </w:r>
          </w:p>
        </w:tc>
        <w:tc>
          <w:tcPr>
            <w:tcW w:w="3402" w:type="dxa"/>
            <w:vAlign w:val="center"/>
          </w:tcPr>
          <w:p>
            <w:pPr>
              <w:pStyle w:val="14"/>
            </w:pPr>
            <w:r>
              <w:t>支出总计</w:t>
            </w:r>
          </w:p>
        </w:tc>
        <w:tc>
          <w:tcPr>
            <w:tcW w:w="1474" w:type="dxa"/>
            <w:vAlign w:val="center"/>
          </w:tcPr>
          <w:p>
            <w:pPr>
              <w:pStyle w:val="15"/>
            </w:pPr>
            <w:r>
              <w:t>815.80</w:t>
            </w:r>
          </w:p>
        </w:tc>
        <w:tc>
          <w:tcPr>
            <w:tcW w:w="1474" w:type="dxa"/>
            <w:vAlign w:val="center"/>
          </w:tcPr>
          <w:p>
            <w:pPr>
              <w:pStyle w:val="15"/>
            </w:pPr>
            <w:r>
              <w:t>815.80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815.80</w:t>
            </w:r>
          </w:p>
        </w:tc>
        <w:tc>
          <w:tcPr>
            <w:tcW w:w="2551" w:type="dxa"/>
            <w:vAlign w:val="center"/>
          </w:tcPr>
          <w:p>
            <w:pPr>
              <w:pStyle w:val="15"/>
            </w:pPr>
            <w:r>
              <w:t>631.03</w:t>
            </w:r>
          </w:p>
        </w:tc>
        <w:tc>
          <w:tcPr>
            <w:tcW w:w="2551" w:type="dxa"/>
            <w:vAlign w:val="center"/>
          </w:tcPr>
          <w:p>
            <w:pPr>
              <w:pStyle w:val="15"/>
            </w:pPr>
            <w:r>
              <w:t>184.77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464.57</w:t>
            </w:r>
          </w:p>
        </w:tc>
        <w:tc>
          <w:tcPr>
            <w:tcW w:w="2551" w:type="dxa"/>
            <w:vAlign w:val="center"/>
          </w:tcPr>
          <w:p>
            <w:pPr>
              <w:pStyle w:val="11"/>
            </w:pPr>
            <w:r>
              <w:t>402.57</w:t>
            </w:r>
          </w:p>
        </w:tc>
        <w:tc>
          <w:tcPr>
            <w:tcW w:w="2551" w:type="dxa"/>
            <w:vAlign w:val="center"/>
          </w:tcPr>
          <w:p>
            <w:pPr>
              <w:pStyle w:val="11"/>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454.57</w:t>
            </w:r>
          </w:p>
        </w:tc>
        <w:tc>
          <w:tcPr>
            <w:tcW w:w="2551" w:type="dxa"/>
            <w:vAlign w:val="center"/>
          </w:tcPr>
          <w:p>
            <w:pPr>
              <w:pStyle w:val="11"/>
            </w:pPr>
            <w:r>
              <w:t>402.57</w:t>
            </w:r>
          </w:p>
        </w:tc>
        <w:tc>
          <w:tcPr>
            <w:tcW w:w="2551"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2010401</w:t>
            </w:r>
          </w:p>
        </w:tc>
        <w:tc>
          <w:tcPr>
            <w:tcW w:w="4535" w:type="dxa"/>
            <w:vAlign w:val="center"/>
          </w:tcPr>
          <w:p>
            <w:pPr>
              <w:pStyle w:val="12"/>
            </w:pPr>
            <w:r>
              <w:t>行政运行</w:t>
            </w:r>
          </w:p>
        </w:tc>
        <w:tc>
          <w:tcPr>
            <w:tcW w:w="2551" w:type="dxa"/>
            <w:vAlign w:val="center"/>
          </w:tcPr>
          <w:p>
            <w:pPr>
              <w:pStyle w:val="11"/>
            </w:pPr>
            <w:r>
              <w:t>402.57</w:t>
            </w:r>
          </w:p>
        </w:tc>
        <w:tc>
          <w:tcPr>
            <w:tcW w:w="2551" w:type="dxa"/>
            <w:vAlign w:val="center"/>
          </w:tcPr>
          <w:p>
            <w:pPr>
              <w:pStyle w:val="11"/>
            </w:pPr>
            <w:r>
              <w:t>402.57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2010404</w:t>
            </w:r>
          </w:p>
        </w:tc>
        <w:tc>
          <w:tcPr>
            <w:tcW w:w="4535" w:type="dxa"/>
            <w:vAlign w:val="center"/>
          </w:tcPr>
          <w:p>
            <w:pPr>
              <w:pStyle w:val="12"/>
            </w:pPr>
            <w:r>
              <w:t>战略规划与实施</w:t>
            </w:r>
          </w:p>
        </w:tc>
        <w:tc>
          <w:tcPr>
            <w:tcW w:w="2551" w:type="dxa"/>
            <w:vAlign w:val="center"/>
          </w:tcPr>
          <w:p>
            <w:pPr>
              <w:pStyle w:val="11"/>
            </w:pPr>
            <w:r>
              <w:t>51.00</w:t>
            </w:r>
          </w:p>
        </w:tc>
        <w:tc>
          <w:tcPr>
            <w:tcW w:w="2551" w:type="dxa"/>
            <w:vAlign w:val="center"/>
          </w:tcPr>
          <w:p>
            <w:pPr>
              <w:pStyle w:val="11"/>
            </w:pPr>
          </w:p>
        </w:tc>
        <w:tc>
          <w:tcPr>
            <w:tcW w:w="2551" w:type="dxa"/>
            <w:vAlign w:val="center"/>
          </w:tcPr>
          <w:p>
            <w:pPr>
              <w:pStyle w:val="11"/>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20199</w:t>
            </w:r>
          </w:p>
        </w:tc>
        <w:tc>
          <w:tcPr>
            <w:tcW w:w="4535" w:type="dxa"/>
            <w:vAlign w:val="center"/>
          </w:tcPr>
          <w:p>
            <w:pPr>
              <w:pStyle w:val="12"/>
            </w:pPr>
            <w:r>
              <w:t>其他一般公共服务支出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2019999</w:t>
            </w:r>
          </w:p>
        </w:tc>
        <w:tc>
          <w:tcPr>
            <w:tcW w:w="4535" w:type="dxa"/>
            <w:vAlign w:val="center"/>
          </w:tcPr>
          <w:p>
            <w:pPr>
              <w:pStyle w:val="12"/>
            </w:pPr>
            <w:r>
              <w:t>其他一般公共服务支出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2030603</w:t>
            </w:r>
          </w:p>
        </w:tc>
        <w:tc>
          <w:tcPr>
            <w:tcW w:w="4535" w:type="dxa"/>
            <w:vAlign w:val="center"/>
          </w:tcPr>
          <w:p>
            <w:pPr>
              <w:pStyle w:val="12"/>
            </w:pPr>
            <w:r>
              <w:t>人民防空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116.67</w:t>
            </w:r>
          </w:p>
        </w:tc>
        <w:tc>
          <w:tcPr>
            <w:tcW w:w="2551" w:type="dxa"/>
            <w:vAlign w:val="center"/>
          </w:tcPr>
          <w:p>
            <w:pPr>
              <w:pStyle w:val="11"/>
            </w:pPr>
            <w:r>
              <w:t>116.67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114.29</w:t>
            </w:r>
          </w:p>
        </w:tc>
        <w:tc>
          <w:tcPr>
            <w:tcW w:w="2551" w:type="dxa"/>
            <w:vAlign w:val="center"/>
          </w:tcPr>
          <w:p>
            <w:pPr>
              <w:pStyle w:val="11"/>
            </w:pPr>
            <w:r>
              <w:t>114.29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58.92</w:t>
            </w:r>
          </w:p>
        </w:tc>
        <w:tc>
          <w:tcPr>
            <w:tcW w:w="2551" w:type="dxa"/>
            <w:vAlign w:val="center"/>
          </w:tcPr>
          <w:p>
            <w:pPr>
              <w:pStyle w:val="11"/>
            </w:pPr>
            <w:r>
              <w:t>58.92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52.23</w:t>
            </w:r>
          </w:p>
        </w:tc>
        <w:tc>
          <w:tcPr>
            <w:tcW w:w="2551" w:type="dxa"/>
            <w:vAlign w:val="center"/>
          </w:tcPr>
          <w:p>
            <w:pPr>
              <w:pStyle w:val="11"/>
            </w:pPr>
            <w:r>
              <w:t>52.23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3.13</w:t>
            </w:r>
          </w:p>
        </w:tc>
        <w:tc>
          <w:tcPr>
            <w:tcW w:w="2551" w:type="dxa"/>
            <w:vAlign w:val="center"/>
          </w:tcPr>
          <w:p>
            <w:pPr>
              <w:pStyle w:val="11"/>
            </w:pPr>
            <w:r>
              <w:t>3.13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71.60</w:t>
            </w:r>
          </w:p>
        </w:tc>
        <w:tc>
          <w:tcPr>
            <w:tcW w:w="2551" w:type="dxa"/>
            <w:vAlign w:val="center"/>
          </w:tcPr>
          <w:p>
            <w:pPr>
              <w:pStyle w:val="11"/>
            </w:pPr>
            <w:r>
              <w:t>71.60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71.60</w:t>
            </w:r>
          </w:p>
        </w:tc>
        <w:tc>
          <w:tcPr>
            <w:tcW w:w="2551" w:type="dxa"/>
            <w:vAlign w:val="center"/>
          </w:tcPr>
          <w:p>
            <w:pPr>
              <w:pStyle w:val="11"/>
            </w:pPr>
            <w:r>
              <w:t>71.60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22.79</w:t>
            </w:r>
          </w:p>
        </w:tc>
        <w:tc>
          <w:tcPr>
            <w:tcW w:w="2551" w:type="dxa"/>
            <w:vAlign w:val="center"/>
          </w:tcPr>
          <w:p>
            <w:pPr>
              <w:pStyle w:val="11"/>
            </w:pPr>
            <w:r>
              <w:t>22.79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48.81</w:t>
            </w:r>
          </w:p>
        </w:tc>
        <w:tc>
          <w:tcPr>
            <w:tcW w:w="2551" w:type="dxa"/>
            <w:vAlign w:val="center"/>
          </w:tcPr>
          <w:p>
            <w:pPr>
              <w:pStyle w:val="11"/>
            </w:pPr>
            <w:r>
              <w:t>48.81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2220199</w:t>
            </w:r>
          </w:p>
        </w:tc>
        <w:tc>
          <w:tcPr>
            <w:tcW w:w="4535" w:type="dxa"/>
            <w:vAlign w:val="center"/>
          </w:tcPr>
          <w:p>
            <w:pPr>
              <w:pStyle w:val="12"/>
            </w:pPr>
            <w:r>
              <w:t>其他粮油物资事务支出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631.03</w:t>
            </w:r>
          </w:p>
        </w:tc>
        <w:tc>
          <w:tcPr>
            <w:tcW w:w="2551" w:type="dxa"/>
            <w:vAlign w:val="center"/>
          </w:tcPr>
          <w:p>
            <w:pPr>
              <w:pStyle w:val="15"/>
            </w:pPr>
            <w:r>
              <w:t>590.64</w:t>
            </w:r>
          </w:p>
        </w:tc>
        <w:tc>
          <w:tcPr>
            <w:tcW w:w="2551" w:type="dxa"/>
            <w:vAlign w:val="center"/>
          </w:tcPr>
          <w:p>
            <w:pPr>
              <w:pStyle w:val="15"/>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531.09</w:t>
            </w:r>
          </w:p>
        </w:tc>
        <w:tc>
          <w:tcPr>
            <w:tcW w:w="2551" w:type="dxa"/>
            <w:vAlign w:val="center"/>
          </w:tcPr>
          <w:p>
            <w:pPr>
              <w:pStyle w:val="11"/>
            </w:pPr>
            <w:r>
              <w:t>531.09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150.12</w:t>
            </w:r>
          </w:p>
        </w:tc>
        <w:tc>
          <w:tcPr>
            <w:tcW w:w="2551" w:type="dxa"/>
            <w:vAlign w:val="center"/>
          </w:tcPr>
          <w:p>
            <w:pPr>
              <w:pStyle w:val="11"/>
            </w:pPr>
            <w:r>
              <w:t>150.12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68.87</w:t>
            </w:r>
          </w:p>
        </w:tc>
        <w:tc>
          <w:tcPr>
            <w:tcW w:w="2551" w:type="dxa"/>
            <w:vAlign w:val="center"/>
          </w:tcPr>
          <w:p>
            <w:pPr>
              <w:pStyle w:val="11"/>
            </w:pPr>
            <w:r>
              <w:t>68.87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14.05</w:t>
            </w:r>
          </w:p>
        </w:tc>
        <w:tc>
          <w:tcPr>
            <w:tcW w:w="2551" w:type="dxa"/>
            <w:vAlign w:val="center"/>
          </w:tcPr>
          <w:p>
            <w:pPr>
              <w:pStyle w:val="11"/>
            </w:pPr>
            <w:r>
              <w:t>14.05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84.60</w:t>
            </w:r>
          </w:p>
        </w:tc>
        <w:tc>
          <w:tcPr>
            <w:tcW w:w="2551" w:type="dxa"/>
            <w:vAlign w:val="center"/>
          </w:tcPr>
          <w:p>
            <w:pPr>
              <w:pStyle w:val="11"/>
            </w:pPr>
            <w:r>
              <w:t>84.60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45.97</w:t>
            </w:r>
          </w:p>
        </w:tc>
        <w:tc>
          <w:tcPr>
            <w:tcW w:w="2551" w:type="dxa"/>
            <w:vAlign w:val="center"/>
          </w:tcPr>
          <w:p>
            <w:pPr>
              <w:pStyle w:val="11"/>
            </w:pPr>
            <w:r>
              <w:t>45.97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19.99</w:t>
            </w:r>
          </w:p>
        </w:tc>
        <w:tc>
          <w:tcPr>
            <w:tcW w:w="2551" w:type="dxa"/>
            <w:vAlign w:val="center"/>
          </w:tcPr>
          <w:p>
            <w:pPr>
              <w:pStyle w:val="11"/>
            </w:pPr>
            <w:r>
              <w:t>19.99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45.70</w:t>
            </w:r>
          </w:p>
        </w:tc>
        <w:tc>
          <w:tcPr>
            <w:tcW w:w="2551" w:type="dxa"/>
            <w:vAlign w:val="center"/>
          </w:tcPr>
          <w:p>
            <w:pPr>
              <w:pStyle w:val="11"/>
            </w:pPr>
            <w:r>
              <w:t>45.70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2.58</w:t>
            </w:r>
          </w:p>
        </w:tc>
        <w:tc>
          <w:tcPr>
            <w:tcW w:w="2551" w:type="dxa"/>
            <w:vAlign w:val="center"/>
          </w:tcPr>
          <w:p>
            <w:pPr>
              <w:pStyle w:val="11"/>
            </w:pPr>
            <w:r>
              <w:t>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35.36</w:t>
            </w:r>
          </w:p>
        </w:tc>
        <w:tc>
          <w:tcPr>
            <w:tcW w:w="2551" w:type="dxa"/>
            <w:vAlign w:val="center"/>
          </w:tcPr>
          <w:p>
            <w:pPr>
              <w:pStyle w:val="11"/>
            </w:pPr>
            <w:r>
              <w:t>35.36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63.84</w:t>
            </w:r>
          </w:p>
        </w:tc>
        <w:tc>
          <w:tcPr>
            <w:tcW w:w="2551" w:type="dxa"/>
            <w:vAlign w:val="center"/>
          </w:tcPr>
          <w:p>
            <w:pPr>
              <w:pStyle w:val="11"/>
            </w:pPr>
            <w:r>
              <w:t>63.84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40.39</w:t>
            </w:r>
          </w:p>
        </w:tc>
        <w:tc>
          <w:tcPr>
            <w:tcW w:w="2551" w:type="dxa"/>
            <w:vAlign w:val="center"/>
          </w:tcPr>
          <w:p>
            <w:pPr>
              <w:pStyle w:val="11"/>
            </w:pPr>
          </w:p>
        </w:tc>
        <w:tc>
          <w:tcPr>
            <w:tcW w:w="2551" w:type="dxa"/>
            <w:vAlign w:val="center"/>
          </w:tcPr>
          <w:p>
            <w:pPr>
              <w:pStyle w:val="11"/>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1.70</w:t>
            </w:r>
          </w:p>
        </w:tc>
        <w:tc>
          <w:tcPr>
            <w:tcW w:w="2551" w:type="dxa"/>
            <w:vAlign w:val="center"/>
          </w:tcPr>
          <w:p>
            <w:pPr>
              <w:pStyle w:val="11"/>
            </w:pPr>
          </w:p>
        </w:tc>
        <w:tc>
          <w:tcPr>
            <w:tcW w:w="2551" w:type="dxa"/>
            <w:vAlign w:val="center"/>
          </w:tcPr>
          <w:p>
            <w:pPr>
              <w:pStyle w:val="11"/>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6.19</w:t>
            </w:r>
          </w:p>
        </w:tc>
        <w:tc>
          <w:tcPr>
            <w:tcW w:w="2551" w:type="dxa"/>
            <w:vAlign w:val="center"/>
          </w:tcPr>
          <w:p>
            <w:pPr>
              <w:pStyle w:val="11"/>
            </w:pPr>
          </w:p>
        </w:tc>
        <w:tc>
          <w:tcPr>
            <w:tcW w:w="2551" w:type="dxa"/>
            <w:vAlign w:val="center"/>
          </w:tcPr>
          <w:p>
            <w:pPr>
              <w:pStyle w:val="11"/>
            </w:pPr>
            <w:r>
              <w:t>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7.98</w:t>
            </w:r>
          </w:p>
        </w:tc>
        <w:tc>
          <w:tcPr>
            <w:tcW w:w="2551" w:type="dxa"/>
            <w:vAlign w:val="center"/>
          </w:tcPr>
          <w:p>
            <w:pPr>
              <w:pStyle w:val="11"/>
            </w:pPr>
          </w:p>
        </w:tc>
        <w:tc>
          <w:tcPr>
            <w:tcW w:w="2551" w:type="dxa"/>
            <w:vAlign w:val="center"/>
          </w:tcPr>
          <w:p>
            <w:pPr>
              <w:pStyle w:val="11"/>
            </w:pPr>
            <w:r>
              <w:t>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16.22</w:t>
            </w:r>
          </w:p>
        </w:tc>
        <w:tc>
          <w:tcPr>
            <w:tcW w:w="2551" w:type="dxa"/>
            <w:vAlign w:val="center"/>
          </w:tcPr>
          <w:p>
            <w:pPr>
              <w:pStyle w:val="11"/>
            </w:pPr>
          </w:p>
        </w:tc>
        <w:tc>
          <w:tcPr>
            <w:tcW w:w="2551" w:type="dxa"/>
            <w:vAlign w:val="center"/>
          </w:tcPr>
          <w:p>
            <w:pPr>
              <w:pStyle w:val="11"/>
            </w:pPr>
            <w:r>
              <w:t>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59.55</w:t>
            </w:r>
          </w:p>
        </w:tc>
        <w:tc>
          <w:tcPr>
            <w:tcW w:w="2551" w:type="dxa"/>
            <w:vAlign w:val="center"/>
          </w:tcPr>
          <w:p>
            <w:pPr>
              <w:pStyle w:val="11"/>
            </w:pPr>
            <w:r>
              <w:t>59.55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57.17</w:t>
            </w:r>
          </w:p>
        </w:tc>
        <w:tc>
          <w:tcPr>
            <w:tcW w:w="2551" w:type="dxa"/>
            <w:vAlign w:val="center"/>
          </w:tcPr>
          <w:p>
            <w:pPr>
              <w:pStyle w:val="11"/>
            </w:pPr>
            <w:r>
              <w:t>57.17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303发改部门</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发改部门2026年部门预算信息公开情况说明</w:t>
      </w:r>
    </w:p>
    <w:p>
      <w:pPr>
        <w:jc w:val="center"/>
      </w:pPr>
      <w:r>
        <w:rPr>
          <w:rFonts w:ascii="方正小标宋_GBK" w:hAnsi="方正小标宋_GBK" w:eastAsia="方正小标宋_GBK" w:cs="方正小标宋_GBK"/>
          <w:color w:val="000000"/>
          <w:sz w:val="44"/>
        </w:rPr>
        <w:t>发改部门2026年部门预算信息公开情况说明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按照《中华人民共和国预算法》、《地方预决算公开操作规程》和《关于进一步推进预算公开工作的实施意见》规定，现将发改部门2026年部门预算公开如下：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根据《发改部门职能配置、内设机构和人员编制规定》，发改部门的主要职责是：</w:t>
      </w:r>
    </w:p>
    <w:p>
      <w:pPr>
        <w:pStyle w:val="17"/>
      </w:pPr>
    </w:p>
    <w:p>
      <w:pPr>
        <w:pStyle w:val="17"/>
      </w:pPr>
      <w:r>
        <w:t xml:space="preserve">山海关区发展和改革局主要职责 </w:t>
      </w:r>
    </w:p>
    <w:p>
      <w:pPr>
        <w:pStyle w:val="17"/>
      </w:pPr>
    </w:p>
    <w:p>
      <w:pPr>
        <w:pStyle w:val="17"/>
      </w:pPr>
      <w:r>
        <w:t>（一）拟订并组织实施全区国民经济和社会发展战略、中长期规划和年度计划。牵头组织统一规划体系建设。负责区级专项规划、区域规划、空间规划与全区发展规划的统筹衔接。起草国民经济和社会发展、经济体制改革和对外开放的有关政府规范性文件。</w:t>
      </w:r>
    </w:p>
    <w:p>
      <w:pPr>
        <w:pStyle w:val="17"/>
      </w:pPr>
      <w:r>
        <w:t>（二）提出加快建设全区现代化经济体系、推动高质量发展的总体目标、重大任务以及相关政策。组织开展重大战略规划、重大政策、重大工程等的评估督导，提出相关调整建议。</w:t>
      </w:r>
    </w:p>
    <w:p>
      <w:pPr>
        <w:pStyle w:val="17"/>
      </w:pPr>
      <w:r>
        <w:t>（三）贯彻落实国家、省和市宏观调控政策，统筹提出全区国民经济和社会发展主要目标，监测预测预警宏观经济和社会发展态势趋势，提出经济调节政策和应对措施的建议。调节经济运行，协调解决经济运行中的重大问题。拟订并组织实施有关价格政策，组织制定由区级管理的商品、服务价格和收费标准。</w:t>
      </w:r>
    </w:p>
    <w:p>
      <w:pPr>
        <w:pStyle w:val="17"/>
      </w:pPr>
      <w:r>
        <w:t>（四）指导推进和综合协调经济体制改革有关工作，提出相关改革建议。推进供给侧结构性改革。协调推进要素市场化配置改革。落实国家完善基本经济制度政策，推进现代化市场体系建设，会同有关部门组织实施市场准入负面清单制度。根据区委、区政府决策部署，推进优化营商环境工作。</w:t>
      </w:r>
    </w:p>
    <w:p>
      <w:pPr>
        <w:pStyle w:val="17"/>
      </w:pPr>
      <w:r>
        <w:t>（五）贯彻落实国家、省和市利用外资和境外投资的战略、规划和结构优化政策。配合省、市做好“一带一路”建设有关工作。承担统筹协调“走出去”有关工作。会同有关部门贯彻落实国家外商投资准入负面清单。</w:t>
      </w:r>
    </w:p>
    <w:p>
      <w:pPr>
        <w:pStyle w:val="17"/>
      </w:pPr>
      <w:r>
        <w:t>（六）负责全区投资综合管理。拟订全区固定资产投资总规模、结构调控目标和政策。规划全区重点建设项目和生产力布局，组织推动重点建设项目。贯彻实施鼓励民间投资政策措施。</w:t>
      </w:r>
    </w:p>
    <w:p>
      <w:pPr>
        <w:pStyle w:val="17"/>
      </w:pPr>
      <w:r>
        <w:t>（七）推进落实区域协调发展战略、新型城镇化战略和重大政策，组织拟订相关区域规划和政策。推进实施融入京津冀协同发展等区域发展战略。组织实施异地扶贫搬迁。统筹协调区域合作和对口支援工作。推动实施新型城镇化规划。</w:t>
      </w:r>
    </w:p>
    <w:p>
      <w:pPr>
        <w:pStyle w:val="17"/>
      </w:pPr>
      <w:r>
        <w:t>（八）组织贯彻实施国家、省和市产业政策，拟订全区综合性产业政策。协调一二三产业发展重大问题并统筹衔接相关发展规划和重大政策。协调推进重大基础设施建设发展，组织拟定并推动实施服务业及现代物流业规划和政策。</w:t>
      </w:r>
    </w:p>
    <w:p>
      <w:pPr>
        <w:pStyle w:val="17"/>
      </w:pPr>
      <w:r>
        <w:t>（九）推动实施全区创新驱动发展战略。会同相关部门拟订全区推进创新创业的规划和政策，提出创新发展和培育经济发展新动能的政策。推动实施高技术产业和战略性新兴产业发展规划政策，协调产业升级、重大技术装备推广应用等方面的重大问题。</w:t>
      </w:r>
    </w:p>
    <w:p>
      <w:pPr>
        <w:pStyle w:val="17"/>
      </w:pPr>
      <w:r>
        <w:t>（十）跟踪研判涉及经济安全、生态安全、资源安全、科技安全、社会安全等各类风险隐患，提出相关工作建议。会同有关部门拟订全区储备物资品种目录、总体发展规划。</w:t>
      </w:r>
    </w:p>
    <w:p>
      <w:pPr>
        <w:pStyle w:val="17"/>
      </w:pPr>
      <w:r>
        <w:t>（十一）负责全区社会发展与国民经济发展的政策衔接，协调有关重大问题。组织拟订社会发展战略、总体规划，统筹推进基本公共服务体系建设和收入分配制度改革，提出促进就业、完善社会保障与经济协调发展的政策建议。</w:t>
      </w:r>
    </w:p>
    <w:p>
      <w:pPr>
        <w:pStyle w:val="17"/>
      </w:pPr>
      <w:r>
        <w:t>（十二）推进实施可持续发展战略，推动生态文明建设和改革，协调生态环境保护与修复、能源资源节约和综合利用等工作。提出落实生态保护补偿机制的政策建议，综合协调环保产业和清洁生产促进有关工作。贯彻落实市定能源消费控制目标、任务。负责全区能源方面的行业管理工作。</w:t>
      </w:r>
    </w:p>
    <w:p>
      <w:pPr>
        <w:pStyle w:val="17"/>
      </w:pPr>
      <w:r>
        <w:t>（十三）组织拟订推进全区经济建设与国防建设协调发展的规划，组织推进经济建设项目贯彻国防要求。</w:t>
      </w:r>
    </w:p>
    <w:p>
      <w:pPr>
        <w:pStyle w:val="17"/>
      </w:pPr>
      <w:r>
        <w:t>（十四）负责项目建设工作。指导管理政府投资代建制工作。负责重点项目的综合谋划、筛选、储备，不断充实完善项目库；负责全区项目协调调度、督导考核、综合分析工作；负责省市重点项目的申报工作；对重点建设项目提供政策咨询、手续办理等服务。</w:t>
      </w:r>
    </w:p>
    <w:p>
      <w:pPr>
        <w:pStyle w:val="17"/>
      </w:pPr>
      <w:r>
        <w:t>（十五）负责向国家、省争取有利于区域发展的重大优惠政策；负责向上级对口单位争取预算内资金、以工代赈资金、国债资金及贴息贷款工作，并负责安排和监督使用；向上级争取资金项目的谋划储备、对接跑办、督导考核、综合汇总工作。</w:t>
      </w:r>
    </w:p>
    <w:p>
      <w:pPr>
        <w:pStyle w:val="17"/>
      </w:pPr>
      <w:r>
        <w:t>（十六）落实区委财经委员会、推动京津冀协同发展工作领导小组、沿海地区率先发展领导小组等有关具体工作。</w:t>
      </w:r>
    </w:p>
    <w:p>
      <w:pPr>
        <w:pStyle w:val="17"/>
      </w:pPr>
      <w:r>
        <w:t>（十七）负责粮食和物资储备工作。贯彻落实国家、省有关粮食流通的法律、法规和方针政策；负责粮食流通体制改革，监督调控粮食市场供应；制定应急预案，加强粮食和物资储备应急保障；负责重要物资和应急物资收储、轮换和日常管理工作。</w:t>
      </w:r>
    </w:p>
    <w:p>
      <w:pPr>
        <w:pStyle w:val="17"/>
      </w:pPr>
      <w:r>
        <w:t>（十八）负责物价管理工作。贯彻落实国家、省和市级有关价格（收费）法规规章和政策等，监测、预测全区价格总水平及其结构变动趋势。</w:t>
      </w:r>
    </w:p>
    <w:p>
      <w:pPr>
        <w:pStyle w:val="17"/>
      </w:pPr>
      <w:r>
        <w:t>（十九）落实行业主管部门的安全生产监管职责，各股室落实各自分管领域的安全生产监管职责。</w:t>
      </w:r>
    </w:p>
    <w:p>
      <w:pPr>
        <w:pStyle w:val="17"/>
      </w:pPr>
      <w:r>
        <w:t>（二十）完成区委、区政府交办的其他任务。</w:t>
      </w:r>
    </w:p>
    <w:p>
      <w:pPr>
        <w:pStyle w:val="17"/>
      </w:pPr>
      <w:r>
        <w:t>有关职责分工：1.与区卫健局有关职责分工。区发改局负责组织监测和评估人口变动情况及趋势影响，建立人口预警预报制度，开展重大决策人口影响评估，完善重大人口政策咨询机制，研究提出全区人口发展战略，拟订人口发展规划和人口政策，研究提出人口与经济、社会、资源、环境协调可持续发展，以及统筹促进人口长期均衡发展的政策建议。 2.与区应急管理局有关职责分工。区发改局根据区政府下达的年度计划和动用指令具体调出、运送。区应急管理局负责提出区级救灾物资的储备需求和动用预案。</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发改部门发展和改革局本级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按照预算管理有关规定，目前部门预算的编制实行综合预算管理，即全部收入和支出都反映在预算中。发改部门机关及所属事业单位的收支包含在部门预算中。</w:t>
      </w:r>
    </w:p>
    <w:p>
      <w:pPr>
        <w:pStyle w:val="18"/>
      </w:pPr>
      <w:r>
        <w:t>1、收入说明</w:t>
      </w:r>
    </w:p>
    <w:p>
      <w:pPr>
        <w:pStyle w:val="18"/>
      </w:pPr>
      <w:r>
        <w:t>反映本部门当年全部收入。202</w:t>
      </w:r>
      <w:r>
        <w:rPr>
          <w:rFonts w:hint="eastAsia"/>
          <w:lang w:val="en-US" w:eastAsia="zh-CN"/>
        </w:rPr>
        <w:t>6</w:t>
      </w:r>
      <w:r>
        <w:t>年预算收入</w:t>
      </w:r>
      <w:r>
        <w:rPr>
          <w:rFonts w:hint="eastAsia"/>
          <w:lang w:val="en-US" w:eastAsia="zh-CN"/>
        </w:rPr>
        <w:t>815.8</w:t>
      </w:r>
      <w:r>
        <w:t>万元，其中：一般公共预算收入</w:t>
      </w:r>
      <w:r>
        <w:rPr>
          <w:rFonts w:hint="eastAsia"/>
          <w:lang w:val="en-US" w:eastAsia="zh-CN"/>
        </w:rPr>
        <w:t>815.8</w:t>
      </w:r>
      <w:r>
        <w:t>万元，基金预算收入0.00万元，国有资本经营预算收入0.00万元，财政专户核拨收入0.00万元，单位资金收入0.00万元，上年结转结余0.00万元。</w:t>
      </w:r>
    </w:p>
    <w:p>
      <w:pPr>
        <w:pStyle w:val="18"/>
      </w:pPr>
      <w:r>
        <w:t>2、支出说明</w:t>
      </w:r>
    </w:p>
    <w:p>
      <w:pPr>
        <w:pStyle w:val="18"/>
        <w:rPr>
          <w:rFonts w:hint="default" w:eastAsia="方正仿宋_GBK"/>
          <w:lang w:val="en-US" w:eastAsia="zh-CN"/>
        </w:rPr>
      </w:pPr>
      <w:r>
        <w:t>收支预算总表支出栏、基本支出表、项目支出表按经济分类和支出功能分类科目编制，反映发改部门年度部门预算中支出预算的总体情况。202</w:t>
      </w:r>
      <w:r>
        <w:rPr>
          <w:rFonts w:hint="eastAsia"/>
          <w:lang w:val="en-US" w:eastAsia="zh-CN"/>
        </w:rPr>
        <w:t>6</w:t>
      </w:r>
      <w:r>
        <w:t>年支出预算</w:t>
      </w:r>
      <w:r>
        <w:rPr>
          <w:rFonts w:hint="eastAsia"/>
          <w:lang w:val="en-US" w:eastAsia="zh-CN"/>
        </w:rPr>
        <w:t>815.8</w:t>
      </w:r>
      <w:r>
        <w:t>万元，其中基本支出</w:t>
      </w:r>
      <w:r>
        <w:rPr>
          <w:rFonts w:hint="eastAsia"/>
          <w:lang w:val="en-US" w:eastAsia="zh-CN"/>
        </w:rPr>
        <w:t>631.03</w:t>
      </w:r>
      <w:r>
        <w:t>万元，包括人员经费</w:t>
      </w:r>
      <w:r>
        <w:rPr>
          <w:rFonts w:hint="eastAsia"/>
          <w:lang w:val="en-US" w:eastAsia="zh-CN"/>
        </w:rPr>
        <w:t>590.64</w:t>
      </w:r>
      <w:r>
        <w:t>万元和日常公用经费</w:t>
      </w:r>
      <w:r>
        <w:rPr>
          <w:rFonts w:hint="eastAsia"/>
          <w:lang w:val="en-US" w:eastAsia="zh-CN"/>
        </w:rPr>
        <w:t>40.39</w:t>
      </w:r>
      <w:r>
        <w:t>万元；项目支出</w:t>
      </w:r>
      <w:r>
        <w:rPr>
          <w:rFonts w:hint="eastAsia"/>
          <w:lang w:val="en-US" w:eastAsia="zh-CN"/>
        </w:rPr>
        <w:t>184.77</w:t>
      </w:r>
      <w:r>
        <w:t>万元，主要为</w:t>
      </w:r>
      <w:r>
        <w:rPr>
          <w:rFonts w:hint="eastAsia"/>
          <w:lang w:val="en-US" w:eastAsia="zh-CN"/>
        </w:rPr>
        <w:t>2025至2026年采暖季农村煤改气月月户天然气终端销售价格补贴1.27万元，粮食安全责任制1万元，粮食质量安全检查和监测经费2万元，秦皇岛市山海关区国民经济和社会发展第十五个五年规划纲要技术服务费、印刷费31万元，人防建设经费100万元，山海关区碳达峰实施方案编制费18.5万元，涉案资产价格认定1万元，项目建设及谋划管理工作经费20万元，应急救灾物资10万元。</w:t>
      </w:r>
    </w:p>
    <w:p>
      <w:pPr>
        <w:pStyle w:val="18"/>
      </w:pPr>
      <w:r>
        <w:t>3、比上年增减情况</w:t>
      </w:r>
    </w:p>
    <w:p>
      <w:pPr>
        <w:pStyle w:val="18"/>
      </w:pPr>
      <w:r>
        <w:t>202</w:t>
      </w:r>
      <w:r>
        <w:rPr>
          <w:rFonts w:hint="eastAsia"/>
          <w:lang w:val="en-US" w:eastAsia="zh-CN"/>
        </w:rPr>
        <w:t>6</w:t>
      </w:r>
      <w:r>
        <w:t>年预算收支安排</w:t>
      </w:r>
      <w:r>
        <w:rPr>
          <w:rFonts w:hint="eastAsia"/>
          <w:lang w:val="en-US" w:eastAsia="zh-CN"/>
        </w:rPr>
        <w:t>815.8</w:t>
      </w:r>
      <w:r>
        <w:t>万元，较202</w:t>
      </w:r>
      <w:r>
        <w:rPr>
          <w:rFonts w:hint="eastAsia"/>
          <w:lang w:val="en-US" w:eastAsia="zh-CN"/>
        </w:rPr>
        <w:t>5</w:t>
      </w:r>
      <w:r>
        <w:t>年预算</w:t>
      </w:r>
      <w:r>
        <w:rPr>
          <w:rFonts w:hint="eastAsia"/>
          <w:lang w:val="en-US" w:eastAsia="zh-CN"/>
        </w:rPr>
        <w:t>减少52.59</w:t>
      </w:r>
      <w:r>
        <w:t>万元，其中：基本支出增加</w:t>
      </w:r>
      <w:r>
        <w:rPr>
          <w:rFonts w:hint="eastAsia"/>
          <w:lang w:val="en-US" w:eastAsia="zh-CN"/>
        </w:rPr>
        <w:t>55.79</w:t>
      </w:r>
      <w:r>
        <w:t>万元，主要为人员经费支出。项目支出减少</w:t>
      </w:r>
      <w:r>
        <w:rPr>
          <w:rFonts w:hint="eastAsia"/>
          <w:lang w:val="en-US" w:eastAsia="zh-CN"/>
        </w:rPr>
        <w:t>108.38</w:t>
      </w:r>
      <w:r>
        <w:t>万元，主要为</w:t>
      </w:r>
      <w:r>
        <w:rPr>
          <w:rFonts w:hint="eastAsia"/>
          <w:lang w:val="en-US" w:eastAsia="zh-CN"/>
        </w:rPr>
        <w:t>人防</w:t>
      </w:r>
      <w:r>
        <w:t>经费支出。</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w:t>
      </w:r>
      <w:r>
        <w:rPr>
          <w:rFonts w:hint="eastAsia"/>
          <w:lang w:val="en-US" w:eastAsia="zh-CN"/>
        </w:rPr>
        <w:t>6</w:t>
      </w:r>
      <w:r>
        <w:t>年，我部门财政拨款“三公”经费预算安排2.00万元，其中因公出国（境）费0.00万元；公务用车购置及运维费2.00万元（其中：公务用车购置费为0.00万元，公务用车运维费2.00万元)；公务接待费0.00万元。与202</w:t>
      </w:r>
      <w:r>
        <w:rPr>
          <w:rFonts w:hint="eastAsia"/>
          <w:lang w:val="en-US" w:eastAsia="zh-CN"/>
        </w:rPr>
        <w:t>5</w:t>
      </w:r>
      <w:r>
        <w:t>年</w:t>
      </w:r>
      <w:r>
        <w:rPr>
          <w:rFonts w:hint="eastAsia"/>
          <w:lang w:val="en-US" w:eastAsia="zh-CN"/>
        </w:rPr>
        <w:t>持平</w:t>
      </w:r>
      <w:r>
        <w:t>。</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一、拟订并组织实施全区国民经济和社会发展战略、中长期规划和年度计划。牵头组织统一规划体系建设。负责区级专项规划、区域规划、空间规划与全区发展规划的统筹衔接。起草国民经济和社会发展、经济体制改革和对外开放的有关政府规范性文件。</w:t>
      </w:r>
    </w:p>
    <w:p>
      <w:pPr>
        <w:pStyle w:val="21"/>
      </w:pPr>
      <w:r>
        <w:t>二、拟订固定资产投资总规模和投资结构的调控目标、政策及措施；研究拟订项目建设方面的政策、规章；编制项目计划，对重点项目进行综合谋划、管理、推进。</w:t>
      </w:r>
    </w:p>
    <w:p>
      <w:pPr>
        <w:pStyle w:val="21"/>
      </w:pPr>
      <w:r>
        <w:t>保障发展改革一般性日常业务开展和机关事务的基本运转。</w:t>
      </w:r>
    </w:p>
    <w:p>
      <w:pPr>
        <w:pStyle w:val="21"/>
      </w:pPr>
      <w:r>
        <w:t>三、负责粮食和物资储备工作。贯彻落实国家、省有关粮食流通的法律、法规和方针政策；负责粮食流通体制改革，监督调控粮食市场供应；制定应急预案。健全粮食质量安全体系；指导全区粮食储存保管及安全生产；深入推进粮食安全责任制的落实；负责对粮食收购、储存环节的粮食质量安全和原粮卫生进行监督管理。负责归口企业的国有资产监管；负责处理粮食系统企业改制后的遗留问题和机关综合事务管理。</w:t>
      </w:r>
    </w:p>
    <w:p>
      <w:pPr>
        <w:pStyle w:val="21"/>
      </w:pPr>
      <w:r>
        <w:t>四、监测预测全区价格总水平及其结构变动趋势，提出调控建议。依照价格管理权限，开展价格认证、涉案物品价格鉴定的价格工作。</w:t>
      </w:r>
    </w:p>
    <w:p>
      <w:pPr>
        <w:pStyle w:val="21"/>
      </w:pPr>
      <w:r>
        <w:t>五、贯彻落实《农业法》关于各级人民政府应制定农业资源区划的规定,保护农业自然资源,促进农业可持续发展。</w:t>
      </w:r>
    </w:p>
    <w:p>
      <w:pPr>
        <w:pStyle w:val="21"/>
      </w:pPr>
      <w:r>
        <w:t>六、负责全区用能单位节能目标责任制和节能考核评价体系建设，负责能源统计工作。</w:t>
      </w:r>
    </w:p>
    <w:p>
      <w:pPr>
        <w:spacing w:line="500" w:lineRule="exact"/>
        <w:ind w:firstLine="560"/>
      </w:pPr>
      <w:r>
        <w:rPr>
          <w:rFonts w:eastAsia="方正仿宋_GBK"/>
          <w:color w:val="000000"/>
          <w:sz w:val="28"/>
        </w:rPr>
        <w:t>（二）分项绩效目标</w:t>
      </w:r>
    </w:p>
    <w:p>
      <w:pPr>
        <w:pStyle w:val="22"/>
      </w:pPr>
      <w:r>
        <w:t>1、组织编制经济社会发展规划和计划。</w:t>
      </w:r>
    </w:p>
    <w:p>
      <w:pPr>
        <w:pStyle w:val="22"/>
      </w:pPr>
      <w:r>
        <w:t>绩效目标：规划和计划前瞻性、科学性、可操作性较强；规划目标全面、先进、可行；组织实施有效，及时评估调度，动态调整切实可行。</w:t>
      </w:r>
    </w:p>
    <w:p>
      <w:pPr>
        <w:pStyle w:val="22"/>
      </w:pPr>
      <w:r>
        <w:t>绩效指标：各类经济社会发展中长期规划编制完成率；区人大代表表决通过率；重点领域与区域经济社会规划编制完成率</w:t>
      </w:r>
    </w:p>
    <w:p>
      <w:pPr>
        <w:pStyle w:val="22"/>
      </w:pPr>
      <w:r>
        <w:t>2、固定资产投资管理和重点项目管理。</w:t>
      </w:r>
    </w:p>
    <w:p>
      <w:pPr>
        <w:pStyle w:val="22"/>
      </w:pPr>
      <w:r>
        <w:t>绩效目标：1.切实发挥投资对经济稳定增长的拉动和调节作用，建立完善的投资体制和机制；落实国家和省区固定资产投资政策目标。2.推动重点前期项目建设</w:t>
      </w:r>
    </w:p>
    <w:p>
      <w:pPr>
        <w:pStyle w:val="22"/>
      </w:pPr>
      <w:r>
        <w:t>绩效指标：建设项目立项手续完备率；投资项目审批率；固定资产投资计划完成率；提前开工项目；省重点前期项目申报率；市重点前期项目申报率；重点项目督导覆盖次数；重点建设项目申报率；重点项目开工率</w:t>
      </w:r>
    </w:p>
    <w:p>
      <w:pPr>
        <w:pStyle w:val="22"/>
      </w:pPr>
      <w:r>
        <w:t>3、发展和改革政务管理。</w:t>
      </w:r>
    </w:p>
    <w:p>
      <w:pPr>
        <w:pStyle w:val="22"/>
      </w:pPr>
      <w:r>
        <w:t>绩效目标：保障发展和改革工作正常开展</w:t>
      </w:r>
    </w:p>
    <w:p>
      <w:pPr>
        <w:pStyle w:val="22"/>
      </w:pPr>
      <w:r>
        <w:t>绩效指标：综合业务完成率；综合事务完成率</w:t>
      </w:r>
    </w:p>
    <w:p>
      <w:pPr>
        <w:pStyle w:val="22"/>
      </w:pPr>
      <w:r>
        <w:t>4、粮食调控管理,粮食质量安全监管,粮食政务管理。</w:t>
      </w:r>
    </w:p>
    <w:p>
      <w:pPr>
        <w:pStyle w:val="22"/>
      </w:pPr>
      <w:r>
        <w:t>绩效目标：1.及时掌握收获、收购、储存、政策性粮食质量安全和品质情况，为制定粮食收购政策提供依据；掌握重点和骨干企业粮食质量状况。2. 粮食价格监测点布局合理，粮食市场监测预警信息上报及时，预警分析准确、及时。3. 保障各项业务工作畅通。确保粮食系统离退休、离岗退养等人员安置工作较好完成，生活费、福利费的按时发放、养老、医疗保险足额缴纳，保障信访稳定。保障国有资产保值增值。</w:t>
      </w:r>
    </w:p>
    <w:p>
      <w:pPr>
        <w:pStyle w:val="22"/>
      </w:pPr>
      <w:r>
        <w:t>绩效指标：储备物资质量完好率；计划落实率；储备物资应急保障率；监管率 ；信息发布率；检测率；上报及时率；预警分析准确率 ；价格监测准确率；综合业务保障率；职工安置保障率；国有资产保障率；综合事务保障率</w:t>
      </w:r>
    </w:p>
    <w:p>
      <w:pPr>
        <w:pStyle w:val="22"/>
      </w:pPr>
      <w:r>
        <w:t>5、价格总水平调控和价格管理,涉案资产价格认证鉴证工作。</w:t>
      </w:r>
    </w:p>
    <w:p>
      <w:pPr>
        <w:pStyle w:val="22"/>
      </w:pPr>
      <w:r>
        <w:t>绩效目标：1.负责本区市场价格的监测分析和价格动态的信息反馈工作。2. 建立收费目录清单和收费公示制度，根据变动情况进行动态调整，强化收费行为的监督管理工作。3. 客观、公正、合理出具价格鉴证结论，协调、调解、处理价格争议，维护司法机关公平公正和当事人合法权益，维护社会和谐稳定。</w:t>
      </w:r>
    </w:p>
    <w:p>
      <w:pPr>
        <w:pStyle w:val="22"/>
      </w:pPr>
      <w:r>
        <w:t>绩效指标：价格巡查监测任务完成率；报表上报率；居民消费价格年度预期目标完成情况；收费标准规范性；收费备案及管理工作完成率；收费标准规范有效性；办案准确率；认定结论按期完成率；案件复核维持率</w:t>
      </w:r>
    </w:p>
    <w:p>
      <w:pPr>
        <w:pStyle w:val="22"/>
      </w:pPr>
      <w:r>
        <w:t>6、农业区划。</w:t>
      </w:r>
    </w:p>
    <w:p>
      <w:pPr>
        <w:pStyle w:val="22"/>
      </w:pPr>
      <w:r>
        <w:t>绩效部门：合理开发利用和保护农业资源,促进农业可持续发展。</w:t>
      </w:r>
    </w:p>
    <w:p>
      <w:pPr>
        <w:pStyle w:val="22"/>
      </w:pPr>
      <w:r>
        <w:t>绩效指标：完成发展质量农业推进农业供给侧结构性改革课题成果报告1份；建立循环农业试点1个；完成农业资源区划报告1份</w:t>
      </w:r>
    </w:p>
    <w:p>
      <w:pPr>
        <w:pStyle w:val="22"/>
      </w:pPr>
      <w:r>
        <w:t>7、节能工作</w:t>
      </w:r>
    </w:p>
    <w:p>
      <w:pPr>
        <w:pStyle w:val="22"/>
      </w:pPr>
      <w:r>
        <w:t>绩效目标：1.较好地完成全区节能评估考核工作。2. 单位GDP能耗降低率目标完成情况。3. 全区规上工业企业无新增耗煤量。</w:t>
      </w:r>
    </w:p>
    <w:p>
      <w:pPr>
        <w:pStyle w:val="22"/>
      </w:pPr>
      <w:r>
        <w:t>绩效指标：综合事务完成率；综合事务完成率；综合事务完成率</w:t>
      </w:r>
    </w:p>
    <w:p>
      <w:pPr>
        <w:spacing w:line="500" w:lineRule="exact"/>
        <w:ind w:firstLine="560"/>
      </w:pPr>
      <w:r>
        <w:rPr>
          <w:rFonts w:eastAsia="方正仿宋_GBK"/>
          <w:color w:val="000000"/>
          <w:sz w:val="28"/>
        </w:rPr>
        <w:t>（三）工作保障措施</w:t>
      </w:r>
    </w:p>
    <w:p>
      <w:pPr>
        <w:pStyle w:val="23"/>
      </w:pPr>
      <w:r>
        <w:t>（一）完善制度建设。制定完善预算绩效管理制度、加强资金管理、强化工作保障；加强支出管理，优化支出结构、编细编实预算、尽快启动项目、及时支付资金，按规定及时下达资金；加强绩效运行监控，发现问题及时采取措施，确保绩效目标如期保质实现；做好绩效自评，按要求开展预算绩效自评和重点评价工作，对发现的问题及时整改，提高财政资金使用效益；规范财务资产管理，完善财务管理制度，严格审批程序，做到支出合理，物尽其用；加强内部监督，加强内部监督制度建设，确保财政资金安全有效；加强宣传培训调研等，加强人员培训，提高职工业务素质，加强调研，提高资金使用效益，加大宣传力度，强化预算绩效管理意识，促进预算绩效管理水平进一步提升。</w:t>
      </w:r>
    </w:p>
    <w:p>
      <w:pPr>
        <w:pStyle w:val="23"/>
      </w:pPr>
      <w:r>
        <w:t>（二）全力推进项目建设。一是提高建设项目开工率。。二是建设项目要按照时间进度完成年度计划投资任务。三是做实项目前期工作，提高前期项目手续办理数量。四是提高谋划储备项目数量。五是提升对重点项目的服务质量。六是拓宽融资渠道，努力争取更多资金扶持。</w:t>
      </w:r>
    </w:p>
    <w:p>
      <w:pPr>
        <w:pStyle w:val="23"/>
      </w:pPr>
      <w:r>
        <w:t>（三）加强固定资产投资督导调度。一是积极推动项目入库。二是对已具备入统条件的项目实行按月督导，三是掌握已有投资的项目，提示统计部门执法检查。</w:t>
      </w:r>
    </w:p>
    <w:p>
      <w:pPr>
        <w:pStyle w:val="23"/>
      </w:pPr>
      <w:r>
        <w:t>（四）推进战略性新兴产业。一是瞄准具有应用前景的产业化科研成果的企业，促进科研成果的转化实施。二是加强科研合作，提高企业自主创新能力和产业竞争力。三是按照产业布局推进项目，以项目为支撑。四是把握上级扶持政策，全力争取扶持资金。</w:t>
      </w:r>
    </w:p>
    <w:p>
      <w:pPr>
        <w:pStyle w:val="23"/>
      </w:pPr>
      <w:r>
        <w:t>（五）推动服务业企业入统。争取更多服务业企业发展壮大实现入统。</w:t>
      </w:r>
    </w:p>
    <w:p>
      <w:pPr>
        <w:pStyle w:val="23"/>
      </w:pPr>
      <w:r>
        <w:t>（六）持续推进“双创双服”。一是做好宣传工作。二是根据各专项方案的时间节点要求，深入进行督导检查。三是进一步提高河北省政企服务直通信息化平台利用率。四是积极协调牵头部门开展问题大协调、政策大落实、服务大提质、民生大走访等工作。</w:t>
      </w:r>
    </w:p>
    <w:p>
      <w:pPr>
        <w:pStyle w:val="23"/>
      </w:pPr>
      <w:r>
        <w:t>（七）做好认真编制“十四五”规划。一是根据目标要求倒排时间，组建工作专班，建立“十四五”规划编制工作机制，二是加强与上级对口部门的沟通汇报，加强部门之间的协同配合。三是创新工作方法，开展调研,研究提出基本思路和解决方案。</w:t>
      </w:r>
    </w:p>
    <w:p>
      <w:pPr>
        <w:pStyle w:val="23"/>
      </w:pPr>
      <w:r>
        <w:t>（八）做好价格管理工作。一是继续开展价格认证工作。二是持续做好商品价格监测工作。三是继续强化收费管理。</w:t>
      </w:r>
    </w:p>
    <w:p>
      <w:pPr>
        <w:pStyle w:val="23"/>
      </w:pPr>
      <w:r>
        <w:t>（九）做好粮食和物资储备工作。一是继续抓好以保障粮油质量安全为重点的粮食流通监督检查工作。二是狠抓法制宣传教育工作不放松，切实加强执法队伍建设和制度建设。三是做好救灾应急物资储备工作。</w:t>
      </w:r>
    </w:p>
    <w:p>
      <w:pPr>
        <w:pStyle w:val="23"/>
        <w:sectPr>
          <w:pgSz w:w="16840" w:h="11900" w:orient="landscape"/>
          <w:pgMar w:top="1361" w:right="1020" w:bottom="1361" w:left="1020" w:header="720" w:footer="720" w:gutter="0"/>
          <w:cols w:space="720" w:num="1"/>
        </w:sectPr>
      </w:pPr>
      <w:r>
        <w:t>（十）做好农业区划、节能工作。</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1、2025至2026年采暖季农村煤改气用户天然气终端销售价格补贴绩效目标表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13030326P00000410010Y</w:t>
            </w:r>
          </w:p>
        </w:tc>
        <w:tc>
          <w:tcPr>
            <w:tcW w:w="2835" w:type="dxa"/>
            <w:vAlign w:val="center"/>
          </w:tcPr>
          <w:p>
            <w:pPr>
              <w:pStyle w:val="10"/>
            </w:pPr>
            <w:r>
              <w:t>项目名称</w:t>
            </w:r>
          </w:p>
        </w:tc>
        <w:tc>
          <w:tcPr>
            <w:tcW w:w="6095" w:type="dxa"/>
            <w:gridSpan w:val="3"/>
            <w:vAlign w:val="center"/>
          </w:tcPr>
          <w:p>
            <w:pPr>
              <w:pStyle w:val="12"/>
            </w:pPr>
            <w:r>
              <w:t>2025至2026年采暖季农村煤改气用户天然气终端销售价格补贴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w:t>
            </w:r>
          </w:p>
        </w:tc>
        <w:tc>
          <w:tcPr>
            <w:tcW w:w="2835" w:type="dxa"/>
            <w:vAlign w:val="center"/>
          </w:tcPr>
          <w:p>
            <w:pPr>
              <w:pStyle w:val="10"/>
            </w:pPr>
            <w:r>
              <w:t>其中：财政    资金</w:t>
            </w:r>
          </w:p>
        </w:tc>
        <w:tc>
          <w:tcPr>
            <w:tcW w:w="2551" w:type="dxa"/>
            <w:vAlign w:val="center"/>
          </w:tcPr>
          <w:p>
            <w:pPr>
              <w:pStyle w:val="12"/>
            </w:pPr>
            <w:r>
              <w:t>1.27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用于农村煤改气用户终端销售价格补贴省级负担。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0.32</w:t>
            </w:r>
          </w:p>
        </w:tc>
        <w:tc>
          <w:tcPr>
            <w:tcW w:w="2835" w:type="dxa"/>
            <w:vAlign w:val="center"/>
          </w:tcPr>
          <w:p>
            <w:pPr>
              <w:pStyle w:val="13"/>
            </w:pPr>
            <w:r>
              <w:t>0.64</w:t>
            </w:r>
          </w:p>
        </w:tc>
        <w:tc>
          <w:tcPr>
            <w:tcW w:w="2551" w:type="dxa"/>
            <w:vAlign w:val="center"/>
          </w:tcPr>
          <w:p>
            <w:pPr>
              <w:pStyle w:val="13"/>
            </w:pPr>
            <w:r>
              <w:t>0.95</w:t>
            </w:r>
          </w:p>
        </w:tc>
        <w:tc>
          <w:tcPr>
            <w:tcW w:w="3544" w:type="dxa"/>
            <w:gridSpan w:val="2"/>
            <w:vAlign w:val="center"/>
          </w:tcPr>
          <w:p>
            <w:pPr>
              <w:pStyle w:val="13"/>
            </w:pPr>
            <w:r>
              <w:t>1.27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1.通过此次拨付，用于农村煤改气用户终端销售价格补贴省级负担。</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煤改气用户销售价格补贴完成率</w:t>
            </w:r>
          </w:p>
        </w:tc>
        <w:tc>
          <w:tcPr>
            <w:tcW w:w="2268" w:type="dxa"/>
            <w:vAlign w:val="center"/>
          </w:tcPr>
          <w:p>
            <w:pPr>
              <w:pStyle w:val="12"/>
            </w:pPr>
            <w:r>
              <w:t>≥90%</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拨付次数</w:t>
            </w:r>
          </w:p>
        </w:tc>
        <w:tc>
          <w:tcPr>
            <w:tcW w:w="5386" w:type="dxa"/>
            <w:vAlign w:val="center"/>
          </w:tcPr>
          <w:p>
            <w:pPr>
              <w:pStyle w:val="12"/>
            </w:pPr>
            <w:r>
              <w:t>煤改气用户销售价格拨付次数</w:t>
            </w:r>
          </w:p>
        </w:tc>
        <w:tc>
          <w:tcPr>
            <w:tcW w:w="2268" w:type="dxa"/>
            <w:vAlign w:val="center"/>
          </w:tcPr>
          <w:p>
            <w:pPr>
              <w:pStyle w:val="12"/>
            </w:pPr>
            <w:r>
              <w:t>≥1次</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完成计划工作</w:t>
            </w:r>
          </w:p>
        </w:tc>
        <w:tc>
          <w:tcPr>
            <w:tcW w:w="5386" w:type="dxa"/>
            <w:vAlign w:val="center"/>
          </w:tcPr>
          <w:p>
            <w:pPr>
              <w:pStyle w:val="12"/>
            </w:pPr>
            <w:r>
              <w:t>及时拨付</w:t>
            </w:r>
          </w:p>
        </w:tc>
        <w:tc>
          <w:tcPr>
            <w:tcW w:w="2268" w:type="dxa"/>
            <w:vAlign w:val="center"/>
          </w:tcPr>
          <w:p>
            <w:pPr>
              <w:pStyle w:val="12"/>
            </w:pPr>
            <w:r>
              <w:t>按时拨付</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控制在预算资金内</w:t>
            </w:r>
          </w:p>
        </w:tc>
        <w:tc>
          <w:tcPr>
            <w:tcW w:w="2268" w:type="dxa"/>
            <w:vAlign w:val="center"/>
          </w:tcPr>
          <w:p>
            <w:pPr>
              <w:pStyle w:val="12"/>
            </w:pPr>
            <w:r>
              <w:t>≤1.28万元</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影响程度</w:t>
            </w:r>
          </w:p>
        </w:tc>
        <w:tc>
          <w:tcPr>
            <w:tcW w:w="5386" w:type="dxa"/>
            <w:vAlign w:val="center"/>
          </w:tcPr>
          <w:p>
            <w:pPr>
              <w:pStyle w:val="12"/>
            </w:pPr>
            <w:r>
              <w:t>对农村煤改气用户影响程度</w:t>
            </w:r>
          </w:p>
        </w:tc>
        <w:tc>
          <w:tcPr>
            <w:tcW w:w="2268" w:type="dxa"/>
            <w:vAlign w:val="center"/>
          </w:tcPr>
          <w:p>
            <w:pPr>
              <w:pStyle w:val="12"/>
            </w:pPr>
            <w:r>
              <w:t>较高影响</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农村煤改气用户满意度</w:t>
            </w:r>
          </w:p>
        </w:tc>
        <w:tc>
          <w:tcPr>
            <w:tcW w:w="2268" w:type="dxa"/>
            <w:vAlign w:val="center"/>
          </w:tcPr>
          <w:p>
            <w:pPr>
              <w:pStyle w:val="12"/>
            </w:pPr>
            <w:r>
              <w:t>≥90%</w:t>
            </w:r>
          </w:p>
        </w:tc>
        <w:tc>
          <w:tcPr>
            <w:tcW w:w="1276" w:type="dxa"/>
            <w:vAlign w:val="center"/>
          </w:tcPr>
          <w:p>
            <w:pPr>
              <w:pStyle w:val="12"/>
            </w:pPr>
            <w:r>
              <w:t>2025年至2026年采暖季农村煤改气用户天然气终端销售价格</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2、粮食安全责任制绩效目标表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13030326P0006HT10014K</w:t>
            </w:r>
          </w:p>
        </w:tc>
        <w:tc>
          <w:tcPr>
            <w:tcW w:w="2835" w:type="dxa"/>
            <w:vAlign w:val="center"/>
          </w:tcPr>
          <w:p>
            <w:pPr>
              <w:pStyle w:val="10"/>
            </w:pPr>
            <w:r>
              <w:t>项目名称</w:t>
            </w:r>
          </w:p>
        </w:tc>
        <w:tc>
          <w:tcPr>
            <w:tcW w:w="6095" w:type="dxa"/>
            <w:gridSpan w:val="3"/>
            <w:vAlign w:val="center"/>
          </w:tcPr>
          <w:p>
            <w:pPr>
              <w:pStyle w:val="12"/>
            </w:pPr>
            <w:r>
              <w:t>粮食安全责任制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2"/>
            </w:pPr>
            <w:r>
              <w:t>用于完成粮食安全责任制考核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1.通过完成此项工作，较好完成粮食安全责任制考核。</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监管率</w:t>
            </w:r>
          </w:p>
        </w:tc>
        <w:tc>
          <w:tcPr>
            <w:tcW w:w="5386" w:type="dxa"/>
            <w:vAlign w:val="center"/>
          </w:tcPr>
          <w:p>
            <w:pPr>
              <w:pStyle w:val="12"/>
            </w:pPr>
            <w:r>
              <w:t>粮食质量和品质监管数量占粮食计划数量的比例</w:t>
            </w:r>
          </w:p>
        </w:tc>
        <w:tc>
          <w:tcPr>
            <w:tcW w:w="2268" w:type="dxa"/>
            <w:vAlign w:val="center"/>
          </w:tcPr>
          <w:p>
            <w:pPr>
              <w:pStyle w:val="12"/>
            </w:pPr>
            <w:r>
              <w:t>≥95%</w:t>
            </w:r>
          </w:p>
        </w:tc>
        <w:tc>
          <w:tcPr>
            <w:tcW w:w="1276" w:type="dxa"/>
            <w:vAlign w:val="center"/>
          </w:tcPr>
          <w:p>
            <w:pPr>
              <w:pStyle w:val="12"/>
            </w:pPr>
            <w:r>
              <w:t>检测率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检测率</w:t>
            </w:r>
          </w:p>
        </w:tc>
        <w:tc>
          <w:tcPr>
            <w:tcW w:w="5386" w:type="dxa"/>
            <w:vAlign w:val="center"/>
          </w:tcPr>
          <w:p>
            <w:pPr>
              <w:pStyle w:val="12"/>
            </w:pPr>
            <w:r>
              <w:t>检测量占储存政策性粮食总量的比例</w:t>
            </w:r>
          </w:p>
        </w:tc>
        <w:tc>
          <w:tcPr>
            <w:tcW w:w="2268" w:type="dxa"/>
            <w:vAlign w:val="center"/>
          </w:tcPr>
          <w:p>
            <w:pPr>
              <w:pStyle w:val="12"/>
            </w:pPr>
            <w:r>
              <w:t>≥95%</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及时按要求完成工作任务</w:t>
            </w:r>
          </w:p>
        </w:tc>
        <w:tc>
          <w:tcPr>
            <w:tcW w:w="2268" w:type="dxa"/>
            <w:vAlign w:val="center"/>
          </w:tcPr>
          <w:p>
            <w:pPr>
              <w:pStyle w:val="12"/>
            </w:pPr>
            <w:r>
              <w:t>≥95%</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控制预算数</w:t>
            </w:r>
          </w:p>
        </w:tc>
        <w:tc>
          <w:tcPr>
            <w:tcW w:w="5386" w:type="dxa"/>
            <w:vAlign w:val="center"/>
          </w:tcPr>
          <w:p>
            <w:pPr>
              <w:pStyle w:val="12"/>
            </w:pPr>
            <w:r>
              <w:t>控制在预算资金内</w:t>
            </w:r>
          </w:p>
        </w:tc>
        <w:tc>
          <w:tcPr>
            <w:tcW w:w="2268" w:type="dxa"/>
            <w:vAlign w:val="center"/>
          </w:tcPr>
          <w:p>
            <w:pPr>
              <w:pStyle w:val="12"/>
            </w:pPr>
            <w:r>
              <w:t>≤1万元</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提升粮食质量</w:t>
            </w:r>
          </w:p>
        </w:tc>
        <w:tc>
          <w:tcPr>
            <w:tcW w:w="5386" w:type="dxa"/>
            <w:vAlign w:val="center"/>
          </w:tcPr>
          <w:p>
            <w:pPr>
              <w:pStyle w:val="12"/>
            </w:pPr>
            <w:r>
              <w:t>保障粮食安全</w:t>
            </w:r>
          </w:p>
        </w:tc>
        <w:tc>
          <w:tcPr>
            <w:tcW w:w="2268" w:type="dxa"/>
            <w:vAlign w:val="center"/>
          </w:tcPr>
          <w:p>
            <w:pPr>
              <w:pStyle w:val="12"/>
            </w:pPr>
            <w:r>
              <w:t>保障</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调查中企业对工作环境满意度和较满意的人数占调查总人数的比率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3、粮食质量安全检查和监测经费绩效目标表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13030326P0006HT10012C</w:t>
            </w:r>
          </w:p>
        </w:tc>
        <w:tc>
          <w:tcPr>
            <w:tcW w:w="2835" w:type="dxa"/>
            <w:vAlign w:val="center"/>
          </w:tcPr>
          <w:p>
            <w:pPr>
              <w:pStyle w:val="10"/>
            </w:pPr>
            <w:r>
              <w:t>项目名称</w:t>
            </w:r>
          </w:p>
        </w:tc>
        <w:tc>
          <w:tcPr>
            <w:tcW w:w="6095" w:type="dxa"/>
            <w:gridSpan w:val="3"/>
            <w:vAlign w:val="center"/>
          </w:tcPr>
          <w:p>
            <w:pPr>
              <w:pStyle w:val="12"/>
            </w:pPr>
            <w:r>
              <w:t>粮食质量安全检查和监测经费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用于粮食质量安全检测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1.通过粮食质量安全检测，达到储备粮质量数量安全统一。</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粮食质量检测次数</w:t>
            </w:r>
          </w:p>
        </w:tc>
        <w:tc>
          <w:tcPr>
            <w:tcW w:w="5386" w:type="dxa"/>
            <w:vAlign w:val="center"/>
          </w:tcPr>
          <w:p>
            <w:pPr>
              <w:pStyle w:val="12"/>
            </w:pPr>
            <w:r>
              <w:t>组织开展粮食质量检测</w:t>
            </w:r>
          </w:p>
        </w:tc>
        <w:tc>
          <w:tcPr>
            <w:tcW w:w="2268" w:type="dxa"/>
            <w:vAlign w:val="center"/>
          </w:tcPr>
          <w:p>
            <w:pPr>
              <w:pStyle w:val="12"/>
            </w:pPr>
            <w:r>
              <w:t>≥2次</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粮食质量检测合格率</w:t>
            </w:r>
          </w:p>
        </w:tc>
        <w:tc>
          <w:tcPr>
            <w:tcW w:w="5386" w:type="dxa"/>
            <w:vAlign w:val="center"/>
          </w:tcPr>
          <w:p>
            <w:pPr>
              <w:pStyle w:val="12"/>
            </w:pPr>
            <w:r>
              <w:t>检测结果合格情况</w:t>
            </w:r>
          </w:p>
        </w:tc>
        <w:tc>
          <w:tcPr>
            <w:tcW w:w="2268" w:type="dxa"/>
            <w:vAlign w:val="center"/>
          </w:tcPr>
          <w:p>
            <w:pPr>
              <w:pStyle w:val="12"/>
            </w:pPr>
            <w:r>
              <w:t>≥95%</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及时按要求完成工作任务</w:t>
            </w:r>
          </w:p>
        </w:tc>
        <w:tc>
          <w:tcPr>
            <w:tcW w:w="2268" w:type="dxa"/>
            <w:vAlign w:val="center"/>
          </w:tcPr>
          <w:p>
            <w:pPr>
              <w:pStyle w:val="12"/>
            </w:pPr>
            <w:r>
              <w:t>及时</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成本控制额</w:t>
            </w:r>
          </w:p>
        </w:tc>
        <w:tc>
          <w:tcPr>
            <w:tcW w:w="5386" w:type="dxa"/>
            <w:vAlign w:val="center"/>
          </w:tcPr>
          <w:p>
            <w:pPr>
              <w:pStyle w:val="12"/>
            </w:pPr>
            <w:r>
              <w:t>预算范围内</w:t>
            </w:r>
          </w:p>
        </w:tc>
        <w:tc>
          <w:tcPr>
            <w:tcW w:w="2268" w:type="dxa"/>
            <w:vAlign w:val="center"/>
          </w:tcPr>
          <w:p>
            <w:pPr>
              <w:pStyle w:val="12"/>
            </w:pPr>
            <w:r>
              <w:t>≤2万元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提升储备粮质量</w:t>
            </w:r>
          </w:p>
        </w:tc>
        <w:tc>
          <w:tcPr>
            <w:tcW w:w="5386" w:type="dxa"/>
            <w:vAlign w:val="center"/>
          </w:tcPr>
          <w:p>
            <w:pPr>
              <w:pStyle w:val="12"/>
            </w:pPr>
            <w:r>
              <w:t>提升粮食质量安全</w:t>
            </w:r>
          </w:p>
        </w:tc>
        <w:tc>
          <w:tcPr>
            <w:tcW w:w="2268" w:type="dxa"/>
            <w:vAlign w:val="center"/>
          </w:tcPr>
          <w:p>
            <w:pPr>
              <w:pStyle w:val="12"/>
            </w:pPr>
            <w:r>
              <w:t>提升</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相关部门、企业满意度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4、秦皇岛市山海关区国民经济和社会发展第十五个五年规划纲要技术服务费、印刷费绩效目标表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13030326P00385510162A</w:t>
            </w:r>
          </w:p>
        </w:tc>
        <w:tc>
          <w:tcPr>
            <w:tcW w:w="2835" w:type="dxa"/>
            <w:vAlign w:val="center"/>
          </w:tcPr>
          <w:p>
            <w:pPr>
              <w:pStyle w:val="10"/>
            </w:pPr>
            <w:r>
              <w:t>项目名称</w:t>
            </w:r>
          </w:p>
        </w:tc>
        <w:tc>
          <w:tcPr>
            <w:tcW w:w="6095" w:type="dxa"/>
            <w:gridSpan w:val="3"/>
            <w:vAlign w:val="center"/>
          </w:tcPr>
          <w:p>
            <w:pPr>
              <w:pStyle w:val="12"/>
            </w:pPr>
            <w:r>
              <w:t>秦皇岛市山海关区国民经济和社会发展第十五个五年规划纲要技术服务费、印刷费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用于进行山海关区国民经济和社会发展第十五个五年规划纲要技术服务费、印刷费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7.75</w:t>
            </w:r>
          </w:p>
        </w:tc>
        <w:tc>
          <w:tcPr>
            <w:tcW w:w="2835" w:type="dxa"/>
            <w:vAlign w:val="center"/>
          </w:tcPr>
          <w:p>
            <w:pPr>
              <w:pStyle w:val="13"/>
            </w:pPr>
            <w:r>
              <w:t>15.50</w:t>
            </w:r>
          </w:p>
        </w:tc>
        <w:tc>
          <w:tcPr>
            <w:tcW w:w="2551" w:type="dxa"/>
            <w:vAlign w:val="center"/>
          </w:tcPr>
          <w:p>
            <w:pPr>
              <w:pStyle w:val="13"/>
            </w:pPr>
            <w:r>
              <w:t>23.25</w:t>
            </w:r>
          </w:p>
        </w:tc>
        <w:tc>
          <w:tcPr>
            <w:tcW w:w="3544"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1.通过进行山海关区国民经济和社会发展第十五个五年规划纲要技术费、印刷费，满足工作需要。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质量保障率</w:t>
            </w:r>
          </w:p>
        </w:tc>
        <w:tc>
          <w:tcPr>
            <w:tcW w:w="5386" w:type="dxa"/>
            <w:vAlign w:val="center"/>
          </w:tcPr>
          <w:p>
            <w:pPr>
              <w:pStyle w:val="12"/>
            </w:pPr>
            <w:r>
              <w:t>印刷质量满足工作需要</w:t>
            </w:r>
          </w:p>
        </w:tc>
        <w:tc>
          <w:tcPr>
            <w:tcW w:w="2268" w:type="dxa"/>
            <w:vAlign w:val="center"/>
          </w:tcPr>
          <w:p>
            <w:pPr>
              <w:pStyle w:val="12"/>
            </w:pPr>
            <w:r>
              <w:t>≥95%</w:t>
            </w:r>
          </w:p>
        </w:tc>
        <w:tc>
          <w:tcPr>
            <w:tcW w:w="1276" w:type="dxa"/>
            <w:vAlign w:val="center"/>
          </w:tcPr>
          <w:p>
            <w:pPr>
              <w:pStyle w:val="12"/>
            </w:pPr>
            <w:r>
              <w:t>印刷质量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印刷次数</w:t>
            </w:r>
          </w:p>
        </w:tc>
        <w:tc>
          <w:tcPr>
            <w:tcW w:w="5386" w:type="dxa"/>
            <w:vAlign w:val="center"/>
          </w:tcPr>
          <w:p>
            <w:pPr>
              <w:pStyle w:val="12"/>
            </w:pPr>
            <w:r>
              <w:t>印刷次数满足工作需要</w:t>
            </w:r>
          </w:p>
        </w:tc>
        <w:tc>
          <w:tcPr>
            <w:tcW w:w="2268" w:type="dxa"/>
            <w:vAlign w:val="center"/>
          </w:tcPr>
          <w:p>
            <w:pPr>
              <w:pStyle w:val="12"/>
            </w:pPr>
            <w:r>
              <w:t>≥1次</w:t>
            </w:r>
          </w:p>
        </w:tc>
        <w:tc>
          <w:tcPr>
            <w:tcW w:w="1276" w:type="dxa"/>
            <w:vAlign w:val="center"/>
          </w:tcPr>
          <w:p>
            <w:pPr>
              <w:pStyle w:val="12"/>
            </w:pPr>
            <w:r>
              <w:t>印刷次数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印刷及时率</w:t>
            </w:r>
          </w:p>
        </w:tc>
        <w:tc>
          <w:tcPr>
            <w:tcW w:w="5386" w:type="dxa"/>
            <w:vAlign w:val="center"/>
          </w:tcPr>
          <w:p>
            <w:pPr>
              <w:pStyle w:val="12"/>
            </w:pPr>
            <w:r>
              <w:t>保障按时印刷完成任务</w:t>
            </w:r>
          </w:p>
        </w:tc>
        <w:tc>
          <w:tcPr>
            <w:tcW w:w="2268" w:type="dxa"/>
            <w:vAlign w:val="center"/>
          </w:tcPr>
          <w:p>
            <w:pPr>
              <w:pStyle w:val="12"/>
            </w:pPr>
            <w:r>
              <w:t>按时完成</w:t>
            </w:r>
          </w:p>
        </w:tc>
        <w:tc>
          <w:tcPr>
            <w:tcW w:w="1276" w:type="dxa"/>
            <w:vAlign w:val="center"/>
          </w:tcPr>
          <w:p>
            <w:pPr>
              <w:pStyle w:val="12"/>
            </w:pPr>
            <w:r>
              <w:t>印刷及时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≤31万元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节约成本</w:t>
            </w:r>
          </w:p>
        </w:tc>
        <w:tc>
          <w:tcPr>
            <w:tcW w:w="5386" w:type="dxa"/>
            <w:vAlign w:val="center"/>
          </w:tcPr>
          <w:p>
            <w:pPr>
              <w:pStyle w:val="12"/>
            </w:pPr>
            <w:r>
              <w:t>降低能耗、节约纸张</w:t>
            </w:r>
          </w:p>
        </w:tc>
        <w:tc>
          <w:tcPr>
            <w:tcW w:w="2268" w:type="dxa"/>
            <w:vAlign w:val="center"/>
          </w:tcPr>
          <w:p>
            <w:pPr>
              <w:pStyle w:val="12"/>
            </w:pPr>
            <w:r>
              <w:t>降低成本</w:t>
            </w:r>
          </w:p>
        </w:tc>
        <w:tc>
          <w:tcPr>
            <w:tcW w:w="1276" w:type="dxa"/>
            <w:vAlign w:val="center"/>
          </w:tcPr>
          <w:p>
            <w:pPr>
              <w:pStyle w:val="12"/>
            </w:pPr>
            <w:r>
              <w:t>节约成本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5、人防建设经费绩效目标表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13030326P003855101603</w:t>
            </w:r>
          </w:p>
        </w:tc>
        <w:tc>
          <w:tcPr>
            <w:tcW w:w="2835" w:type="dxa"/>
            <w:vAlign w:val="center"/>
          </w:tcPr>
          <w:p>
            <w:pPr>
              <w:pStyle w:val="10"/>
            </w:pPr>
            <w:r>
              <w:t>项目名称</w:t>
            </w:r>
          </w:p>
        </w:tc>
        <w:tc>
          <w:tcPr>
            <w:tcW w:w="6095" w:type="dxa"/>
            <w:gridSpan w:val="3"/>
            <w:vAlign w:val="center"/>
          </w:tcPr>
          <w:p>
            <w:pPr>
              <w:pStyle w:val="12"/>
            </w:pPr>
            <w:r>
              <w:t>人防建设经费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用于保障人防通信畅通，防空防灾宣传教育成效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1.通过保障人防通信畅通，防空防灾宣传教育成效，达到了整体应战应急防灾保障能力。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人员演练参训次数</w:t>
            </w:r>
          </w:p>
        </w:tc>
        <w:tc>
          <w:tcPr>
            <w:tcW w:w="5386" w:type="dxa"/>
            <w:vAlign w:val="center"/>
          </w:tcPr>
          <w:p>
            <w:pPr>
              <w:pStyle w:val="12"/>
            </w:pPr>
            <w:r>
              <w:t>年度内完成12次卫星电话训练</w:t>
            </w:r>
          </w:p>
        </w:tc>
        <w:tc>
          <w:tcPr>
            <w:tcW w:w="2268" w:type="dxa"/>
            <w:vAlign w:val="center"/>
          </w:tcPr>
          <w:p>
            <w:pPr>
              <w:pStyle w:val="12"/>
            </w:pPr>
            <w:r>
              <w:t>≥12次</w:t>
            </w:r>
          </w:p>
        </w:tc>
        <w:tc>
          <w:tcPr>
            <w:tcW w:w="1276" w:type="dxa"/>
            <w:vAlign w:val="center"/>
          </w:tcPr>
          <w:p>
            <w:pPr>
              <w:pStyle w:val="12"/>
            </w:pPr>
            <w:r>
              <w:t>省市办训练任务安排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设备正常运转率</w:t>
            </w:r>
          </w:p>
        </w:tc>
        <w:tc>
          <w:tcPr>
            <w:tcW w:w="5386" w:type="dxa"/>
            <w:vAlign w:val="center"/>
          </w:tcPr>
          <w:p>
            <w:pPr>
              <w:pStyle w:val="12"/>
            </w:pPr>
            <w:r>
              <w:t>系统正常运转，完成制定训练任务</w:t>
            </w:r>
          </w:p>
        </w:tc>
        <w:tc>
          <w:tcPr>
            <w:tcW w:w="2268" w:type="dxa"/>
            <w:vAlign w:val="center"/>
          </w:tcPr>
          <w:p>
            <w:pPr>
              <w:pStyle w:val="12"/>
            </w:pPr>
            <w:r>
              <w:t>≥95%</w:t>
            </w:r>
          </w:p>
        </w:tc>
        <w:tc>
          <w:tcPr>
            <w:tcW w:w="1276" w:type="dxa"/>
            <w:vAlign w:val="center"/>
          </w:tcPr>
          <w:p>
            <w:pPr>
              <w:pStyle w:val="12"/>
            </w:pPr>
            <w:r>
              <w:t>市办工作要点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完成工作时效</w:t>
            </w:r>
          </w:p>
        </w:tc>
        <w:tc>
          <w:tcPr>
            <w:tcW w:w="5386" w:type="dxa"/>
            <w:vAlign w:val="center"/>
          </w:tcPr>
          <w:p>
            <w:pPr>
              <w:pStyle w:val="12"/>
            </w:pPr>
            <w:r>
              <w:t>严格按照市办训练时间完成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预算额度</w:t>
            </w:r>
          </w:p>
        </w:tc>
        <w:tc>
          <w:tcPr>
            <w:tcW w:w="5386" w:type="dxa"/>
            <w:vAlign w:val="center"/>
          </w:tcPr>
          <w:p>
            <w:pPr>
              <w:pStyle w:val="12"/>
            </w:pPr>
            <w:r>
              <w:t>控制在预算范围内</w:t>
            </w:r>
          </w:p>
        </w:tc>
        <w:tc>
          <w:tcPr>
            <w:tcW w:w="2268" w:type="dxa"/>
            <w:vAlign w:val="center"/>
          </w:tcPr>
          <w:p>
            <w:pPr>
              <w:pStyle w:val="12"/>
            </w:pPr>
            <w:r>
              <w:t>≤100万元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提高公众防灾减灾意识</w:t>
            </w:r>
          </w:p>
        </w:tc>
        <w:tc>
          <w:tcPr>
            <w:tcW w:w="5386" w:type="dxa"/>
            <w:vAlign w:val="center"/>
          </w:tcPr>
          <w:p>
            <w:pPr>
              <w:pStyle w:val="12"/>
            </w:pPr>
            <w:r>
              <w:t>提高人民国防安全意识</w:t>
            </w:r>
          </w:p>
        </w:tc>
        <w:tc>
          <w:tcPr>
            <w:tcW w:w="2268" w:type="dxa"/>
            <w:vAlign w:val="center"/>
          </w:tcPr>
          <w:p>
            <w:pPr>
              <w:pStyle w:val="12"/>
            </w:pPr>
            <w:r>
              <w:t>提高</w:t>
            </w:r>
          </w:p>
        </w:tc>
        <w:tc>
          <w:tcPr>
            <w:tcW w:w="1276" w:type="dxa"/>
            <w:vAlign w:val="center"/>
          </w:tcPr>
          <w:p>
            <w:pPr>
              <w:pStyle w:val="12"/>
            </w:pPr>
            <w:r>
              <w:t>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群众意见留言</w:t>
            </w:r>
          </w:p>
        </w:tc>
        <w:tc>
          <w:tcPr>
            <w:tcW w:w="2268" w:type="dxa"/>
            <w:vAlign w:val="center"/>
          </w:tcPr>
          <w:p>
            <w:pPr>
              <w:pStyle w:val="12"/>
            </w:pPr>
            <w:r>
              <w:t>≥95%</w:t>
            </w:r>
          </w:p>
        </w:tc>
        <w:tc>
          <w:tcPr>
            <w:tcW w:w="1276" w:type="dxa"/>
            <w:vAlign w:val="center"/>
          </w:tcPr>
          <w:p>
            <w:pPr>
              <w:pStyle w:val="12"/>
            </w:pPr>
            <w:r>
              <w:t>群众意见留言内容</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6、山海关区碳达峰实施方案编制费绩效目标表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13030326P00385510161N</w:t>
            </w:r>
          </w:p>
        </w:tc>
        <w:tc>
          <w:tcPr>
            <w:tcW w:w="2835" w:type="dxa"/>
            <w:vAlign w:val="center"/>
          </w:tcPr>
          <w:p>
            <w:pPr>
              <w:pStyle w:val="10"/>
            </w:pPr>
            <w:r>
              <w:t>项目名称</w:t>
            </w:r>
          </w:p>
        </w:tc>
        <w:tc>
          <w:tcPr>
            <w:tcW w:w="6095" w:type="dxa"/>
            <w:gridSpan w:val="3"/>
            <w:vAlign w:val="center"/>
          </w:tcPr>
          <w:p>
            <w:pPr>
              <w:pStyle w:val="12"/>
            </w:pPr>
            <w:r>
              <w:t>山海关区碳达峰实施方案编制费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18.50</w:t>
            </w:r>
          </w:p>
        </w:tc>
        <w:tc>
          <w:tcPr>
            <w:tcW w:w="2835" w:type="dxa"/>
            <w:vAlign w:val="center"/>
          </w:tcPr>
          <w:p>
            <w:pPr>
              <w:pStyle w:val="10"/>
            </w:pPr>
            <w:r>
              <w:t>其中：财政    资金</w:t>
            </w:r>
          </w:p>
        </w:tc>
        <w:tc>
          <w:tcPr>
            <w:tcW w:w="2551" w:type="dxa"/>
            <w:vAlign w:val="center"/>
          </w:tcPr>
          <w:p>
            <w:pPr>
              <w:pStyle w:val="12"/>
            </w:pPr>
            <w:r>
              <w:t>18.50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用于印发碳达峰实施方案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4.63</w:t>
            </w:r>
          </w:p>
        </w:tc>
        <w:tc>
          <w:tcPr>
            <w:tcW w:w="2835" w:type="dxa"/>
            <w:vAlign w:val="center"/>
          </w:tcPr>
          <w:p>
            <w:pPr>
              <w:pStyle w:val="13"/>
            </w:pPr>
            <w:r>
              <w:t>9.25</w:t>
            </w:r>
          </w:p>
        </w:tc>
        <w:tc>
          <w:tcPr>
            <w:tcW w:w="2551" w:type="dxa"/>
            <w:vAlign w:val="center"/>
          </w:tcPr>
          <w:p>
            <w:pPr>
              <w:pStyle w:val="13"/>
            </w:pPr>
            <w:r>
              <w:t>13.88</w:t>
            </w:r>
          </w:p>
        </w:tc>
        <w:tc>
          <w:tcPr>
            <w:tcW w:w="3544" w:type="dxa"/>
            <w:gridSpan w:val="2"/>
            <w:vAlign w:val="center"/>
          </w:tcPr>
          <w:p>
            <w:pPr>
              <w:pStyle w:val="13"/>
            </w:pPr>
            <w:r>
              <w:t>18.50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1.通过印发碳达峰实施方案，保障工作顺利开展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印刷计划</w:t>
            </w:r>
          </w:p>
        </w:tc>
        <w:tc>
          <w:tcPr>
            <w:tcW w:w="5386" w:type="dxa"/>
            <w:vAlign w:val="center"/>
          </w:tcPr>
          <w:p>
            <w:pPr>
              <w:pStyle w:val="12"/>
            </w:pPr>
            <w:r>
              <w:t>印刷计划完成量</w:t>
            </w:r>
          </w:p>
        </w:tc>
        <w:tc>
          <w:tcPr>
            <w:tcW w:w="2268" w:type="dxa"/>
            <w:vAlign w:val="center"/>
          </w:tcPr>
          <w:p>
            <w:pPr>
              <w:pStyle w:val="12"/>
            </w:pPr>
            <w:r>
              <w:t>≥1个</w:t>
            </w:r>
          </w:p>
        </w:tc>
        <w:tc>
          <w:tcPr>
            <w:tcW w:w="1276" w:type="dxa"/>
            <w:vAlign w:val="center"/>
          </w:tcPr>
          <w:p>
            <w:pPr>
              <w:pStyle w:val="12"/>
            </w:pPr>
            <w:r>
              <w:t>印刷数量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完成效果</w:t>
            </w:r>
          </w:p>
        </w:tc>
        <w:tc>
          <w:tcPr>
            <w:tcW w:w="5386" w:type="dxa"/>
            <w:vAlign w:val="center"/>
          </w:tcPr>
          <w:p>
            <w:pPr>
              <w:pStyle w:val="12"/>
            </w:pPr>
            <w:r>
              <w:t>完成升级效果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支付完成率</w:t>
            </w:r>
          </w:p>
        </w:tc>
        <w:tc>
          <w:tcPr>
            <w:tcW w:w="5386" w:type="dxa"/>
            <w:vAlign w:val="center"/>
          </w:tcPr>
          <w:p>
            <w:pPr>
              <w:pStyle w:val="12"/>
            </w:pPr>
            <w:r>
              <w:t>按时有序支付</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w:t>
            </w:r>
          </w:p>
        </w:tc>
        <w:tc>
          <w:tcPr>
            <w:tcW w:w="5386" w:type="dxa"/>
            <w:vAlign w:val="center"/>
          </w:tcPr>
          <w:p>
            <w:pPr>
              <w:pStyle w:val="12"/>
            </w:pPr>
            <w:r>
              <w:t>完成总成本</w:t>
            </w:r>
          </w:p>
        </w:tc>
        <w:tc>
          <w:tcPr>
            <w:tcW w:w="2268" w:type="dxa"/>
            <w:vAlign w:val="center"/>
          </w:tcPr>
          <w:p>
            <w:pPr>
              <w:pStyle w:val="12"/>
            </w:pPr>
            <w:r>
              <w:t>≤18.5万元</w:t>
            </w:r>
          </w:p>
        </w:tc>
        <w:tc>
          <w:tcPr>
            <w:tcW w:w="1276" w:type="dxa"/>
            <w:vAlign w:val="center"/>
          </w:tcPr>
          <w:p>
            <w:pPr>
              <w:pStyle w:val="12"/>
            </w:pPr>
            <w:r>
              <w:t>预算额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有较好的社会影响</w:t>
            </w:r>
          </w:p>
        </w:tc>
        <w:tc>
          <w:tcPr>
            <w:tcW w:w="5386" w:type="dxa"/>
            <w:vAlign w:val="center"/>
          </w:tcPr>
          <w:p>
            <w:pPr>
              <w:pStyle w:val="12"/>
            </w:pPr>
            <w:r>
              <w:t>提高社会影响力</w:t>
            </w:r>
          </w:p>
        </w:tc>
        <w:tc>
          <w:tcPr>
            <w:tcW w:w="2268" w:type="dxa"/>
            <w:vAlign w:val="center"/>
          </w:tcPr>
          <w:p>
            <w:pPr>
              <w:pStyle w:val="12"/>
            </w:pPr>
            <w:r>
              <w:t>提升社会影响力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7、涉案资产价格认定绩效目标表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13030326P00385510163X</w:t>
            </w:r>
          </w:p>
        </w:tc>
        <w:tc>
          <w:tcPr>
            <w:tcW w:w="2835" w:type="dxa"/>
            <w:vAlign w:val="center"/>
          </w:tcPr>
          <w:p>
            <w:pPr>
              <w:pStyle w:val="10"/>
            </w:pPr>
            <w:r>
              <w:t>项目名称</w:t>
            </w:r>
          </w:p>
        </w:tc>
        <w:tc>
          <w:tcPr>
            <w:tcW w:w="6095" w:type="dxa"/>
            <w:gridSpan w:val="3"/>
            <w:vAlign w:val="center"/>
          </w:tcPr>
          <w:p>
            <w:pPr>
              <w:pStyle w:val="12"/>
            </w:pPr>
            <w:r>
              <w:t>涉案资产价格认定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用于异地询价、参加培训、聘请专家等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1.通过异地询价、参加培训、聘请专家等方式，达到价格认定结论更加客观、准确的目的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参加上级组织会议或培训</w:t>
            </w:r>
          </w:p>
        </w:tc>
        <w:tc>
          <w:tcPr>
            <w:tcW w:w="5386" w:type="dxa"/>
            <w:vAlign w:val="center"/>
          </w:tcPr>
          <w:p>
            <w:pPr>
              <w:pStyle w:val="12"/>
            </w:pPr>
            <w:r>
              <w:t>培训会议参加次数</w:t>
            </w:r>
          </w:p>
        </w:tc>
        <w:tc>
          <w:tcPr>
            <w:tcW w:w="2268" w:type="dxa"/>
            <w:vAlign w:val="center"/>
          </w:tcPr>
          <w:p>
            <w:pPr>
              <w:pStyle w:val="12"/>
            </w:pPr>
            <w:r>
              <w:t>≥2次</w:t>
            </w:r>
          </w:p>
        </w:tc>
        <w:tc>
          <w:tcPr>
            <w:tcW w:w="1276" w:type="dxa"/>
            <w:vAlign w:val="center"/>
          </w:tcPr>
          <w:p>
            <w:pPr>
              <w:pStyle w:val="12"/>
            </w:pPr>
            <w:r>
              <w:t>会议文件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完成工作任务</w:t>
            </w:r>
          </w:p>
        </w:tc>
        <w:tc>
          <w:tcPr>
            <w:tcW w:w="5386" w:type="dxa"/>
            <w:vAlign w:val="center"/>
          </w:tcPr>
          <w:p>
            <w:pPr>
              <w:pStyle w:val="12"/>
            </w:pPr>
            <w:r>
              <w:t>保质保量完成询价工作</w:t>
            </w:r>
          </w:p>
        </w:tc>
        <w:tc>
          <w:tcPr>
            <w:tcW w:w="2268" w:type="dxa"/>
            <w:vAlign w:val="center"/>
          </w:tcPr>
          <w:p>
            <w:pPr>
              <w:pStyle w:val="12"/>
            </w:pPr>
            <w:r>
              <w:t>保障</w:t>
            </w:r>
          </w:p>
        </w:tc>
        <w:tc>
          <w:tcPr>
            <w:tcW w:w="1276" w:type="dxa"/>
            <w:vAlign w:val="center"/>
          </w:tcPr>
          <w:p>
            <w:pPr>
              <w:pStyle w:val="12"/>
            </w:pPr>
            <w:r>
              <w:t>委托标的状况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完成工作进度</w:t>
            </w:r>
          </w:p>
        </w:tc>
        <w:tc>
          <w:tcPr>
            <w:tcW w:w="5386" w:type="dxa"/>
            <w:vAlign w:val="center"/>
          </w:tcPr>
          <w:p>
            <w:pPr>
              <w:pStyle w:val="12"/>
            </w:pPr>
            <w:r>
              <w:t>及时完成</w:t>
            </w:r>
          </w:p>
        </w:tc>
        <w:tc>
          <w:tcPr>
            <w:tcW w:w="2268" w:type="dxa"/>
            <w:vAlign w:val="center"/>
          </w:tcPr>
          <w:p>
            <w:pPr>
              <w:pStyle w:val="12"/>
            </w:pPr>
            <w:r>
              <w:t>及时</w:t>
            </w:r>
          </w:p>
        </w:tc>
        <w:tc>
          <w:tcPr>
            <w:tcW w:w="1276" w:type="dxa"/>
            <w:vAlign w:val="center"/>
          </w:tcPr>
          <w:p>
            <w:pPr>
              <w:pStyle w:val="12"/>
            </w:pPr>
            <w:r>
              <w:t>约定期限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成本金额控制</w:t>
            </w:r>
          </w:p>
        </w:tc>
        <w:tc>
          <w:tcPr>
            <w:tcW w:w="5386" w:type="dxa"/>
            <w:vAlign w:val="center"/>
          </w:tcPr>
          <w:p>
            <w:pPr>
              <w:pStyle w:val="12"/>
            </w:pPr>
            <w:r>
              <w:t>控制在预算范围内</w:t>
            </w:r>
          </w:p>
        </w:tc>
        <w:tc>
          <w:tcPr>
            <w:tcW w:w="2268" w:type="dxa"/>
            <w:vAlign w:val="center"/>
          </w:tcPr>
          <w:p>
            <w:pPr>
              <w:pStyle w:val="12"/>
            </w:pPr>
            <w:r>
              <w:t>≤1万元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有效提供公共服务，维护公共利益</w:t>
            </w:r>
          </w:p>
        </w:tc>
        <w:tc>
          <w:tcPr>
            <w:tcW w:w="5386" w:type="dxa"/>
            <w:vAlign w:val="center"/>
          </w:tcPr>
          <w:p>
            <w:pPr>
              <w:pStyle w:val="12"/>
            </w:pPr>
            <w:r>
              <w:t>保障了公共服务，维护了公共利益</w:t>
            </w:r>
          </w:p>
        </w:tc>
        <w:tc>
          <w:tcPr>
            <w:tcW w:w="2268" w:type="dxa"/>
            <w:vAlign w:val="center"/>
          </w:tcPr>
          <w:p>
            <w:pPr>
              <w:pStyle w:val="12"/>
            </w:pPr>
            <w:r>
              <w:t>保障</w:t>
            </w:r>
          </w:p>
        </w:tc>
        <w:tc>
          <w:tcPr>
            <w:tcW w:w="1276" w:type="dxa"/>
            <w:vAlign w:val="center"/>
          </w:tcPr>
          <w:p>
            <w:pPr>
              <w:pStyle w:val="12"/>
            </w:pPr>
            <w:r>
              <w:t>价格认定结论书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单位职工和专家满意度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8、项目建设及谋划管理工作经费绩效目标表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13030326P00385510164H</w:t>
            </w:r>
          </w:p>
        </w:tc>
        <w:tc>
          <w:tcPr>
            <w:tcW w:w="2835" w:type="dxa"/>
            <w:vAlign w:val="center"/>
          </w:tcPr>
          <w:p>
            <w:pPr>
              <w:pStyle w:val="10"/>
            </w:pPr>
            <w:r>
              <w:t>项目名称</w:t>
            </w:r>
          </w:p>
        </w:tc>
        <w:tc>
          <w:tcPr>
            <w:tcW w:w="6095" w:type="dxa"/>
            <w:gridSpan w:val="3"/>
            <w:vAlign w:val="center"/>
          </w:tcPr>
          <w:p>
            <w:pPr>
              <w:pStyle w:val="12"/>
            </w:pPr>
            <w:r>
              <w:t>项目建设及谋划管理工作经费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用于支持重点项目的洽谈、谋划和组织推进。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1.通过资金的支出和使用，有力支持重点项目的洽谈、谋划和组织推进，有力推进对上争取资金、政策。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宣传类别数量</w:t>
            </w:r>
          </w:p>
        </w:tc>
        <w:tc>
          <w:tcPr>
            <w:tcW w:w="5386" w:type="dxa"/>
            <w:vAlign w:val="center"/>
          </w:tcPr>
          <w:p>
            <w:pPr>
              <w:pStyle w:val="12"/>
            </w:pPr>
            <w:r>
              <w:t>项目宣传、宣传册、宣传展板</w:t>
            </w:r>
          </w:p>
        </w:tc>
        <w:tc>
          <w:tcPr>
            <w:tcW w:w="2268" w:type="dxa"/>
            <w:vAlign w:val="center"/>
          </w:tcPr>
          <w:p>
            <w:pPr>
              <w:pStyle w:val="12"/>
            </w:pPr>
            <w:r>
              <w:t>3种</w:t>
            </w:r>
          </w:p>
        </w:tc>
        <w:tc>
          <w:tcPr>
            <w:tcW w:w="1276" w:type="dxa"/>
            <w:vAlign w:val="center"/>
          </w:tcPr>
          <w:p>
            <w:pPr>
              <w:pStyle w:val="12"/>
            </w:pPr>
            <w:r>
              <w:t>项目宣传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重点项目建设成功率</w:t>
            </w:r>
          </w:p>
        </w:tc>
        <w:tc>
          <w:tcPr>
            <w:tcW w:w="5386" w:type="dxa"/>
            <w:vAlign w:val="center"/>
          </w:tcPr>
          <w:p>
            <w:pPr>
              <w:pStyle w:val="12"/>
            </w:pPr>
            <w:r>
              <w:t>重点项目建设成功率</w:t>
            </w:r>
          </w:p>
        </w:tc>
        <w:tc>
          <w:tcPr>
            <w:tcW w:w="2268" w:type="dxa"/>
            <w:vAlign w:val="center"/>
          </w:tcPr>
          <w:p>
            <w:pPr>
              <w:pStyle w:val="12"/>
            </w:pPr>
            <w:r>
              <w:t>≥95%</w:t>
            </w:r>
          </w:p>
        </w:tc>
        <w:tc>
          <w:tcPr>
            <w:tcW w:w="1276" w:type="dxa"/>
            <w:vAlign w:val="center"/>
          </w:tcPr>
          <w:p>
            <w:pPr>
              <w:pStyle w:val="12"/>
            </w:pPr>
            <w:r>
              <w:t>项目总结报告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拨付时间</w:t>
            </w:r>
          </w:p>
        </w:tc>
        <w:tc>
          <w:tcPr>
            <w:tcW w:w="5386" w:type="dxa"/>
            <w:vAlign w:val="center"/>
          </w:tcPr>
          <w:p>
            <w:pPr>
              <w:pStyle w:val="12"/>
            </w:pPr>
            <w:r>
              <w:t>拨付时间是否及时</w:t>
            </w:r>
          </w:p>
        </w:tc>
        <w:tc>
          <w:tcPr>
            <w:tcW w:w="2268" w:type="dxa"/>
            <w:vAlign w:val="center"/>
          </w:tcPr>
          <w:p>
            <w:pPr>
              <w:pStyle w:val="12"/>
            </w:pPr>
            <w:r>
              <w:t>按时拨付</w:t>
            </w:r>
          </w:p>
        </w:tc>
        <w:tc>
          <w:tcPr>
            <w:tcW w:w="1276" w:type="dxa"/>
            <w:vAlign w:val="center"/>
          </w:tcPr>
          <w:p>
            <w:pPr>
              <w:pStyle w:val="12"/>
            </w:pPr>
            <w:r>
              <w:t>资金支付申请单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经费金额</w:t>
            </w:r>
          </w:p>
        </w:tc>
        <w:tc>
          <w:tcPr>
            <w:tcW w:w="5386" w:type="dxa"/>
            <w:vAlign w:val="center"/>
          </w:tcPr>
          <w:p>
            <w:pPr>
              <w:pStyle w:val="12"/>
            </w:pPr>
            <w:r>
              <w:t>经费金额不超预算</w:t>
            </w:r>
          </w:p>
        </w:tc>
        <w:tc>
          <w:tcPr>
            <w:tcW w:w="2268" w:type="dxa"/>
            <w:vAlign w:val="center"/>
          </w:tcPr>
          <w:p>
            <w:pPr>
              <w:pStyle w:val="12"/>
            </w:pPr>
            <w:r>
              <w:t>≤20万元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项目建设力</w:t>
            </w:r>
          </w:p>
        </w:tc>
        <w:tc>
          <w:tcPr>
            <w:tcW w:w="5386" w:type="dxa"/>
            <w:vAlign w:val="center"/>
          </w:tcPr>
          <w:p>
            <w:pPr>
              <w:pStyle w:val="12"/>
            </w:pPr>
            <w:r>
              <w:t>提高项目建设力</w:t>
            </w:r>
          </w:p>
        </w:tc>
        <w:tc>
          <w:tcPr>
            <w:tcW w:w="2268" w:type="dxa"/>
            <w:vAlign w:val="center"/>
          </w:tcPr>
          <w:p>
            <w:pPr>
              <w:pStyle w:val="12"/>
            </w:pPr>
            <w:r>
              <w:t>提高</w:t>
            </w:r>
          </w:p>
        </w:tc>
        <w:tc>
          <w:tcPr>
            <w:tcW w:w="1276" w:type="dxa"/>
            <w:vAlign w:val="center"/>
          </w:tcPr>
          <w:p>
            <w:pPr>
              <w:pStyle w:val="12"/>
            </w:pPr>
            <w:r>
              <w:t>项目总结报告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9、应急救灾物资绩效目标表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13030326P00RBR210007B</w:t>
            </w:r>
          </w:p>
        </w:tc>
        <w:tc>
          <w:tcPr>
            <w:tcW w:w="2835" w:type="dxa"/>
            <w:vAlign w:val="center"/>
          </w:tcPr>
          <w:p>
            <w:pPr>
              <w:pStyle w:val="10"/>
            </w:pPr>
            <w:r>
              <w:t>项目名称</w:t>
            </w:r>
          </w:p>
        </w:tc>
        <w:tc>
          <w:tcPr>
            <w:tcW w:w="6095" w:type="dxa"/>
            <w:gridSpan w:val="3"/>
            <w:vAlign w:val="center"/>
          </w:tcPr>
          <w:p>
            <w:pPr>
              <w:pStyle w:val="12"/>
            </w:pPr>
            <w:r>
              <w:t>应急救灾物资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用于储备应急救灾物资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1.通过储备应急救灾物资，达到切实加强应急保障能力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救灾物资储备种类</w:t>
            </w:r>
          </w:p>
        </w:tc>
        <w:tc>
          <w:tcPr>
            <w:tcW w:w="5386" w:type="dxa"/>
            <w:vAlign w:val="center"/>
          </w:tcPr>
          <w:p>
            <w:pPr>
              <w:pStyle w:val="12"/>
            </w:pPr>
            <w:r>
              <w:t>救灾物资储备20种以上</w:t>
            </w:r>
          </w:p>
        </w:tc>
        <w:tc>
          <w:tcPr>
            <w:tcW w:w="2268" w:type="dxa"/>
            <w:vAlign w:val="center"/>
          </w:tcPr>
          <w:p>
            <w:pPr>
              <w:pStyle w:val="12"/>
            </w:pPr>
            <w:r>
              <w:t>≥20种</w:t>
            </w:r>
          </w:p>
        </w:tc>
        <w:tc>
          <w:tcPr>
            <w:tcW w:w="1276" w:type="dxa"/>
            <w:vAlign w:val="center"/>
          </w:tcPr>
          <w:p>
            <w:pPr>
              <w:pStyle w:val="12"/>
            </w:pPr>
            <w:r>
              <w:t>河北省粮食和物资储备局救灾储备监督管理办法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救灾物资储备质量合格率</w:t>
            </w:r>
          </w:p>
        </w:tc>
        <w:tc>
          <w:tcPr>
            <w:tcW w:w="5386" w:type="dxa"/>
            <w:vAlign w:val="center"/>
          </w:tcPr>
          <w:p>
            <w:pPr>
              <w:pStyle w:val="12"/>
            </w:pPr>
            <w:r>
              <w:t>救灾物资储备质量合格情况</w:t>
            </w:r>
          </w:p>
        </w:tc>
        <w:tc>
          <w:tcPr>
            <w:tcW w:w="2268" w:type="dxa"/>
            <w:vAlign w:val="center"/>
          </w:tcPr>
          <w:p>
            <w:pPr>
              <w:pStyle w:val="12"/>
            </w:pPr>
            <w:r>
              <w:t>≥95%</w:t>
            </w:r>
          </w:p>
        </w:tc>
        <w:tc>
          <w:tcPr>
            <w:tcW w:w="1276" w:type="dxa"/>
            <w:vAlign w:val="center"/>
          </w:tcPr>
          <w:p>
            <w:pPr>
              <w:pStyle w:val="12"/>
            </w:pPr>
            <w:r>
              <w:t>检验报告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购买及时性</w:t>
            </w:r>
          </w:p>
        </w:tc>
        <w:tc>
          <w:tcPr>
            <w:tcW w:w="5386" w:type="dxa"/>
            <w:vAlign w:val="center"/>
          </w:tcPr>
          <w:p>
            <w:pPr>
              <w:pStyle w:val="12"/>
            </w:pPr>
            <w:r>
              <w:t>及时按照上级要求购买</w:t>
            </w:r>
          </w:p>
        </w:tc>
        <w:tc>
          <w:tcPr>
            <w:tcW w:w="2268" w:type="dxa"/>
            <w:vAlign w:val="center"/>
          </w:tcPr>
          <w:p>
            <w:pPr>
              <w:pStyle w:val="12"/>
            </w:pPr>
            <w:r>
              <w:t>及时</w:t>
            </w:r>
          </w:p>
        </w:tc>
        <w:tc>
          <w:tcPr>
            <w:tcW w:w="1276" w:type="dxa"/>
            <w:vAlign w:val="center"/>
          </w:tcPr>
          <w:p>
            <w:pPr>
              <w:pStyle w:val="12"/>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成本控制额</w:t>
            </w:r>
          </w:p>
        </w:tc>
        <w:tc>
          <w:tcPr>
            <w:tcW w:w="5386" w:type="dxa"/>
            <w:vAlign w:val="center"/>
          </w:tcPr>
          <w:p>
            <w:pPr>
              <w:pStyle w:val="12"/>
            </w:pPr>
            <w:r>
              <w:t>控制预算范围内</w:t>
            </w:r>
          </w:p>
        </w:tc>
        <w:tc>
          <w:tcPr>
            <w:tcW w:w="2268" w:type="dxa"/>
            <w:vAlign w:val="center"/>
          </w:tcPr>
          <w:p>
            <w:pPr>
              <w:pStyle w:val="12"/>
            </w:pPr>
            <w:r>
              <w:t>≤10万元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应急保障能力提升</w:t>
            </w:r>
          </w:p>
        </w:tc>
        <w:tc>
          <w:tcPr>
            <w:tcW w:w="5386" w:type="dxa"/>
            <w:vAlign w:val="center"/>
          </w:tcPr>
          <w:p>
            <w:pPr>
              <w:pStyle w:val="12"/>
            </w:pPr>
            <w:r>
              <w:t>应急保障能力提升情况</w:t>
            </w:r>
          </w:p>
        </w:tc>
        <w:tc>
          <w:tcPr>
            <w:tcW w:w="2268" w:type="dxa"/>
            <w:vAlign w:val="center"/>
          </w:tcPr>
          <w:p>
            <w:pPr>
              <w:pStyle w:val="12"/>
            </w:pPr>
            <w:r>
              <w:t>提升</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主管部门对救灾物资的满意度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303发改部门</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发改部门（含所属单位）上年末固定资产金额为</w:t>
      </w:r>
      <w:r>
        <w:rPr>
          <w:rFonts w:hint="eastAsia" w:eastAsia="方正仿宋_GBK"/>
          <w:color w:val="000000"/>
          <w:sz w:val="28"/>
          <w:lang w:val="en-US" w:eastAsia="zh-CN"/>
        </w:rPr>
        <w:t>1935.266493</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303发改部门</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val="en-US" w:eastAsia="zh-CN"/>
              </w:rPr>
            </w:pPr>
            <w:bookmarkStart w:id="20" w:name="_GoBack" w:colFirst="1" w:colLast="2"/>
            <w:r>
              <w:rPr>
                <w:rFonts w:hint="eastAsia"/>
                <w:lang w:val="en-US" w:eastAsia="zh-CN"/>
              </w:rPr>
              <w:t>资产总额</w:t>
            </w:r>
          </w:p>
        </w:tc>
        <w:tc>
          <w:tcPr>
            <w:tcW w:w="2835" w:type="dxa"/>
            <w:vAlign w:val="center"/>
          </w:tcPr>
          <w:p>
            <w:pPr>
              <w:pStyle w:val="13"/>
              <w:rPr>
                <w:rFonts w:hint="default" w:eastAsia="方正书宋_GBK"/>
                <w:lang w:val="en-US" w:eastAsia="zh-CN"/>
              </w:rPr>
            </w:pPr>
            <w:r>
              <w:rPr>
                <w:rFonts w:hint="eastAsia"/>
                <w:lang w:val="en-US" w:eastAsia="zh-CN"/>
              </w:rPr>
              <w:t>16087.78</w:t>
            </w:r>
          </w:p>
        </w:tc>
        <w:tc>
          <w:tcPr>
            <w:tcW w:w="2835" w:type="dxa"/>
            <w:vAlign w:val="center"/>
          </w:tcPr>
          <w:p>
            <w:pPr>
              <w:pStyle w:val="11"/>
              <w:rPr>
                <w:rFonts w:hint="default" w:eastAsia="方正书宋_GBK"/>
                <w:lang w:val="en-US" w:eastAsia="zh-CN"/>
              </w:rPr>
            </w:pPr>
            <w:r>
              <w:rPr>
                <w:rFonts w:hint="eastAsia"/>
                <w:lang w:val="en-US" w:eastAsia="zh-CN"/>
              </w:rPr>
              <w:t>1876.745493</w:t>
            </w:r>
          </w:p>
        </w:tc>
      </w:tr>
      <w:bookmarkEnd w:id="20"/>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lang w:val="en-US" w:eastAsia="zh-CN"/>
              </w:rPr>
            </w:pPr>
            <w:r>
              <w:rPr>
                <w:rFonts w:hint="eastAsia"/>
                <w:lang w:val="en-US" w:eastAsia="zh-CN"/>
              </w:rPr>
              <w:t>1、房屋（平方米）</w:t>
            </w:r>
          </w:p>
        </w:tc>
        <w:tc>
          <w:tcPr>
            <w:tcW w:w="2835" w:type="dxa"/>
            <w:vAlign w:val="center"/>
          </w:tcPr>
          <w:p>
            <w:pPr>
              <w:pStyle w:val="13"/>
              <w:rPr>
                <w:rFonts w:hint="default" w:eastAsia="方正书宋_GBK"/>
                <w:lang w:val="en-US" w:eastAsia="zh-CN"/>
              </w:rPr>
            </w:pPr>
            <w:r>
              <w:rPr>
                <w:rFonts w:hint="eastAsia"/>
                <w:lang w:val="en-US" w:eastAsia="zh-CN"/>
              </w:rPr>
              <w:t>4928.78</w:t>
            </w:r>
          </w:p>
        </w:tc>
        <w:tc>
          <w:tcPr>
            <w:tcW w:w="2835" w:type="dxa"/>
            <w:vAlign w:val="center"/>
          </w:tcPr>
          <w:p>
            <w:pPr>
              <w:pStyle w:val="11"/>
              <w:rPr>
                <w:rFonts w:hint="default" w:eastAsia="方正书宋_GBK"/>
                <w:lang w:val="en-US" w:eastAsia="zh-CN"/>
              </w:rPr>
            </w:pPr>
            <w:r>
              <w:rPr>
                <w:rFonts w:hint="eastAsia"/>
                <w:lang w:val="en-US" w:eastAsia="zh-CN"/>
              </w:rPr>
              <w:t>1192.148708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lang w:val="en-US" w:eastAsia="zh-CN"/>
              </w:rPr>
            </w:pPr>
            <w:r>
              <w:rPr>
                <w:rFonts w:hint="eastAsia"/>
                <w:lang w:val="en-US" w:eastAsia="zh-CN"/>
              </w:rPr>
              <w:t>2、车辆（台、辆）</w:t>
            </w:r>
          </w:p>
        </w:tc>
        <w:tc>
          <w:tcPr>
            <w:tcW w:w="2835" w:type="dxa"/>
            <w:vAlign w:val="center"/>
          </w:tcPr>
          <w:p>
            <w:pPr>
              <w:pStyle w:val="13"/>
              <w:rPr>
                <w:rFonts w:hint="eastAsia" w:eastAsia="方正书宋_GBK"/>
                <w:lang w:val="en-US" w:eastAsia="zh-CN"/>
              </w:rPr>
            </w:pPr>
            <w:r>
              <w:rPr>
                <w:rFonts w:hint="eastAsia"/>
                <w:lang w:val="en-US" w:eastAsia="zh-CN"/>
              </w:rPr>
              <w:t>2</w:t>
            </w:r>
          </w:p>
        </w:tc>
        <w:tc>
          <w:tcPr>
            <w:tcW w:w="2835" w:type="dxa"/>
            <w:vAlign w:val="center"/>
          </w:tcPr>
          <w:p>
            <w:pPr>
              <w:pStyle w:val="11"/>
              <w:rPr>
                <w:rFonts w:hint="default" w:eastAsia="方正书宋_GBK"/>
                <w:lang w:val="en-US" w:eastAsia="zh-CN"/>
              </w:rPr>
            </w:pPr>
            <w:r>
              <w:rPr>
                <w:rFonts w:hint="eastAsia"/>
                <w:lang w:val="en-US" w:eastAsia="zh-CN"/>
              </w:rPr>
              <w:t>43.3861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lang w:val="en-US" w:eastAsia="zh-CN"/>
              </w:rPr>
            </w:pPr>
            <w:r>
              <w:rPr>
                <w:rFonts w:hint="eastAsia"/>
                <w:lang w:val="en-US" w:eastAsia="zh-CN"/>
              </w:rPr>
              <w:t>3、设备</w:t>
            </w:r>
          </w:p>
        </w:tc>
        <w:tc>
          <w:tcPr>
            <w:tcW w:w="2835" w:type="dxa"/>
            <w:vAlign w:val="center"/>
          </w:tcPr>
          <w:p>
            <w:pPr>
              <w:pStyle w:val="13"/>
              <w:rPr>
                <w:rFonts w:hint="default" w:eastAsia="方正书宋_GBK"/>
                <w:lang w:val="en-US" w:eastAsia="zh-CN"/>
              </w:rPr>
            </w:pPr>
            <w:r>
              <w:rPr>
                <w:rFonts w:hint="eastAsia"/>
                <w:lang w:val="en-US" w:eastAsia="zh-CN"/>
              </w:rPr>
              <w:t>557</w:t>
            </w:r>
          </w:p>
        </w:tc>
        <w:tc>
          <w:tcPr>
            <w:tcW w:w="2835" w:type="dxa"/>
            <w:vAlign w:val="center"/>
          </w:tcPr>
          <w:p>
            <w:pPr>
              <w:pStyle w:val="11"/>
              <w:rPr>
                <w:rFonts w:hint="default" w:eastAsia="方正书宋_GBK"/>
                <w:lang w:val="en-US" w:eastAsia="zh-CN"/>
              </w:rPr>
            </w:pPr>
            <w:r>
              <w:rPr>
                <w:rFonts w:hint="eastAsia"/>
                <w:lang w:val="en-US" w:eastAsia="zh-CN"/>
              </w:rPr>
              <w:t>433.290511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lang w:val="en-US" w:eastAsia="zh-CN"/>
              </w:rPr>
            </w:pPr>
            <w:r>
              <w:rPr>
                <w:rFonts w:hint="eastAsia"/>
                <w:lang w:val="en-US" w:eastAsia="zh-CN"/>
              </w:rPr>
              <w:t>4、土地使用权</w:t>
            </w:r>
          </w:p>
        </w:tc>
        <w:tc>
          <w:tcPr>
            <w:tcW w:w="2835" w:type="dxa"/>
            <w:vAlign w:val="center"/>
          </w:tcPr>
          <w:p>
            <w:pPr>
              <w:pStyle w:val="13"/>
              <w:rPr>
                <w:rFonts w:hint="default"/>
                <w:lang w:val="en-US" w:eastAsia="zh-CN"/>
              </w:rPr>
            </w:pPr>
            <w:r>
              <w:rPr>
                <w:rFonts w:hint="eastAsia"/>
                <w:lang w:val="en-US" w:eastAsia="zh-CN"/>
              </w:rPr>
              <w:t>10000</w:t>
            </w:r>
          </w:p>
        </w:tc>
        <w:tc>
          <w:tcPr>
            <w:tcW w:w="2835" w:type="dxa"/>
            <w:vAlign w:val="center"/>
          </w:tcPr>
          <w:p>
            <w:pPr>
              <w:pStyle w:val="11"/>
              <w:rPr>
                <w:rFonts w:hint="default"/>
                <w:lang w:val="en-US" w:eastAsia="zh-CN"/>
              </w:rPr>
            </w:pPr>
            <w:r>
              <w:rPr>
                <w:rFonts w:hint="eastAsia"/>
                <w:lang w:val="en-US" w:eastAsia="zh-CN"/>
              </w:rPr>
              <w:t>177.21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lang w:val="en-US" w:eastAsia="zh-CN"/>
              </w:rPr>
            </w:pPr>
            <w:r>
              <w:rPr>
                <w:rFonts w:hint="eastAsia"/>
                <w:lang w:val="en-US" w:eastAsia="zh-CN"/>
              </w:rPr>
              <w:t>5、家具和用具</w:t>
            </w:r>
          </w:p>
        </w:tc>
        <w:tc>
          <w:tcPr>
            <w:tcW w:w="2835" w:type="dxa"/>
            <w:vAlign w:val="center"/>
          </w:tcPr>
          <w:p>
            <w:pPr>
              <w:pStyle w:val="13"/>
              <w:rPr>
                <w:rFonts w:hint="default"/>
                <w:lang w:val="en-US" w:eastAsia="zh-CN"/>
              </w:rPr>
            </w:pPr>
            <w:r>
              <w:rPr>
                <w:rFonts w:hint="eastAsia"/>
                <w:lang w:val="en-US" w:eastAsia="zh-CN"/>
              </w:rPr>
              <w:t>595</w:t>
            </w:r>
          </w:p>
        </w:tc>
        <w:tc>
          <w:tcPr>
            <w:tcW w:w="2835" w:type="dxa"/>
            <w:vAlign w:val="center"/>
          </w:tcPr>
          <w:p>
            <w:pPr>
              <w:pStyle w:val="11"/>
              <w:rPr>
                <w:rFonts w:hint="default"/>
                <w:lang w:val="en-US" w:eastAsia="zh-CN"/>
              </w:rPr>
            </w:pPr>
            <w:r>
              <w:rPr>
                <w:rFonts w:hint="eastAsia"/>
                <w:lang w:val="en-US" w:eastAsia="zh-CN"/>
              </w:rPr>
              <w:t>24.908174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方正书宋_GBK" w:hAnsi="方正书宋_GBK" w:eastAsia="方正书宋_GBK" w:cs="方正书宋_GBK"/>
                <w:sz w:val="21"/>
                <w:szCs w:val="24"/>
                <w:lang w:val="en-US" w:eastAsia="zh-CN" w:bidi="ar-SA"/>
              </w:rPr>
            </w:pPr>
            <w:r>
              <w:rPr>
                <w:rFonts w:hint="eastAsia" w:cs="方正书宋_GBK"/>
                <w:sz w:val="21"/>
                <w:lang w:val="en-US" w:eastAsia="zh-CN" w:bidi="ar-SA"/>
              </w:rPr>
              <w:t>6、构筑物</w:t>
            </w:r>
          </w:p>
        </w:tc>
        <w:tc>
          <w:tcPr>
            <w:tcW w:w="2835" w:type="dxa"/>
            <w:vAlign w:val="center"/>
          </w:tcPr>
          <w:p>
            <w:pPr>
              <w:pStyle w:val="13"/>
              <w:rPr>
                <w:rFonts w:hint="eastAsia" w:ascii="方正书宋_GBK" w:hAnsi="方正书宋_GBK" w:eastAsia="方正书宋_GBK" w:cs="方正书宋_GBK"/>
                <w:sz w:val="21"/>
                <w:szCs w:val="24"/>
                <w:lang w:val="en-US" w:eastAsia="zh-CN" w:bidi="ar-SA"/>
              </w:rPr>
            </w:pPr>
            <w:r>
              <w:rPr>
                <w:rFonts w:hint="eastAsia" w:cs="方正书宋_GBK"/>
                <w:sz w:val="21"/>
                <w:lang w:val="en-US" w:eastAsia="zh-CN" w:bidi="ar-SA"/>
              </w:rPr>
              <w:t>5</w:t>
            </w:r>
          </w:p>
        </w:tc>
        <w:tc>
          <w:tcPr>
            <w:tcW w:w="2835"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cs="方正书宋_GBK"/>
                <w:sz w:val="21"/>
                <w:lang w:val="en-US" w:eastAsia="zh-CN" w:bidi="ar-SA"/>
              </w:rPr>
              <w:t>5.802</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A1DE6"/>
    <w:rsid w:val="001A1DE6"/>
    <w:rsid w:val="00275198"/>
    <w:rsid w:val="005174FE"/>
    <w:rsid w:val="05C04C1C"/>
    <w:rsid w:val="0CCC401D"/>
    <w:rsid w:val="3F3E3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2997</Words>
  <Characters>17089</Characters>
  <Lines>142</Lines>
  <Paragraphs>40</Paragraphs>
  <TotalTime>9</TotalTime>
  <ScaleCrop>false</ScaleCrop>
  <LinksUpToDate>false</LinksUpToDate>
  <CharactersWithSpaces>20046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2026-03-06T02:44:00Z</dcterms:created>
  <dc:creator>Administrator</dc:creator>
  <cp:lastModifiedBy>A</cp:lastModifiedBy>
  <dcterms:modified xsi:type="dcterms:W3CDTF">2026-03-06T06:36:13Z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FE51B9447BCD413986423117A867B274</vt:lpwstr>
  </property>
</Properties>
</file>