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小标宋" w:hAnsi="小标宋" w:eastAsia="小标宋" w:cs="小标宋"/>
          <w:b/>
          <w:sz w:val="44"/>
          <w:szCs w:val="44"/>
        </w:rPr>
      </w:pPr>
      <w:r>
        <w:rPr>
          <w:rFonts w:hint="eastAsia" w:ascii="小标宋" w:hAnsi="小标宋" w:eastAsia="小标宋" w:cs="小标宋"/>
          <w:b/>
          <w:sz w:val="44"/>
          <w:szCs w:val="44"/>
        </w:rPr>
        <w:t>山海关区市场</w:t>
      </w:r>
      <w:r>
        <w:rPr>
          <w:rFonts w:hint="eastAsia" w:ascii="小标宋" w:hAnsi="小标宋" w:eastAsia="小标宋" w:cs="小标宋"/>
          <w:b/>
          <w:sz w:val="44"/>
          <w:szCs w:val="44"/>
          <w:lang w:val="en-US" w:eastAsia="zh-CN"/>
        </w:rPr>
        <w:t>监管</w:t>
      </w:r>
      <w:r>
        <w:rPr>
          <w:rFonts w:hint="eastAsia" w:ascii="小标宋" w:hAnsi="小标宋" w:eastAsia="小标宋" w:cs="小标宋"/>
          <w:b/>
          <w:sz w:val="44"/>
          <w:szCs w:val="44"/>
        </w:rPr>
        <w:t>局2025年成品油抽检结果公示</w:t>
      </w:r>
    </w:p>
    <w:p>
      <w:pPr>
        <w:ind w:firstLine="885"/>
        <w:jc w:val="left"/>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eastAsia="仿宋_GB2312"/>
          <w:b/>
          <w:sz w:val="32"/>
          <w:szCs w:val="32"/>
        </w:rPr>
      </w:pPr>
      <w:r>
        <w:rPr>
          <w:rFonts w:hint="eastAsia" w:ascii="仿宋_GB2312" w:eastAsia="仿宋_GB2312"/>
          <w:b/>
          <w:sz w:val="32"/>
          <w:szCs w:val="32"/>
        </w:rPr>
        <w:t>2025年我局对辖区加油站经营的成品油质量进行抽样监测，具体结果如下：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153"/>
        <w:gridCol w:w="1995"/>
        <w:gridCol w:w="184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仿宋_GB2312" w:eastAsia="仿宋_GB2312"/>
                <w:sz w:val="32"/>
                <w:szCs w:val="32"/>
              </w:rPr>
            </w:pPr>
            <w:r>
              <w:rPr>
                <w:rFonts w:hint="eastAsia" w:ascii="仿宋_GB2312" w:eastAsia="仿宋_GB2312"/>
                <w:sz w:val="32"/>
                <w:szCs w:val="32"/>
              </w:rPr>
              <w:t>序号</w:t>
            </w:r>
          </w:p>
        </w:tc>
        <w:tc>
          <w:tcPr>
            <w:tcW w:w="6153" w:type="dxa"/>
          </w:tcPr>
          <w:p>
            <w:pPr>
              <w:jc w:val="center"/>
              <w:rPr>
                <w:rFonts w:ascii="仿宋_GB2312" w:eastAsia="仿宋_GB2312"/>
                <w:sz w:val="32"/>
                <w:szCs w:val="32"/>
              </w:rPr>
            </w:pPr>
            <w:r>
              <w:rPr>
                <w:rFonts w:hint="eastAsia" w:ascii="仿宋_GB2312" w:eastAsia="仿宋_GB2312"/>
                <w:sz w:val="32"/>
                <w:szCs w:val="32"/>
              </w:rPr>
              <w:t>单位名称</w:t>
            </w:r>
          </w:p>
        </w:tc>
        <w:tc>
          <w:tcPr>
            <w:tcW w:w="1995" w:type="dxa"/>
          </w:tcPr>
          <w:p>
            <w:pPr>
              <w:jc w:val="center"/>
              <w:rPr>
                <w:rFonts w:ascii="仿宋_GB2312" w:eastAsia="仿宋_GB2312"/>
                <w:sz w:val="32"/>
                <w:szCs w:val="32"/>
              </w:rPr>
            </w:pPr>
            <w:r>
              <w:rPr>
                <w:rFonts w:hint="eastAsia" w:ascii="仿宋_GB2312" w:eastAsia="仿宋_GB2312"/>
                <w:sz w:val="32"/>
                <w:szCs w:val="32"/>
              </w:rPr>
              <w:t>汽油</w:t>
            </w:r>
            <w:r>
              <w:rPr>
                <w:rFonts w:hint="eastAsia"/>
                <w:sz w:val="24"/>
              </w:rPr>
              <w:t>（#）</w:t>
            </w:r>
          </w:p>
        </w:tc>
        <w:tc>
          <w:tcPr>
            <w:tcW w:w="1845" w:type="dxa"/>
          </w:tcPr>
          <w:p>
            <w:pPr>
              <w:jc w:val="center"/>
              <w:rPr>
                <w:rFonts w:ascii="仿宋_GB2312" w:eastAsia="仿宋_GB2312"/>
                <w:sz w:val="32"/>
                <w:szCs w:val="32"/>
              </w:rPr>
            </w:pPr>
            <w:r>
              <w:rPr>
                <w:rFonts w:hint="eastAsia" w:ascii="仿宋_GB2312" w:eastAsia="仿宋_GB2312"/>
                <w:sz w:val="32"/>
                <w:szCs w:val="32"/>
              </w:rPr>
              <w:t>柴油</w:t>
            </w:r>
            <w:r>
              <w:rPr>
                <w:rFonts w:hint="eastAsia"/>
                <w:sz w:val="24"/>
              </w:rPr>
              <w:t>（#）</w:t>
            </w:r>
          </w:p>
        </w:tc>
        <w:tc>
          <w:tcPr>
            <w:tcW w:w="1860" w:type="dxa"/>
          </w:tcPr>
          <w:p>
            <w:pPr>
              <w:jc w:val="center"/>
              <w:rPr>
                <w:rFonts w:ascii="仿宋_GB2312" w:eastAsia="仿宋_GB2312"/>
                <w:sz w:val="32"/>
                <w:szCs w:val="32"/>
              </w:rPr>
            </w:pPr>
            <w:r>
              <w:rPr>
                <w:rFonts w:hint="eastAsia" w:ascii="仿宋_GB2312" w:eastAsia="仿宋_GB2312"/>
                <w:sz w:val="32"/>
                <w:szCs w:val="32"/>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w:t>
            </w:r>
          </w:p>
        </w:tc>
        <w:tc>
          <w:tcPr>
            <w:tcW w:w="6153" w:type="dxa"/>
            <w:vAlign w:val="center"/>
          </w:tcPr>
          <w:p>
            <w:pPr>
              <w:jc w:val="center"/>
              <w:rPr>
                <w:rFonts w:asciiTheme="minorEastAsia" w:hAnsiTheme="minorEastAsia"/>
                <w:sz w:val="24"/>
                <w:szCs w:val="24"/>
              </w:rPr>
            </w:pPr>
            <w:r>
              <w:rPr>
                <w:rFonts w:hint="eastAsia" w:asciiTheme="minorEastAsia" w:hAnsiTheme="minorEastAsia"/>
                <w:sz w:val="24"/>
                <w:szCs w:val="24"/>
              </w:rPr>
              <w:t>河北壳牌石油销售有限公司山海关加油站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92、95、98</w:t>
            </w:r>
          </w:p>
        </w:tc>
        <w:tc>
          <w:tcPr>
            <w:tcW w:w="1845" w:type="dxa"/>
            <w:vAlign w:val="center"/>
          </w:tcPr>
          <w:p>
            <w:pPr>
              <w:jc w:val="center"/>
              <w:rPr>
                <w:rFonts w:asciiTheme="minorEastAsia" w:hAnsiTheme="minorEastAsia"/>
                <w:sz w:val="24"/>
                <w:szCs w:val="24"/>
              </w:rPr>
            </w:pP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2</w:t>
            </w:r>
          </w:p>
        </w:tc>
        <w:tc>
          <w:tcPr>
            <w:tcW w:w="6153" w:type="dxa"/>
            <w:vAlign w:val="center"/>
          </w:tcPr>
          <w:p>
            <w:pPr>
              <w:jc w:val="center"/>
              <w:rPr>
                <w:rFonts w:asciiTheme="minorEastAsia" w:hAnsiTheme="minorEastAsia"/>
                <w:sz w:val="24"/>
                <w:szCs w:val="24"/>
              </w:rPr>
            </w:pPr>
            <w:r>
              <w:rPr>
                <w:rFonts w:hint="eastAsia" w:asciiTheme="minorEastAsia" w:hAnsiTheme="minorEastAsia"/>
                <w:sz w:val="24"/>
                <w:szCs w:val="24"/>
              </w:rPr>
              <w:t>秦皇岛市山海关环城农工商实业总公司加油站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3</w:t>
            </w:r>
          </w:p>
        </w:tc>
        <w:tc>
          <w:tcPr>
            <w:tcW w:w="6153" w:type="dxa"/>
            <w:vAlign w:val="center"/>
          </w:tcPr>
          <w:p>
            <w:pPr>
              <w:jc w:val="center"/>
              <w:rPr>
                <w:rFonts w:asciiTheme="minorEastAsia" w:hAnsiTheme="minorEastAsia"/>
                <w:sz w:val="24"/>
                <w:szCs w:val="24"/>
              </w:rPr>
            </w:pPr>
            <w:r>
              <w:rPr>
                <w:rFonts w:hint="eastAsia" w:asciiTheme="minorEastAsia" w:hAnsiTheme="minorEastAsia"/>
                <w:color w:val="4A4A4A"/>
                <w:sz w:val="24"/>
                <w:szCs w:val="24"/>
              </w:rPr>
              <w:t>秦皇岛市山海关南窑河顺意加油</w:t>
            </w:r>
            <w:bookmarkStart w:id="0" w:name="_GoBack"/>
            <w:bookmarkEnd w:id="0"/>
            <w:r>
              <w:rPr>
                <w:rFonts w:hint="eastAsia" w:asciiTheme="minorEastAsia" w:hAnsiTheme="minorEastAsia"/>
                <w:color w:val="4A4A4A"/>
                <w:sz w:val="24"/>
                <w:szCs w:val="24"/>
              </w:rPr>
              <w:t>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4</w:t>
            </w:r>
          </w:p>
        </w:tc>
        <w:tc>
          <w:tcPr>
            <w:tcW w:w="6153" w:type="dxa"/>
            <w:vAlign w:val="center"/>
          </w:tcPr>
          <w:p>
            <w:pPr>
              <w:jc w:val="center"/>
              <w:rPr>
                <w:rFonts w:asciiTheme="minorEastAsia" w:hAnsiTheme="minorEastAsia"/>
                <w:sz w:val="24"/>
                <w:szCs w:val="24"/>
              </w:rPr>
            </w:pPr>
            <w:r>
              <w:rPr>
                <w:rFonts w:hint="eastAsia" w:asciiTheme="minorEastAsia" w:hAnsiTheme="minorEastAsia"/>
                <w:color w:val="4A4A4A"/>
                <w:sz w:val="24"/>
                <w:szCs w:val="24"/>
              </w:rPr>
              <w:t>秦皇岛市山海关户远寨农用加油站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5</w:t>
            </w:r>
          </w:p>
        </w:tc>
        <w:tc>
          <w:tcPr>
            <w:tcW w:w="6153" w:type="dxa"/>
            <w:vAlign w:val="center"/>
          </w:tcPr>
          <w:p>
            <w:pPr>
              <w:jc w:val="center"/>
              <w:rPr>
                <w:rFonts w:asciiTheme="minorEastAsia" w:hAnsiTheme="minorEastAsia"/>
                <w:sz w:val="24"/>
                <w:szCs w:val="24"/>
              </w:rPr>
            </w:pPr>
            <w:r>
              <w:rPr>
                <w:rFonts w:asciiTheme="minorEastAsia" w:hAnsiTheme="minorEastAsia"/>
                <w:color w:val="4A4A4A"/>
                <w:sz w:val="24"/>
                <w:szCs w:val="24"/>
              </w:rPr>
              <w:t>秦皇岛市山海关区宏峤加油站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6</w:t>
            </w:r>
          </w:p>
        </w:tc>
        <w:tc>
          <w:tcPr>
            <w:tcW w:w="6153" w:type="dxa"/>
            <w:vAlign w:val="center"/>
          </w:tcPr>
          <w:p>
            <w:pPr>
              <w:jc w:val="center"/>
              <w:rPr>
                <w:rFonts w:asciiTheme="minorEastAsia" w:hAnsiTheme="minorEastAsia"/>
                <w:color w:val="4A4A4A"/>
                <w:sz w:val="24"/>
                <w:szCs w:val="24"/>
              </w:rPr>
            </w:pPr>
            <w:r>
              <w:rPr>
                <w:rFonts w:asciiTheme="minorEastAsia" w:hAnsiTheme="minorEastAsia"/>
                <w:color w:val="4A4A4A"/>
                <w:sz w:val="24"/>
                <w:szCs w:val="24"/>
              </w:rPr>
              <w:t>秦皇岛市山海关晏屯加油站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32"/>
                <w:szCs w:val="32"/>
              </w:rPr>
            </w:pPr>
            <w:r>
              <w:rPr>
                <w:rFonts w:hint="eastAsia" w:asciiTheme="minorEastAsia" w:hAnsiTheme="minorEastAsia"/>
                <w:sz w:val="32"/>
                <w:szCs w:val="32"/>
              </w:rPr>
              <w:t>7</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秦皇岛高路瑞元鑫城石油化工有限公司角山路分公司</w:t>
            </w:r>
          </w:p>
        </w:tc>
        <w:tc>
          <w:tcPr>
            <w:tcW w:w="1995"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8</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中国石化销售有限公司河北秦皇岛山海关外环路加油站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9</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中国石化销售有限公司河北秦皇岛山海关国道加油站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92、95、98</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10</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中国石化销售有限公司河北秦皇岛山海关华山加油站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11</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中国石化销售有限公司河北秦皇岛山海关关城东路加油站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12</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中国石化销售有限公司河北秦皇岛山海关东关加油站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92、95、98</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13</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中国石油天然气股份有限公司河北秦皇岛销售分公司山海关关城南路加油站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14</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中国石油天然气股份有限公司河北秦皇岛销售分公司山海关高速出口加油站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15</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河北高速燕赵驿行集团有限公司山海关服务区加油站</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92、95</w:t>
            </w:r>
          </w:p>
        </w:tc>
        <w:tc>
          <w:tcPr>
            <w:tcW w:w="1845" w:type="dxa"/>
            <w:vAlign w:val="center"/>
          </w:tcPr>
          <w:p>
            <w:pPr>
              <w:jc w:val="center"/>
              <w:rPr>
                <w:rFonts w:asciiTheme="minorEastAsia" w:hAnsiTheme="minorEastAsia"/>
                <w:sz w:val="24"/>
                <w:szCs w:val="24"/>
              </w:rPr>
            </w:pPr>
            <w:r>
              <w:rPr>
                <w:rFonts w:hint="eastAsia" w:asciiTheme="minorEastAsia" w:hAnsiTheme="minorEastAsia"/>
                <w:sz w:val="24"/>
                <w:szCs w:val="24"/>
              </w:rPr>
              <w:t>0</w:t>
            </w: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32"/>
                <w:szCs w:val="32"/>
              </w:rPr>
            </w:pPr>
            <w:r>
              <w:rPr>
                <w:rFonts w:hint="eastAsia" w:asciiTheme="minorEastAsia" w:hAnsiTheme="minorEastAsia"/>
                <w:sz w:val="32"/>
                <w:szCs w:val="32"/>
              </w:rPr>
              <w:t>16</w:t>
            </w:r>
          </w:p>
        </w:tc>
        <w:tc>
          <w:tcPr>
            <w:tcW w:w="6153" w:type="dxa"/>
            <w:vAlign w:val="center"/>
          </w:tcPr>
          <w:p>
            <w:pPr>
              <w:jc w:val="center"/>
              <w:rPr>
                <w:rFonts w:asciiTheme="minorEastAsia" w:hAnsiTheme="minorEastAsia"/>
                <w:color w:val="4A4A4A"/>
                <w:sz w:val="24"/>
                <w:szCs w:val="24"/>
              </w:rPr>
            </w:pPr>
            <w:r>
              <w:rPr>
                <w:rFonts w:hint="eastAsia" w:asciiTheme="minorEastAsia" w:hAnsiTheme="minorEastAsia"/>
                <w:color w:val="4A4A4A"/>
                <w:sz w:val="24"/>
                <w:szCs w:val="24"/>
              </w:rPr>
              <w:t>秦皇岛市景绰商贸有限责任公司</w:t>
            </w:r>
          </w:p>
        </w:tc>
        <w:tc>
          <w:tcPr>
            <w:tcW w:w="1995" w:type="dxa"/>
            <w:vAlign w:val="center"/>
          </w:tcPr>
          <w:p>
            <w:pPr>
              <w:jc w:val="center"/>
              <w:rPr>
                <w:rFonts w:asciiTheme="minorEastAsia" w:hAnsiTheme="minorEastAsia"/>
                <w:sz w:val="24"/>
                <w:szCs w:val="24"/>
              </w:rPr>
            </w:pPr>
            <w:r>
              <w:rPr>
                <w:rFonts w:hint="eastAsia" w:asciiTheme="minorEastAsia" w:hAnsiTheme="minorEastAsia"/>
                <w:sz w:val="24"/>
                <w:szCs w:val="24"/>
              </w:rPr>
              <w:t>92</w:t>
            </w:r>
          </w:p>
        </w:tc>
        <w:tc>
          <w:tcPr>
            <w:tcW w:w="1845" w:type="dxa"/>
            <w:vAlign w:val="center"/>
          </w:tcPr>
          <w:p>
            <w:pPr>
              <w:jc w:val="center"/>
              <w:rPr>
                <w:rFonts w:asciiTheme="minorEastAsia" w:hAnsiTheme="minorEastAsia"/>
                <w:sz w:val="24"/>
                <w:szCs w:val="24"/>
              </w:rPr>
            </w:pPr>
          </w:p>
        </w:tc>
        <w:tc>
          <w:tcPr>
            <w:tcW w:w="1860" w:type="dxa"/>
            <w:vAlign w:val="center"/>
          </w:tcPr>
          <w:p>
            <w:pPr>
              <w:jc w:val="center"/>
              <w:rPr>
                <w:rFonts w:asciiTheme="minorEastAsia" w:hAnsiTheme="minorEastAsia"/>
                <w:sz w:val="24"/>
                <w:szCs w:val="24"/>
              </w:rPr>
            </w:pPr>
            <w:r>
              <w:rPr>
                <w:rFonts w:hint="eastAsia" w:asciiTheme="minorEastAsia" w:hAnsi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仿宋_GB2312" w:eastAsia="仿宋_GB2312"/>
                <w:sz w:val="32"/>
                <w:szCs w:val="32"/>
              </w:rPr>
            </w:pPr>
            <w:r>
              <w:rPr>
                <w:rFonts w:hint="eastAsia" w:ascii="仿宋_GB2312" w:eastAsia="仿宋_GB2312"/>
                <w:sz w:val="32"/>
                <w:szCs w:val="32"/>
              </w:rPr>
              <w:t>合计</w:t>
            </w:r>
          </w:p>
        </w:tc>
        <w:tc>
          <w:tcPr>
            <w:tcW w:w="6153" w:type="dxa"/>
          </w:tcPr>
          <w:p>
            <w:pPr>
              <w:jc w:val="center"/>
              <w:rPr>
                <w:rFonts w:ascii="仿宋_GB2312" w:eastAsia="仿宋_GB2312"/>
                <w:sz w:val="32"/>
                <w:szCs w:val="32"/>
              </w:rPr>
            </w:pPr>
          </w:p>
        </w:tc>
        <w:tc>
          <w:tcPr>
            <w:tcW w:w="1995" w:type="dxa"/>
          </w:tcPr>
          <w:p>
            <w:pPr>
              <w:jc w:val="center"/>
              <w:rPr>
                <w:rFonts w:ascii="仿宋_GB2312" w:eastAsia="仿宋_GB2312"/>
                <w:sz w:val="32"/>
                <w:szCs w:val="32"/>
              </w:rPr>
            </w:pPr>
            <w:r>
              <w:rPr>
                <w:rFonts w:hint="eastAsia" w:ascii="仿宋_GB2312" w:eastAsia="仿宋_GB2312"/>
                <w:sz w:val="32"/>
                <w:szCs w:val="32"/>
              </w:rPr>
              <w:t>32个批次</w:t>
            </w:r>
          </w:p>
        </w:tc>
        <w:tc>
          <w:tcPr>
            <w:tcW w:w="1845" w:type="dxa"/>
          </w:tcPr>
          <w:p>
            <w:pPr>
              <w:jc w:val="center"/>
              <w:rPr>
                <w:rFonts w:ascii="仿宋_GB2312" w:eastAsia="仿宋_GB2312"/>
                <w:sz w:val="32"/>
                <w:szCs w:val="32"/>
              </w:rPr>
            </w:pPr>
            <w:r>
              <w:rPr>
                <w:rFonts w:hint="eastAsia" w:ascii="仿宋_GB2312" w:eastAsia="仿宋_GB2312"/>
                <w:sz w:val="32"/>
                <w:szCs w:val="32"/>
              </w:rPr>
              <w:t>14个批次</w:t>
            </w:r>
          </w:p>
        </w:tc>
        <w:tc>
          <w:tcPr>
            <w:tcW w:w="1860" w:type="dxa"/>
          </w:tcPr>
          <w:p>
            <w:pPr>
              <w:jc w:val="center"/>
              <w:rPr>
                <w:rFonts w:ascii="仿宋_GB2312" w:eastAsia="仿宋_GB2312"/>
                <w:sz w:val="32"/>
                <w:szCs w:val="3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7A92"/>
    <w:rsid w:val="00104A60"/>
    <w:rsid w:val="00114BB5"/>
    <w:rsid w:val="001A32AF"/>
    <w:rsid w:val="002C6777"/>
    <w:rsid w:val="00393244"/>
    <w:rsid w:val="003D5DB9"/>
    <w:rsid w:val="004D0A4B"/>
    <w:rsid w:val="0055334C"/>
    <w:rsid w:val="005A41DC"/>
    <w:rsid w:val="00620A33"/>
    <w:rsid w:val="0065033D"/>
    <w:rsid w:val="006542D5"/>
    <w:rsid w:val="006D7A92"/>
    <w:rsid w:val="006F28F2"/>
    <w:rsid w:val="00715117"/>
    <w:rsid w:val="00776896"/>
    <w:rsid w:val="007F235E"/>
    <w:rsid w:val="008F1CFC"/>
    <w:rsid w:val="009761D2"/>
    <w:rsid w:val="009F0783"/>
    <w:rsid w:val="00A07039"/>
    <w:rsid w:val="00AE0ED6"/>
    <w:rsid w:val="00B70FCA"/>
    <w:rsid w:val="00BC1778"/>
    <w:rsid w:val="00C458ED"/>
    <w:rsid w:val="00C82B66"/>
    <w:rsid w:val="00C96B98"/>
    <w:rsid w:val="00D40493"/>
    <w:rsid w:val="00E419A6"/>
    <w:rsid w:val="00EA1BE7"/>
    <w:rsid w:val="00EF7E9A"/>
    <w:rsid w:val="00FC72D4"/>
    <w:rsid w:val="00FE2AE8"/>
    <w:rsid w:val="4E2F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1</Pages>
  <Words>125</Words>
  <Characters>716</Characters>
  <Lines>5</Lines>
  <Paragraphs>1</Paragraphs>
  <TotalTime>4</TotalTime>
  <ScaleCrop>false</ScaleCrop>
  <LinksUpToDate>false</LinksUpToDate>
  <CharactersWithSpaces>840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2019-04-25T01:40:00Z</dcterms:created>
  <dc:creator>gk</dc:creator>
  <cp:lastModifiedBy>_</cp:lastModifiedBy>
  <cp:lastPrinted>2025-11-12T07:33:10Z</cp:lastPrinted>
  <dcterms:modified xsi:type="dcterms:W3CDTF">2025-11-12T07:33:20Z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5764E9BE85204A08A3BDAFBE7A992714</vt:lpwstr>
  </property>
</Properties>
</file>