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2025年单位预算信息公开目录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pStyle w:val="2"/>
        <w:tabs>
          <w:tab w:val="right" w:leader="dot" w:pos="14562"/>
        </w:tabs>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rPr>
          <w:b w:val="0"/>
        </w:rPr>
        <w:t>一、审计部门审计局本级收支预算</w:t>
      </w:r>
      <w:r>
        <w:tab/>
      </w:r>
      <w:r>
        <w:fldChar w:fldCharType="begin"/>
      </w:r>
      <w:r>
        <w:instrText xml:space="preserve">PAGEREF _Toc_4_4_0000000001 \h</w:instrText>
      </w:r>
      <w:r>
        <w:fldChar w:fldCharType="separate"/>
      </w:r>
      <w:r>
        <w:t>1</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一、审计部门审计局本级收支预算</w:t>
      </w:r>
      <w:bookmarkEnd w:id="0"/>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319001审计部门审计局本级</w:t>
            </w:r>
          </w:p>
        </w:tc>
        <w:tc>
          <w:tcPr>
            <w:tcW w:w="2126" w:type="dxa"/>
            <w:tcBorders>
              <w:top w:val="single" w:color="FFFFFF" w:sz="6" w:space="0"/>
              <w:left w:val="single" w:color="FFFFFF" w:sz="6" w:space="0"/>
              <w:right w:val="single" w:color="FFFFFF" w:sz="6" w:space="0"/>
            </w:tcBorders>
            <w:vAlign w:val="center"/>
          </w:tcPr>
          <w:p>
            <w:pPr>
              <w:pStyle w:val="8"/>
            </w:pPr>
            <w:r>
              <w:t>预算年度：2025</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246.72</w:t>
            </w:r>
          </w:p>
        </w:tc>
        <w:tc>
          <w:tcPr>
            <w:tcW w:w="4535" w:type="dxa"/>
            <w:vAlign w:val="center"/>
          </w:tcPr>
          <w:p>
            <w:pPr>
              <w:pStyle w:val="12"/>
            </w:pPr>
            <w:r>
              <w:t>一、一般公共服务支出</w:t>
            </w:r>
          </w:p>
        </w:tc>
        <w:tc>
          <w:tcPr>
            <w:tcW w:w="2126" w:type="dxa"/>
            <w:vAlign w:val="center"/>
          </w:tcPr>
          <w:p>
            <w:pPr>
              <w:pStyle w:val="11"/>
            </w:pPr>
            <w:r>
              <w:t>173.76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32.58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23.81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r>
              <w:t>16.57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三十一、人行科目</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4"/>
            </w:pPr>
            <w:r>
              <w:t>本年收入合计</w:t>
            </w:r>
          </w:p>
        </w:tc>
        <w:tc>
          <w:tcPr>
            <w:tcW w:w="2126" w:type="dxa"/>
            <w:vAlign w:val="center"/>
          </w:tcPr>
          <w:p>
            <w:pPr>
              <w:pStyle w:val="15"/>
            </w:pPr>
            <w:r>
              <w:t>246.72</w:t>
            </w:r>
          </w:p>
        </w:tc>
        <w:tc>
          <w:tcPr>
            <w:tcW w:w="4535" w:type="dxa"/>
            <w:vAlign w:val="center"/>
          </w:tcPr>
          <w:p>
            <w:pPr>
              <w:pStyle w:val="14"/>
            </w:pPr>
            <w:r>
              <w:t>本年支出合计</w:t>
            </w:r>
          </w:p>
        </w:tc>
        <w:tc>
          <w:tcPr>
            <w:tcW w:w="2126" w:type="dxa"/>
            <w:vAlign w:val="center"/>
          </w:tcPr>
          <w:p>
            <w:pPr>
              <w:pStyle w:val="15"/>
            </w:pPr>
            <w:r>
              <w:t>246.72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2"/>
            </w:pPr>
            <w:r>
              <w:t>上年结转结余</w:t>
            </w:r>
          </w:p>
        </w:tc>
        <w:tc>
          <w:tcPr>
            <w:tcW w:w="2126" w:type="dxa"/>
            <w:vAlign w:val="center"/>
          </w:tcPr>
          <w:p>
            <w:pPr>
              <w:pStyle w:val="11"/>
            </w:pPr>
          </w:p>
        </w:tc>
        <w:tc>
          <w:tcPr>
            <w:tcW w:w="4535" w:type="dxa"/>
            <w:vAlign w:val="center"/>
          </w:tcPr>
          <w:p>
            <w:pPr>
              <w:pStyle w:val="12"/>
            </w:pPr>
            <w:r>
              <w:t>年终结转结余</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4535" w:type="dxa"/>
            <w:vAlign w:val="center"/>
          </w:tcPr>
          <w:p>
            <w:pPr>
              <w:pStyle w:val="14"/>
            </w:pPr>
            <w:r>
              <w:t>收入总计</w:t>
            </w:r>
          </w:p>
        </w:tc>
        <w:tc>
          <w:tcPr>
            <w:tcW w:w="2126" w:type="dxa"/>
            <w:vAlign w:val="center"/>
          </w:tcPr>
          <w:p>
            <w:pPr>
              <w:pStyle w:val="15"/>
            </w:pPr>
            <w:r>
              <w:t>246.72</w:t>
            </w:r>
          </w:p>
        </w:tc>
        <w:tc>
          <w:tcPr>
            <w:tcW w:w="4535" w:type="dxa"/>
            <w:vAlign w:val="center"/>
          </w:tcPr>
          <w:p>
            <w:pPr>
              <w:pStyle w:val="14"/>
            </w:pPr>
            <w:r>
              <w:t>支出总计</w:t>
            </w:r>
          </w:p>
        </w:tc>
        <w:tc>
          <w:tcPr>
            <w:tcW w:w="2126" w:type="dxa"/>
            <w:vAlign w:val="center"/>
          </w:tcPr>
          <w:p>
            <w:pPr>
              <w:pStyle w:val="15"/>
            </w:pPr>
            <w:r>
              <w:t>246.72</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319001审计部门审计局本级</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预算年度：2025</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246.72</w:t>
            </w:r>
          </w:p>
        </w:tc>
        <w:tc>
          <w:tcPr>
            <w:tcW w:w="1134" w:type="dxa"/>
            <w:vAlign w:val="center"/>
          </w:tcPr>
          <w:p>
            <w:pPr>
              <w:pStyle w:val="15"/>
            </w:pPr>
            <w:r>
              <w:t>246.72</w:t>
            </w:r>
          </w:p>
        </w:tc>
        <w:tc>
          <w:tcPr>
            <w:tcW w:w="1134" w:type="dxa"/>
            <w:vAlign w:val="center"/>
          </w:tcPr>
          <w:p>
            <w:pPr>
              <w:pStyle w:val="15"/>
            </w:pPr>
            <w:r>
              <w:t>246.72</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201</w:t>
            </w:r>
          </w:p>
        </w:tc>
        <w:tc>
          <w:tcPr>
            <w:tcW w:w="1559" w:type="dxa"/>
            <w:vAlign w:val="center"/>
          </w:tcPr>
          <w:p>
            <w:pPr>
              <w:pStyle w:val="12"/>
            </w:pPr>
            <w:r>
              <w:t>一般公共服务支出</w:t>
            </w:r>
          </w:p>
        </w:tc>
        <w:tc>
          <w:tcPr>
            <w:tcW w:w="1134" w:type="dxa"/>
            <w:vAlign w:val="center"/>
          </w:tcPr>
          <w:p>
            <w:pPr>
              <w:pStyle w:val="11"/>
            </w:pPr>
            <w:r>
              <w:t>173.76</w:t>
            </w:r>
          </w:p>
        </w:tc>
        <w:tc>
          <w:tcPr>
            <w:tcW w:w="1134" w:type="dxa"/>
            <w:vAlign w:val="center"/>
          </w:tcPr>
          <w:p>
            <w:pPr>
              <w:pStyle w:val="11"/>
            </w:pPr>
            <w:r>
              <w:t>173.76</w:t>
            </w:r>
          </w:p>
        </w:tc>
        <w:tc>
          <w:tcPr>
            <w:tcW w:w="1134" w:type="dxa"/>
            <w:vAlign w:val="center"/>
          </w:tcPr>
          <w:p>
            <w:pPr>
              <w:pStyle w:val="11"/>
            </w:pPr>
            <w:r>
              <w:t>173.76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20108</w:t>
            </w:r>
          </w:p>
        </w:tc>
        <w:tc>
          <w:tcPr>
            <w:tcW w:w="1559" w:type="dxa"/>
            <w:vAlign w:val="center"/>
          </w:tcPr>
          <w:p>
            <w:pPr>
              <w:pStyle w:val="12"/>
            </w:pPr>
            <w:r>
              <w:t>审计事务</w:t>
            </w:r>
          </w:p>
        </w:tc>
        <w:tc>
          <w:tcPr>
            <w:tcW w:w="1134" w:type="dxa"/>
            <w:vAlign w:val="center"/>
          </w:tcPr>
          <w:p>
            <w:pPr>
              <w:pStyle w:val="11"/>
            </w:pPr>
            <w:r>
              <w:t>173.76</w:t>
            </w:r>
          </w:p>
        </w:tc>
        <w:tc>
          <w:tcPr>
            <w:tcW w:w="1134" w:type="dxa"/>
            <w:vAlign w:val="center"/>
          </w:tcPr>
          <w:p>
            <w:pPr>
              <w:pStyle w:val="11"/>
            </w:pPr>
            <w:r>
              <w:t>173.76</w:t>
            </w:r>
          </w:p>
        </w:tc>
        <w:tc>
          <w:tcPr>
            <w:tcW w:w="1134" w:type="dxa"/>
            <w:vAlign w:val="center"/>
          </w:tcPr>
          <w:p>
            <w:pPr>
              <w:pStyle w:val="11"/>
            </w:pPr>
            <w:r>
              <w:t>173.76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2010801</w:t>
            </w:r>
          </w:p>
        </w:tc>
        <w:tc>
          <w:tcPr>
            <w:tcW w:w="1559" w:type="dxa"/>
            <w:vAlign w:val="center"/>
          </w:tcPr>
          <w:p>
            <w:pPr>
              <w:pStyle w:val="12"/>
            </w:pPr>
            <w:r>
              <w:t>行政运行</w:t>
            </w:r>
          </w:p>
        </w:tc>
        <w:tc>
          <w:tcPr>
            <w:tcW w:w="1134" w:type="dxa"/>
            <w:vAlign w:val="center"/>
          </w:tcPr>
          <w:p>
            <w:pPr>
              <w:pStyle w:val="11"/>
            </w:pPr>
            <w:r>
              <w:t>165.76</w:t>
            </w:r>
          </w:p>
        </w:tc>
        <w:tc>
          <w:tcPr>
            <w:tcW w:w="1134" w:type="dxa"/>
            <w:vAlign w:val="center"/>
          </w:tcPr>
          <w:p>
            <w:pPr>
              <w:pStyle w:val="11"/>
            </w:pPr>
            <w:r>
              <w:t>165.76</w:t>
            </w:r>
          </w:p>
        </w:tc>
        <w:tc>
          <w:tcPr>
            <w:tcW w:w="1134" w:type="dxa"/>
            <w:vAlign w:val="center"/>
          </w:tcPr>
          <w:p>
            <w:pPr>
              <w:pStyle w:val="11"/>
            </w:pPr>
            <w:r>
              <w:t>165.76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2010804</w:t>
            </w:r>
          </w:p>
        </w:tc>
        <w:tc>
          <w:tcPr>
            <w:tcW w:w="1559" w:type="dxa"/>
            <w:vAlign w:val="center"/>
          </w:tcPr>
          <w:p>
            <w:pPr>
              <w:pStyle w:val="12"/>
            </w:pPr>
            <w:r>
              <w:t>审计业务</w:t>
            </w:r>
          </w:p>
        </w:tc>
        <w:tc>
          <w:tcPr>
            <w:tcW w:w="1134" w:type="dxa"/>
            <w:vAlign w:val="center"/>
          </w:tcPr>
          <w:p>
            <w:pPr>
              <w:pStyle w:val="11"/>
            </w:pPr>
            <w:r>
              <w:t>8.00</w:t>
            </w:r>
          </w:p>
        </w:tc>
        <w:tc>
          <w:tcPr>
            <w:tcW w:w="1134" w:type="dxa"/>
            <w:vAlign w:val="center"/>
          </w:tcPr>
          <w:p>
            <w:pPr>
              <w:pStyle w:val="11"/>
            </w:pPr>
            <w:r>
              <w:t>8.00</w:t>
            </w:r>
          </w:p>
        </w:tc>
        <w:tc>
          <w:tcPr>
            <w:tcW w:w="1134" w:type="dxa"/>
            <w:vAlign w:val="center"/>
          </w:tcPr>
          <w:p>
            <w:pPr>
              <w:pStyle w:val="11"/>
            </w:pPr>
            <w:r>
              <w:t>8.00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1"/>
            </w:pPr>
            <w:r>
              <w:t>32.58</w:t>
            </w:r>
          </w:p>
        </w:tc>
        <w:tc>
          <w:tcPr>
            <w:tcW w:w="1134" w:type="dxa"/>
            <w:vAlign w:val="center"/>
          </w:tcPr>
          <w:p>
            <w:pPr>
              <w:pStyle w:val="11"/>
            </w:pPr>
            <w:r>
              <w:t>32.58</w:t>
            </w:r>
          </w:p>
        </w:tc>
        <w:tc>
          <w:tcPr>
            <w:tcW w:w="1134" w:type="dxa"/>
            <w:vAlign w:val="center"/>
          </w:tcPr>
          <w:p>
            <w:pPr>
              <w:pStyle w:val="11"/>
            </w:pPr>
            <w:r>
              <w:t>32.58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20805</w:t>
            </w:r>
          </w:p>
        </w:tc>
        <w:tc>
          <w:tcPr>
            <w:tcW w:w="1559" w:type="dxa"/>
            <w:vAlign w:val="center"/>
          </w:tcPr>
          <w:p>
            <w:pPr>
              <w:pStyle w:val="12"/>
            </w:pPr>
            <w:r>
              <w:t>行政事业单位养老支出</w:t>
            </w:r>
          </w:p>
        </w:tc>
        <w:tc>
          <w:tcPr>
            <w:tcW w:w="1134" w:type="dxa"/>
            <w:vAlign w:val="center"/>
          </w:tcPr>
          <w:p>
            <w:pPr>
              <w:pStyle w:val="11"/>
            </w:pPr>
            <w:r>
              <w:t>32.58</w:t>
            </w:r>
          </w:p>
        </w:tc>
        <w:tc>
          <w:tcPr>
            <w:tcW w:w="1134" w:type="dxa"/>
            <w:vAlign w:val="center"/>
          </w:tcPr>
          <w:p>
            <w:pPr>
              <w:pStyle w:val="11"/>
            </w:pPr>
            <w:r>
              <w:t>32.58</w:t>
            </w:r>
          </w:p>
        </w:tc>
        <w:tc>
          <w:tcPr>
            <w:tcW w:w="1134" w:type="dxa"/>
            <w:vAlign w:val="center"/>
          </w:tcPr>
          <w:p>
            <w:pPr>
              <w:pStyle w:val="11"/>
            </w:pPr>
            <w:r>
              <w:t>32.58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2080501</w:t>
            </w:r>
          </w:p>
        </w:tc>
        <w:tc>
          <w:tcPr>
            <w:tcW w:w="1559" w:type="dxa"/>
            <w:vAlign w:val="center"/>
          </w:tcPr>
          <w:p>
            <w:pPr>
              <w:pStyle w:val="12"/>
            </w:pPr>
            <w:r>
              <w:t>行政单位离退休</w:t>
            </w:r>
          </w:p>
        </w:tc>
        <w:tc>
          <w:tcPr>
            <w:tcW w:w="1134" w:type="dxa"/>
            <w:vAlign w:val="center"/>
          </w:tcPr>
          <w:p>
            <w:pPr>
              <w:pStyle w:val="11"/>
            </w:pPr>
            <w:r>
              <w:t>9.88</w:t>
            </w:r>
          </w:p>
        </w:tc>
        <w:tc>
          <w:tcPr>
            <w:tcW w:w="1134" w:type="dxa"/>
            <w:vAlign w:val="center"/>
          </w:tcPr>
          <w:p>
            <w:pPr>
              <w:pStyle w:val="11"/>
            </w:pPr>
            <w:r>
              <w:t>9.88</w:t>
            </w:r>
          </w:p>
        </w:tc>
        <w:tc>
          <w:tcPr>
            <w:tcW w:w="1134" w:type="dxa"/>
            <w:vAlign w:val="center"/>
          </w:tcPr>
          <w:p>
            <w:pPr>
              <w:pStyle w:val="11"/>
            </w:pPr>
            <w:r>
              <w:t>9.88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2080505</w:t>
            </w:r>
          </w:p>
        </w:tc>
        <w:tc>
          <w:tcPr>
            <w:tcW w:w="1559" w:type="dxa"/>
            <w:vAlign w:val="center"/>
          </w:tcPr>
          <w:p>
            <w:pPr>
              <w:pStyle w:val="12"/>
            </w:pPr>
            <w:r>
              <w:t>机关事业单位基本养老保险缴费支出</w:t>
            </w:r>
          </w:p>
        </w:tc>
        <w:tc>
          <w:tcPr>
            <w:tcW w:w="1134" w:type="dxa"/>
            <w:vAlign w:val="center"/>
          </w:tcPr>
          <w:p>
            <w:pPr>
              <w:pStyle w:val="11"/>
            </w:pPr>
            <w:r>
              <w:t>21.54</w:t>
            </w:r>
          </w:p>
        </w:tc>
        <w:tc>
          <w:tcPr>
            <w:tcW w:w="1134" w:type="dxa"/>
            <w:vAlign w:val="center"/>
          </w:tcPr>
          <w:p>
            <w:pPr>
              <w:pStyle w:val="11"/>
            </w:pPr>
            <w:r>
              <w:t>21.54</w:t>
            </w:r>
          </w:p>
        </w:tc>
        <w:tc>
          <w:tcPr>
            <w:tcW w:w="1134" w:type="dxa"/>
            <w:vAlign w:val="center"/>
          </w:tcPr>
          <w:p>
            <w:pPr>
              <w:pStyle w:val="11"/>
            </w:pPr>
            <w:r>
              <w:t>21.54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2080506</w:t>
            </w:r>
          </w:p>
        </w:tc>
        <w:tc>
          <w:tcPr>
            <w:tcW w:w="1559" w:type="dxa"/>
            <w:vAlign w:val="center"/>
          </w:tcPr>
          <w:p>
            <w:pPr>
              <w:pStyle w:val="12"/>
            </w:pPr>
            <w:r>
              <w:t>机关事业单位职业年金缴费支出</w:t>
            </w:r>
          </w:p>
        </w:tc>
        <w:tc>
          <w:tcPr>
            <w:tcW w:w="1134" w:type="dxa"/>
            <w:vAlign w:val="center"/>
          </w:tcPr>
          <w:p>
            <w:pPr>
              <w:pStyle w:val="11"/>
            </w:pPr>
            <w:r>
              <w:t>1.17</w:t>
            </w:r>
          </w:p>
        </w:tc>
        <w:tc>
          <w:tcPr>
            <w:tcW w:w="1134" w:type="dxa"/>
            <w:vAlign w:val="center"/>
          </w:tcPr>
          <w:p>
            <w:pPr>
              <w:pStyle w:val="11"/>
            </w:pPr>
            <w:r>
              <w:t>1.17</w:t>
            </w:r>
          </w:p>
        </w:tc>
        <w:tc>
          <w:tcPr>
            <w:tcW w:w="1134" w:type="dxa"/>
            <w:vAlign w:val="center"/>
          </w:tcPr>
          <w:p>
            <w:pPr>
              <w:pStyle w:val="11"/>
            </w:pPr>
            <w:r>
              <w:t>1.17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23.81</w:t>
            </w:r>
          </w:p>
        </w:tc>
        <w:tc>
          <w:tcPr>
            <w:tcW w:w="1134" w:type="dxa"/>
            <w:vAlign w:val="center"/>
          </w:tcPr>
          <w:p>
            <w:pPr>
              <w:pStyle w:val="11"/>
            </w:pPr>
            <w:r>
              <w:t>23.81</w:t>
            </w:r>
          </w:p>
        </w:tc>
        <w:tc>
          <w:tcPr>
            <w:tcW w:w="1134" w:type="dxa"/>
            <w:vAlign w:val="center"/>
          </w:tcPr>
          <w:p>
            <w:pPr>
              <w:pStyle w:val="11"/>
            </w:pPr>
            <w:r>
              <w:t>23.81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2"/>
            </w:pPr>
            <w:r>
              <w:t>21011</w:t>
            </w:r>
          </w:p>
        </w:tc>
        <w:tc>
          <w:tcPr>
            <w:tcW w:w="1559" w:type="dxa"/>
            <w:vAlign w:val="center"/>
          </w:tcPr>
          <w:p>
            <w:pPr>
              <w:pStyle w:val="12"/>
            </w:pPr>
            <w:r>
              <w:t>行政事业单位医疗</w:t>
            </w:r>
          </w:p>
        </w:tc>
        <w:tc>
          <w:tcPr>
            <w:tcW w:w="1134" w:type="dxa"/>
            <w:vAlign w:val="center"/>
          </w:tcPr>
          <w:p>
            <w:pPr>
              <w:pStyle w:val="11"/>
            </w:pPr>
            <w:r>
              <w:t>23.81</w:t>
            </w:r>
          </w:p>
        </w:tc>
        <w:tc>
          <w:tcPr>
            <w:tcW w:w="1134" w:type="dxa"/>
            <w:vAlign w:val="center"/>
          </w:tcPr>
          <w:p>
            <w:pPr>
              <w:pStyle w:val="11"/>
            </w:pPr>
            <w:r>
              <w:t>23.81</w:t>
            </w:r>
          </w:p>
        </w:tc>
        <w:tc>
          <w:tcPr>
            <w:tcW w:w="1134" w:type="dxa"/>
            <w:vAlign w:val="center"/>
          </w:tcPr>
          <w:p>
            <w:pPr>
              <w:pStyle w:val="11"/>
            </w:pPr>
            <w:r>
              <w:t>23.81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2"/>
            </w:pPr>
            <w:r>
              <w:t>2101101</w:t>
            </w:r>
          </w:p>
        </w:tc>
        <w:tc>
          <w:tcPr>
            <w:tcW w:w="1559" w:type="dxa"/>
            <w:vAlign w:val="center"/>
          </w:tcPr>
          <w:p>
            <w:pPr>
              <w:pStyle w:val="12"/>
            </w:pPr>
            <w:r>
              <w:t>行政单位医疗</w:t>
            </w:r>
          </w:p>
        </w:tc>
        <w:tc>
          <w:tcPr>
            <w:tcW w:w="1134" w:type="dxa"/>
            <w:vAlign w:val="center"/>
          </w:tcPr>
          <w:p>
            <w:pPr>
              <w:pStyle w:val="11"/>
            </w:pPr>
            <w:r>
              <w:t>9.42</w:t>
            </w:r>
          </w:p>
        </w:tc>
        <w:tc>
          <w:tcPr>
            <w:tcW w:w="1134" w:type="dxa"/>
            <w:vAlign w:val="center"/>
          </w:tcPr>
          <w:p>
            <w:pPr>
              <w:pStyle w:val="11"/>
            </w:pPr>
            <w:r>
              <w:t>9.42</w:t>
            </w:r>
          </w:p>
        </w:tc>
        <w:tc>
          <w:tcPr>
            <w:tcW w:w="1134" w:type="dxa"/>
            <w:vAlign w:val="center"/>
          </w:tcPr>
          <w:p>
            <w:pPr>
              <w:pStyle w:val="11"/>
            </w:pPr>
            <w:r>
              <w:t>9.42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vAlign w:val="center"/>
          </w:tcPr>
          <w:p>
            <w:pPr>
              <w:pStyle w:val="12"/>
            </w:pPr>
            <w:r>
              <w:t>2101103</w:t>
            </w:r>
          </w:p>
        </w:tc>
        <w:tc>
          <w:tcPr>
            <w:tcW w:w="1559" w:type="dxa"/>
            <w:vAlign w:val="center"/>
          </w:tcPr>
          <w:p>
            <w:pPr>
              <w:pStyle w:val="12"/>
            </w:pPr>
            <w:r>
              <w:t>公务员医疗补助</w:t>
            </w:r>
          </w:p>
        </w:tc>
        <w:tc>
          <w:tcPr>
            <w:tcW w:w="1134" w:type="dxa"/>
            <w:vAlign w:val="center"/>
          </w:tcPr>
          <w:p>
            <w:pPr>
              <w:pStyle w:val="11"/>
            </w:pPr>
            <w:r>
              <w:t>14.39</w:t>
            </w:r>
          </w:p>
        </w:tc>
        <w:tc>
          <w:tcPr>
            <w:tcW w:w="1134" w:type="dxa"/>
            <w:vAlign w:val="center"/>
          </w:tcPr>
          <w:p>
            <w:pPr>
              <w:pStyle w:val="11"/>
            </w:pPr>
            <w:r>
              <w:t>14.39</w:t>
            </w:r>
          </w:p>
        </w:tc>
        <w:tc>
          <w:tcPr>
            <w:tcW w:w="1134" w:type="dxa"/>
            <w:vAlign w:val="center"/>
          </w:tcPr>
          <w:p>
            <w:pPr>
              <w:pStyle w:val="11"/>
            </w:pPr>
            <w:r>
              <w:t>14.39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15</w:t>
            </w:r>
          </w:p>
        </w:tc>
        <w:tc>
          <w:tcPr>
            <w:tcW w:w="992" w:type="dxa"/>
            <w:vAlign w:val="center"/>
          </w:tcPr>
          <w:p>
            <w:pPr>
              <w:pStyle w:val="12"/>
            </w:pPr>
            <w:r>
              <w:t>221</w:t>
            </w:r>
          </w:p>
        </w:tc>
        <w:tc>
          <w:tcPr>
            <w:tcW w:w="1559" w:type="dxa"/>
            <w:vAlign w:val="center"/>
          </w:tcPr>
          <w:p>
            <w:pPr>
              <w:pStyle w:val="12"/>
            </w:pPr>
            <w:r>
              <w:t>住房保障支出</w:t>
            </w:r>
          </w:p>
        </w:tc>
        <w:tc>
          <w:tcPr>
            <w:tcW w:w="1134" w:type="dxa"/>
            <w:vAlign w:val="center"/>
          </w:tcPr>
          <w:p>
            <w:pPr>
              <w:pStyle w:val="11"/>
            </w:pPr>
            <w:r>
              <w:t>16.57</w:t>
            </w:r>
          </w:p>
        </w:tc>
        <w:tc>
          <w:tcPr>
            <w:tcW w:w="1134" w:type="dxa"/>
            <w:vAlign w:val="center"/>
          </w:tcPr>
          <w:p>
            <w:pPr>
              <w:pStyle w:val="11"/>
            </w:pPr>
            <w:r>
              <w:t>16.57</w:t>
            </w:r>
          </w:p>
        </w:tc>
        <w:tc>
          <w:tcPr>
            <w:tcW w:w="1134" w:type="dxa"/>
            <w:vAlign w:val="center"/>
          </w:tcPr>
          <w:p>
            <w:pPr>
              <w:pStyle w:val="11"/>
            </w:pPr>
            <w:r>
              <w:t>16.57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16</w:t>
            </w:r>
          </w:p>
        </w:tc>
        <w:tc>
          <w:tcPr>
            <w:tcW w:w="992" w:type="dxa"/>
            <w:vAlign w:val="center"/>
          </w:tcPr>
          <w:p>
            <w:pPr>
              <w:pStyle w:val="12"/>
            </w:pPr>
            <w:r>
              <w:t>22102</w:t>
            </w:r>
          </w:p>
        </w:tc>
        <w:tc>
          <w:tcPr>
            <w:tcW w:w="1559" w:type="dxa"/>
            <w:vAlign w:val="center"/>
          </w:tcPr>
          <w:p>
            <w:pPr>
              <w:pStyle w:val="12"/>
            </w:pPr>
            <w:r>
              <w:t>住房改革支出</w:t>
            </w:r>
          </w:p>
        </w:tc>
        <w:tc>
          <w:tcPr>
            <w:tcW w:w="1134" w:type="dxa"/>
            <w:vAlign w:val="center"/>
          </w:tcPr>
          <w:p>
            <w:pPr>
              <w:pStyle w:val="11"/>
            </w:pPr>
            <w:r>
              <w:t>16.57</w:t>
            </w:r>
          </w:p>
        </w:tc>
        <w:tc>
          <w:tcPr>
            <w:tcW w:w="1134" w:type="dxa"/>
            <w:vAlign w:val="center"/>
          </w:tcPr>
          <w:p>
            <w:pPr>
              <w:pStyle w:val="11"/>
            </w:pPr>
            <w:r>
              <w:t>16.57</w:t>
            </w:r>
          </w:p>
        </w:tc>
        <w:tc>
          <w:tcPr>
            <w:tcW w:w="1134" w:type="dxa"/>
            <w:vAlign w:val="center"/>
          </w:tcPr>
          <w:p>
            <w:pPr>
              <w:pStyle w:val="11"/>
            </w:pPr>
            <w:r>
              <w:t>16.57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17</w:t>
            </w:r>
          </w:p>
        </w:tc>
        <w:tc>
          <w:tcPr>
            <w:tcW w:w="992" w:type="dxa"/>
            <w:vAlign w:val="center"/>
          </w:tcPr>
          <w:p>
            <w:pPr>
              <w:pStyle w:val="12"/>
            </w:pPr>
            <w:r>
              <w:t>2210201</w:t>
            </w:r>
          </w:p>
        </w:tc>
        <w:tc>
          <w:tcPr>
            <w:tcW w:w="1559" w:type="dxa"/>
            <w:vAlign w:val="center"/>
          </w:tcPr>
          <w:p>
            <w:pPr>
              <w:pStyle w:val="12"/>
            </w:pPr>
            <w:r>
              <w:t>住房公积金</w:t>
            </w:r>
          </w:p>
        </w:tc>
        <w:tc>
          <w:tcPr>
            <w:tcW w:w="1134" w:type="dxa"/>
            <w:vAlign w:val="center"/>
          </w:tcPr>
          <w:p>
            <w:pPr>
              <w:pStyle w:val="11"/>
            </w:pPr>
            <w:r>
              <w:t>16.57</w:t>
            </w:r>
          </w:p>
        </w:tc>
        <w:tc>
          <w:tcPr>
            <w:tcW w:w="1134" w:type="dxa"/>
            <w:vAlign w:val="center"/>
          </w:tcPr>
          <w:p>
            <w:pPr>
              <w:pStyle w:val="11"/>
            </w:pPr>
            <w:r>
              <w:t>16.57</w:t>
            </w:r>
          </w:p>
        </w:tc>
        <w:tc>
          <w:tcPr>
            <w:tcW w:w="1134" w:type="dxa"/>
            <w:vAlign w:val="center"/>
          </w:tcPr>
          <w:p>
            <w:pPr>
              <w:pStyle w:val="11"/>
            </w:pPr>
            <w:r>
              <w:t>16.57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319001审计部门审计局本级</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预算年度：2025</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246.72</w:t>
            </w:r>
          </w:p>
        </w:tc>
        <w:tc>
          <w:tcPr>
            <w:tcW w:w="1361" w:type="dxa"/>
            <w:vAlign w:val="center"/>
          </w:tcPr>
          <w:p>
            <w:pPr>
              <w:pStyle w:val="15"/>
            </w:pPr>
            <w:r>
              <w:t>238.72</w:t>
            </w:r>
          </w:p>
        </w:tc>
        <w:tc>
          <w:tcPr>
            <w:tcW w:w="1361" w:type="dxa"/>
            <w:vAlign w:val="center"/>
          </w:tcPr>
          <w:p>
            <w:pPr>
              <w:pStyle w:val="15"/>
            </w:pPr>
            <w:r>
              <w:t>8.00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201</w:t>
            </w:r>
          </w:p>
        </w:tc>
        <w:tc>
          <w:tcPr>
            <w:tcW w:w="4535" w:type="dxa"/>
            <w:vAlign w:val="center"/>
          </w:tcPr>
          <w:p>
            <w:pPr>
              <w:pStyle w:val="12"/>
            </w:pPr>
            <w:r>
              <w:t>一般公共服务支出</w:t>
            </w:r>
          </w:p>
        </w:tc>
        <w:tc>
          <w:tcPr>
            <w:tcW w:w="1361" w:type="dxa"/>
            <w:vAlign w:val="center"/>
          </w:tcPr>
          <w:p>
            <w:pPr>
              <w:pStyle w:val="11"/>
            </w:pPr>
            <w:r>
              <w:t>173.76</w:t>
            </w:r>
          </w:p>
        </w:tc>
        <w:tc>
          <w:tcPr>
            <w:tcW w:w="1361" w:type="dxa"/>
            <w:vAlign w:val="center"/>
          </w:tcPr>
          <w:p>
            <w:pPr>
              <w:pStyle w:val="11"/>
            </w:pPr>
            <w:r>
              <w:t>165.76</w:t>
            </w:r>
          </w:p>
        </w:tc>
        <w:tc>
          <w:tcPr>
            <w:tcW w:w="1361" w:type="dxa"/>
            <w:vAlign w:val="center"/>
          </w:tcPr>
          <w:p>
            <w:pPr>
              <w:pStyle w:val="11"/>
            </w:pPr>
            <w:r>
              <w:t>8.00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20108</w:t>
            </w:r>
          </w:p>
        </w:tc>
        <w:tc>
          <w:tcPr>
            <w:tcW w:w="4535" w:type="dxa"/>
            <w:vAlign w:val="center"/>
          </w:tcPr>
          <w:p>
            <w:pPr>
              <w:pStyle w:val="12"/>
            </w:pPr>
            <w:r>
              <w:t>审计事务</w:t>
            </w:r>
          </w:p>
        </w:tc>
        <w:tc>
          <w:tcPr>
            <w:tcW w:w="1361" w:type="dxa"/>
            <w:vAlign w:val="center"/>
          </w:tcPr>
          <w:p>
            <w:pPr>
              <w:pStyle w:val="11"/>
            </w:pPr>
            <w:r>
              <w:t>173.76</w:t>
            </w:r>
          </w:p>
        </w:tc>
        <w:tc>
          <w:tcPr>
            <w:tcW w:w="1361" w:type="dxa"/>
            <w:vAlign w:val="center"/>
          </w:tcPr>
          <w:p>
            <w:pPr>
              <w:pStyle w:val="11"/>
            </w:pPr>
            <w:r>
              <w:t>165.76</w:t>
            </w:r>
          </w:p>
        </w:tc>
        <w:tc>
          <w:tcPr>
            <w:tcW w:w="1361" w:type="dxa"/>
            <w:vAlign w:val="center"/>
          </w:tcPr>
          <w:p>
            <w:pPr>
              <w:pStyle w:val="11"/>
            </w:pPr>
            <w:r>
              <w:t>8.00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2010801</w:t>
            </w:r>
          </w:p>
        </w:tc>
        <w:tc>
          <w:tcPr>
            <w:tcW w:w="4535" w:type="dxa"/>
            <w:vAlign w:val="center"/>
          </w:tcPr>
          <w:p>
            <w:pPr>
              <w:pStyle w:val="12"/>
            </w:pPr>
            <w:r>
              <w:t>行政运行</w:t>
            </w:r>
          </w:p>
        </w:tc>
        <w:tc>
          <w:tcPr>
            <w:tcW w:w="1361" w:type="dxa"/>
            <w:vAlign w:val="center"/>
          </w:tcPr>
          <w:p>
            <w:pPr>
              <w:pStyle w:val="11"/>
            </w:pPr>
            <w:r>
              <w:t>165.76</w:t>
            </w:r>
          </w:p>
        </w:tc>
        <w:tc>
          <w:tcPr>
            <w:tcW w:w="1361" w:type="dxa"/>
            <w:vAlign w:val="center"/>
          </w:tcPr>
          <w:p>
            <w:pPr>
              <w:pStyle w:val="11"/>
            </w:pPr>
            <w:r>
              <w:t>165.76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2010804</w:t>
            </w:r>
          </w:p>
        </w:tc>
        <w:tc>
          <w:tcPr>
            <w:tcW w:w="4535" w:type="dxa"/>
            <w:vAlign w:val="center"/>
          </w:tcPr>
          <w:p>
            <w:pPr>
              <w:pStyle w:val="12"/>
            </w:pPr>
            <w:r>
              <w:t>审计业务</w:t>
            </w:r>
          </w:p>
        </w:tc>
        <w:tc>
          <w:tcPr>
            <w:tcW w:w="1361" w:type="dxa"/>
            <w:vAlign w:val="center"/>
          </w:tcPr>
          <w:p>
            <w:pPr>
              <w:pStyle w:val="11"/>
            </w:pPr>
            <w:r>
              <w:t>8.00</w:t>
            </w:r>
          </w:p>
        </w:tc>
        <w:tc>
          <w:tcPr>
            <w:tcW w:w="1361" w:type="dxa"/>
            <w:vAlign w:val="center"/>
          </w:tcPr>
          <w:p>
            <w:pPr>
              <w:pStyle w:val="11"/>
            </w:pPr>
          </w:p>
        </w:tc>
        <w:tc>
          <w:tcPr>
            <w:tcW w:w="1361" w:type="dxa"/>
            <w:vAlign w:val="center"/>
          </w:tcPr>
          <w:p>
            <w:pPr>
              <w:pStyle w:val="11"/>
            </w:pPr>
            <w:r>
              <w:t>8.00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208</w:t>
            </w:r>
          </w:p>
        </w:tc>
        <w:tc>
          <w:tcPr>
            <w:tcW w:w="4535" w:type="dxa"/>
            <w:vAlign w:val="center"/>
          </w:tcPr>
          <w:p>
            <w:pPr>
              <w:pStyle w:val="12"/>
            </w:pPr>
            <w:r>
              <w:t>社会保障和就业支出</w:t>
            </w:r>
          </w:p>
        </w:tc>
        <w:tc>
          <w:tcPr>
            <w:tcW w:w="1361" w:type="dxa"/>
            <w:vAlign w:val="center"/>
          </w:tcPr>
          <w:p>
            <w:pPr>
              <w:pStyle w:val="11"/>
            </w:pPr>
            <w:r>
              <w:t>32.58</w:t>
            </w:r>
          </w:p>
        </w:tc>
        <w:tc>
          <w:tcPr>
            <w:tcW w:w="1361" w:type="dxa"/>
            <w:vAlign w:val="center"/>
          </w:tcPr>
          <w:p>
            <w:pPr>
              <w:pStyle w:val="11"/>
            </w:pPr>
            <w:r>
              <w:t>32.58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20805</w:t>
            </w:r>
          </w:p>
        </w:tc>
        <w:tc>
          <w:tcPr>
            <w:tcW w:w="4535" w:type="dxa"/>
            <w:vAlign w:val="center"/>
          </w:tcPr>
          <w:p>
            <w:pPr>
              <w:pStyle w:val="12"/>
            </w:pPr>
            <w:r>
              <w:t>行政事业单位养老支出</w:t>
            </w:r>
          </w:p>
        </w:tc>
        <w:tc>
          <w:tcPr>
            <w:tcW w:w="1361" w:type="dxa"/>
            <w:vAlign w:val="center"/>
          </w:tcPr>
          <w:p>
            <w:pPr>
              <w:pStyle w:val="11"/>
            </w:pPr>
            <w:r>
              <w:t>32.58</w:t>
            </w:r>
          </w:p>
        </w:tc>
        <w:tc>
          <w:tcPr>
            <w:tcW w:w="1361" w:type="dxa"/>
            <w:vAlign w:val="center"/>
          </w:tcPr>
          <w:p>
            <w:pPr>
              <w:pStyle w:val="11"/>
            </w:pPr>
            <w:r>
              <w:t>32.58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2080501</w:t>
            </w:r>
          </w:p>
        </w:tc>
        <w:tc>
          <w:tcPr>
            <w:tcW w:w="4535" w:type="dxa"/>
            <w:vAlign w:val="center"/>
          </w:tcPr>
          <w:p>
            <w:pPr>
              <w:pStyle w:val="12"/>
            </w:pPr>
            <w:r>
              <w:t>行政单位离退休</w:t>
            </w:r>
          </w:p>
        </w:tc>
        <w:tc>
          <w:tcPr>
            <w:tcW w:w="1361" w:type="dxa"/>
            <w:vAlign w:val="center"/>
          </w:tcPr>
          <w:p>
            <w:pPr>
              <w:pStyle w:val="11"/>
            </w:pPr>
            <w:r>
              <w:t>9.88</w:t>
            </w:r>
          </w:p>
        </w:tc>
        <w:tc>
          <w:tcPr>
            <w:tcW w:w="1361" w:type="dxa"/>
            <w:vAlign w:val="center"/>
          </w:tcPr>
          <w:p>
            <w:pPr>
              <w:pStyle w:val="11"/>
            </w:pPr>
            <w:r>
              <w:t>9.88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2080505</w:t>
            </w:r>
          </w:p>
        </w:tc>
        <w:tc>
          <w:tcPr>
            <w:tcW w:w="4535" w:type="dxa"/>
            <w:vAlign w:val="center"/>
          </w:tcPr>
          <w:p>
            <w:pPr>
              <w:pStyle w:val="12"/>
            </w:pPr>
            <w:r>
              <w:t>机关事业单位基本养老保险缴费支出</w:t>
            </w:r>
          </w:p>
        </w:tc>
        <w:tc>
          <w:tcPr>
            <w:tcW w:w="1361" w:type="dxa"/>
            <w:vAlign w:val="center"/>
          </w:tcPr>
          <w:p>
            <w:pPr>
              <w:pStyle w:val="11"/>
            </w:pPr>
            <w:r>
              <w:t>21.54</w:t>
            </w:r>
          </w:p>
        </w:tc>
        <w:tc>
          <w:tcPr>
            <w:tcW w:w="1361" w:type="dxa"/>
            <w:vAlign w:val="center"/>
          </w:tcPr>
          <w:p>
            <w:pPr>
              <w:pStyle w:val="11"/>
            </w:pPr>
            <w:r>
              <w:t>21.54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2080506</w:t>
            </w:r>
          </w:p>
        </w:tc>
        <w:tc>
          <w:tcPr>
            <w:tcW w:w="4535" w:type="dxa"/>
            <w:vAlign w:val="center"/>
          </w:tcPr>
          <w:p>
            <w:pPr>
              <w:pStyle w:val="12"/>
            </w:pPr>
            <w:r>
              <w:t>机关事业单位职业年金缴费支出</w:t>
            </w:r>
          </w:p>
        </w:tc>
        <w:tc>
          <w:tcPr>
            <w:tcW w:w="1361" w:type="dxa"/>
            <w:vAlign w:val="center"/>
          </w:tcPr>
          <w:p>
            <w:pPr>
              <w:pStyle w:val="11"/>
            </w:pPr>
            <w:r>
              <w:t>1.17</w:t>
            </w:r>
          </w:p>
        </w:tc>
        <w:tc>
          <w:tcPr>
            <w:tcW w:w="1361" w:type="dxa"/>
            <w:vAlign w:val="center"/>
          </w:tcPr>
          <w:p>
            <w:pPr>
              <w:pStyle w:val="11"/>
            </w:pPr>
            <w:r>
              <w:t>1.17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23.81</w:t>
            </w:r>
          </w:p>
        </w:tc>
        <w:tc>
          <w:tcPr>
            <w:tcW w:w="1361" w:type="dxa"/>
            <w:vAlign w:val="center"/>
          </w:tcPr>
          <w:p>
            <w:pPr>
              <w:pStyle w:val="11"/>
            </w:pPr>
            <w:r>
              <w:t>23.81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21011</w:t>
            </w:r>
          </w:p>
        </w:tc>
        <w:tc>
          <w:tcPr>
            <w:tcW w:w="4535" w:type="dxa"/>
            <w:vAlign w:val="center"/>
          </w:tcPr>
          <w:p>
            <w:pPr>
              <w:pStyle w:val="12"/>
            </w:pPr>
            <w:r>
              <w:t>行政事业单位医疗</w:t>
            </w:r>
          </w:p>
        </w:tc>
        <w:tc>
          <w:tcPr>
            <w:tcW w:w="1361" w:type="dxa"/>
            <w:vAlign w:val="center"/>
          </w:tcPr>
          <w:p>
            <w:pPr>
              <w:pStyle w:val="11"/>
            </w:pPr>
            <w:r>
              <w:t>23.81</w:t>
            </w:r>
          </w:p>
        </w:tc>
        <w:tc>
          <w:tcPr>
            <w:tcW w:w="1361" w:type="dxa"/>
            <w:vAlign w:val="center"/>
          </w:tcPr>
          <w:p>
            <w:pPr>
              <w:pStyle w:val="11"/>
            </w:pPr>
            <w:r>
              <w:t>23.81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2"/>
            </w:pPr>
            <w:r>
              <w:t>2101101</w:t>
            </w:r>
          </w:p>
        </w:tc>
        <w:tc>
          <w:tcPr>
            <w:tcW w:w="4535" w:type="dxa"/>
            <w:vAlign w:val="center"/>
          </w:tcPr>
          <w:p>
            <w:pPr>
              <w:pStyle w:val="12"/>
            </w:pPr>
            <w:r>
              <w:t>行政单位医疗</w:t>
            </w:r>
          </w:p>
        </w:tc>
        <w:tc>
          <w:tcPr>
            <w:tcW w:w="1361" w:type="dxa"/>
            <w:vAlign w:val="center"/>
          </w:tcPr>
          <w:p>
            <w:pPr>
              <w:pStyle w:val="11"/>
            </w:pPr>
            <w:r>
              <w:t>9.42</w:t>
            </w:r>
          </w:p>
        </w:tc>
        <w:tc>
          <w:tcPr>
            <w:tcW w:w="1361" w:type="dxa"/>
            <w:vAlign w:val="center"/>
          </w:tcPr>
          <w:p>
            <w:pPr>
              <w:pStyle w:val="11"/>
            </w:pPr>
            <w:r>
              <w:t>9.42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vAlign w:val="center"/>
          </w:tcPr>
          <w:p>
            <w:pPr>
              <w:pStyle w:val="12"/>
            </w:pPr>
            <w:r>
              <w:t>2101103</w:t>
            </w:r>
          </w:p>
        </w:tc>
        <w:tc>
          <w:tcPr>
            <w:tcW w:w="4535" w:type="dxa"/>
            <w:vAlign w:val="center"/>
          </w:tcPr>
          <w:p>
            <w:pPr>
              <w:pStyle w:val="12"/>
            </w:pPr>
            <w:r>
              <w:t>公务员医疗补助</w:t>
            </w:r>
          </w:p>
        </w:tc>
        <w:tc>
          <w:tcPr>
            <w:tcW w:w="1361" w:type="dxa"/>
            <w:vAlign w:val="center"/>
          </w:tcPr>
          <w:p>
            <w:pPr>
              <w:pStyle w:val="11"/>
            </w:pPr>
            <w:r>
              <w:t>14.39</w:t>
            </w:r>
          </w:p>
        </w:tc>
        <w:tc>
          <w:tcPr>
            <w:tcW w:w="1361" w:type="dxa"/>
            <w:vAlign w:val="center"/>
          </w:tcPr>
          <w:p>
            <w:pPr>
              <w:pStyle w:val="11"/>
            </w:pPr>
            <w:r>
              <w:t>14.39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992" w:type="dxa"/>
            <w:vAlign w:val="center"/>
          </w:tcPr>
          <w:p>
            <w:pPr>
              <w:pStyle w:val="12"/>
            </w:pPr>
            <w:r>
              <w:t>221</w:t>
            </w:r>
          </w:p>
        </w:tc>
        <w:tc>
          <w:tcPr>
            <w:tcW w:w="4535" w:type="dxa"/>
            <w:vAlign w:val="center"/>
          </w:tcPr>
          <w:p>
            <w:pPr>
              <w:pStyle w:val="12"/>
            </w:pPr>
            <w:r>
              <w:t>住房保障支出</w:t>
            </w:r>
          </w:p>
        </w:tc>
        <w:tc>
          <w:tcPr>
            <w:tcW w:w="1361" w:type="dxa"/>
            <w:vAlign w:val="center"/>
          </w:tcPr>
          <w:p>
            <w:pPr>
              <w:pStyle w:val="11"/>
            </w:pPr>
            <w:r>
              <w:t>16.57</w:t>
            </w:r>
          </w:p>
        </w:tc>
        <w:tc>
          <w:tcPr>
            <w:tcW w:w="1361" w:type="dxa"/>
            <w:vAlign w:val="center"/>
          </w:tcPr>
          <w:p>
            <w:pPr>
              <w:pStyle w:val="11"/>
            </w:pPr>
            <w:r>
              <w:t>16.57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992" w:type="dxa"/>
            <w:vAlign w:val="center"/>
          </w:tcPr>
          <w:p>
            <w:pPr>
              <w:pStyle w:val="12"/>
            </w:pPr>
            <w:r>
              <w:t>22102</w:t>
            </w:r>
          </w:p>
        </w:tc>
        <w:tc>
          <w:tcPr>
            <w:tcW w:w="4535" w:type="dxa"/>
            <w:vAlign w:val="center"/>
          </w:tcPr>
          <w:p>
            <w:pPr>
              <w:pStyle w:val="12"/>
            </w:pPr>
            <w:r>
              <w:t>住房改革支出</w:t>
            </w:r>
          </w:p>
        </w:tc>
        <w:tc>
          <w:tcPr>
            <w:tcW w:w="1361" w:type="dxa"/>
            <w:vAlign w:val="center"/>
          </w:tcPr>
          <w:p>
            <w:pPr>
              <w:pStyle w:val="11"/>
            </w:pPr>
            <w:r>
              <w:t>16.57</w:t>
            </w:r>
          </w:p>
        </w:tc>
        <w:tc>
          <w:tcPr>
            <w:tcW w:w="1361" w:type="dxa"/>
            <w:vAlign w:val="center"/>
          </w:tcPr>
          <w:p>
            <w:pPr>
              <w:pStyle w:val="11"/>
            </w:pPr>
            <w:r>
              <w:t>16.57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992" w:type="dxa"/>
            <w:vAlign w:val="center"/>
          </w:tcPr>
          <w:p>
            <w:pPr>
              <w:pStyle w:val="12"/>
            </w:pPr>
            <w:r>
              <w:t>2210201</w:t>
            </w:r>
          </w:p>
        </w:tc>
        <w:tc>
          <w:tcPr>
            <w:tcW w:w="4535" w:type="dxa"/>
            <w:vAlign w:val="center"/>
          </w:tcPr>
          <w:p>
            <w:pPr>
              <w:pStyle w:val="12"/>
            </w:pPr>
            <w:r>
              <w:t>住房公积金</w:t>
            </w:r>
          </w:p>
        </w:tc>
        <w:tc>
          <w:tcPr>
            <w:tcW w:w="1361" w:type="dxa"/>
            <w:vAlign w:val="center"/>
          </w:tcPr>
          <w:p>
            <w:pPr>
              <w:pStyle w:val="11"/>
            </w:pPr>
            <w:r>
              <w:t>16.57</w:t>
            </w:r>
          </w:p>
        </w:tc>
        <w:tc>
          <w:tcPr>
            <w:tcW w:w="1361" w:type="dxa"/>
            <w:vAlign w:val="center"/>
          </w:tcPr>
          <w:p>
            <w:pPr>
              <w:pStyle w:val="11"/>
            </w:pPr>
            <w:r>
              <w:t>16.57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319001审计部门审计局本级</w:t>
            </w:r>
          </w:p>
        </w:tc>
        <w:tc>
          <w:tcPr>
            <w:tcW w:w="3402" w:type="dxa"/>
            <w:tcBorders>
              <w:top w:val="single" w:color="FFFFFF" w:sz="6" w:space="0"/>
              <w:left w:val="single" w:color="FFFFFF" w:sz="6" w:space="0"/>
              <w:right w:val="single" w:color="FFFFFF" w:sz="6" w:space="0"/>
            </w:tcBorders>
            <w:vAlign w:val="center"/>
          </w:tcPr>
          <w:p>
            <w:pPr>
              <w:pStyle w:val="8"/>
            </w:pPr>
            <w:r>
              <w:t>预算年度：2025</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246.72</w:t>
            </w:r>
          </w:p>
        </w:tc>
        <w:tc>
          <w:tcPr>
            <w:tcW w:w="3402" w:type="dxa"/>
            <w:vAlign w:val="center"/>
          </w:tcPr>
          <w:p>
            <w:pPr>
              <w:pStyle w:val="12"/>
            </w:pPr>
            <w:r>
              <w:t>一、一般公共服务支出</w:t>
            </w:r>
          </w:p>
        </w:tc>
        <w:tc>
          <w:tcPr>
            <w:tcW w:w="1474" w:type="dxa"/>
            <w:vAlign w:val="center"/>
          </w:tcPr>
          <w:p>
            <w:pPr>
              <w:pStyle w:val="11"/>
            </w:pPr>
            <w:r>
              <w:t>173.76</w:t>
            </w:r>
          </w:p>
        </w:tc>
        <w:tc>
          <w:tcPr>
            <w:tcW w:w="1474" w:type="dxa"/>
            <w:vAlign w:val="center"/>
          </w:tcPr>
          <w:p>
            <w:pPr>
              <w:pStyle w:val="11"/>
            </w:pPr>
            <w:r>
              <w:t>173.76</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r>
              <w:t>32.58</w:t>
            </w:r>
          </w:p>
        </w:tc>
        <w:tc>
          <w:tcPr>
            <w:tcW w:w="1474" w:type="dxa"/>
            <w:vAlign w:val="center"/>
          </w:tcPr>
          <w:p>
            <w:pPr>
              <w:pStyle w:val="11"/>
            </w:pPr>
            <w:r>
              <w:t>32.58</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23.81</w:t>
            </w:r>
          </w:p>
        </w:tc>
        <w:tc>
          <w:tcPr>
            <w:tcW w:w="1474" w:type="dxa"/>
            <w:vAlign w:val="center"/>
          </w:tcPr>
          <w:p>
            <w:pPr>
              <w:pStyle w:val="11"/>
            </w:pPr>
            <w:r>
              <w:t>23.81</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r>
              <w:t>16.57</w:t>
            </w:r>
          </w:p>
        </w:tc>
        <w:tc>
          <w:tcPr>
            <w:tcW w:w="1474" w:type="dxa"/>
            <w:vAlign w:val="center"/>
          </w:tcPr>
          <w:p>
            <w:pPr>
              <w:pStyle w:val="11"/>
            </w:pPr>
            <w:r>
              <w:t>16.57</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246.72</w:t>
            </w:r>
          </w:p>
        </w:tc>
        <w:tc>
          <w:tcPr>
            <w:tcW w:w="3402" w:type="dxa"/>
            <w:vAlign w:val="center"/>
          </w:tcPr>
          <w:p>
            <w:pPr>
              <w:pStyle w:val="14"/>
            </w:pPr>
            <w:r>
              <w:t>本年支出合计</w:t>
            </w:r>
          </w:p>
        </w:tc>
        <w:tc>
          <w:tcPr>
            <w:tcW w:w="1474" w:type="dxa"/>
            <w:vAlign w:val="center"/>
          </w:tcPr>
          <w:p>
            <w:pPr>
              <w:pStyle w:val="15"/>
            </w:pPr>
            <w:r>
              <w:t>246.72</w:t>
            </w:r>
          </w:p>
        </w:tc>
        <w:tc>
          <w:tcPr>
            <w:tcW w:w="1474" w:type="dxa"/>
            <w:vAlign w:val="center"/>
          </w:tcPr>
          <w:p>
            <w:pPr>
              <w:pStyle w:val="15"/>
            </w:pPr>
            <w:r>
              <w:t>246.72</w:t>
            </w:r>
          </w:p>
        </w:tc>
        <w:tc>
          <w:tcPr>
            <w:tcW w:w="1474" w:type="dxa"/>
            <w:vAlign w:val="center"/>
          </w:tcPr>
          <w:p>
            <w:pPr>
              <w:pStyle w:val="15"/>
            </w:pPr>
          </w:p>
        </w:tc>
        <w:tc>
          <w:tcPr>
            <w:tcW w:w="1474"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246.72</w:t>
            </w:r>
          </w:p>
        </w:tc>
        <w:tc>
          <w:tcPr>
            <w:tcW w:w="3402" w:type="dxa"/>
            <w:vAlign w:val="center"/>
          </w:tcPr>
          <w:p>
            <w:pPr>
              <w:pStyle w:val="14"/>
            </w:pPr>
            <w:r>
              <w:t>支出总计</w:t>
            </w:r>
          </w:p>
        </w:tc>
        <w:tc>
          <w:tcPr>
            <w:tcW w:w="1474" w:type="dxa"/>
            <w:vAlign w:val="center"/>
          </w:tcPr>
          <w:p>
            <w:pPr>
              <w:pStyle w:val="15"/>
            </w:pPr>
            <w:r>
              <w:t>246.72</w:t>
            </w:r>
          </w:p>
        </w:tc>
        <w:tc>
          <w:tcPr>
            <w:tcW w:w="1474" w:type="dxa"/>
            <w:vAlign w:val="center"/>
          </w:tcPr>
          <w:p>
            <w:pPr>
              <w:pStyle w:val="15"/>
            </w:pPr>
            <w:r>
              <w:t>246.72</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319001审计部门审计局本级</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246.72</w:t>
            </w:r>
          </w:p>
        </w:tc>
        <w:tc>
          <w:tcPr>
            <w:tcW w:w="2551" w:type="dxa"/>
            <w:vAlign w:val="center"/>
          </w:tcPr>
          <w:p>
            <w:pPr>
              <w:pStyle w:val="15"/>
            </w:pPr>
            <w:r>
              <w:t>238.72</w:t>
            </w:r>
          </w:p>
        </w:tc>
        <w:tc>
          <w:tcPr>
            <w:tcW w:w="2551" w:type="dxa"/>
            <w:vAlign w:val="center"/>
          </w:tcPr>
          <w:p>
            <w:pPr>
              <w:pStyle w:val="15"/>
            </w:pPr>
            <w:r>
              <w:t>8.00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201</w:t>
            </w:r>
          </w:p>
        </w:tc>
        <w:tc>
          <w:tcPr>
            <w:tcW w:w="4535" w:type="dxa"/>
            <w:vAlign w:val="center"/>
          </w:tcPr>
          <w:p>
            <w:pPr>
              <w:pStyle w:val="12"/>
            </w:pPr>
            <w:r>
              <w:t>一般公共服务支出</w:t>
            </w:r>
          </w:p>
        </w:tc>
        <w:tc>
          <w:tcPr>
            <w:tcW w:w="2551" w:type="dxa"/>
            <w:vAlign w:val="center"/>
          </w:tcPr>
          <w:p>
            <w:pPr>
              <w:pStyle w:val="11"/>
            </w:pPr>
            <w:r>
              <w:t>173.76</w:t>
            </w:r>
          </w:p>
        </w:tc>
        <w:tc>
          <w:tcPr>
            <w:tcW w:w="2551" w:type="dxa"/>
            <w:vAlign w:val="center"/>
          </w:tcPr>
          <w:p>
            <w:pPr>
              <w:pStyle w:val="11"/>
            </w:pPr>
            <w:r>
              <w:t>165.76</w:t>
            </w:r>
          </w:p>
        </w:tc>
        <w:tc>
          <w:tcPr>
            <w:tcW w:w="2551" w:type="dxa"/>
            <w:vAlign w:val="center"/>
          </w:tcPr>
          <w:p>
            <w:pPr>
              <w:pStyle w:val="11"/>
            </w:pPr>
            <w:r>
              <w:t>8.00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20108</w:t>
            </w:r>
          </w:p>
        </w:tc>
        <w:tc>
          <w:tcPr>
            <w:tcW w:w="4535" w:type="dxa"/>
            <w:vAlign w:val="center"/>
          </w:tcPr>
          <w:p>
            <w:pPr>
              <w:pStyle w:val="12"/>
            </w:pPr>
            <w:r>
              <w:t>审计事务</w:t>
            </w:r>
          </w:p>
        </w:tc>
        <w:tc>
          <w:tcPr>
            <w:tcW w:w="2551" w:type="dxa"/>
            <w:vAlign w:val="center"/>
          </w:tcPr>
          <w:p>
            <w:pPr>
              <w:pStyle w:val="11"/>
            </w:pPr>
            <w:r>
              <w:t>173.76</w:t>
            </w:r>
          </w:p>
        </w:tc>
        <w:tc>
          <w:tcPr>
            <w:tcW w:w="2551" w:type="dxa"/>
            <w:vAlign w:val="center"/>
          </w:tcPr>
          <w:p>
            <w:pPr>
              <w:pStyle w:val="11"/>
            </w:pPr>
            <w:r>
              <w:t>165.76</w:t>
            </w:r>
          </w:p>
        </w:tc>
        <w:tc>
          <w:tcPr>
            <w:tcW w:w="2551" w:type="dxa"/>
            <w:vAlign w:val="center"/>
          </w:tcPr>
          <w:p>
            <w:pPr>
              <w:pStyle w:val="11"/>
            </w:pPr>
            <w:r>
              <w:t>8.00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2010801</w:t>
            </w:r>
          </w:p>
        </w:tc>
        <w:tc>
          <w:tcPr>
            <w:tcW w:w="4535" w:type="dxa"/>
            <w:vAlign w:val="center"/>
          </w:tcPr>
          <w:p>
            <w:pPr>
              <w:pStyle w:val="12"/>
            </w:pPr>
            <w:r>
              <w:t>行政运行</w:t>
            </w:r>
          </w:p>
        </w:tc>
        <w:tc>
          <w:tcPr>
            <w:tcW w:w="2551" w:type="dxa"/>
            <w:vAlign w:val="center"/>
          </w:tcPr>
          <w:p>
            <w:pPr>
              <w:pStyle w:val="11"/>
            </w:pPr>
            <w:r>
              <w:t>165.76</w:t>
            </w:r>
          </w:p>
        </w:tc>
        <w:tc>
          <w:tcPr>
            <w:tcW w:w="2551" w:type="dxa"/>
            <w:vAlign w:val="center"/>
          </w:tcPr>
          <w:p>
            <w:pPr>
              <w:pStyle w:val="11"/>
            </w:pPr>
            <w:r>
              <w:t>165.76</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2010804</w:t>
            </w:r>
          </w:p>
        </w:tc>
        <w:tc>
          <w:tcPr>
            <w:tcW w:w="4535" w:type="dxa"/>
            <w:vAlign w:val="center"/>
          </w:tcPr>
          <w:p>
            <w:pPr>
              <w:pStyle w:val="12"/>
            </w:pPr>
            <w:r>
              <w:t>审计业务</w:t>
            </w:r>
          </w:p>
        </w:tc>
        <w:tc>
          <w:tcPr>
            <w:tcW w:w="2551" w:type="dxa"/>
            <w:vAlign w:val="center"/>
          </w:tcPr>
          <w:p>
            <w:pPr>
              <w:pStyle w:val="11"/>
            </w:pPr>
            <w:r>
              <w:t>8.00</w:t>
            </w:r>
          </w:p>
        </w:tc>
        <w:tc>
          <w:tcPr>
            <w:tcW w:w="2551" w:type="dxa"/>
            <w:vAlign w:val="center"/>
          </w:tcPr>
          <w:p>
            <w:pPr>
              <w:pStyle w:val="11"/>
            </w:pPr>
          </w:p>
        </w:tc>
        <w:tc>
          <w:tcPr>
            <w:tcW w:w="2551" w:type="dxa"/>
            <w:vAlign w:val="center"/>
          </w:tcPr>
          <w:p>
            <w:pPr>
              <w:pStyle w:val="11"/>
            </w:pPr>
            <w:r>
              <w:t>8.00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32.58</w:t>
            </w:r>
          </w:p>
        </w:tc>
        <w:tc>
          <w:tcPr>
            <w:tcW w:w="2551" w:type="dxa"/>
            <w:vAlign w:val="center"/>
          </w:tcPr>
          <w:p>
            <w:pPr>
              <w:pStyle w:val="11"/>
            </w:pPr>
            <w:r>
              <w:t>32.58</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1"/>
            </w:pPr>
            <w:r>
              <w:t>32.58</w:t>
            </w:r>
          </w:p>
        </w:tc>
        <w:tc>
          <w:tcPr>
            <w:tcW w:w="2551" w:type="dxa"/>
            <w:vAlign w:val="center"/>
          </w:tcPr>
          <w:p>
            <w:pPr>
              <w:pStyle w:val="11"/>
            </w:pPr>
            <w:r>
              <w:t>32.58</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2080501</w:t>
            </w:r>
          </w:p>
        </w:tc>
        <w:tc>
          <w:tcPr>
            <w:tcW w:w="4535" w:type="dxa"/>
            <w:vAlign w:val="center"/>
          </w:tcPr>
          <w:p>
            <w:pPr>
              <w:pStyle w:val="12"/>
            </w:pPr>
            <w:r>
              <w:t>行政单位离退休</w:t>
            </w:r>
          </w:p>
        </w:tc>
        <w:tc>
          <w:tcPr>
            <w:tcW w:w="2551" w:type="dxa"/>
            <w:vAlign w:val="center"/>
          </w:tcPr>
          <w:p>
            <w:pPr>
              <w:pStyle w:val="11"/>
            </w:pPr>
            <w:r>
              <w:t>9.88</w:t>
            </w:r>
          </w:p>
        </w:tc>
        <w:tc>
          <w:tcPr>
            <w:tcW w:w="2551" w:type="dxa"/>
            <w:vAlign w:val="center"/>
          </w:tcPr>
          <w:p>
            <w:pPr>
              <w:pStyle w:val="11"/>
            </w:pPr>
            <w:r>
              <w:t>9.88</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2080505</w:t>
            </w:r>
          </w:p>
        </w:tc>
        <w:tc>
          <w:tcPr>
            <w:tcW w:w="4535" w:type="dxa"/>
            <w:vAlign w:val="center"/>
          </w:tcPr>
          <w:p>
            <w:pPr>
              <w:pStyle w:val="12"/>
            </w:pPr>
            <w:r>
              <w:t>机关事业单位基本养老保险缴费支出</w:t>
            </w:r>
          </w:p>
        </w:tc>
        <w:tc>
          <w:tcPr>
            <w:tcW w:w="2551" w:type="dxa"/>
            <w:vAlign w:val="center"/>
          </w:tcPr>
          <w:p>
            <w:pPr>
              <w:pStyle w:val="11"/>
            </w:pPr>
            <w:r>
              <w:t>21.54</w:t>
            </w:r>
          </w:p>
        </w:tc>
        <w:tc>
          <w:tcPr>
            <w:tcW w:w="2551" w:type="dxa"/>
            <w:vAlign w:val="center"/>
          </w:tcPr>
          <w:p>
            <w:pPr>
              <w:pStyle w:val="11"/>
            </w:pPr>
            <w:r>
              <w:t>21.54</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2080506</w:t>
            </w:r>
          </w:p>
        </w:tc>
        <w:tc>
          <w:tcPr>
            <w:tcW w:w="4535" w:type="dxa"/>
            <w:vAlign w:val="center"/>
          </w:tcPr>
          <w:p>
            <w:pPr>
              <w:pStyle w:val="12"/>
            </w:pPr>
            <w:r>
              <w:t>机关事业单位职业年金缴费支出</w:t>
            </w:r>
          </w:p>
        </w:tc>
        <w:tc>
          <w:tcPr>
            <w:tcW w:w="2551" w:type="dxa"/>
            <w:vAlign w:val="center"/>
          </w:tcPr>
          <w:p>
            <w:pPr>
              <w:pStyle w:val="11"/>
            </w:pPr>
            <w:r>
              <w:t>1.17</w:t>
            </w:r>
          </w:p>
        </w:tc>
        <w:tc>
          <w:tcPr>
            <w:tcW w:w="2551" w:type="dxa"/>
            <w:vAlign w:val="center"/>
          </w:tcPr>
          <w:p>
            <w:pPr>
              <w:pStyle w:val="11"/>
            </w:pPr>
            <w:r>
              <w:t>1.17</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23.81</w:t>
            </w:r>
          </w:p>
        </w:tc>
        <w:tc>
          <w:tcPr>
            <w:tcW w:w="2551" w:type="dxa"/>
            <w:vAlign w:val="center"/>
          </w:tcPr>
          <w:p>
            <w:pPr>
              <w:pStyle w:val="11"/>
            </w:pPr>
            <w:r>
              <w:t>23.81</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21011</w:t>
            </w:r>
          </w:p>
        </w:tc>
        <w:tc>
          <w:tcPr>
            <w:tcW w:w="4535" w:type="dxa"/>
            <w:vAlign w:val="center"/>
          </w:tcPr>
          <w:p>
            <w:pPr>
              <w:pStyle w:val="12"/>
            </w:pPr>
            <w:r>
              <w:t>行政事业单位医疗</w:t>
            </w:r>
          </w:p>
        </w:tc>
        <w:tc>
          <w:tcPr>
            <w:tcW w:w="2551" w:type="dxa"/>
            <w:vAlign w:val="center"/>
          </w:tcPr>
          <w:p>
            <w:pPr>
              <w:pStyle w:val="11"/>
            </w:pPr>
            <w:r>
              <w:t>23.81</w:t>
            </w:r>
          </w:p>
        </w:tc>
        <w:tc>
          <w:tcPr>
            <w:tcW w:w="2551" w:type="dxa"/>
            <w:vAlign w:val="center"/>
          </w:tcPr>
          <w:p>
            <w:pPr>
              <w:pStyle w:val="11"/>
            </w:pPr>
            <w:r>
              <w:t>23.81</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2101101</w:t>
            </w:r>
          </w:p>
        </w:tc>
        <w:tc>
          <w:tcPr>
            <w:tcW w:w="4535" w:type="dxa"/>
            <w:vAlign w:val="center"/>
          </w:tcPr>
          <w:p>
            <w:pPr>
              <w:pStyle w:val="12"/>
            </w:pPr>
            <w:r>
              <w:t>行政单位医疗</w:t>
            </w:r>
          </w:p>
        </w:tc>
        <w:tc>
          <w:tcPr>
            <w:tcW w:w="2551" w:type="dxa"/>
            <w:vAlign w:val="center"/>
          </w:tcPr>
          <w:p>
            <w:pPr>
              <w:pStyle w:val="11"/>
            </w:pPr>
            <w:r>
              <w:t>9.42</w:t>
            </w:r>
          </w:p>
        </w:tc>
        <w:tc>
          <w:tcPr>
            <w:tcW w:w="2551" w:type="dxa"/>
            <w:vAlign w:val="center"/>
          </w:tcPr>
          <w:p>
            <w:pPr>
              <w:pStyle w:val="11"/>
            </w:pPr>
            <w:r>
              <w:t>9.42</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2101103</w:t>
            </w:r>
          </w:p>
        </w:tc>
        <w:tc>
          <w:tcPr>
            <w:tcW w:w="4535" w:type="dxa"/>
            <w:vAlign w:val="center"/>
          </w:tcPr>
          <w:p>
            <w:pPr>
              <w:pStyle w:val="12"/>
            </w:pPr>
            <w:r>
              <w:t>公务员医疗补助</w:t>
            </w:r>
          </w:p>
        </w:tc>
        <w:tc>
          <w:tcPr>
            <w:tcW w:w="2551" w:type="dxa"/>
            <w:vAlign w:val="center"/>
          </w:tcPr>
          <w:p>
            <w:pPr>
              <w:pStyle w:val="11"/>
            </w:pPr>
            <w:r>
              <w:t>14.39</w:t>
            </w:r>
          </w:p>
        </w:tc>
        <w:tc>
          <w:tcPr>
            <w:tcW w:w="2551" w:type="dxa"/>
            <w:vAlign w:val="center"/>
          </w:tcPr>
          <w:p>
            <w:pPr>
              <w:pStyle w:val="11"/>
            </w:pPr>
            <w:r>
              <w:t>14.39</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221</w:t>
            </w:r>
          </w:p>
        </w:tc>
        <w:tc>
          <w:tcPr>
            <w:tcW w:w="4535" w:type="dxa"/>
            <w:vAlign w:val="center"/>
          </w:tcPr>
          <w:p>
            <w:pPr>
              <w:pStyle w:val="12"/>
            </w:pPr>
            <w:r>
              <w:t>住房保障支出</w:t>
            </w:r>
          </w:p>
        </w:tc>
        <w:tc>
          <w:tcPr>
            <w:tcW w:w="2551" w:type="dxa"/>
            <w:vAlign w:val="center"/>
          </w:tcPr>
          <w:p>
            <w:pPr>
              <w:pStyle w:val="11"/>
            </w:pPr>
            <w:r>
              <w:t>16.57</w:t>
            </w:r>
          </w:p>
        </w:tc>
        <w:tc>
          <w:tcPr>
            <w:tcW w:w="2551" w:type="dxa"/>
            <w:vAlign w:val="center"/>
          </w:tcPr>
          <w:p>
            <w:pPr>
              <w:pStyle w:val="11"/>
            </w:pPr>
            <w:r>
              <w:t>16.57</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22102</w:t>
            </w:r>
          </w:p>
        </w:tc>
        <w:tc>
          <w:tcPr>
            <w:tcW w:w="4535" w:type="dxa"/>
            <w:vAlign w:val="center"/>
          </w:tcPr>
          <w:p>
            <w:pPr>
              <w:pStyle w:val="12"/>
            </w:pPr>
            <w:r>
              <w:t>住房改革支出</w:t>
            </w:r>
          </w:p>
        </w:tc>
        <w:tc>
          <w:tcPr>
            <w:tcW w:w="2551" w:type="dxa"/>
            <w:vAlign w:val="center"/>
          </w:tcPr>
          <w:p>
            <w:pPr>
              <w:pStyle w:val="11"/>
            </w:pPr>
            <w:r>
              <w:t>16.57</w:t>
            </w:r>
          </w:p>
        </w:tc>
        <w:tc>
          <w:tcPr>
            <w:tcW w:w="2551" w:type="dxa"/>
            <w:vAlign w:val="center"/>
          </w:tcPr>
          <w:p>
            <w:pPr>
              <w:pStyle w:val="11"/>
            </w:pPr>
            <w:r>
              <w:t>16.57</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2210201</w:t>
            </w:r>
          </w:p>
        </w:tc>
        <w:tc>
          <w:tcPr>
            <w:tcW w:w="4535" w:type="dxa"/>
            <w:vAlign w:val="center"/>
          </w:tcPr>
          <w:p>
            <w:pPr>
              <w:pStyle w:val="12"/>
            </w:pPr>
            <w:r>
              <w:t>住房公积金</w:t>
            </w:r>
          </w:p>
        </w:tc>
        <w:tc>
          <w:tcPr>
            <w:tcW w:w="2551" w:type="dxa"/>
            <w:vAlign w:val="center"/>
          </w:tcPr>
          <w:p>
            <w:pPr>
              <w:pStyle w:val="11"/>
            </w:pPr>
            <w:r>
              <w:t>16.57</w:t>
            </w:r>
          </w:p>
        </w:tc>
        <w:tc>
          <w:tcPr>
            <w:tcW w:w="2551" w:type="dxa"/>
            <w:vAlign w:val="center"/>
          </w:tcPr>
          <w:p>
            <w:pPr>
              <w:pStyle w:val="11"/>
            </w:pPr>
            <w:r>
              <w:t>16.57</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319001审计部门审计局本级</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238.72</w:t>
            </w:r>
          </w:p>
        </w:tc>
        <w:tc>
          <w:tcPr>
            <w:tcW w:w="2551" w:type="dxa"/>
            <w:vAlign w:val="center"/>
          </w:tcPr>
          <w:p>
            <w:pPr>
              <w:pStyle w:val="15"/>
            </w:pPr>
            <w:r>
              <w:t>224.19</w:t>
            </w:r>
          </w:p>
        </w:tc>
        <w:tc>
          <w:tcPr>
            <w:tcW w:w="2551" w:type="dxa"/>
            <w:vAlign w:val="center"/>
          </w:tcPr>
          <w:p>
            <w:pPr>
              <w:pStyle w:val="15"/>
            </w:pPr>
            <w:r>
              <w:t>14.54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214.80</w:t>
            </w:r>
          </w:p>
        </w:tc>
        <w:tc>
          <w:tcPr>
            <w:tcW w:w="2551" w:type="dxa"/>
            <w:vAlign w:val="center"/>
          </w:tcPr>
          <w:p>
            <w:pPr>
              <w:pStyle w:val="11"/>
            </w:pPr>
            <w:r>
              <w:t>214.80</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61.30</w:t>
            </w:r>
          </w:p>
        </w:tc>
        <w:tc>
          <w:tcPr>
            <w:tcW w:w="2551" w:type="dxa"/>
            <w:vAlign w:val="center"/>
          </w:tcPr>
          <w:p>
            <w:pPr>
              <w:pStyle w:val="11"/>
            </w:pPr>
            <w:r>
              <w:t>61.30</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36.12</w:t>
            </w:r>
          </w:p>
        </w:tc>
        <w:tc>
          <w:tcPr>
            <w:tcW w:w="2551" w:type="dxa"/>
            <w:vAlign w:val="center"/>
          </w:tcPr>
          <w:p>
            <w:pPr>
              <w:pStyle w:val="11"/>
            </w:pPr>
            <w:r>
              <w:t>36.12</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30103</w:t>
            </w:r>
          </w:p>
        </w:tc>
        <w:tc>
          <w:tcPr>
            <w:tcW w:w="4535" w:type="dxa"/>
            <w:vAlign w:val="center"/>
          </w:tcPr>
          <w:p>
            <w:pPr>
              <w:pStyle w:val="12"/>
            </w:pPr>
            <w:r>
              <w:t>奖金</w:t>
            </w:r>
          </w:p>
        </w:tc>
        <w:tc>
          <w:tcPr>
            <w:tcW w:w="2551" w:type="dxa"/>
            <w:vAlign w:val="center"/>
          </w:tcPr>
          <w:p>
            <w:pPr>
              <w:pStyle w:val="11"/>
            </w:pPr>
            <w:r>
              <w:t>7.84</w:t>
            </w:r>
          </w:p>
        </w:tc>
        <w:tc>
          <w:tcPr>
            <w:tcW w:w="2551" w:type="dxa"/>
            <w:vAlign w:val="center"/>
          </w:tcPr>
          <w:p>
            <w:pPr>
              <w:pStyle w:val="11"/>
            </w:pPr>
            <w:r>
              <w:t>7.84</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29.10</w:t>
            </w:r>
          </w:p>
        </w:tc>
        <w:tc>
          <w:tcPr>
            <w:tcW w:w="2551" w:type="dxa"/>
            <w:vAlign w:val="center"/>
          </w:tcPr>
          <w:p>
            <w:pPr>
              <w:pStyle w:val="11"/>
            </w:pPr>
            <w:r>
              <w:t>29.10</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19.19</w:t>
            </w:r>
          </w:p>
        </w:tc>
        <w:tc>
          <w:tcPr>
            <w:tcW w:w="2551" w:type="dxa"/>
            <w:vAlign w:val="center"/>
          </w:tcPr>
          <w:p>
            <w:pPr>
              <w:pStyle w:val="11"/>
            </w:pPr>
            <w:r>
              <w:t>19.19</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8.29</w:t>
            </w:r>
          </w:p>
        </w:tc>
        <w:tc>
          <w:tcPr>
            <w:tcW w:w="2551" w:type="dxa"/>
            <w:vAlign w:val="center"/>
          </w:tcPr>
          <w:p>
            <w:pPr>
              <w:pStyle w:val="11"/>
            </w:pPr>
            <w:r>
              <w:t>8.29</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30111</w:t>
            </w:r>
          </w:p>
        </w:tc>
        <w:tc>
          <w:tcPr>
            <w:tcW w:w="4535" w:type="dxa"/>
            <w:vAlign w:val="center"/>
          </w:tcPr>
          <w:p>
            <w:pPr>
              <w:pStyle w:val="12"/>
            </w:pPr>
            <w:r>
              <w:t>公务员医疗补助缴费</w:t>
            </w:r>
          </w:p>
        </w:tc>
        <w:tc>
          <w:tcPr>
            <w:tcW w:w="2551" w:type="dxa"/>
            <w:vAlign w:val="center"/>
          </w:tcPr>
          <w:p>
            <w:pPr>
              <w:pStyle w:val="11"/>
            </w:pPr>
            <w:r>
              <w:t>13.13</w:t>
            </w:r>
          </w:p>
        </w:tc>
        <w:tc>
          <w:tcPr>
            <w:tcW w:w="2551" w:type="dxa"/>
            <w:vAlign w:val="center"/>
          </w:tcPr>
          <w:p>
            <w:pPr>
              <w:pStyle w:val="11"/>
            </w:pPr>
            <w:r>
              <w:t>13.13</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0.98</w:t>
            </w:r>
          </w:p>
        </w:tc>
        <w:tc>
          <w:tcPr>
            <w:tcW w:w="2551" w:type="dxa"/>
            <w:vAlign w:val="center"/>
          </w:tcPr>
          <w:p>
            <w:pPr>
              <w:pStyle w:val="11"/>
            </w:pPr>
            <w:r>
              <w:t>0.98</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14.76</w:t>
            </w:r>
          </w:p>
        </w:tc>
        <w:tc>
          <w:tcPr>
            <w:tcW w:w="2551" w:type="dxa"/>
            <w:vAlign w:val="center"/>
          </w:tcPr>
          <w:p>
            <w:pPr>
              <w:pStyle w:val="11"/>
            </w:pPr>
            <w:r>
              <w:t>14.76</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30199</w:t>
            </w:r>
          </w:p>
        </w:tc>
        <w:tc>
          <w:tcPr>
            <w:tcW w:w="4535" w:type="dxa"/>
            <w:vAlign w:val="center"/>
          </w:tcPr>
          <w:p>
            <w:pPr>
              <w:pStyle w:val="12"/>
            </w:pPr>
            <w:r>
              <w:t>其他工资福利支出</w:t>
            </w:r>
          </w:p>
        </w:tc>
        <w:tc>
          <w:tcPr>
            <w:tcW w:w="2551" w:type="dxa"/>
            <w:vAlign w:val="center"/>
          </w:tcPr>
          <w:p>
            <w:pPr>
              <w:pStyle w:val="11"/>
            </w:pPr>
            <w:r>
              <w:t>24.10</w:t>
            </w:r>
          </w:p>
        </w:tc>
        <w:tc>
          <w:tcPr>
            <w:tcW w:w="2551" w:type="dxa"/>
            <w:vAlign w:val="center"/>
          </w:tcPr>
          <w:p>
            <w:pPr>
              <w:pStyle w:val="11"/>
            </w:pPr>
            <w:r>
              <w:t>24.10</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14.40</w:t>
            </w:r>
          </w:p>
        </w:tc>
        <w:tc>
          <w:tcPr>
            <w:tcW w:w="2551" w:type="dxa"/>
            <w:vAlign w:val="center"/>
          </w:tcPr>
          <w:p>
            <w:pPr>
              <w:pStyle w:val="11"/>
            </w:pPr>
          </w:p>
        </w:tc>
        <w:tc>
          <w:tcPr>
            <w:tcW w:w="2551" w:type="dxa"/>
            <w:vAlign w:val="center"/>
          </w:tcPr>
          <w:p>
            <w:pPr>
              <w:pStyle w:val="11"/>
            </w:pPr>
            <w:r>
              <w:t>14.40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1.16</w:t>
            </w:r>
          </w:p>
        </w:tc>
        <w:tc>
          <w:tcPr>
            <w:tcW w:w="2551" w:type="dxa"/>
            <w:vAlign w:val="center"/>
          </w:tcPr>
          <w:p>
            <w:pPr>
              <w:pStyle w:val="11"/>
            </w:pPr>
          </w:p>
        </w:tc>
        <w:tc>
          <w:tcPr>
            <w:tcW w:w="2551" w:type="dxa"/>
            <w:vAlign w:val="center"/>
          </w:tcPr>
          <w:p>
            <w:pPr>
              <w:pStyle w:val="11"/>
            </w:pPr>
            <w:r>
              <w:t>1.16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30202</w:t>
            </w:r>
          </w:p>
        </w:tc>
        <w:tc>
          <w:tcPr>
            <w:tcW w:w="4535" w:type="dxa"/>
            <w:vAlign w:val="center"/>
          </w:tcPr>
          <w:p>
            <w:pPr>
              <w:pStyle w:val="12"/>
            </w:pPr>
            <w:r>
              <w:t>印刷费</w:t>
            </w:r>
          </w:p>
        </w:tc>
        <w:tc>
          <w:tcPr>
            <w:tcW w:w="2551" w:type="dxa"/>
            <w:vAlign w:val="center"/>
          </w:tcPr>
          <w:p>
            <w:pPr>
              <w:pStyle w:val="11"/>
            </w:pPr>
            <w:r>
              <w:t>0.42</w:t>
            </w:r>
          </w:p>
        </w:tc>
        <w:tc>
          <w:tcPr>
            <w:tcW w:w="2551" w:type="dxa"/>
            <w:vAlign w:val="center"/>
          </w:tcPr>
          <w:p>
            <w:pPr>
              <w:pStyle w:val="11"/>
            </w:pPr>
          </w:p>
        </w:tc>
        <w:tc>
          <w:tcPr>
            <w:tcW w:w="2551" w:type="dxa"/>
            <w:vAlign w:val="center"/>
          </w:tcPr>
          <w:p>
            <w:pPr>
              <w:pStyle w:val="11"/>
            </w:pPr>
            <w:r>
              <w:t>0.42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30207</w:t>
            </w:r>
          </w:p>
        </w:tc>
        <w:tc>
          <w:tcPr>
            <w:tcW w:w="4535" w:type="dxa"/>
            <w:vAlign w:val="center"/>
          </w:tcPr>
          <w:p>
            <w:pPr>
              <w:pStyle w:val="12"/>
            </w:pPr>
            <w:r>
              <w:t>邮电费</w:t>
            </w:r>
          </w:p>
        </w:tc>
        <w:tc>
          <w:tcPr>
            <w:tcW w:w="2551" w:type="dxa"/>
            <w:vAlign w:val="center"/>
          </w:tcPr>
          <w:p>
            <w:pPr>
              <w:pStyle w:val="11"/>
            </w:pPr>
            <w:r>
              <w:t>0.35</w:t>
            </w:r>
          </w:p>
        </w:tc>
        <w:tc>
          <w:tcPr>
            <w:tcW w:w="2551" w:type="dxa"/>
            <w:vAlign w:val="center"/>
          </w:tcPr>
          <w:p>
            <w:pPr>
              <w:pStyle w:val="11"/>
            </w:pPr>
          </w:p>
        </w:tc>
        <w:tc>
          <w:tcPr>
            <w:tcW w:w="2551" w:type="dxa"/>
            <w:vAlign w:val="center"/>
          </w:tcPr>
          <w:p>
            <w:pPr>
              <w:pStyle w:val="11"/>
            </w:pPr>
            <w:r>
              <w:t>0.35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30211</w:t>
            </w:r>
          </w:p>
        </w:tc>
        <w:tc>
          <w:tcPr>
            <w:tcW w:w="4535" w:type="dxa"/>
            <w:vAlign w:val="center"/>
          </w:tcPr>
          <w:p>
            <w:pPr>
              <w:pStyle w:val="12"/>
            </w:pPr>
            <w:r>
              <w:t>差旅费</w:t>
            </w:r>
          </w:p>
        </w:tc>
        <w:tc>
          <w:tcPr>
            <w:tcW w:w="2551" w:type="dxa"/>
            <w:vAlign w:val="center"/>
          </w:tcPr>
          <w:p>
            <w:pPr>
              <w:pStyle w:val="11"/>
            </w:pPr>
            <w:r>
              <w:t>1.05</w:t>
            </w:r>
          </w:p>
        </w:tc>
        <w:tc>
          <w:tcPr>
            <w:tcW w:w="2551" w:type="dxa"/>
            <w:vAlign w:val="center"/>
          </w:tcPr>
          <w:p>
            <w:pPr>
              <w:pStyle w:val="11"/>
            </w:pPr>
          </w:p>
        </w:tc>
        <w:tc>
          <w:tcPr>
            <w:tcW w:w="2551" w:type="dxa"/>
            <w:vAlign w:val="center"/>
          </w:tcPr>
          <w:p>
            <w:pPr>
              <w:pStyle w:val="11"/>
            </w:pPr>
            <w:r>
              <w:t>1.05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30213</w:t>
            </w:r>
          </w:p>
        </w:tc>
        <w:tc>
          <w:tcPr>
            <w:tcW w:w="4535" w:type="dxa"/>
            <w:vAlign w:val="center"/>
          </w:tcPr>
          <w:p>
            <w:pPr>
              <w:pStyle w:val="12"/>
            </w:pPr>
            <w:r>
              <w:t>维修(护)费</w:t>
            </w:r>
          </w:p>
        </w:tc>
        <w:tc>
          <w:tcPr>
            <w:tcW w:w="2551" w:type="dxa"/>
            <w:vAlign w:val="center"/>
          </w:tcPr>
          <w:p>
            <w:pPr>
              <w:pStyle w:val="11"/>
            </w:pPr>
            <w:r>
              <w:t>0.14</w:t>
            </w:r>
          </w:p>
        </w:tc>
        <w:tc>
          <w:tcPr>
            <w:tcW w:w="2551" w:type="dxa"/>
            <w:vAlign w:val="center"/>
          </w:tcPr>
          <w:p>
            <w:pPr>
              <w:pStyle w:val="11"/>
            </w:pPr>
          </w:p>
        </w:tc>
        <w:tc>
          <w:tcPr>
            <w:tcW w:w="2551" w:type="dxa"/>
            <w:vAlign w:val="center"/>
          </w:tcPr>
          <w:p>
            <w:pPr>
              <w:pStyle w:val="11"/>
            </w:pPr>
            <w:r>
              <w:t>0.14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30228</w:t>
            </w:r>
          </w:p>
        </w:tc>
        <w:tc>
          <w:tcPr>
            <w:tcW w:w="4535" w:type="dxa"/>
            <w:vAlign w:val="center"/>
          </w:tcPr>
          <w:p>
            <w:pPr>
              <w:pStyle w:val="12"/>
            </w:pPr>
            <w:r>
              <w:t>工会经费</w:t>
            </w:r>
          </w:p>
        </w:tc>
        <w:tc>
          <w:tcPr>
            <w:tcW w:w="2551" w:type="dxa"/>
            <w:vAlign w:val="center"/>
          </w:tcPr>
          <w:p>
            <w:pPr>
              <w:pStyle w:val="11"/>
            </w:pPr>
            <w:r>
              <w:t>2.55</w:t>
            </w:r>
          </w:p>
        </w:tc>
        <w:tc>
          <w:tcPr>
            <w:tcW w:w="2551" w:type="dxa"/>
            <w:vAlign w:val="center"/>
          </w:tcPr>
          <w:p>
            <w:pPr>
              <w:pStyle w:val="11"/>
            </w:pPr>
          </w:p>
        </w:tc>
        <w:tc>
          <w:tcPr>
            <w:tcW w:w="2551" w:type="dxa"/>
            <w:vAlign w:val="center"/>
          </w:tcPr>
          <w:p>
            <w:pPr>
              <w:pStyle w:val="11"/>
            </w:pPr>
            <w:r>
              <w:t>2.55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30229</w:t>
            </w:r>
          </w:p>
        </w:tc>
        <w:tc>
          <w:tcPr>
            <w:tcW w:w="4535" w:type="dxa"/>
            <w:vAlign w:val="center"/>
          </w:tcPr>
          <w:p>
            <w:pPr>
              <w:pStyle w:val="12"/>
            </w:pPr>
            <w:r>
              <w:t>福利费</w:t>
            </w:r>
          </w:p>
        </w:tc>
        <w:tc>
          <w:tcPr>
            <w:tcW w:w="2551" w:type="dxa"/>
            <w:vAlign w:val="center"/>
          </w:tcPr>
          <w:p>
            <w:pPr>
              <w:pStyle w:val="11"/>
            </w:pPr>
            <w:r>
              <w:t>2.30</w:t>
            </w:r>
          </w:p>
        </w:tc>
        <w:tc>
          <w:tcPr>
            <w:tcW w:w="2551" w:type="dxa"/>
            <w:vAlign w:val="center"/>
          </w:tcPr>
          <w:p>
            <w:pPr>
              <w:pStyle w:val="11"/>
            </w:pPr>
          </w:p>
        </w:tc>
        <w:tc>
          <w:tcPr>
            <w:tcW w:w="2551" w:type="dxa"/>
            <w:vAlign w:val="center"/>
          </w:tcPr>
          <w:p>
            <w:pPr>
              <w:pStyle w:val="11"/>
            </w:pPr>
            <w:r>
              <w:t>2.30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30239</w:t>
            </w:r>
          </w:p>
        </w:tc>
        <w:tc>
          <w:tcPr>
            <w:tcW w:w="4535" w:type="dxa"/>
            <w:vAlign w:val="center"/>
          </w:tcPr>
          <w:p>
            <w:pPr>
              <w:pStyle w:val="12"/>
            </w:pPr>
            <w:r>
              <w:t>其他交通费用</w:t>
            </w:r>
          </w:p>
        </w:tc>
        <w:tc>
          <w:tcPr>
            <w:tcW w:w="2551" w:type="dxa"/>
            <w:vAlign w:val="center"/>
          </w:tcPr>
          <w:p>
            <w:pPr>
              <w:pStyle w:val="11"/>
            </w:pPr>
            <w:r>
              <w:t>5.10</w:t>
            </w:r>
          </w:p>
        </w:tc>
        <w:tc>
          <w:tcPr>
            <w:tcW w:w="2551" w:type="dxa"/>
            <w:vAlign w:val="center"/>
          </w:tcPr>
          <w:p>
            <w:pPr>
              <w:pStyle w:val="11"/>
            </w:pPr>
          </w:p>
        </w:tc>
        <w:tc>
          <w:tcPr>
            <w:tcW w:w="2551" w:type="dxa"/>
            <w:vAlign w:val="center"/>
          </w:tcPr>
          <w:p>
            <w:pPr>
              <w:pStyle w:val="11"/>
            </w:pPr>
            <w:r>
              <w:t>5.10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30299</w:t>
            </w:r>
          </w:p>
        </w:tc>
        <w:tc>
          <w:tcPr>
            <w:tcW w:w="4535" w:type="dxa"/>
            <w:vAlign w:val="center"/>
          </w:tcPr>
          <w:p>
            <w:pPr>
              <w:pStyle w:val="12"/>
            </w:pPr>
            <w:r>
              <w:t>其他商品和服务支出</w:t>
            </w:r>
          </w:p>
        </w:tc>
        <w:tc>
          <w:tcPr>
            <w:tcW w:w="2551" w:type="dxa"/>
            <w:vAlign w:val="center"/>
          </w:tcPr>
          <w:p>
            <w:pPr>
              <w:pStyle w:val="11"/>
            </w:pPr>
            <w:r>
              <w:t>1.33</w:t>
            </w:r>
          </w:p>
        </w:tc>
        <w:tc>
          <w:tcPr>
            <w:tcW w:w="2551" w:type="dxa"/>
            <w:vAlign w:val="center"/>
          </w:tcPr>
          <w:p>
            <w:pPr>
              <w:pStyle w:val="11"/>
            </w:pPr>
          </w:p>
        </w:tc>
        <w:tc>
          <w:tcPr>
            <w:tcW w:w="2551" w:type="dxa"/>
            <w:vAlign w:val="center"/>
          </w:tcPr>
          <w:p>
            <w:pPr>
              <w:pStyle w:val="11"/>
            </w:pPr>
            <w:r>
              <w:t>1.33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1"/>
            </w:pPr>
            <w:r>
              <w:t>9.39</w:t>
            </w:r>
          </w:p>
        </w:tc>
        <w:tc>
          <w:tcPr>
            <w:tcW w:w="2551" w:type="dxa"/>
            <w:vAlign w:val="center"/>
          </w:tcPr>
          <w:p>
            <w:pPr>
              <w:pStyle w:val="11"/>
            </w:pPr>
            <w:r>
              <w:t>9.39</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1191" w:type="dxa"/>
            <w:vAlign w:val="center"/>
          </w:tcPr>
          <w:p>
            <w:pPr>
              <w:pStyle w:val="12"/>
            </w:pPr>
            <w:r>
              <w:t>30302</w:t>
            </w:r>
          </w:p>
        </w:tc>
        <w:tc>
          <w:tcPr>
            <w:tcW w:w="4535" w:type="dxa"/>
            <w:vAlign w:val="center"/>
          </w:tcPr>
          <w:p>
            <w:pPr>
              <w:pStyle w:val="12"/>
            </w:pPr>
            <w:r>
              <w:t>退休费</w:t>
            </w:r>
          </w:p>
        </w:tc>
        <w:tc>
          <w:tcPr>
            <w:tcW w:w="2551" w:type="dxa"/>
            <w:vAlign w:val="center"/>
          </w:tcPr>
          <w:p>
            <w:pPr>
              <w:pStyle w:val="11"/>
            </w:pPr>
            <w:r>
              <w:t>9.39</w:t>
            </w:r>
          </w:p>
        </w:tc>
        <w:tc>
          <w:tcPr>
            <w:tcW w:w="2551" w:type="dxa"/>
            <w:vAlign w:val="center"/>
          </w:tcPr>
          <w:p>
            <w:pPr>
              <w:pStyle w:val="11"/>
            </w:pPr>
            <w:r>
              <w:t>9.39</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1191" w:type="dxa"/>
            <w:vAlign w:val="center"/>
          </w:tcPr>
          <w:p>
            <w:pPr>
              <w:pStyle w:val="12"/>
            </w:pPr>
            <w:r>
              <w:t>310</w:t>
            </w:r>
          </w:p>
        </w:tc>
        <w:tc>
          <w:tcPr>
            <w:tcW w:w="4535" w:type="dxa"/>
            <w:vAlign w:val="center"/>
          </w:tcPr>
          <w:p>
            <w:pPr>
              <w:pStyle w:val="12"/>
            </w:pPr>
            <w:r>
              <w:t>资本性支出</w:t>
            </w:r>
          </w:p>
        </w:tc>
        <w:tc>
          <w:tcPr>
            <w:tcW w:w="2551" w:type="dxa"/>
            <w:vAlign w:val="center"/>
          </w:tcPr>
          <w:p>
            <w:pPr>
              <w:pStyle w:val="11"/>
            </w:pPr>
            <w:r>
              <w:t>0.14</w:t>
            </w:r>
          </w:p>
        </w:tc>
        <w:tc>
          <w:tcPr>
            <w:tcW w:w="2551" w:type="dxa"/>
            <w:vAlign w:val="center"/>
          </w:tcPr>
          <w:p>
            <w:pPr>
              <w:pStyle w:val="11"/>
            </w:pPr>
          </w:p>
        </w:tc>
        <w:tc>
          <w:tcPr>
            <w:tcW w:w="2551" w:type="dxa"/>
            <w:vAlign w:val="center"/>
          </w:tcPr>
          <w:p>
            <w:pPr>
              <w:pStyle w:val="11"/>
            </w:pPr>
            <w:r>
              <w:t>0.14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1191" w:type="dxa"/>
            <w:vAlign w:val="center"/>
          </w:tcPr>
          <w:p>
            <w:pPr>
              <w:pStyle w:val="12"/>
            </w:pPr>
            <w:r>
              <w:t>31002</w:t>
            </w:r>
          </w:p>
        </w:tc>
        <w:tc>
          <w:tcPr>
            <w:tcW w:w="4535" w:type="dxa"/>
            <w:vAlign w:val="center"/>
          </w:tcPr>
          <w:p>
            <w:pPr>
              <w:pStyle w:val="12"/>
            </w:pPr>
            <w:r>
              <w:t>办公设备购置</w:t>
            </w:r>
          </w:p>
        </w:tc>
        <w:tc>
          <w:tcPr>
            <w:tcW w:w="2551" w:type="dxa"/>
            <w:vAlign w:val="center"/>
          </w:tcPr>
          <w:p>
            <w:pPr>
              <w:pStyle w:val="11"/>
            </w:pPr>
            <w:r>
              <w:t>0.14</w:t>
            </w:r>
          </w:p>
        </w:tc>
        <w:tc>
          <w:tcPr>
            <w:tcW w:w="2551" w:type="dxa"/>
            <w:vAlign w:val="center"/>
          </w:tcPr>
          <w:p>
            <w:pPr>
              <w:pStyle w:val="11"/>
            </w:pPr>
          </w:p>
        </w:tc>
        <w:tc>
          <w:tcPr>
            <w:tcW w:w="2551" w:type="dxa"/>
            <w:vAlign w:val="center"/>
          </w:tcPr>
          <w:p>
            <w:pPr>
              <w:pStyle w:val="11"/>
            </w:pPr>
            <w:r>
              <w:t>0.14</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319001审计部门审计局本级</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319001审计部门审计局本级</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319001审计部门审计局本级</w:t>
            </w:r>
          </w:p>
        </w:tc>
        <w:tc>
          <w:tcPr>
            <w:tcW w:w="2381" w:type="dxa"/>
            <w:tcBorders>
              <w:top w:val="single" w:color="FFFFFF" w:sz="6" w:space="0"/>
              <w:left w:val="single" w:color="FFFFFF" w:sz="6" w:space="0"/>
              <w:right w:val="single" w:color="FFFFFF" w:sz="6" w:space="0"/>
            </w:tcBorders>
            <w:vAlign w:val="center"/>
          </w:tcPr>
          <w:p>
            <w:pPr>
              <w:pStyle w:val="8"/>
            </w:pPr>
            <w:r>
              <w:t>预算年度：2025</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p>
        </w:tc>
        <w:tc>
          <w:tcPr>
            <w:tcW w:w="3798" w:type="dxa"/>
            <w:vAlign w:val="center"/>
          </w:tcPr>
          <w:p>
            <w:pPr>
              <w:pStyle w:val="12"/>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bl>
    <w:p>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审计部门审计局本级2025年单位预算信息公开情况说明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按照《中华人民共和国预算法》、《地方预决算公开操作规程》和《关于进一步推进预算公开工作的实施意见》规定，现将审计部门审计局本级2025年单位预算公开如下：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rPr>
          <w:rFonts w:ascii="方正楷体_GBK" w:hAnsi="方正楷体_GBK" w:eastAsia="方正楷体_GBK" w:cs="方正楷体_GBK"/>
          <w:b/>
          <w:color w:val="000000"/>
          <w:sz w:val="32"/>
        </w:rPr>
      </w:pPr>
      <w:r>
        <w:rPr>
          <w:rFonts w:ascii="方正楷体_GBK" w:hAnsi="方正楷体_GBK" w:eastAsia="方正楷体_GBK" w:cs="方正楷体_GBK"/>
          <w:b/>
          <w:color w:val="000000"/>
          <w:sz w:val="32"/>
        </w:rPr>
        <w:t>单位职责：</w:t>
      </w:r>
    </w:p>
    <w:p>
      <w:pPr>
        <w:spacing w:before="0" w:after="0" w:line="500" w:lineRule="exact"/>
        <w:ind w:firstLine="560"/>
        <w:jc w:val="left"/>
        <w:outlineLvl w:val="9"/>
        <w:rPr>
          <w:rFonts w:ascii="Times New Roman" w:hAnsi="Times New Roman" w:eastAsia="方正仿宋_GBK" w:cs="Times New Roman"/>
          <w:color w:val="000000"/>
          <w:sz w:val="28"/>
        </w:rPr>
      </w:pPr>
      <w:r>
        <w:rPr>
          <w:rFonts w:hint="eastAsia" w:ascii="Times New Roman" w:hAnsi="Times New Roman" w:eastAsia="方正仿宋_GBK" w:cs="Times New Roman"/>
          <w:color w:val="000000"/>
          <w:sz w:val="28"/>
        </w:rPr>
        <w:t>（一）负责组织领导全区审计工作。负责对区政府财政收支和法律法规规定属于审计监督范围的财务收支的真实、合法和效益进行审计监督，维护财政经济秩序，提高财政资金使用效益，促进廉政建设，保障全区经济和社会健康发展，对审计、专项审计调查和核查社会审计机构相关审计报告的结果承担责任，并负有督促被审计单位整改的责任。</w:t>
      </w:r>
    </w:p>
    <w:p>
      <w:pPr>
        <w:spacing w:before="0" w:after="0" w:line="500" w:lineRule="exact"/>
        <w:ind w:firstLine="560"/>
        <w:jc w:val="left"/>
        <w:outlineLvl w:val="9"/>
        <w:rPr>
          <w:rFonts w:ascii="Times New Roman" w:hAnsi="Times New Roman" w:eastAsia="方正仿宋_GBK" w:cs="Times New Roman"/>
          <w:color w:val="000000"/>
          <w:sz w:val="28"/>
        </w:rPr>
      </w:pPr>
      <w:r>
        <w:rPr>
          <w:rFonts w:hint="eastAsia" w:ascii="Times New Roman" w:hAnsi="Times New Roman" w:eastAsia="方正仿宋_GBK" w:cs="Times New Roman"/>
          <w:color w:val="000000"/>
          <w:sz w:val="28"/>
        </w:rPr>
        <w:t>（二）制定全区审计工作发展规划和年度审计计划。对直接审计、调查和核查的事项依法进行审计评价，做出审计决定或提出审计建议。</w:t>
      </w:r>
    </w:p>
    <w:p>
      <w:pPr>
        <w:spacing w:before="0" w:after="0" w:line="500" w:lineRule="exact"/>
        <w:ind w:firstLine="560"/>
        <w:jc w:val="left"/>
        <w:outlineLvl w:val="9"/>
        <w:rPr>
          <w:rFonts w:ascii="Times New Roman" w:hAnsi="Times New Roman" w:eastAsia="方正仿宋_GBK" w:cs="Times New Roman"/>
          <w:color w:val="000000"/>
          <w:sz w:val="28"/>
        </w:rPr>
      </w:pPr>
      <w:r>
        <w:rPr>
          <w:rFonts w:hint="eastAsia" w:ascii="Times New Roman" w:hAnsi="Times New Roman" w:eastAsia="方正仿宋_GBK" w:cs="Times New Roman"/>
          <w:color w:val="000000"/>
          <w:sz w:val="28"/>
        </w:rPr>
        <w:t>（三）向区长提交区本级预算执行情况和其他财政收支情况的审计结果报告；受区政府委托向区人大常委会提出区政府预算执行和其他财政收支情况的审计工作报告、审计发现问题的纠正和处理结果报告；向区政府报告对其他事项的审计和专项审计调查情况及结果。</w:t>
      </w:r>
    </w:p>
    <w:p>
      <w:pPr>
        <w:spacing w:before="0" w:after="0" w:line="500" w:lineRule="exact"/>
        <w:ind w:firstLine="560"/>
        <w:jc w:val="left"/>
        <w:outlineLvl w:val="9"/>
        <w:rPr>
          <w:rFonts w:ascii="Times New Roman" w:hAnsi="Times New Roman" w:eastAsia="方正仿宋_GBK" w:cs="Times New Roman"/>
          <w:color w:val="000000"/>
          <w:sz w:val="28"/>
        </w:rPr>
      </w:pPr>
      <w:r>
        <w:rPr>
          <w:rFonts w:hint="eastAsia" w:ascii="Times New Roman" w:hAnsi="Times New Roman" w:eastAsia="方正仿宋_GBK" w:cs="Times New Roman"/>
          <w:color w:val="000000"/>
          <w:sz w:val="28"/>
        </w:rPr>
        <w:t>（四）直接审计下列事项，出具审计报告，在法定职权范围内作出审计决定和向有关部门提出处理处罚的建议：</w:t>
      </w:r>
      <w:r>
        <w:rPr>
          <w:rFonts w:ascii="Times New Roman" w:hAnsi="Times New Roman" w:eastAsia="方正仿宋_GBK" w:cs="Times New Roman"/>
          <w:color w:val="000000"/>
          <w:sz w:val="28"/>
        </w:rPr>
        <w:t xml:space="preserve">       </w:t>
      </w:r>
    </w:p>
    <w:p>
      <w:pPr>
        <w:spacing w:before="0" w:after="0" w:line="500" w:lineRule="exact"/>
        <w:ind w:firstLine="560"/>
        <w:jc w:val="left"/>
        <w:outlineLvl w:val="9"/>
        <w:rPr>
          <w:rFonts w:ascii="Times New Roman" w:hAnsi="Times New Roman" w:eastAsia="方正仿宋_GBK" w:cs="Times New Roman"/>
          <w:color w:val="000000"/>
          <w:sz w:val="28"/>
        </w:rPr>
      </w:pPr>
      <w:r>
        <w:rPr>
          <w:rFonts w:ascii="Times New Roman" w:hAnsi="Times New Roman" w:eastAsia="方正仿宋_GBK" w:cs="Times New Roman"/>
          <w:color w:val="000000"/>
          <w:sz w:val="28"/>
        </w:rPr>
        <w:t>1</w:t>
      </w:r>
      <w:r>
        <w:rPr>
          <w:rFonts w:hint="eastAsia" w:ascii="Times New Roman" w:hAnsi="Times New Roman" w:eastAsia="方正仿宋_GBK" w:cs="Times New Roman"/>
          <w:color w:val="000000"/>
          <w:sz w:val="28"/>
        </w:rPr>
        <w:t>、区级预算的执行情况和其他财政收支，区本级预算部门预算的执行情况、决算和其他财政收支。</w:t>
      </w:r>
      <w:r>
        <w:rPr>
          <w:rFonts w:ascii="Times New Roman" w:hAnsi="Times New Roman" w:eastAsia="方正仿宋_GBK" w:cs="Times New Roman"/>
          <w:color w:val="000000"/>
          <w:sz w:val="28"/>
        </w:rPr>
        <w:br w:type="textWrapping"/>
      </w:r>
      <w:r>
        <w:rPr>
          <w:rFonts w:ascii="Times New Roman" w:hAnsi="Times New Roman" w:eastAsia="方正仿宋_GBK" w:cs="Times New Roman"/>
          <w:color w:val="000000"/>
          <w:sz w:val="28"/>
        </w:rPr>
        <w:t xml:space="preserve">    2</w:t>
      </w:r>
      <w:r>
        <w:rPr>
          <w:rFonts w:hint="eastAsia" w:ascii="Times New Roman" w:hAnsi="Times New Roman" w:eastAsia="方正仿宋_GBK" w:cs="Times New Roman"/>
          <w:color w:val="000000"/>
          <w:sz w:val="28"/>
        </w:rPr>
        <w:t>、使用区级财政资金的事业单位和社会团体的财务收支。</w:t>
      </w:r>
      <w:r>
        <w:rPr>
          <w:rFonts w:ascii="Times New Roman" w:hAnsi="Times New Roman" w:eastAsia="方正仿宋_GBK" w:cs="Times New Roman"/>
          <w:color w:val="000000"/>
          <w:sz w:val="28"/>
        </w:rPr>
        <w:br w:type="textWrapping"/>
      </w:r>
      <w:r>
        <w:rPr>
          <w:rFonts w:ascii="Times New Roman" w:hAnsi="Times New Roman" w:eastAsia="方正仿宋_GBK" w:cs="Times New Roman"/>
          <w:color w:val="000000"/>
          <w:sz w:val="28"/>
        </w:rPr>
        <w:t xml:space="preserve">    3</w:t>
      </w:r>
      <w:r>
        <w:rPr>
          <w:rFonts w:hint="eastAsia" w:ascii="Times New Roman" w:hAnsi="Times New Roman" w:eastAsia="方正仿宋_GBK" w:cs="Times New Roman"/>
          <w:color w:val="000000"/>
          <w:sz w:val="28"/>
        </w:rPr>
        <w:t>、区人民政府预算的执行情况和各镇人民政府决算。</w:t>
      </w:r>
      <w:r>
        <w:rPr>
          <w:rFonts w:ascii="Times New Roman" w:hAnsi="Times New Roman" w:eastAsia="方正仿宋_GBK" w:cs="Times New Roman"/>
          <w:color w:val="000000"/>
          <w:sz w:val="28"/>
        </w:rPr>
        <w:br w:type="textWrapping"/>
      </w:r>
      <w:r>
        <w:rPr>
          <w:rFonts w:ascii="Times New Roman" w:hAnsi="Times New Roman" w:eastAsia="方正仿宋_GBK" w:cs="Times New Roman"/>
          <w:color w:val="000000"/>
          <w:sz w:val="28"/>
        </w:rPr>
        <w:t xml:space="preserve">    4</w:t>
      </w:r>
      <w:r>
        <w:rPr>
          <w:rFonts w:hint="eastAsia" w:ascii="Times New Roman" w:hAnsi="Times New Roman" w:eastAsia="方正仿宋_GBK" w:cs="Times New Roman"/>
          <w:color w:val="000000"/>
          <w:sz w:val="28"/>
        </w:rPr>
        <w:t>、区政府管理和其他单位受区政府及其部门委托管理的社会保障基金、社会捐赠资金、农业专项资金、关系国计民生的资源能源和环境保护资金及其他有关基金、资金的财务收支。</w:t>
      </w:r>
    </w:p>
    <w:p>
      <w:pPr>
        <w:spacing w:before="0" w:after="0" w:line="500" w:lineRule="exact"/>
        <w:ind w:firstLine="560"/>
        <w:jc w:val="left"/>
        <w:outlineLvl w:val="9"/>
        <w:rPr>
          <w:rFonts w:ascii="Times New Roman" w:hAnsi="Times New Roman" w:eastAsia="方正仿宋_GBK" w:cs="Times New Roman"/>
          <w:color w:val="000000"/>
          <w:sz w:val="28"/>
        </w:rPr>
      </w:pPr>
      <w:r>
        <w:rPr>
          <w:rFonts w:ascii="Times New Roman" w:hAnsi="Times New Roman" w:eastAsia="方正仿宋_GBK" w:cs="Times New Roman"/>
          <w:color w:val="000000"/>
          <w:sz w:val="28"/>
        </w:rPr>
        <w:t>5</w:t>
      </w:r>
      <w:r>
        <w:rPr>
          <w:rFonts w:hint="eastAsia" w:ascii="Times New Roman" w:hAnsi="Times New Roman" w:eastAsia="方正仿宋_GBK" w:cs="Times New Roman"/>
          <w:color w:val="000000"/>
          <w:sz w:val="28"/>
        </w:rPr>
        <w:t>、对金融机构和非银行金融企业的财务收支、信贷计划及现金、外汇的管理进行审计监督（国家金融机构需由上级审计机关授权）。</w:t>
      </w:r>
    </w:p>
    <w:p>
      <w:pPr>
        <w:spacing w:before="0" w:after="0" w:line="500" w:lineRule="exact"/>
        <w:ind w:firstLine="560"/>
        <w:jc w:val="left"/>
        <w:outlineLvl w:val="9"/>
        <w:rPr>
          <w:rFonts w:ascii="Times New Roman" w:hAnsi="Times New Roman" w:eastAsia="方正仿宋_GBK" w:cs="Times New Roman"/>
          <w:color w:val="000000"/>
          <w:sz w:val="28"/>
        </w:rPr>
      </w:pPr>
      <w:r>
        <w:rPr>
          <w:rFonts w:ascii="Times New Roman" w:hAnsi="Times New Roman" w:eastAsia="方正仿宋_GBK" w:cs="Times New Roman"/>
          <w:color w:val="000000"/>
          <w:sz w:val="28"/>
        </w:rPr>
        <w:t>6</w:t>
      </w:r>
      <w:r>
        <w:rPr>
          <w:rFonts w:hint="eastAsia" w:ascii="Times New Roman" w:hAnsi="Times New Roman" w:eastAsia="方正仿宋_GBK" w:cs="Times New Roman"/>
          <w:color w:val="000000"/>
          <w:sz w:val="28"/>
        </w:rPr>
        <w:t>、区级投资和以去投资为主的建设项目的预算执行情况和决算。</w:t>
      </w:r>
      <w:r>
        <w:rPr>
          <w:rFonts w:ascii="Times New Roman" w:hAnsi="Times New Roman" w:eastAsia="方正仿宋_GBK" w:cs="Times New Roman"/>
          <w:color w:val="000000"/>
          <w:sz w:val="28"/>
        </w:rPr>
        <w:br w:type="textWrapping"/>
      </w:r>
      <w:r>
        <w:rPr>
          <w:rFonts w:ascii="Times New Roman" w:hAnsi="Times New Roman" w:eastAsia="方正仿宋_GBK" w:cs="Times New Roman"/>
          <w:color w:val="000000"/>
          <w:sz w:val="28"/>
        </w:rPr>
        <w:t xml:space="preserve">    7</w:t>
      </w:r>
      <w:r>
        <w:rPr>
          <w:rFonts w:hint="eastAsia" w:ascii="Times New Roman" w:hAnsi="Times New Roman" w:eastAsia="方正仿宋_GBK" w:cs="Times New Roman"/>
          <w:color w:val="000000"/>
          <w:sz w:val="28"/>
        </w:rPr>
        <w:t>、法律、行政法规规定应由审计机关审计的其他事项。</w:t>
      </w:r>
    </w:p>
    <w:p>
      <w:pPr>
        <w:spacing w:before="0" w:after="0" w:line="500" w:lineRule="exact"/>
        <w:ind w:firstLine="560"/>
        <w:jc w:val="left"/>
        <w:outlineLvl w:val="9"/>
        <w:rPr>
          <w:rFonts w:ascii="Times New Roman" w:hAnsi="Times New Roman" w:eastAsia="方正仿宋_GBK" w:cs="Times New Roman"/>
          <w:color w:val="000000"/>
          <w:sz w:val="28"/>
        </w:rPr>
      </w:pPr>
      <w:r>
        <w:rPr>
          <w:rFonts w:hint="eastAsia" w:ascii="Times New Roman" w:hAnsi="Times New Roman" w:eastAsia="方正仿宋_GBK" w:cs="Times New Roman"/>
          <w:color w:val="000000"/>
          <w:sz w:val="28"/>
        </w:rPr>
        <w:t>（五）按规定对全区县级以下党政领导干部，区属国有及国有控股企业领导人及依法属于区级审计机构审计监督对象的其他单位主要负责人实施经济责任审计。</w:t>
      </w:r>
    </w:p>
    <w:p>
      <w:pPr>
        <w:spacing w:before="0" w:after="0" w:line="500" w:lineRule="exact"/>
        <w:ind w:firstLine="560"/>
        <w:jc w:val="left"/>
        <w:outlineLvl w:val="9"/>
        <w:rPr>
          <w:rFonts w:ascii="Times New Roman" w:hAnsi="Times New Roman" w:eastAsia="方正仿宋_GBK" w:cs="Times New Roman"/>
          <w:color w:val="000000"/>
          <w:sz w:val="28"/>
        </w:rPr>
      </w:pPr>
      <w:r>
        <w:rPr>
          <w:rFonts w:hint="eastAsia" w:ascii="Times New Roman" w:hAnsi="Times New Roman" w:eastAsia="方正仿宋_GBK" w:cs="Times New Roman"/>
          <w:color w:val="000000"/>
          <w:sz w:val="28"/>
        </w:rPr>
        <w:t>（六）依法检查审计决定执行情况，督促纠正和处理审计发现的问题。协助配合有关部门查处相关重大案件。</w:t>
      </w:r>
    </w:p>
    <w:p>
      <w:pPr>
        <w:spacing w:before="0" w:after="0" w:line="500" w:lineRule="exact"/>
        <w:ind w:firstLine="560"/>
        <w:jc w:val="left"/>
        <w:outlineLvl w:val="9"/>
        <w:rPr>
          <w:rFonts w:ascii="Times New Roman" w:hAnsi="Times New Roman" w:eastAsia="方正仿宋_GBK" w:cs="Times New Roman"/>
          <w:color w:val="000000"/>
          <w:sz w:val="28"/>
        </w:rPr>
      </w:pPr>
      <w:r>
        <w:rPr>
          <w:rFonts w:hint="eastAsia" w:ascii="Times New Roman" w:hAnsi="Times New Roman" w:eastAsia="方正仿宋_GBK" w:cs="Times New Roman"/>
          <w:color w:val="000000"/>
          <w:sz w:val="28"/>
        </w:rPr>
        <w:t>（七）指导和监督内部审计工作，核查社会审计机构对依法属于审计监督对象的单位出具相关审计报告。</w:t>
      </w:r>
    </w:p>
    <w:p>
      <w:pPr>
        <w:spacing w:before="0" w:after="0" w:line="500" w:lineRule="exact"/>
        <w:ind w:firstLine="560"/>
        <w:jc w:val="left"/>
        <w:outlineLvl w:val="9"/>
        <w:rPr>
          <w:rFonts w:ascii="方正楷体_GBK" w:hAnsi="方正楷体_GBK" w:eastAsia="方正楷体_GBK" w:cs="方正楷体_GBK"/>
          <w:b/>
          <w:color w:val="000000"/>
          <w:sz w:val="32"/>
        </w:rPr>
      </w:pPr>
      <w:r>
        <w:rPr>
          <w:rFonts w:hint="eastAsia" w:ascii="Times New Roman" w:hAnsi="Times New Roman" w:eastAsia="方正仿宋_GBK" w:cs="Times New Roman"/>
          <w:color w:val="000000"/>
          <w:sz w:val="28"/>
        </w:rPr>
        <w:t>（八）承办区政府及上级审计机关交办的其他事项。</w:t>
      </w:r>
    </w:p>
    <w:p>
      <w:pPr>
        <w:pStyle w:val="17"/>
      </w:pP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审计部门审计局本级</w:t>
            </w:r>
          </w:p>
        </w:tc>
        <w:tc>
          <w:tcPr>
            <w:tcW w:w="1843" w:type="dxa"/>
            <w:vAlign w:val="center"/>
          </w:tcPr>
          <w:p>
            <w:pPr>
              <w:pStyle w:val="13"/>
            </w:pPr>
            <w:r>
              <w:t>行政</w:t>
            </w:r>
          </w:p>
        </w:tc>
        <w:tc>
          <w:tcPr>
            <w:tcW w:w="2126" w:type="dxa"/>
            <w:vAlign w:val="center"/>
          </w:tcPr>
          <w:p>
            <w:pPr>
              <w:pStyle w:val="13"/>
            </w:pPr>
            <w:r>
              <w:t>正科级</w:t>
            </w:r>
          </w:p>
        </w:tc>
        <w:tc>
          <w:tcPr>
            <w:tcW w:w="3827" w:type="dxa"/>
            <w:vAlign w:val="center"/>
          </w:tcPr>
          <w:p>
            <w:pPr>
              <w:pStyle w:val="13"/>
            </w:pPr>
            <w:r>
              <w:t>财政拨款</w:t>
            </w:r>
          </w:p>
        </w:tc>
      </w:tr>
    </w:tbl>
    <w:p>
      <w:pPr>
        <w:numPr>
          <w:ilvl w:val="0"/>
          <w:numId w:val="1"/>
        </w:numPr>
        <w:spacing w:before="10" w:after="10" w:line="240" w:lineRule="auto"/>
        <w:ind w:firstLine="640"/>
        <w:jc w:val="left"/>
        <w:outlineLvl w:val="5"/>
        <w:rPr>
          <w:rFonts w:ascii="黑体" w:hAnsi="黑体" w:eastAsia="黑体" w:cs="黑体"/>
          <w:color w:val="000000"/>
          <w:sz w:val="32"/>
        </w:rPr>
      </w:pPr>
      <w:r>
        <w:rPr>
          <w:rFonts w:ascii="黑体" w:hAnsi="黑体" w:eastAsia="黑体" w:cs="黑体"/>
          <w:color w:val="000000"/>
          <w:sz w:val="32"/>
        </w:rPr>
        <w:t>单位预算安排的总体情况</w:t>
      </w:r>
    </w:p>
    <w:p>
      <w:pPr>
        <w:pStyle w:val="24"/>
      </w:pPr>
      <w:r>
        <w:rPr>
          <w:rFonts w:hint="eastAsia" w:ascii="黑体" w:hAnsi="黑体" w:eastAsia="黑体" w:cs="黑体"/>
          <w:color w:val="000000"/>
          <w:sz w:val="32"/>
          <w:lang w:val="en-US" w:eastAsia="zh-CN"/>
        </w:rPr>
        <w:t xml:space="preserve">  </w:t>
      </w:r>
      <w:r>
        <w:t>按照预算管理有关规定，目前部门预算的编制实行综合预算管理，即全部收入和支出都反映在预算中。审计部门机关及所属事业单位的收支包含在部门预算中。</w:t>
      </w:r>
    </w:p>
    <w:p>
      <w:pPr>
        <w:pStyle w:val="24"/>
      </w:pPr>
      <w:r>
        <w:t>1、收入说明</w:t>
      </w:r>
    </w:p>
    <w:p>
      <w:pPr>
        <w:pStyle w:val="24"/>
      </w:pPr>
      <w:r>
        <w:t>反映本部门当年全部收入。2025年预算收入246.72万元，其中：一般公共预算收入246.72万元，基金预算收入0.00万元，国有资本经营预算收入0.00万元，财政专户核拨收入0.00万元，单位资金收入0.00万元，上年结转结余0.00万元。</w:t>
      </w:r>
    </w:p>
    <w:p>
      <w:pPr>
        <w:pStyle w:val="24"/>
      </w:pPr>
      <w:r>
        <w:t>2、支出说明</w:t>
      </w:r>
    </w:p>
    <w:p>
      <w:pPr>
        <w:pStyle w:val="24"/>
      </w:pPr>
      <w:r>
        <w:t>收支预算总表支出栏、基本支出表、项目支出表按经济分类和支出功能分类科目编制，反映审计部门年度部门预算中支出预算的总体情况。2025年支出预算246.72万元，其中基本支出238.72万元，包括人员经费224.19万元和日常公用经费14.54万元；项目支出8.00万元，主要为审计业务费，包含审计金审三期工程内网月租费已经其他审计业务支出。</w:t>
      </w:r>
    </w:p>
    <w:p>
      <w:pPr>
        <w:pStyle w:val="24"/>
      </w:pPr>
      <w:r>
        <w:t>3、比上年增减情况</w:t>
      </w:r>
    </w:p>
    <w:p>
      <w:pPr>
        <w:pStyle w:val="24"/>
      </w:pPr>
      <w:r>
        <w:t>2025年预算收支安排246.72万元，较2024年预算增加32.39万元，其中：基本支出增加52.19万元，主要为人员基本工资和保险支出。项目支出减少19.80万元，主要为人事代理人员工资保险纳入基本支出。</w:t>
      </w:r>
    </w:p>
    <w:p>
      <w:pPr>
        <w:pStyle w:val="24"/>
      </w:pP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25"/>
        <w:rPr>
          <w:rFonts w:hint="default"/>
          <w:lang w:val="en-US"/>
        </w:rPr>
      </w:pPr>
      <w:r>
        <w:rPr>
          <w:rFonts w:hint="eastAsia"/>
          <w:lang w:val="en-US" w:eastAsia="zh-CN"/>
        </w:rPr>
        <w:t>本年度安排办公费1.16万元，印刷费0.42万元，邮电费0.35万元，差旅费1.05万元，维修（护）费0.14万元，福利费2.30万元。</w:t>
      </w:r>
    </w:p>
    <w:p>
      <w:pPr>
        <w:pStyle w:val="19"/>
      </w:pP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2"/>
        <w:numPr>
          <w:ilvl w:val="0"/>
          <w:numId w:val="0"/>
        </w:numPr>
        <w:ind w:left="640" w:leftChars="0"/>
      </w:pPr>
      <w:r>
        <w:rPr>
          <w:rFonts w:hint="eastAsia" w:ascii="Times New Roman" w:hAnsi="Times New Roman" w:eastAsia="方正仿宋_GBK" w:cs="Times New Roman"/>
          <w:sz w:val="28"/>
          <w:szCs w:val="24"/>
          <w:lang w:val="en-US" w:eastAsia="zh-CN" w:bidi="ar-SA"/>
        </w:rPr>
        <w:t>本年度三公经费无安排。</w:t>
      </w:r>
    </w:p>
    <w:p>
      <w:pPr>
        <w:numPr>
          <w:ilvl w:val="0"/>
          <w:numId w:val="2"/>
        </w:numPr>
        <w:spacing w:before="10" w:after="10" w:line="240" w:lineRule="auto"/>
        <w:ind w:firstLine="640"/>
        <w:jc w:val="left"/>
        <w:outlineLvl w:val="5"/>
        <w:rPr>
          <w:rFonts w:ascii="黑体" w:hAnsi="黑体" w:eastAsia="黑体" w:cs="黑体"/>
          <w:color w:val="000000"/>
          <w:sz w:val="32"/>
        </w:rPr>
      </w:pPr>
      <w:r>
        <w:rPr>
          <w:rFonts w:ascii="黑体" w:hAnsi="黑体" w:eastAsia="黑体" w:cs="黑体"/>
          <w:color w:val="000000"/>
          <w:sz w:val="32"/>
        </w:rPr>
        <w:t>单位项目预算安排情况及绩效目标</w:t>
      </w:r>
    </w:p>
    <w:p>
      <w:pPr>
        <w:spacing w:line="500" w:lineRule="exact"/>
        <w:ind w:firstLine="560" w:firstLineChars="200"/>
      </w:pPr>
      <w:r>
        <w:rPr>
          <w:rFonts w:hint="eastAsia" w:eastAsia="方正仿宋_GBK"/>
          <w:color w:val="000000"/>
          <w:sz w:val="28"/>
        </w:rPr>
        <w:t>（一）总体绩效目标</w:t>
      </w:r>
    </w:p>
    <w:p>
      <w:pPr>
        <w:pStyle w:val="26"/>
      </w:pPr>
      <w:r>
        <w:rPr>
          <w:rFonts w:hint="eastAsia"/>
        </w:rPr>
        <w:t>山海关区审计局总体绩效目标</w:t>
      </w:r>
    </w:p>
    <w:p>
      <w:pPr>
        <w:pStyle w:val="26"/>
      </w:pPr>
      <w:r>
        <w:rPr>
          <w:rFonts w:hint="eastAsia"/>
        </w:rPr>
        <w:t>对区政府财政收支和法律法规规定属于审计监督范围的财务收支的真实、合法和效益进行审计监督，维护财政经济秩序，提高财政资金使用效益，促进廉政建设，保障全区经济和社会健康发展。</w:t>
      </w:r>
    </w:p>
    <w:p>
      <w:pPr>
        <w:spacing w:line="500" w:lineRule="exact"/>
        <w:ind w:firstLine="560"/>
      </w:pPr>
      <w:r>
        <w:rPr>
          <w:rFonts w:hint="eastAsia" w:eastAsia="方正仿宋_GBK"/>
          <w:color w:val="000000"/>
          <w:sz w:val="28"/>
        </w:rPr>
        <w:t>（二）分项绩效目标</w:t>
      </w:r>
    </w:p>
    <w:p>
      <w:pPr>
        <w:pStyle w:val="27"/>
      </w:pPr>
      <w:r>
        <w:rPr>
          <w:rFonts w:hint="eastAsia"/>
        </w:rPr>
        <w:t>山海关区审计局分项绩效目标</w:t>
      </w:r>
    </w:p>
    <w:p>
      <w:pPr>
        <w:pStyle w:val="27"/>
      </w:pPr>
      <w:r>
        <w:rPr>
          <w:rFonts w:hint="eastAsia"/>
          <w:lang w:val="en-US" w:eastAsia="zh-CN"/>
        </w:rPr>
        <w:t>1.</w:t>
      </w:r>
      <w:r>
        <w:rPr>
          <w:rFonts w:hint="eastAsia"/>
        </w:rPr>
        <w:t>审计业务：区本级预算执行情况和其他财政收支，区直各部门（含所属单位）预算执行情况、决算草案和其他财政收支。审计相关预算执行情况、决算草案和其他财政收支，区级财政转移支付资金。使用区级财政资金的事业单位和社会团体的财务收支。区投资和以区投资为主的建设项目的预算执行情况和决算，区重大公共工程项目的资金管理使用和建设运营情况。自然资源管理、污染防治和生态保护与修复情况。区属国有和国有资本占控股或主导地位的企业和金融机构境内外资产、负债和损益。有关社会保障基金、社会捐赠资金和其他基金、资金的财务收支。国际组织和外国政府援助、贷款项目。按规定对区管党政主要领导干部及其他单位主要负责人实施经济责任审计和自然资源资产离任审计。通过上述审计业务活动，实现对财政、财务收支的真实性、合法性和效益性进行审计监督，提高财政资金的使用效益。加强对领导干部行使权力的制约和监督，推进党风廉政建设和反腐败工作，推进国家治理体系和治理能力现代化。</w:t>
      </w:r>
    </w:p>
    <w:p>
      <w:pPr>
        <w:pStyle w:val="27"/>
      </w:pPr>
      <w:r>
        <w:rPr>
          <w:rFonts w:hint="eastAsia"/>
          <w:lang w:val="en-US" w:eastAsia="zh-CN"/>
        </w:rPr>
        <w:t>2.</w:t>
      </w:r>
      <w:r>
        <w:rPr>
          <w:rFonts w:hint="eastAsia"/>
        </w:rPr>
        <w:t>审计统筹协调：接受区委审计委员会的直接领导，承担区委审计委员会具体工作；研究提出审计领域坚持党的领导、加强党的建设的政策建议；组织研究全区审计工作发展规划、重大政策和改革方案；协调推进和督促落实党中央和省委、市委和区委及其审计委员会决策部署，研究提出年度审计项目计划等有关事项。协调推进和督促落实党中央和中央审计委员会、省委和省委审计委员会、市委和市委审计委员会、区委和区委审计委员会决策部署，开创审计发展新局面，构建集中统一、全面覆盖、权威高效的审计监督体系。</w:t>
      </w:r>
    </w:p>
    <w:p>
      <w:pPr>
        <w:spacing w:line="500" w:lineRule="exact"/>
        <w:ind w:firstLine="560" w:firstLineChars="200"/>
      </w:pPr>
      <w:r>
        <w:rPr>
          <w:rFonts w:hint="eastAsia" w:eastAsia="方正仿宋_GBK"/>
          <w:color w:val="000000"/>
          <w:sz w:val="28"/>
        </w:rPr>
        <w:t>（三）工作保障措施</w:t>
      </w:r>
    </w:p>
    <w:p>
      <w:pPr>
        <w:pStyle w:val="28"/>
      </w:pPr>
      <w:r>
        <w:rPr>
          <w:rFonts w:hint="eastAsia"/>
        </w:rPr>
        <w:t>山海关区审计局工作保障措施</w:t>
      </w:r>
    </w:p>
    <w:p>
      <w:pPr>
        <w:pStyle w:val="28"/>
        <w:ind w:left="0" w:leftChars="0" w:firstLine="560" w:firstLineChars="200"/>
        <w:rPr>
          <w:rFonts w:hint="eastAsia" w:ascii="黑体" w:hAnsi="黑体" w:eastAsia="方正仿宋_GBK" w:cs="黑体"/>
          <w:color w:val="000000"/>
          <w:sz w:val="32"/>
          <w:lang w:val="en-US" w:eastAsia="zh-CN"/>
        </w:rPr>
        <w:sectPr>
          <w:pgSz w:w="16840" w:h="11900" w:orient="landscape"/>
          <w:pgMar w:top="1361" w:right="1020" w:bottom="1361" w:left="1020" w:header="720" w:footer="720" w:gutter="0"/>
          <w:cols w:space="720" w:num="1"/>
        </w:sectPr>
      </w:pPr>
      <w:r>
        <w:rPr>
          <w:rFonts w:hint="eastAsia"/>
          <w:lang w:val="en-US" w:eastAsia="zh-CN"/>
        </w:rPr>
        <w:t>2025</w:t>
      </w:r>
      <w:r>
        <w:rPr>
          <w:rFonts w:hint="eastAsia"/>
        </w:rPr>
        <w:t>年，区审计局将以习近平新时代中国特色社会主义思想为指导，牢固树立</w:t>
      </w:r>
      <w:r>
        <w:t>“</w:t>
      </w:r>
      <w:r>
        <w:rPr>
          <w:rFonts w:hint="eastAsia"/>
        </w:rPr>
        <w:t>四个意识</w:t>
      </w:r>
      <w:r>
        <w:t>”</w:t>
      </w:r>
      <w:r>
        <w:rPr>
          <w:rFonts w:hint="eastAsia"/>
        </w:rPr>
        <w:t>，坚定</w:t>
      </w:r>
      <w:r>
        <w:t>“</w:t>
      </w:r>
      <w:r>
        <w:rPr>
          <w:rFonts w:hint="eastAsia"/>
        </w:rPr>
        <w:t>四个自信</w:t>
      </w:r>
      <w:r>
        <w:t>”</w:t>
      </w:r>
      <w:r>
        <w:rPr>
          <w:rFonts w:hint="eastAsia"/>
        </w:rPr>
        <w:t>，坚决做到</w:t>
      </w:r>
      <w:r>
        <w:t>“</w:t>
      </w:r>
      <w:r>
        <w:rPr>
          <w:rFonts w:hint="eastAsia"/>
        </w:rPr>
        <w:t>两个维护</w:t>
      </w:r>
      <w:r>
        <w:t>”</w:t>
      </w:r>
      <w:r>
        <w:rPr>
          <w:rFonts w:hint="eastAsia"/>
        </w:rPr>
        <w:t>，坚持稳中求进工作总基调，坚持新发展理念，进一步提升审计质量和审计价值，加强政治强审、科技强审、改革强审，为我区经济发展发挥审计监督的重要职能作用</w:t>
      </w:r>
      <w:r>
        <w:rPr>
          <w:rFonts w:hint="eastAsia"/>
          <w:lang w:eastAsia="zh-CN"/>
        </w:rPr>
        <w:t>。</w:t>
      </w:r>
    </w:p>
    <w:p>
      <w:pPr>
        <w:spacing w:before="0" w:after="0"/>
        <w:jc w:val="left"/>
        <w:outlineLvl w:val="9"/>
      </w:pPr>
      <w:r>
        <w:rPr>
          <w:rFonts w:ascii="方正仿宋_GBK" w:hAnsi="方正仿宋_GBK" w:eastAsia="方正仿宋_GBK" w:cs="方正仿宋_GBK"/>
          <w:b/>
          <w:color w:val="000000"/>
          <w:sz w:val="28"/>
        </w:rPr>
        <w:t>1、审计业务费绩效目标表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13030325P004953100126</w:t>
            </w:r>
          </w:p>
        </w:tc>
        <w:tc>
          <w:tcPr>
            <w:tcW w:w="2835" w:type="dxa"/>
            <w:vAlign w:val="center"/>
          </w:tcPr>
          <w:p>
            <w:pPr>
              <w:pStyle w:val="10"/>
            </w:pPr>
            <w:r>
              <w:t>项目名称</w:t>
            </w:r>
          </w:p>
        </w:tc>
        <w:tc>
          <w:tcPr>
            <w:tcW w:w="6095" w:type="dxa"/>
            <w:gridSpan w:val="3"/>
            <w:vAlign w:val="center"/>
          </w:tcPr>
          <w:p>
            <w:pPr>
              <w:pStyle w:val="12"/>
            </w:pPr>
            <w:r>
              <w:t>审计业务费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8.00</w:t>
            </w:r>
          </w:p>
        </w:tc>
        <w:tc>
          <w:tcPr>
            <w:tcW w:w="2835" w:type="dxa"/>
            <w:vAlign w:val="center"/>
          </w:tcPr>
          <w:p>
            <w:pPr>
              <w:pStyle w:val="10"/>
            </w:pPr>
            <w:r>
              <w:t>其中：财政    资金</w:t>
            </w:r>
          </w:p>
        </w:tc>
        <w:tc>
          <w:tcPr>
            <w:tcW w:w="2551" w:type="dxa"/>
            <w:vAlign w:val="center"/>
          </w:tcPr>
          <w:p>
            <w:pPr>
              <w:pStyle w:val="12"/>
            </w:pPr>
            <w:r>
              <w:t>8.00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本年度各项审计事务支出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2.00</w:t>
            </w:r>
          </w:p>
        </w:tc>
        <w:tc>
          <w:tcPr>
            <w:tcW w:w="2835" w:type="dxa"/>
            <w:vAlign w:val="center"/>
          </w:tcPr>
          <w:p>
            <w:pPr>
              <w:pStyle w:val="13"/>
            </w:pPr>
            <w:r>
              <w:t>4.00</w:t>
            </w:r>
          </w:p>
        </w:tc>
        <w:tc>
          <w:tcPr>
            <w:tcW w:w="2551" w:type="dxa"/>
            <w:vAlign w:val="center"/>
          </w:tcPr>
          <w:p>
            <w:pPr>
              <w:pStyle w:val="13"/>
            </w:pPr>
            <w:r>
              <w:t>6.00</w:t>
            </w:r>
          </w:p>
        </w:tc>
        <w:tc>
          <w:tcPr>
            <w:tcW w:w="3544" w:type="dxa"/>
            <w:gridSpan w:val="2"/>
            <w:vAlign w:val="center"/>
          </w:tcPr>
          <w:p>
            <w:pPr>
              <w:pStyle w:val="13"/>
            </w:pPr>
            <w:r>
              <w:t>8.00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进一步扎实推进审计工作，规范审计项目。强化财政预算执行和财政财务收支审计，提高财政资金使用效益。强化领导干部经济责任审计，促进领导干部依法履职。维护“金审”三期正常运行，提升审计项目质量。</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成本指标</w:t>
            </w:r>
          </w:p>
        </w:tc>
        <w:tc>
          <w:tcPr>
            <w:tcW w:w="2835" w:type="dxa"/>
            <w:vAlign w:val="center"/>
          </w:tcPr>
          <w:p>
            <w:pPr>
              <w:pStyle w:val="12"/>
            </w:pPr>
            <w:r>
              <w:t>控制成本</w:t>
            </w:r>
          </w:p>
        </w:tc>
        <w:tc>
          <w:tcPr>
            <w:tcW w:w="5386" w:type="dxa"/>
            <w:vAlign w:val="center"/>
          </w:tcPr>
          <w:p>
            <w:pPr>
              <w:pStyle w:val="12"/>
            </w:pPr>
            <w:r>
              <w:t>控制成本</w:t>
            </w:r>
          </w:p>
        </w:tc>
        <w:tc>
          <w:tcPr>
            <w:tcW w:w="2268" w:type="dxa"/>
            <w:vAlign w:val="center"/>
          </w:tcPr>
          <w:p>
            <w:pPr>
              <w:pStyle w:val="12"/>
            </w:pPr>
            <w:r>
              <w:t>严格控制各项费用</w:t>
            </w:r>
          </w:p>
        </w:tc>
        <w:tc>
          <w:tcPr>
            <w:tcW w:w="1276" w:type="dxa"/>
            <w:vAlign w:val="center"/>
          </w:tcPr>
          <w:p>
            <w:pPr>
              <w:pStyle w:val="12"/>
            </w:pPr>
            <w:r>
              <w:t>年初项目预算数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完成审计项目</w:t>
            </w:r>
          </w:p>
        </w:tc>
        <w:tc>
          <w:tcPr>
            <w:tcW w:w="5386" w:type="dxa"/>
            <w:vAlign w:val="center"/>
          </w:tcPr>
          <w:p>
            <w:pPr>
              <w:pStyle w:val="12"/>
            </w:pPr>
            <w:r>
              <w:t>保障全年审计项目完成率</w:t>
            </w:r>
          </w:p>
        </w:tc>
        <w:tc>
          <w:tcPr>
            <w:tcW w:w="2268" w:type="dxa"/>
            <w:vAlign w:val="center"/>
          </w:tcPr>
          <w:p>
            <w:pPr>
              <w:pStyle w:val="12"/>
            </w:pPr>
            <w:r>
              <w:t>≥95%</w:t>
            </w:r>
          </w:p>
        </w:tc>
        <w:tc>
          <w:tcPr>
            <w:tcW w:w="1276" w:type="dxa"/>
            <w:vAlign w:val="center"/>
          </w:tcPr>
          <w:p>
            <w:pPr>
              <w:pStyle w:val="12"/>
            </w:pPr>
            <w:r>
              <w:t>保障全年审计项目完成率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运行正常运转率</w:t>
            </w:r>
          </w:p>
        </w:tc>
        <w:tc>
          <w:tcPr>
            <w:tcW w:w="5386" w:type="dxa"/>
            <w:vAlign w:val="center"/>
          </w:tcPr>
          <w:p>
            <w:pPr>
              <w:pStyle w:val="12"/>
            </w:pPr>
            <w:r>
              <w:t>各项审计业务工作保障率</w:t>
            </w:r>
          </w:p>
        </w:tc>
        <w:tc>
          <w:tcPr>
            <w:tcW w:w="2268" w:type="dxa"/>
            <w:vAlign w:val="center"/>
          </w:tcPr>
          <w:p>
            <w:pPr>
              <w:pStyle w:val="12"/>
            </w:pPr>
            <w:r>
              <w:t>100%</w:t>
            </w:r>
          </w:p>
        </w:tc>
        <w:tc>
          <w:tcPr>
            <w:tcW w:w="1276" w:type="dxa"/>
            <w:vAlign w:val="center"/>
          </w:tcPr>
          <w:p>
            <w:pPr>
              <w:pStyle w:val="12"/>
            </w:pPr>
            <w:r>
              <w:t>维持审计工作正常运转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经费保障及时性</w:t>
            </w:r>
          </w:p>
        </w:tc>
        <w:tc>
          <w:tcPr>
            <w:tcW w:w="5386" w:type="dxa"/>
            <w:vAlign w:val="center"/>
          </w:tcPr>
          <w:p>
            <w:pPr>
              <w:pStyle w:val="12"/>
            </w:pPr>
            <w:r>
              <w:t>及时保障各项审计业务办公需要</w:t>
            </w:r>
          </w:p>
        </w:tc>
        <w:tc>
          <w:tcPr>
            <w:tcW w:w="2268" w:type="dxa"/>
            <w:vAlign w:val="center"/>
          </w:tcPr>
          <w:p>
            <w:pPr>
              <w:pStyle w:val="12"/>
            </w:pPr>
            <w:r>
              <w:t>100%</w:t>
            </w:r>
          </w:p>
        </w:tc>
        <w:tc>
          <w:tcPr>
            <w:tcW w:w="1276" w:type="dxa"/>
            <w:vAlign w:val="center"/>
          </w:tcPr>
          <w:p>
            <w:pPr>
              <w:pStyle w:val="12"/>
            </w:pPr>
            <w:r>
              <w:t>及时保障审计业务办公需要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做好日常维护提高被审计单位资金使用效益</w:t>
            </w:r>
          </w:p>
        </w:tc>
        <w:tc>
          <w:tcPr>
            <w:tcW w:w="5386" w:type="dxa"/>
            <w:vAlign w:val="center"/>
          </w:tcPr>
          <w:p>
            <w:pPr>
              <w:pStyle w:val="12"/>
            </w:pPr>
            <w:r>
              <w:t>提高被审计单位资金使用效益</w:t>
            </w:r>
          </w:p>
        </w:tc>
        <w:tc>
          <w:tcPr>
            <w:tcW w:w="2268" w:type="dxa"/>
            <w:vAlign w:val="center"/>
          </w:tcPr>
          <w:p>
            <w:pPr>
              <w:pStyle w:val="12"/>
            </w:pPr>
            <w:r>
              <w:t>提高被审计单位资金使用效益</w:t>
            </w:r>
          </w:p>
        </w:tc>
        <w:tc>
          <w:tcPr>
            <w:tcW w:w="1276" w:type="dxa"/>
            <w:vAlign w:val="center"/>
          </w:tcPr>
          <w:p>
            <w:pPr>
              <w:pStyle w:val="12"/>
            </w:pPr>
            <w:r>
              <w:t>提高被审计单位资金使用效益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促进被审计单位财务规范，提升财政资金使用效益</w:t>
            </w:r>
          </w:p>
        </w:tc>
        <w:tc>
          <w:tcPr>
            <w:tcW w:w="5386" w:type="dxa"/>
            <w:vAlign w:val="center"/>
          </w:tcPr>
          <w:p>
            <w:pPr>
              <w:pStyle w:val="12"/>
            </w:pPr>
            <w:r>
              <w:t>促进被审计单位财务规范，提升财政资金使用效益</w:t>
            </w:r>
          </w:p>
        </w:tc>
        <w:tc>
          <w:tcPr>
            <w:tcW w:w="2268" w:type="dxa"/>
            <w:vAlign w:val="center"/>
          </w:tcPr>
          <w:p>
            <w:pPr>
              <w:pStyle w:val="12"/>
            </w:pPr>
            <w:r>
              <w:t>提升</w:t>
            </w:r>
          </w:p>
        </w:tc>
        <w:tc>
          <w:tcPr>
            <w:tcW w:w="1276" w:type="dxa"/>
            <w:vAlign w:val="center"/>
          </w:tcPr>
          <w:p>
            <w:pPr>
              <w:pStyle w:val="12"/>
            </w:pPr>
            <w:r>
              <w:t>促进被审计单位财务规范，提升财政资金使用效益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被审计单位及机关工作人员的满意率</w:t>
            </w:r>
          </w:p>
        </w:tc>
        <w:tc>
          <w:tcPr>
            <w:tcW w:w="5386" w:type="dxa"/>
            <w:vAlign w:val="center"/>
          </w:tcPr>
          <w:p>
            <w:pPr>
              <w:pStyle w:val="12"/>
            </w:pPr>
            <w:r>
              <w:t>被审单位及机关工作人员满意率</w:t>
            </w:r>
          </w:p>
        </w:tc>
        <w:tc>
          <w:tcPr>
            <w:tcW w:w="2268" w:type="dxa"/>
            <w:vAlign w:val="center"/>
          </w:tcPr>
          <w:p>
            <w:pPr>
              <w:pStyle w:val="12"/>
            </w:pPr>
            <w:r>
              <w:t>≥95%</w:t>
            </w:r>
          </w:p>
        </w:tc>
        <w:tc>
          <w:tcPr>
            <w:tcW w:w="1276" w:type="dxa"/>
            <w:vAlign w:val="center"/>
          </w:tcPr>
          <w:p>
            <w:pPr>
              <w:pStyle w:val="12"/>
            </w:pPr>
            <w:r>
              <w:t>被审计单位及机关工作人员的满意率</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319001审计部门审计局本级</w:t>
            </w:r>
          </w:p>
        </w:tc>
        <w:tc>
          <w:tcPr>
            <w:tcW w:w="7712" w:type="dxa"/>
            <w:gridSpan w:val="8"/>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6748" w:type="dxa"/>
            <w:gridSpan w:val="7"/>
            <w:vAlign w:val="center"/>
          </w:tcPr>
          <w:p>
            <w:pPr>
              <w:pStyle w:val="10"/>
            </w:pPr>
            <w:r>
              <w:t>政府采购金额（当年部门预算安排资金）</w:t>
            </w:r>
          </w:p>
        </w:tc>
        <w:tc>
          <w:tcPr>
            <w:tcW w:w="964" w:type="dxa"/>
            <w:vMerge w:val="restart"/>
            <w:vAlign w:val="center"/>
          </w:tcPr>
          <w:p>
            <w:pPr>
              <w:pStyle w:val="10"/>
            </w:pPr>
            <w:r>
              <w:t>2025年  预留中  小微企  业份额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上年结转结余</w:t>
            </w:r>
          </w:p>
        </w:tc>
        <w:tc>
          <w:tcPr>
            <w:tcW w:w="96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p>
        </w:tc>
        <w:tc>
          <w:tcPr>
            <w:tcW w:w="964" w:type="dxa"/>
            <w:vAlign w:val="center"/>
          </w:tcPr>
          <w:p>
            <w:pPr>
              <w:pStyle w:val="11"/>
            </w:pPr>
          </w:p>
        </w:tc>
        <w:tc>
          <w:tcPr>
            <w:tcW w:w="1134" w:type="dxa"/>
            <w:vAlign w:val="center"/>
          </w:tcPr>
          <w:p>
            <w:pPr>
              <w:pStyle w:val="12"/>
            </w:pPr>
          </w:p>
        </w:tc>
        <w:tc>
          <w:tcPr>
            <w:tcW w:w="1134" w:type="dxa"/>
            <w:vAlign w:val="center"/>
          </w:tcPr>
          <w:p>
            <w:pPr>
              <w:pStyle w:val="12"/>
            </w:pPr>
          </w:p>
        </w:tc>
        <w:tc>
          <w:tcPr>
            <w:tcW w:w="709" w:type="dxa"/>
            <w:vAlign w:val="center"/>
          </w:tcPr>
          <w:p>
            <w:pPr>
              <w:pStyle w:val="13"/>
            </w:pPr>
          </w:p>
        </w:tc>
        <w:tc>
          <w:tcPr>
            <w:tcW w:w="850" w:type="dxa"/>
            <w:vAlign w:val="center"/>
          </w:tcPr>
          <w:p>
            <w:pPr>
              <w:pStyle w:val="11"/>
            </w:pPr>
          </w:p>
        </w:tc>
        <w:tc>
          <w:tcPr>
            <w:tcW w:w="850"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审计部门审计局本级上年末固定资产金额为</w:t>
      </w:r>
      <w:r>
        <w:rPr>
          <w:rFonts w:hint="eastAsia" w:eastAsia="方正仿宋_GBK" w:cs="Times New Roman"/>
          <w:b w:val="0"/>
          <w:color w:val="000000"/>
          <w:sz w:val="28"/>
          <w:lang w:val="en-US" w:eastAsia="zh-CN"/>
        </w:rPr>
        <w:t>3.66</w:t>
      </w:r>
      <w:r>
        <w:rPr>
          <w:rFonts w:ascii="Times New Roman" w:hAnsi="Times New Roman" w:eastAsia="方正仿宋_GBK" w:cs="Times New Roman"/>
          <w:b w:val="0"/>
          <w:color w:val="000000"/>
          <w:sz w:val="28"/>
        </w:rPr>
        <w:t>万元（详见下表）。本年度拟购置固定资产总额为0.00万元，已按要求列入政府采购预算，详见政府采购预算表。</w:t>
      </w:r>
      <w:bookmarkStart w:id="1" w:name="_GoBack"/>
      <w:bookmarkEnd w:id="1"/>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pPr>
              <w:pStyle w:val="9"/>
            </w:pPr>
            <w:r>
              <w:t>319001审计部门审计局本级</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截止时间：2024-12-31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ind w:firstLine="0" w:firstLineChars="0"/>
              <w:rPr>
                <w:rFonts w:hint="eastAsia" w:ascii="方正书宋_GBK" w:hAnsi="方正书宋_GBK" w:eastAsia="方正书宋_GBK" w:cs="方正书宋_GBK"/>
                <w:sz w:val="21"/>
                <w:lang w:eastAsia="zh-CN"/>
              </w:rPr>
            </w:pPr>
            <w:r>
              <w:rPr>
                <w:rFonts w:hint="eastAsia"/>
                <w:lang w:eastAsia="zh-CN"/>
              </w:rPr>
              <w:t>资产总额</w:t>
            </w:r>
          </w:p>
        </w:tc>
        <w:tc>
          <w:tcPr>
            <w:tcW w:w="2835" w:type="dxa"/>
            <w:vAlign w:val="center"/>
          </w:tcPr>
          <w:p>
            <w:pPr>
              <w:pStyle w:val="13"/>
              <w:ind w:firstLine="0" w:firstLineChars="0"/>
              <w:rPr>
                <w:rFonts w:ascii="方正书宋_GBK" w:hAnsi="方正书宋_GBK" w:eastAsia="方正书宋_GBK" w:cs="方正书宋_GBK"/>
                <w:sz w:val="21"/>
              </w:rPr>
            </w:pPr>
          </w:p>
        </w:tc>
        <w:tc>
          <w:tcPr>
            <w:tcW w:w="2835" w:type="dxa"/>
            <w:vAlign w:val="center"/>
          </w:tcPr>
          <w:p>
            <w:pPr>
              <w:pStyle w:val="11"/>
              <w:ind w:firstLine="0" w:firstLineChars="0"/>
              <w:rPr>
                <w:rFonts w:hint="default" w:ascii="方正书宋_GBK" w:hAnsi="方正书宋_GBK" w:eastAsia="方正书宋_GBK" w:cs="方正书宋_GBK"/>
                <w:sz w:val="21"/>
                <w:lang w:val="en-US" w:eastAsia="zh-CN"/>
              </w:rPr>
            </w:pPr>
            <w:r>
              <w:rPr>
                <w:rFonts w:hint="eastAsia"/>
                <w:lang w:val="en-US" w:eastAsia="zh-CN"/>
              </w:rPr>
              <w:t>3.66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ind w:firstLine="0" w:firstLineChars="0"/>
              <w:rPr>
                <w:rFonts w:hint="eastAsia" w:ascii="方正书宋_GBK" w:hAnsi="方正书宋_GBK" w:eastAsia="方正书宋_GBK" w:cs="方正书宋_GBK"/>
                <w:sz w:val="21"/>
                <w:lang w:val="en-US" w:eastAsia="zh-CN"/>
              </w:rPr>
            </w:pPr>
            <w:r>
              <w:rPr>
                <w:rFonts w:hint="eastAsia"/>
                <w:lang w:val="en-US" w:eastAsia="zh-CN"/>
              </w:rPr>
              <w:t>1、房屋（平方米）</w:t>
            </w:r>
          </w:p>
        </w:tc>
        <w:tc>
          <w:tcPr>
            <w:tcW w:w="2835" w:type="dxa"/>
            <w:vAlign w:val="center"/>
          </w:tcPr>
          <w:p>
            <w:pPr>
              <w:pStyle w:val="13"/>
              <w:ind w:firstLine="0" w:firstLineChars="0"/>
              <w:rPr>
                <w:rFonts w:hint="default" w:ascii="方正书宋_GBK" w:hAnsi="方正书宋_GBK" w:eastAsia="方正书宋_GBK" w:cs="方正书宋_GBK"/>
                <w:sz w:val="21"/>
                <w:lang w:val="en-US" w:eastAsia="zh-CN"/>
              </w:rPr>
            </w:pPr>
            <w:r>
              <w:rPr>
                <w:rFonts w:hint="eastAsia"/>
                <w:lang w:val="en-US" w:eastAsia="zh-CN"/>
              </w:rPr>
              <w:t>80</w:t>
            </w:r>
          </w:p>
        </w:tc>
        <w:tc>
          <w:tcPr>
            <w:tcW w:w="2835" w:type="dxa"/>
            <w:vAlign w:val="center"/>
          </w:tcPr>
          <w:p>
            <w:pPr>
              <w:pStyle w:val="11"/>
              <w:ind w:firstLine="0" w:firstLineChars="0"/>
              <w:rPr>
                <w:rFonts w:hint="default" w:ascii="方正书宋_GBK" w:hAnsi="方正书宋_GBK" w:eastAsia="方正书宋_GBK" w:cs="方正书宋_GBK"/>
                <w:sz w:val="21"/>
                <w:lang w:val="en-US" w:eastAsia="zh-CN"/>
              </w:rPr>
            </w:pPr>
            <w:r>
              <w:rPr>
                <w:rFonts w:hint="eastAsia"/>
                <w:lang w:val="en-US" w:eastAsia="zh-CN"/>
              </w:rPr>
              <w:t>1.02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ind w:firstLine="0" w:firstLineChars="0"/>
              <w:rPr>
                <w:rFonts w:hint="eastAsia" w:ascii="方正书宋_GBK" w:hAnsi="方正书宋_GBK" w:eastAsia="方正书宋_GBK" w:cs="方正书宋_GBK"/>
                <w:sz w:val="21"/>
                <w:lang w:val="en-US" w:eastAsia="zh-CN"/>
              </w:rPr>
            </w:pPr>
            <w:r>
              <w:rPr>
                <w:rFonts w:hint="eastAsia"/>
                <w:lang w:val="en-US" w:eastAsia="zh-CN"/>
              </w:rPr>
              <w:t xml:space="preserve"> 其中：办公用房（平方米）</w:t>
            </w:r>
          </w:p>
        </w:tc>
        <w:tc>
          <w:tcPr>
            <w:tcW w:w="2835" w:type="dxa"/>
            <w:vAlign w:val="center"/>
          </w:tcPr>
          <w:p>
            <w:pPr>
              <w:pStyle w:val="13"/>
              <w:ind w:firstLine="0" w:firstLineChars="0"/>
              <w:rPr>
                <w:rFonts w:hint="default" w:ascii="方正书宋_GBK" w:hAnsi="方正书宋_GBK" w:eastAsia="方正书宋_GBK" w:cs="方正书宋_GBK"/>
                <w:sz w:val="21"/>
                <w:lang w:val="en-US" w:eastAsia="zh-CN"/>
              </w:rPr>
            </w:pPr>
            <w:r>
              <w:rPr>
                <w:rFonts w:hint="eastAsia"/>
                <w:lang w:val="en-US" w:eastAsia="zh-CN"/>
              </w:rPr>
              <w:t>80</w:t>
            </w:r>
          </w:p>
        </w:tc>
        <w:tc>
          <w:tcPr>
            <w:tcW w:w="2835" w:type="dxa"/>
            <w:vAlign w:val="center"/>
          </w:tcPr>
          <w:p>
            <w:pPr>
              <w:pStyle w:val="11"/>
              <w:ind w:firstLine="0" w:firstLineChars="0"/>
              <w:rPr>
                <w:rFonts w:hint="default" w:ascii="方正书宋_GBK" w:hAnsi="方正书宋_GBK" w:eastAsia="方正书宋_GBK" w:cs="方正书宋_GBK"/>
                <w:sz w:val="21"/>
                <w:lang w:val="en-US" w:eastAsia="zh-CN"/>
              </w:rPr>
            </w:pPr>
            <w:r>
              <w:rPr>
                <w:rFonts w:hint="eastAsia"/>
                <w:lang w:val="en-US" w:eastAsia="zh-CN"/>
              </w:rPr>
              <w:t>1.02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ind w:firstLine="0" w:firstLineChars="0"/>
              <w:rPr>
                <w:rFonts w:hint="default" w:ascii="方正书宋_GBK" w:hAnsi="方正书宋_GBK" w:eastAsia="方正书宋_GBK" w:cs="方正书宋_GBK"/>
                <w:sz w:val="21"/>
                <w:lang w:val="en-US" w:eastAsia="zh-CN"/>
              </w:rPr>
            </w:pPr>
            <w:r>
              <w:rPr>
                <w:rFonts w:hint="eastAsia"/>
                <w:lang w:val="en-US" w:eastAsia="zh-CN"/>
              </w:rPr>
              <w:t>2.车辆（台、辆）</w:t>
            </w:r>
          </w:p>
        </w:tc>
        <w:tc>
          <w:tcPr>
            <w:tcW w:w="2835" w:type="dxa"/>
            <w:vAlign w:val="center"/>
          </w:tcPr>
          <w:p>
            <w:pPr>
              <w:pStyle w:val="13"/>
              <w:ind w:firstLine="0" w:firstLineChars="0"/>
              <w:rPr>
                <w:rFonts w:hint="eastAsia" w:ascii="方正书宋_GBK" w:hAnsi="方正书宋_GBK" w:eastAsia="方正书宋_GBK" w:cs="方正书宋_GBK"/>
                <w:sz w:val="21"/>
                <w:lang w:val="en-US" w:eastAsia="zh-CN"/>
              </w:rPr>
            </w:pPr>
            <w:r>
              <w:rPr>
                <w:rFonts w:hint="eastAsia"/>
                <w:lang w:val="en-US" w:eastAsia="zh-CN"/>
              </w:rPr>
              <w:t>1</w:t>
            </w:r>
          </w:p>
        </w:tc>
        <w:tc>
          <w:tcPr>
            <w:tcW w:w="2835" w:type="dxa"/>
            <w:vAlign w:val="center"/>
          </w:tcPr>
          <w:p>
            <w:pPr>
              <w:pStyle w:val="11"/>
              <w:ind w:firstLine="0" w:firstLineChars="0"/>
              <w:rPr>
                <w:rFonts w:ascii="方正书宋_GBK" w:hAnsi="方正书宋_GBK" w:eastAsia="方正书宋_GBK" w:cs="方正书宋_GBK"/>
                <w:sz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ind w:firstLine="0" w:firstLineChars="0"/>
              <w:rPr>
                <w:rFonts w:hint="eastAsia" w:ascii="方正书宋_GBK" w:hAnsi="方正书宋_GBK" w:eastAsia="方正书宋_GBK" w:cs="方正书宋_GBK"/>
                <w:sz w:val="21"/>
                <w:lang w:val="en-US" w:eastAsia="zh-CN"/>
              </w:rPr>
            </w:pPr>
            <w:r>
              <w:rPr>
                <w:rFonts w:hint="eastAsia"/>
                <w:lang w:val="en-US" w:eastAsia="zh-CN"/>
              </w:rPr>
              <w:t>3.单价 在20万元以上的设备</w:t>
            </w:r>
          </w:p>
        </w:tc>
        <w:tc>
          <w:tcPr>
            <w:tcW w:w="2835" w:type="dxa"/>
            <w:vAlign w:val="center"/>
          </w:tcPr>
          <w:p>
            <w:pPr>
              <w:pStyle w:val="13"/>
              <w:ind w:firstLine="0" w:firstLineChars="0"/>
              <w:rPr>
                <w:rFonts w:hint="eastAsia" w:ascii="方正书宋_GBK" w:hAnsi="方正书宋_GBK" w:eastAsia="方正书宋_GBK" w:cs="方正书宋_GBK"/>
                <w:sz w:val="21"/>
                <w:lang w:val="en-US" w:eastAsia="zh-CN"/>
              </w:rPr>
            </w:pPr>
          </w:p>
        </w:tc>
        <w:tc>
          <w:tcPr>
            <w:tcW w:w="2835" w:type="dxa"/>
            <w:vAlign w:val="center"/>
          </w:tcPr>
          <w:p>
            <w:pPr>
              <w:pStyle w:val="11"/>
              <w:ind w:firstLine="0" w:firstLineChars="0"/>
              <w:rPr>
                <w:rFonts w:ascii="方正书宋_GBK" w:hAnsi="方正书宋_GBK" w:eastAsia="方正书宋_GBK" w:cs="方正书宋_GBK"/>
                <w:sz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ind w:firstLine="0" w:firstLineChars="0"/>
              <w:rPr>
                <w:rFonts w:hint="eastAsia" w:ascii="方正书宋_GBK" w:hAnsi="方正书宋_GBK" w:eastAsia="方正书宋_GBK" w:cs="方正书宋_GBK"/>
                <w:sz w:val="21"/>
                <w:lang w:val="en-US" w:eastAsia="zh-CN"/>
              </w:rPr>
            </w:pPr>
            <w:r>
              <w:rPr>
                <w:rFonts w:hint="eastAsia"/>
                <w:lang w:val="en-US" w:eastAsia="zh-CN"/>
              </w:rPr>
              <w:t>4.其他固定资产</w:t>
            </w:r>
          </w:p>
        </w:tc>
        <w:tc>
          <w:tcPr>
            <w:tcW w:w="2835" w:type="dxa"/>
            <w:vAlign w:val="center"/>
          </w:tcPr>
          <w:p>
            <w:pPr>
              <w:pStyle w:val="13"/>
              <w:ind w:firstLine="0" w:firstLineChars="0"/>
              <w:rPr>
                <w:rFonts w:hint="eastAsia" w:ascii="方正书宋_GBK" w:hAnsi="方正书宋_GBK" w:eastAsia="方正书宋_GBK" w:cs="方正书宋_GBK"/>
                <w:sz w:val="21"/>
                <w:lang w:val="en-US" w:eastAsia="zh-CN"/>
              </w:rPr>
            </w:pPr>
            <w:r>
              <w:rPr>
                <w:rFonts w:hint="eastAsia"/>
                <w:lang w:val="en-US" w:eastAsia="zh-CN"/>
              </w:rPr>
              <w:t>59</w:t>
            </w:r>
          </w:p>
        </w:tc>
        <w:tc>
          <w:tcPr>
            <w:tcW w:w="2835" w:type="dxa"/>
            <w:vAlign w:val="center"/>
          </w:tcPr>
          <w:p>
            <w:pPr>
              <w:pStyle w:val="11"/>
              <w:ind w:firstLine="0" w:firstLineChars="0"/>
              <w:rPr>
                <w:rFonts w:hint="default" w:ascii="方正书宋_GBK" w:hAnsi="方正书宋_GBK" w:eastAsia="方正书宋_GBK" w:cs="方正书宋_GBK"/>
                <w:sz w:val="21"/>
                <w:lang w:val="en-US" w:eastAsia="zh-CN"/>
              </w:rPr>
            </w:pPr>
            <w:r>
              <w:rPr>
                <w:rFonts w:hint="eastAsia"/>
                <w:lang w:val="en-US" w:eastAsia="zh-CN"/>
              </w:rPr>
              <w:t>2.64</w:t>
            </w: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auto"/>
    <w:pitch w:val="default"/>
    <w:sig w:usb0="E0002AFF" w:usb1="C0007843" w:usb2="00000009" w:usb3="00000000" w:csb0="400001FF" w:csb1="FFFF0000"/>
  </w:font>
  <w:font w:name="方正仿宋_GBK">
    <w:altName w:val="Arial Unicode MS"/>
    <w:panose1 w:val="00000000000000000000"/>
    <w:charset w:val="00"/>
    <w:family w:val="auto"/>
    <w:pitch w:val="default"/>
    <w:sig w:usb0="00000000" w:usb1="00000000" w:usb2="00000000" w:usb3="00000000" w:csb0="00000000" w:csb1="00000000"/>
  </w:font>
  <w:font w:name="方正小标宋_GBK">
    <w:altName w:val="Arial Unicode MS"/>
    <w:panose1 w:val="00000000000000000000"/>
    <w:charset w:val="00"/>
    <w:family w:val="auto"/>
    <w:pitch w:val="default"/>
    <w:sig w:usb0="00000000" w:usb1="00000000" w:usb2="00000000" w:usb3="00000000" w:csb0="00000000" w:csb1="00000000"/>
  </w:font>
  <w:font w:name="方正书宋_GBK">
    <w:altName w:val="Arial Unicode MS"/>
    <w:panose1 w:val="00000000000000000000"/>
    <w:charset w:val="00"/>
    <w:family w:val="auto"/>
    <w:pitch w:val="default"/>
    <w:sig w:usb0="00000000" w:usb1="00000000" w:usb2="00000000" w:usb3="00000000" w:csb0="00000000" w:csb1="00000000"/>
  </w:font>
  <w:font w:name="方正楷体_GBK">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方正仿宋_GBK">
    <w:altName w:val="Arial Unicode MS"/>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16</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CAF9F23"/>
    <w:multiLevelType w:val="singleLevel"/>
    <w:tmpl w:val="9CAF9F23"/>
    <w:lvl w:ilvl="0" w:tentative="0">
      <w:start w:val="5"/>
      <w:numFmt w:val="chineseCounting"/>
      <w:suff w:val="nothing"/>
      <w:lvlText w:val="%1、"/>
      <w:lvlJc w:val="left"/>
      <w:rPr>
        <w:rFonts w:hint="eastAsia"/>
      </w:rPr>
    </w:lvl>
  </w:abstractNum>
  <w:abstractNum w:abstractNumId="1">
    <w:nsid w:val="F546585E"/>
    <w:multiLevelType w:val="singleLevel"/>
    <w:tmpl w:val="F546585E"/>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F6237A"/>
    <w:rsid w:val="3551636F"/>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22">
    <w:name w:val="正文-公1"/>
    <w:basedOn w:val="23"/>
    <w:next w:val="1"/>
    <w:qFormat/>
    <w:uiPriority w:val="0"/>
    <w:pPr>
      <w:ind w:firstLine="200" w:firstLineChars="200"/>
    </w:pPr>
  </w:style>
  <w:style w:type="paragraph" w:customStyle="1" w:styleId="2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2"/>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4">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6">
    <w:name w:val="插入文本样式-插入总体目标文件"/>
    <w:basedOn w:val="1"/>
    <w:uiPriority w:val="99"/>
    <w:pPr>
      <w:spacing w:line="500" w:lineRule="exact"/>
      <w:ind w:firstLine="560"/>
    </w:pPr>
    <w:rPr>
      <w:rFonts w:eastAsia="方正仿宋_GBK"/>
      <w:sz w:val="28"/>
    </w:rPr>
  </w:style>
  <w:style w:type="paragraph" w:customStyle="1" w:styleId="27">
    <w:name w:val="插入文本样式-插入职责分类绩效目标文件"/>
    <w:basedOn w:val="1"/>
    <w:uiPriority w:val="99"/>
    <w:pPr>
      <w:spacing w:line="500" w:lineRule="exact"/>
      <w:ind w:firstLine="560"/>
    </w:pPr>
    <w:rPr>
      <w:rFonts w:eastAsia="方正仿宋_GBK"/>
      <w:sz w:val="28"/>
    </w:rPr>
  </w:style>
  <w:style w:type="paragraph" w:customStyle="1" w:styleId="28">
    <w:name w:val="插入文本样式-插入实现年度发展规划目标的保障措施文件"/>
    <w:basedOn w:val="1"/>
    <w:uiPriority w:val="99"/>
    <w:pPr>
      <w:spacing w:line="500" w:lineRule="exact"/>
      <w:ind w:firstLine="560"/>
    </w:pPr>
    <w:rPr>
      <w:rFonts w:eastAsia="方正仿宋_GBK"/>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18</Pages>
  <TotalTime>47</TotalTime>
  <ScaleCrop>false</ScaleCrop>
  <LinksUpToDate>false</LinksUpToDate>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2025-01-23T09:52:00Z</dcterms:created>
  <dc:creator>jo</dc:creator>
  <cp:lastModifiedBy>Administrator</cp:lastModifiedBy>
  <dcterms:modified xsi:type="dcterms:W3CDTF">2025-09-10T02:09:50Z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6FEFF5FF3C2E4B54AB68C5991E857986</vt:lpwstr>
  </property>
</Properties>
</file>