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在噪声敏感建筑物集中区域内，禁止夜间进行产生环境噪声并干扰他人的建筑施工、建筑垃圾清运作业的，未取得夜间作业证明，未按照夜间作业证明的要求进行施工，或者未在受影响区域的显著位置公告的违法行为的处罚，未遵守市、县（区）人民政府在中考、高考等特殊期间对产生环境噪声污染的建筑施工所作的限制性规定的违法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《中华人民共和国环境噪声污染防治法》第三十条　在城市市区噪声敏感建筑物集中区域内，禁止夜间进行产生环境噪声污染的建筑施工作业，但抢修、抢险作业和因生产工艺上要求或者特殊需要必须连续作业的除外。                                                                       第五十六条　建筑施工单位违反本法第三十条第一款的规定，在城市市区噪声敏感建筑的集中区域内，夜间进行禁止进行的产生环境噪声污染的建筑施工作业的，由工程所在地县级以上地方人民政府环境保护行政主管部门责令改正，可以并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山办字〔2019〕27号第三条（七）6.行使环境保护管理方面建筑施工扬尘污染、露天烧烤污染、城市焚烧沥青塑料垃圾等烟尘和恶臭污染、露天焚烧秸秆落叶等烟尘污染、燃放烟花爆竹污染等的行政处罚权。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F26FC8">
      <w:pPr>
        <w:widowControl/>
        <w:jc w:val="center"/>
        <w:textAlignment w:val="center"/>
      </w:pPr>
      <w:r>
        <w:rPr>
          <w:rFonts w:ascii="方正小标宋简体" w:eastAsia="方正小标宋简体" w:cs="方正小标宋简体" w:hint="eastAsia"/>
          <w:color w:val="000000"/>
          <w:kern w:val="0"/>
          <w:sz w:val="44"/>
          <w:szCs w:val="44"/>
        </w:rPr>
        <w:lastRenderedPageBreak/>
        <w:t>履职行权规程</w:t>
      </w:r>
    </w:p>
    <w:p w:rsidR="002F43E9" w:rsidRDefault="002F43E9"/>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对在雨水、污水分流地区，建设单位、施工单位将污水管网接入雨水管网的处罚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 xml:space="preserve">《城镇排水与污水处理条例》第十九条第二款：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“在雨水、污水分流地区，新区建设和旧城区改建不得将雨水管网、污水管网相互混接。”</w:t>
            </w:r>
          </w:p>
          <w:p w:rsidR="002F43E9" w:rsidRDefault="00F26FC8">
            <w:pPr>
              <w:spacing w:line="240" w:lineRule="exact"/>
              <w:rPr>
                <w:rFonts w:ascii="黑体" w:eastAsia="黑体" w:hAnsi="黑体" w:cs="仿宋_GB2312"/>
                <w:kern w:val="0"/>
                <w:sz w:val="18"/>
                <w:szCs w:val="18"/>
              </w:rPr>
            </w:pPr>
            <w:r>
              <w:rPr>
                <w:rFonts w:ascii="仿宋_GB2312" w:eastAsia="仿宋_GB2312" w:cs="黑体" w:hint="eastAsia"/>
                <w:kern w:val="0"/>
                <w:sz w:val="18"/>
                <w:szCs w:val="18"/>
              </w:rPr>
              <w:t xml:space="preserve">　　　第四十八条　“违反本条例规定，在雨水、污水分流地区，建设单位、施工单位将雨水管网、污水管网相互混接的，由城镇排水主管部门责令改正，处5万元以上10万元以下的罚款；造成损失的，依法承担赔偿责任。”</w:t>
            </w: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2.</w:t>
            </w:r>
            <w:r>
              <w:rPr>
                <w:rFonts w:ascii="仿宋_GB2312" w:eastAsia="仿宋_GB2312" w:cs="黑体" w:hint="eastAsia"/>
                <w:kern w:val="0"/>
                <w:sz w:val="18"/>
                <w:szCs w:val="18"/>
              </w:rPr>
              <w:t>行使城市供水、城市排水（污水）、城市供热、城市燃气等方面的法律、法规、规章规定的行政处罚权。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1、发现违法行为或者接到对违法行为的举报不予查处的,或者有其他未依照本条例履行职责的行为的。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2、违反本条例规定,核发污水排入排水管网许可证、排污许可证后不实施监督检查的。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3、违反本条例规定,城镇排水主管部门对不符合法定条件的排水户核发污水排入排水管网许可证的,或者对符合法定条件的排水户不予核发污水排入排水管网许可证的。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 xml:space="preserve"> 4.其他违反法律法规规章规定的行为。。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3</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对城镇排水与污水处理设施覆盖范围内的排水单位和个人，未按照国家有关规定将污水排入城镇排水设施，或者在雨水、污水分流地区将污水排入雨水管网的处罚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《城镇排水与污水处理条例》第二十条　“城镇排水设施覆盖范围内的排水单位和个人，应当按照国家有关规定将污水排入城镇排水设施。</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在雨水、污水分流地区，不得将污水排入雨水管网。”</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2.</w:t>
            </w:r>
            <w:r>
              <w:rPr>
                <w:rFonts w:ascii="仿宋_GB2312" w:eastAsia="仿宋_GB2312" w:cs="黑体" w:hint="eastAsia"/>
                <w:kern w:val="0"/>
                <w:sz w:val="18"/>
                <w:szCs w:val="18"/>
              </w:rPr>
              <w:t>行使城市供水、城市排水（污水）、城市供热、城市燃气等方面的法律、法规、规章规定的行政处罚权。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1、发现违法行为或者接到对违法行为的举报不予查处的,或者有其他未依照本条例履行职责的行为的。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2、违反本条例规定,核发污水排入排水管网许可证、排污许可证后不实施监督检查的。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3、违反本条例规定,城镇排水主管部门对不符合法定条件的排水户核发污水排入排水管网许可证的,或者对符合法定条件的排水户不予核发污水排入排水管网许可证的。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 xml:space="preserve"> 4.其他违反法律法规规章规定的行为。。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4</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违反本条例的规定，有下列行为之一的处罚，1.未取得设计、施工资格或者未按照资质等级承担城市道路的设计、施工任务的；2.未按照城市道路设计、施工技术规范设计、施工的；3.未按照设计图纸施工或者擅自修改图纸的。</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《城市道路管理</w:t>
            </w:r>
            <w:r w:rsidR="002D1B7E">
              <w:rPr>
                <w:rFonts w:ascii="仿宋_GB2312" w:eastAsia="仿宋_GB2312" w:cs="黑体" w:hint="eastAsia"/>
                <w:kern w:val="0"/>
                <w:sz w:val="18"/>
                <w:szCs w:val="18"/>
              </w:rPr>
              <w:t>条例</w:t>
            </w:r>
            <w:r>
              <w:rPr>
                <w:rFonts w:ascii="仿宋_GB2312" w:eastAsia="仿宋_GB2312" w:cs="黑体" w:hint="eastAsia"/>
                <w:kern w:val="0"/>
                <w:sz w:val="18"/>
                <w:szCs w:val="18"/>
              </w:rPr>
              <w:t>》第十六条 “承担城市道路设计、施工的单位，应当具有相应的资质等级，并按照资质等级承担相应的城市道路的设计、施工任务。”</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第十七条 “城市道路的设计、施工，应当严格执行国家和地方规定的城市道路设计、施工的技术规范。</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城市道路施工，实行工程质量监督制度。</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城市道路工程竣工，经验收合格后，方可交付使用；  未经验收或者验收不合格的，不得交付使用。”</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第三十九条 “违反本条例的规定，有下列行为之一的，由市政工程行政主管部门责令停止设计、施工，限期改正，可以并处3万元以下的罚款；已经取得设计、施工资格证书，情节严重的，提请原发证机关吊销设计、施工资格证书：</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（一）未取得设计、施工资格或者未按照资质等级承担城市道路的设计、施工任务的；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（二）未按照城市道路设计、施工技术规范设计、施工的；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（三）未按照设计图纸施工或者擅自修改图纸的。”</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1、对违法行为进行包庇的。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2、对举报不及时查处或者泄露举报人相关信息的。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3、应当移送公安机关立案侦查的大气污染案件不移送的。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4、其他滥用职权、玩忽职守、徇私舞弊的。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5、其他违反法律法规规章规定的行为。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1.业务咨询：5138387</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5</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城市道路的设计、施工，未严格执行国家和地方规定的城市道路设计、施工的技术规范。城市道路施工，未实行工程质量监督制度。城市道路工程竣工，未经验收或者验收不合格的，交付使用以及擅自使用未经验收或者验收不合格的城市道路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《城市道路管理</w:t>
            </w:r>
            <w:r w:rsidR="0099696C">
              <w:rPr>
                <w:rFonts w:ascii="仿宋_GB2312" w:eastAsia="仿宋_GB2312" w:cs="黑体" w:hint="eastAsia"/>
                <w:kern w:val="0"/>
                <w:sz w:val="18"/>
                <w:szCs w:val="18"/>
              </w:rPr>
              <w:t>条例</w:t>
            </w:r>
            <w:r>
              <w:rPr>
                <w:rFonts w:ascii="仿宋_GB2312" w:eastAsia="仿宋_GB2312" w:cs="黑体" w:hint="eastAsia"/>
                <w:kern w:val="0"/>
                <w:sz w:val="18"/>
                <w:szCs w:val="18"/>
              </w:rPr>
              <w:t>》第二十一条 “承担城市道路养护、维修的单位，应当严格执行城市道路养护、维修的技术规范，定期对城市道路进行养护、维修，确保养护、维修工程的质量。”</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第二十四条 “城市道路的养护、维修工程应当按照规定的期限修复竣工，并在养护、维修工程施工现场设置明显标志和安全防围设施，保障行人和交通车辆安全。”</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第四十一条 “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《城市道路管理</w:t>
            </w:r>
            <w:r w:rsidR="006329EA">
              <w:rPr>
                <w:rFonts w:ascii="仿宋_GB2312" w:eastAsia="仿宋_GB2312" w:cs="黑体" w:hint="eastAsia"/>
                <w:kern w:val="0"/>
                <w:sz w:val="18"/>
                <w:szCs w:val="18"/>
              </w:rPr>
              <w:t>条例</w:t>
            </w:r>
            <w:r>
              <w:rPr>
                <w:rFonts w:ascii="仿宋_GB2312" w:eastAsia="仿宋_GB2312" w:cs="黑体" w:hint="eastAsia"/>
                <w:kern w:val="0"/>
                <w:sz w:val="18"/>
                <w:szCs w:val="18"/>
              </w:rPr>
              <w:t>》第十七条 “城市道路的设计、施工，应当严格执行国家和地方规定的城市道路设计、施工的技术规范。</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城市道路施工，实行工程质量监督制度。</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城市道路工程竣工，经验收合格后，方可交付使用；未经验收或者验收不合格的，不得交付使用。”</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第四十条 “违反本条例第十七条规定，擅自使用未经验收或者验收不合格的城市道路的，由市政工程行政主管部门责令限期改正，给予警告，可以并处工程造价2%以下的罚款。”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1、对违法行为进行包庇的。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2、对举报不及时查处或者泄露举报人相关信息的。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3、应当移送公安机关立案侦查的大气污染案件不移送的。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4、其他滥用职权、玩忽职守、徇私舞弊的。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5、其他违反法律法规规章规定的行为。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1.业务咨询：5138387</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6</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城市道路范围内有下列行为之一处罚：1.擅自占用或者挖掘城市道路；2.履带车、铁轮车或者超重、超高、超长车辆擅自在城市道路上行驶；3.机动车在桥梁或者非指定的城市道路上试刹车；4.擅自在城市道路上建设建筑物、构筑物；5.在桥梁上架设压力在4公斤/平方厘米（0.4兆帕）以上的煤气管道、10千伏以上的高压电力线和其他易燃易爆管线；6.擅自在桥梁或者路灯设施上设置广告牌或者其他挂浮物；7.其他损害、侵占城市道路的行为的处罚。8. 未对设在城市道路上的各种管线的检查井、箱盖或者城市道路附属设施的缺损及时补缺或者修复的；9.未在城市道路施工现场设置明显标志和安全防围设施的；10.占用城市道路期满或者挖掘城市道路后，不及时清理现场的；11.依附于城市道路建设各种管线、杆线等设施，不按照规定办理批准手续的；12.紧急抢修埋设在城市道路下的管线，不按照规定补办批准手续的；13.未按照批准的位置、面积、期限占用或者挖掘城市道路，或者需要移动位置、扩大面积、延长时间，未提前办理变更审批手续的。</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《城市道路管理条例》第二十七条 “城市道路范围内禁止下列行为：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（一）擅自占用或者挖掘城市道路；</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（二）履带车、铁轮车或者超重、超高、超长车辆擅自在城市道路上行驶；</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（三）机动车在桥梁或者非指定的城市道路上试刹车；</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（四）擅自在城市道路上建设建筑物、构筑物；</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（五）在桥梁上架设压力在４公斤／平方厘米（０．４兆帕）以上的煤气管道、１０千伏以上的高压电力线和其他易燃易爆管线；</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（六）擅自在桥梁或者路灯设施上设置广告牌或者其他挂浮物；</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（七）其他损害、侵占城市道路的行为。”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第四十二条 “违反本条例第二十七条规定，或者有下列行为之一的，由市政工程行政主管部门或者其他有关部门责令限期改正，可以处以２万元以下的罚款；造成损失的，应当依法承担赔偿责任：</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（一）未对设在城市道路上的各种管线的检查井、箱盖或者城市道路附属设施的缺损及时补缺或者修复的；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（二）未在城市道路施工现场设置明显标志和安全防围设施的；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（三）占用城市道路期满或者挖掘城市道路后，又及时清理现场的；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（四）依附于城市道路建设各种管线、杆线等设施，不按照规定办理批准手续的；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（五）紧急抢修埋设在城市道路下的管线，不按照规定补办批准手续的；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（六）未按照批准的位置、面积、期限占用或者挖掘城市道路，或者需要移动位置、扩大面积、延长时间，未提前办理变更审批手续的。”</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lastRenderedPageBreak/>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1、对违法行为进行包庇的。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2、对举报不及时查处或者泄露举报人相关信息的。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3、应当移送公安机关立案侦查的大气污染案件不移送的。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4、其他滥用职权、玩忽职守、徇私舞弊的。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5、其他违反法律法规规章规定的行为。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1.业务咨询：7065922</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7</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对任何单位和个人有下列情形之一的处罚：1.将建筑垃圾混入生活垃圾的；2.将危险废物混入建筑垃圾的；3.擅自设立弃置场受纳建筑垃圾的；4.将建筑垃圾混入生活垃圾行为的处罚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《城市建筑垃圾管理规定》第二十条  “任何单位和个人有下列情形之一的，由城市人民政府市容环境卫生主管部门责令限期改正，给予警告，处以罚款：</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（一）将建筑垃圾混入生活垃圾的；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（二）将危险废物混入建筑垃圾的；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（三）擅自设立弃置场收纳建筑垃圾的；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单位有前款第一项、第二项行为之一的，处300O元以下罚款；有前款第三项行为的，处5000元以上1万元以下罚款。个人有前款第一项、第二项行为之一的，处20O元以下罚款；有前款第三项行为的，处3000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8</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对建筑垃圾储运消纳场受纳工业垃圾、生活垃圾和有毒有害垃圾行为的处罚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《城市建筑垃圾管理规定》第二十条建筑垃圾储运消纳场受纳工业垃圾、生活垃圾和有毒有害垃圾的，由城市人民政府市容环境卫生主管部门责令限期改正，给予警告，处5000元以上1万元以下罚款。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9</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对施工单位未及时清运工程施工过程中产生的建筑垃圾，造成环境污染行为的处罚：对施工单位将建筑垃圾交给个人或者未经核准从事建筑垃圾运输的单位处置的处罚。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《城市建筑垃圾管理规定》第二十二条  “施工单位未及时清运工程施工过程中产生的建筑垃圾，造成环境污染的，由城市人民政府市容环境卫生主管部门责令限期改正，给予警告，处5000元以上5万元以下罚款。</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施工单位将建筑垃圾交给个人或者未经核准从事建筑垃圾运输的单位处置的，由城市人民政府市容环境卫生主管部门责令限期改正，给予警告，处1万元以上10万元以下罚款。”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10</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对处置建筑垃圾的单位在运输建筑垃圾过程中沿途丢弃、遗撒建筑垃圾的处罚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《城市建筑垃圾管理规定》第二十三条  “处置建筑垃圾的单位在运输建筑垃圾过程中沿途丢弃、遗撒建筑垃圾的，由城市人民政府市容环境卫生主管部门责令限期改正，给予警告，处5000元以上5万元以下罚款。”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11</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对涂改、倒卖、出租、出借或者以其他形式非法转让城市建筑垃圾处置核准文件行为的处罚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《城市建筑垃圾管理规定》第二十四条  “涂改、倒卖、出租、出借或者以其他形式非法转让城市建筑垃圾处置核准文件的，由城市人民政府市容环境卫生主管部门责令限期改正，给予警告，处5000元以上2万元以下罚款。”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12</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对未经核准擅自处置建筑垃圾行为的处罚：对处置超出核准范围的建筑垃圾行为的处罚。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《城市建筑垃圾管理规定》第二十五条  “违反本规定，有下列情形之一的，由城市人民政府市容环境卫生主管部门责令限期改正，给予警告，对施工单位处 1万元以上10万元以下罚款，对建设单位、运输建筑垃圾的单位处5000元以上3万元以下罚款：</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（一）未经核准擅自处置建筑垃圾的；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（二）处置超出核准范围的建筑垃圾的。”</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13</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对单位和个人随意倾倒、抛撒或者堆放建筑垃圾行为的处罚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《城市建筑垃圾管理规定》第二十六条  “任何单位和个人随意倾倒、抛撒或者堆放建筑垃圾的，由城市人民政府市容环境卫生主管部门责令限期改正，给予警告，并对单位处5000元以上5万元以下罚款，对个人处200元以下罚款。”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14</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对单位和个人未按规定缴纳城市生活垃圾处理费的处罚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《城市生活垃圾管理办法》第四条  “产生城市生活垃圾的单位和个人，应当按照城市人民政府确定的生活垃圾处理费收费标准和有关规定缴纳城市生活垃圾处理费。</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城市生活垃圾处理费应当专项用于城市生活垃圾收集、运输和处置，严禁挪作他用。”</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第三十八条　“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15</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对未按照城市生活垃圾治理规划和环境卫生设施标准配套建设城市生活垃圾收集设施的处罚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《城市生活垃圾管理办法》第十条　“从事新区开发、旧区改建和住宅小区开发建设的单位，以及机场、码头、车站、公园、商店等公共设施、场所的经营管理单位，应当按照城市生活垃圾治理规划和环境卫生设施的设置标准，配套建设城市生活垃圾收集设施。”</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第三十九条　“违反本办法第十条规定，未按照城市生活垃圾治理规划和环境卫生设施标准配套建设城市生活垃圾收集设施的，由直辖市、市、县人民政府建设（环境卫生）主管部门责令限期改正，并可处以1万元以下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16</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对城市生活垃圾处置设施未经验收或者验收不合格投入使用的处罚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《城市生活垃圾管理办法》第十二条　“城市生活垃圾收集、处置设施工程竣工后，建设单位应当依法组织竣工验收，并在竣工验收后3个月内，依法向当地人民政府建设主管部门和环境卫生主管部门报送建设工程项目档案。未经验收或者验收不合格的，不得交付使用。”</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第四十条　“违反本办法第十二条规定，城市生活垃圾处置设施未经验收或者验收不合格投入使用的，由直辖市、市、县人民政府建设主管部门责令改正，处工程合同价款2%以上4%以下的罚款；造成损失的，应当承担赔偿责任。”</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17</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对未经批准擅自关闭、闲置或者拆除城市生活垃圾处置设施、场所的处罚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1、《城市生活垃圾管理办法》第十三条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第四十一条　“违反本办法第十三条规定，未经批准擅自关闭、闲置或者拆除城市生活垃圾处置设施、场所的，由直辖市、市、县人民政府建设（环境卫生）主管部门责令停止违法行为，限期改正，处以1万元以上10万元以下的罚款。”</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 xml:space="preserve"> 2、《中华人民共和国固体废物污染环境防治法》第五十五条第二款“禁止擅自关闭、闲置或者拆除生活垃圾处理设施、场所；确有必要关闭、闲置或者拆除的，应当经所在地的市、县级人民政府环境卫生主管部门商所在地生态环境主管部门同意后核准，并采取防止污染环境的措施。”</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第一百一十一条 “违反本法规定，有下列行为之一，由县级以上地方人民政府环境卫生主管部门责令改正，处以罚款，没收违法所得：（一）随意倾倒、抛撒、堆放或者焚烧生活垃圾的；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（二）擅自关闭、闲置或者拆除生活垃圾处理设施、场所的；……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61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17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18</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对随意倾倒、抛洒、堆放城市生活垃圾行为的处罚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1、《城市生活垃圾管理办法》第十六条　“单位和个人应当按照规定的地点、时间等要求，将生活垃圾投放到指定的垃圾容器或者收集场所。废旧家具等大件垃圾应当按规定时间投放在指定的收集场所。</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城市生活垃圾实行分类收集的地区，单位和个人应当按照规定的分类要求，将生活垃圾装入相应的垃圾袋内，投入指定的垃圾容器或者收集场所。</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宾馆、饭店、餐馆以及机关、院校等单位应当按照规定单独收集、存放本单位产生的餐厨垃圾，并交符合本办法要求的城市生活垃圾收集、运输企业运至规定的城市生活垃圾处理场所。</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禁止随意倾倒、抛洒或者堆放城市生活垃圾。”</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2、《中华人民共和国固体废物污染环境防治法》第四十九条第二款“任何单位和个人都应当依法在指定的地点分类投放生活垃圾。禁止随意倾倒、抛撒、堆放或者焚烧生活垃圾。”</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第一百一十一条 “违反本法规定，有下列行为之一，由县级以上地方人民政府环境卫生主管部门责令改正，处以罚款，没收违法所得：</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（一）随意倾倒、抛撒、堆放或者焚烧生活垃圾的；……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61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lastRenderedPageBreak/>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17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19</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对未经批准从事城市生活垃圾经营性清扫、收集、运输或者处置活动的处罚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《城市生活垃圾管理办法》第十七条　“从事城市生活垃圾经营性清扫、收集、运输的企业，应当取得城市生活垃圾经营性清扫、收集、运输服务许可证。</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未取得城市生活垃圾经营性清扫、收集、运输服务许可证的企业，不得从事城市生活垃圾经营性清扫、收集、运输活动。”</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第二十五条　“从事城市生活垃圾经营性处置的企业，应当向所在地直辖市、市、县人民政府建设（环境卫生）主管部门取得城市生活垃圾经营性处置服务许可证。</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未取得城市生活垃圾经营性处置服务许可证，不得从事城市生活垃圾经营性处置活动。”</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第四十三条　“违反本办法第十七条、第二十五条规定，未经批准从事城市生活垃圾经营性清扫、收集、运输或者处置活动的，由直辖市、市、县人民政府建设（环境卫生）主管部门责令停止违法行为，并处以3万元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61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17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20</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对从事城市生活垃圾经营性清扫、收集、运输的企业在运输过程中沿途丢弃、遗撒生活垃圾行为的处罚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《城市生活垃圾管理办法》第二十一条　“从事城市生活垃圾经营性清扫、收集、运输的企业，禁止实施下列行为：</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（一）任意倾倒、抛洒或者堆放城市生活垃圾；</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（二）擅自停业、歇业；</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（三）在运输过程中沿途丢弃、遗撒生活垃圾。”</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第四十四条　“违反本办法规定，从事城市生活垃圾经营性清扫、收集、运输的企业在运输过程中沿途丢弃、遗撒生活垃圾的，由直辖市、市、县人民政府建设（环境卫生）主管部门责令停止违法行为，限期改正，处以5000元以上5万元以下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21</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对从事生活垃圾经营性清扫、收集、运输的企业不履行义务的处罚;对从事生活垃圾经营性处置企业不履行义务的处罚。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《城市生活垃圾管理办法》第二十条　“从事城市生活垃圾经营性清扫、收集、运输的企业应当履行以下义务：</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（一） 按照环境卫生作业标准和作业规范，在规定的时间内及时清扫、收运城市生活垃圾；</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（二）将收集的城市生活垃圾运到直辖市、市、县人民政府建设（环境卫生）主管部门认可的处置场所；</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（三）清扫、收运城市生活垃圾后，对生活垃圾收集设施及时保洁、复位，清理作业场地，保持生活垃圾收集设施和周边环境的干净整洁；</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（四）用于收集、运输城市生活垃圾的车辆、船舶应当做到密闭、完好和整洁。”</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22</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对从事城市生活垃圾经营性清扫、收集、运输的企业，未经批准擅自停业、歇业的处罚；对从事城市生活垃圾经营性处置的企业，未经批准擅自停业、歇业行为的处罚。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《城市生活垃圾管理办法》第三十五条　“从事城市生活垃圾经营性清扫、收集、运输、处置的企业需停业、歇业的，应当提前半年向所在地直辖市、市、县人民政府建设（环境卫生）主管部门报告，经同意后方可停业或者歇业。</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直辖市、市、县人民政府建设（环境卫生）主管部门应当在城市生活垃圾经营性清扫、收集、运输、处置企业停业或者歇业前，落实保障及时清扫、收集、运输、处置城市生活垃圾的措施。”</w:t>
            </w:r>
          </w:p>
          <w:p w:rsidR="002F43E9" w:rsidRDefault="00F26FC8">
            <w:pPr>
              <w:spacing w:line="240" w:lineRule="exact"/>
              <w:rPr>
                <w:rFonts w:ascii="黑体" w:eastAsia="黑体" w:hAnsi="黑体" w:cs="仿宋_GB2312"/>
                <w:kern w:val="0"/>
                <w:sz w:val="18"/>
                <w:szCs w:val="18"/>
              </w:rPr>
            </w:pPr>
            <w:r>
              <w:rPr>
                <w:rFonts w:ascii="仿宋_GB2312" w:eastAsia="仿宋_GB2312" w:cs="黑体" w:hint="eastAsia"/>
                <w:kern w:val="0"/>
                <w:sz w:val="18"/>
                <w:szCs w:val="18"/>
              </w:rPr>
              <w:t xml:space="preserve">    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23</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对在城市绿地范围内进行拦河截溪、取土采石、设置垃圾堆场、排放污水以及其他对城市生态环境造成破坏活动的处罚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《城市绿线管理办法》第十七条　违反本办法规定，在城市绿地范围内进行拦河截溪、取土采石、设置垃圾堆场、排放污水以及其他对城市生态环境造成破坏活动的，由城市园林绿化行政主管部门责令改正，并处一万元以上三万元以下的罚款。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24</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对主要街道和重点区域临街的建筑物、构筑物外立面没有依照国家或者本省规定的城市容貌标准和城市环境卫生质量标准清洗、粉刷行为的处罚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《河北省城市市容和环境卫生条例》第十三条城市建筑物、构筑物的容貌及其管理应当符合下列规定：</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一)建筑物、构筑物外立面保持整洁，主要街道和重点区域临街的建筑物、构筑物外立面依照国家或者本省规定的城市容貌标准和城市环境卫生质量标准清洗、粉刷。违反规定的，责令限期改正；逾期未改正的，由市容和环境卫生行政主管部门委托专业企业代为清洗、粉刷，所需费用由责任人承担。对不支付费用的，可以申请人民法院执行。</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25</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对临街树木、绿篱、花坛（池）、草坪等，没有保持整洁、美观。栽培、整修或者其他作业遗留的渣土、枝叶等杂物，管理单位或者个人没有及时清除行为的处罚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 第十五条　“城市主要街道两侧的建筑物需要与街道设分界的，应当选用绿篱、花坛（池）、草坪或者透景、半透景的栅栏等作为分界。对现有封闭式围墙，除国家法律、法规有规定的外，应当改造为通透式。对不宜绿化的裸露地面应当以铺设便道砖等方式进行硬化。</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临街树木、绿篱、花坛（池）、草坪等，应当保持整洁、美观。栽培、整修或者其他作业遗留的渣土、枝叶等杂物，管理单位或者个人应当及时清除。违反规定的，责令限期清除；逾期未清除的，处以每平方米10元以上50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26</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对在城市建筑物、构筑物、地面和其他设施以及树木上涂写、刻画、喷涂或者粘贴小广告等影响市容行为的处罚;对在道路及其他公共场所吊挂、晾晒物品行为的处罚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 第十七条　“禁止在城市建筑物、构筑物、地面和其他设施以及树木上涂写、刻画、喷涂或者粘贴小广告等影响市容的行为。违反规定的，责令清除，对具体行为实施者处以50元以上200元以下罚款；对组织者没收非法财物和违法所得，处以2万元以上5万元以下罚款。内容涉及伪造证件、印章、票据等违法行为的，由公安部门依法查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禁止在道路及其他公共场所吊挂、晾晒物品。违反规定的，责令改正；拒不改正的，处以50元以上200元以下罚款。”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27</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在城市设置户外广告牌标语牌招牌指示牌画廊橱窗霓虹灯灯箱条幅旗帜显示屏幕充气装置实物造型等没有及时整修清洗更换对有安全隐患的没有加固或者拆除行为的处罚;对利用悬挂物、充气装置、实物造型等载体设置广告，没有在市容和环境卫生行政主管部门规定的期限和地点设置，期满后没有及时撤除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 第十八条　“在城市设置户外广告牌、标语牌、招牌、指示牌、画廊、橱窗、霓虹灯、灯箱、条幅、旗帜、显示屏幕、充气装置、实物造型等，应当内容健康、文字规范、外形美观、安全牢固。设置单位对陈旧毁损、色彩剥蚀，影响市容的，应当及时整修、清洗、更换。对有安全隐患的，应当加固或者拆除。</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利用悬挂物、充气装置、实物造型等载体设置广告，应当在市容和环境卫生行政主管部门规定的期限和地点设置，期满后及时撤除。</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违反上述规定的，责令改正；拒不改正的，处以1000元以上2000元以下罚款。”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28</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对末经市容和环境卫生行政部门同意，擅自设置大型户外广告行为的处罚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 第十九条　“设置大型户外广告，应当向市容和环境卫生行政主管部门提出书面申请，并提供广告设置的位置、规格、色彩及效果图等资料。市容和环境卫生行政主管部门应当自接到申请之日起十个工作日内做出书面答复。经市容和环境卫生行政主管部门同意的，依照有关规定办理审批手续。大型户外广告的界定，由设区的市人民政府规定。</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未经市容和环境卫生行政主管部门同意，擅自设置大型户外广告的，责令限期拆除，处以5000元以上1万元以下罚款。未按照市容和环境卫生行政主管部门批准内容设置的，责令改正。”</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29</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对单位和个人在城市建筑物、构筑物和其他设施上张贴、张挂宣传品没有经市容和环境卫生行政主管部门批准，或没按规定的期限和地点张贴、张挂，期满后没有及时撤除行为的处罚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 第二十条　“任何单位和个人在城市建筑物、构筑物和其他设施上张贴、张挂宣传品等，应当经市容和环境卫生行政主管部门批准，并按规定的期限和地点张贴、张挂，期满后及时撤除。违反规定的，责令改正；拒不改正的，每处处以100元以上500元以下罚款。</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利用车（船）喷涂、张贴、张挂宣传品的，应当保持整洁、完好、内容健康。出现陈旧、污损的，应当及时清洗、修复或者更换。</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举办户外宣传活动应当保持周围环境整洁。”</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30</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对擅自在城市的道路两侧和公共场地堆放物料行为的处罚;对擅自搭建非永久性建筑物、构筑物或者其他设施行为的处罚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 第二十二条　“在城市道路两侧和公共场地，不得擅自堆放物料、搭建建筑物、构筑物及其他设施。确需临时堆放物料，搭建非永久性建筑物、构筑物及其他设施的，应当征得市容和环境卫生行政主管部门同意后，按有关规定办理审批手续。</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擅自在城市的道路两侧和公共场地堆放物料，责令改正；拒不改正的，按占地面积每平方米处以10元以上50元以下罚款。擅自搭建非永久性建筑物、构筑物或者其他设施的，责令限期拆除，恢复原状；拒不拆除的，由市容和环境卫生行政主管部门申请人民法院强制执行。”</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31</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对未经市容和环境卫生行政主管部门同意，擅自在城市道路两侧和公共场地摆设摊点，或者未按批准的时间、地点和范围从事有关经营活动行为的处罚.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 第二十四条　“在城市道路两侧或者公共场地临时摆设摊点，应当向市容和环境卫生行政主管部门提出书面申请。市容和环境卫生行政主管部门应当自接到申请之日起五个工作日内做出是否批准的答复。经营者应当按批准的时间、地点和范围从事有关经营活动，负责经营范围内的环境卫生。</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县级以上人民政府应当将允许摆设摊点的城市道路两侧和公共场地向社会公布。</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未经市容和环境卫生行政主管部门同意，擅自在城市道路两侧和公共场地摆设摊点，或者未按批准的时间、地点和范围从事有关经营活动的，责令停止经营;拒不停止经营的，每次处以20元以上100元以下的罚款。”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32</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对在城市内行驶的交通运输工具，应当保持外型完好、整洁。货运车辆运输的液体、散装货物、垃圾，应当密封、包扎、覆盖，避免泄漏、遗撒.</w:t>
            </w:r>
            <w:r>
              <w:rPr>
                <w:rFonts w:ascii="仿宋_GB2312" w:eastAsia="仿宋_GB2312" w:hAnsi="宋体" w:cs="仿宋_GB2312" w:hint="eastAsia"/>
                <w:color w:val="000000"/>
                <w:kern w:val="0"/>
                <w:sz w:val="18"/>
                <w:szCs w:val="18"/>
                <w:lang/>
              </w:rPr>
              <w:t> </w:t>
            </w:r>
            <w:r>
              <w:rPr>
                <w:rFonts w:ascii="仿宋_GB2312" w:eastAsia="仿宋_GB2312" w:hAnsi="宋体" w:cs="仿宋_GB2312" w:hint="eastAsia"/>
                <w:color w:val="000000"/>
                <w:kern w:val="0"/>
                <w:sz w:val="18"/>
                <w:szCs w:val="18"/>
                <w:lang/>
              </w:rPr>
              <w:t>造成泄漏、遗撒行为的处罚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 第二十五条　“在城市内行驶的交通运输工具，应当保持外型完好、整洁。货运车辆运输的液体、散装货物、垃圾，应当密封、包扎、覆盖，避免泄漏、遗撒。造成泄漏、遗撒的，责令清除，按污染面积每平方米处以10元以上50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1.业务咨询：5138387</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33</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违反上述规定行为的处罚,城市施工现场作业应当符合下列规定：1.在批准的占地范围内封闭作业；2.临街施工现场周围设置安全护栏和围蔽设施；3.停工场地及时整理，并符合安全标准；4.拆除建筑物、构筑物，采取防尘措施；5.对车辆进出施工现场道路进行硬化；6.渣土及时清运，保持整洁；7.驶离施工现场的车辆保持清洁；8.施工排水按规定排放，不得外泄污染路面；9.工程竣工后，及时清理和平整场地。</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 第二十七条　“城市施工现场作业应当符合下列规定：</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（一）在批准的占地范围内封闭作业；</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（二）临街施工现场周围设置安全护栏和围蔽设施；</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（三）停工场地及时整理，并符合安全标准；</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（四）拆除建筑物、构筑物，采取防尘措施；</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（五）对车辆进出施工现场道路进行硬化；</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（六）渣土及时清运，保持整洁；</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（七）驶离施工现场的车辆保持清洁；</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（八）施工排水按规定排放，不得外泄污染路面；</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（九）工程竣工后，及时清理和平整场地。</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违反上述规定的，责令施工单位限期改正；逾期不改正的，处以1000元以上5000元以下罚款。”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1.业务咨询：5138387</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lastRenderedPageBreak/>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34</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城市环境卫生专业规划确定的城市环境卫生设施用地，任何单位和个人不得占用或者擅自变更。因特殊情况确需变更的，应当依法按照有关规定和程序报原审批机关批准。对违反规定的，责令限期改正；逾期不改正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第三十条城市环境卫生专业规划确定的城市环境卫生设施用地，任何单位和个人不得占用或者擅自变更。因特殊情况确需变更的，应当依法按照有关规定和程序报原审批机关批准。违反规定的，责令限期改正；逾期不改正的，由市容和环境卫生行政主管部门组织清理和拆除，恢复用地原状，所需费用由责任人承担。</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35</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城市市容和环境卫生责任人对责任区内的垃圾、粪便没有及时清运，没有依照市容和环境卫生行政主管部门规定的时间、地点、方式倾倒行为的处罚；城市市容和环境卫生责任人对责任区内的积雪，应当及时清扫和铲除，对违反规定的，责令改正；拒不改正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 第三十二条　“城市市容和环境卫生责任人对责任区内的垃圾、粪便应当及时清运，依照市容和环境卫生行政主管部门规定的时间、地点、方式倾倒。违反规定的，予以警告，责令改正，不足一吨处以50元以上200元以下罚款；超过一吨处以每吨100元以上500元以下罚款。</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城市市容和环境卫生责任人对责任区内的积雪，应当及时清扫和铲除，违反规定的，责令改正；拒不改正的，处以50元以上200元以下罚款。”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36</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餐饮业和单位食堂产生的餐厨垃圾未按照规定单独收集、存放，由城市生活垃圾收集、运输企业运至规定的城市生活垃圾处理场所。私自出售、倒运或者擅自处理。私自将餐厨垃圾排入下水道、河道，与其他垃圾混倒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 第三十六条　“对餐饮业和单位食堂产生的餐厨垃圾应当按照规定单独收集、存放，由城市生活垃圾收集、运输企业运至规定的城市生活垃圾处理场所。不得出售、倒运或者擅自处理。不得将餐厨垃圾排入下水道、河道，不得与其他垃圾混倒。违反规定的，对个人处以50元以上200元以下罚款，对单位处以1000元以上3000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3.</w:t>
            </w:r>
            <w:r>
              <w:rPr>
                <w:rFonts w:ascii="仿宋_GB2312" w:eastAsia="仿宋_GB2312" w:cs="黑体" w:hint="eastAsia"/>
                <w:kern w:val="0"/>
                <w:sz w:val="18"/>
                <w:szCs w:val="18"/>
              </w:rPr>
              <w:t>行使违反餐厨废弃物管理、运输、处置规定的行政处罚权。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37</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对在市区饲养鸡、鸭、鹅、兔、羊、猪家禽家畜行为的处罚;对在市区饲养宠物污染环境卫生行为的处罚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 第三十七条　禁止在市区内饲养鸡、鸭、鹅、兔、羊、猪等家畜、家禽。因教学、科研以及特殊情况确需饲养的，应当经市容和环境卫生行政主管部门批准。违反规定的，予以警告，责令限期作出处理；逾期不处理的，予以没收，并处以每只20元以上100元以下罚款。</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在市区饲养宠物，不得影响环境卫生。对宠物在道路和其他公共场所产生的粪便，饲养人应当即时清除。违反规定的，责令清除；拒不清除的，处以50元以上200元以下罚款。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38</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对从事车辆清洗、维修经营活动，占用道路、绿地、公共场所等行为的处罚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《河北省城市市容和环境卫生条例》第三十八条　“从事车辆清洗、维修经营活动，应当在室内进行，不得占用道路、绿地、公共场所等。违反规定的，处以500元以上2000元以下罚款。”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39</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有下列行为之一的处罚：1.随地吐痰、便溺；2.乱丢瓜果皮核、纸屑、烟头、口香糖、饮料罐、塑料袋、食品包装袋等废弃物；3.乱倒污水，乱丢电池、荧光灯管、电子显示屏等有毒、有害物品；4.焚烧树叶、垃圾或者其他物品；5.占道加工、制作、修理、露天烧烤、沿街散发商品广告；6.在街巷和居住区从事商业性屠宰家畜家禽和加工肉类、水产品等活动；7.其他影响环境卫生的行为。</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《河北省城市市容和环境卫生条例》第四十条　“禁止下列影响环境卫生的行为：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（一）随地吐痰、便溺；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（二）乱丢瓜果皮核、纸屑、烟头、口香糖、饮料罐、塑料袋、食品包装袋等废弃物；</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（三）乱倒污水，乱丢电池、荧光灯管、电子显示屏等有毒、有害物品；</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（四）焚烧树叶、垃圾或者其他物品；</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（五）占道加工、制作、修理、露天烧烤、沿街散发商品广告；</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（六）在街巷和居住区从事商业性屠宰家畜家禽和加工肉类、水产品等活动；</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（七）其他影响环境卫生的行为。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违反前款第（一）项、第（二）项规定的，责令改正，处以10以上50元以下罚款。违反前款第（三）项规定的，责令改正，处以20元以上50元以下罚款。违反前款第（四）项规定的，责令改正，处以50元以上200元以下罚款。违反前款第（五）项规定的，责令改正，拒不改正的，处以200元以上1000元以下罚款。违反前款第（六）项规定的，责令改正，处以500元以上2000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lastRenderedPageBreak/>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lastRenderedPageBreak/>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40</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对单位和个人占用、损毁环境卫生设施行为的处罚；对单位和个人擅自拆除、迁移、改建、停用环境卫生设施和改变环境卫生设施用途行为的处罚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《河北省城市市容和环境卫生条例》第四十一条　“禁止任何单位和个人占用、损毁环境卫生设施。违反本款规定，责令恢复原状或者赔偿损失，并处以500元以上2000元以下罚款。</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任何单位和个人不得擅自拆除、迁移、改建、停用环境卫生设施和改变环境卫生设施用途。违反规定的，责令恢复原状或者赔偿损失，并处以5000元以上1万元以下罚款。因市政工程、房屋拆迁等确需拆除、迁移或者停用环境卫生设施的，应当提前报告市容和环境卫生行政主管部门，并按照规定重建或者补建。”</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41</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对未经批准从事城市生活垃圾经营性清扫、收集、运输和处置行为的处罚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《河北省城市市容和环境卫生条例》第四十三条　“从事城市生活垃圾经营性清扫、收集、运输和处置的企业,应当具备国家规定的专业技术条件,经市容和环境卫生行政主管部门审核批准后,方可从事经营。对未经批准从事城市生活垃圾经营性清扫、收集、运输和处置的企业，责令停止违法行为，处以5000元以上2万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42</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对擅自占用城市绿地的行为的处罚；对经批准临时占用绿地逾期不归还的处罚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《河北省绿化条例》第二十三条 “任何单位和个人不得擅自占用城市绿化用地。确需占用的，按照有关法律法规办理手续。</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经批准临时占用的，占用期满后，占用单位和个人应当恢复原貌。”</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第六十一条 “违反本条例规定，擅自占用城市绿地的，由城市绿化行政主管部门责令限期改正，并处所占绿地价值三倍以上五倍以下的罚款。</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经批准临时占用绿地逾期不归还的，依照前款规定处罚。”</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1、擅自变更造林绿化规划或者城市绿地系统规划的；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2、对绿化违法行为包庇、纵容的；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3、不依法行使职权，并造成严重后果的；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4、其他玩忽职守、滥用职权、徇私舞弊的行为。</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5、其他违反法律法规规章规定的行为。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43</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对建设单位或者产权单位未按照要求进行临时绿化的处罚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《河北省绿化条例》第二十五条 “建设工程项目配套的绿化面积因特定条件限制达不到本条例规定标准的，建设单位或者产权单位应当按照原审批程序及就近等值（含土地价值）原则报批后进行补建。</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建设单位或者产权单位自取得土地使用权之日起六个月内，建设工程项目不能开工建设的，应当按照城市绿化行政主管部门要求对建设用地进行临时绿化。”</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第六十二条 “违反本条例规定，建设单位或者产权单位未按照要求进行临时绿化的，由城市绿化行政主管部门责令限期改正；逾期不改正的，按照临时绿化面积处每平方米一百元以上二百元以下的罚款。”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1、擅自变更造林绿化规划或者城市绿地系统规划的；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2、对绿化违法行为包庇、纵容的；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3、不依法行使职权，并造成严重后果的；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4、其他玩忽职守、滥用职权、徇私舞弊的行为。</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5、其他违反法律法规规章规定的行为。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44</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对城市建设工程项目附属绿化工程的设计方案，未经批准或者未按照批准的设计方案施工的处罚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《河北省绿化条例》第二十七条 “城市绿化工程的设计，应当委托具有相应资质的设计单位承担。</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建设工程项目的附属绿化工程设计方案，按照基本建设程序审批时，应当有城市绿化行政主管部门参加审查。</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建设单位应当按照批准的设计方案进行施工。设计方案确需改变时，应当经原批准机关审批。”</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第六十三条 “违反本条例规定，城市建设工程项目附属绿化工程的设计方案，未经批准或者未按照批准的设计方案施工的，由城市绿化行政主管部门责令停止施工、限期改正或者采取其他补救措施。”</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1、擅自变更造林绿化规划或者城市绿地系统规划的；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2、对绿化违法行为包庇、纵容的；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3、不依法行使职权，并造成严重后果的；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4、其他玩忽职守、滥用职权、徇私舞弊的行为。</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5、其他违反法律法规规章规定的行为。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45</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对城市建设工程项目附属绿化工程未能在规定期限内完工的处罚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《河北省绿化条例》第二十六条 “建设工程项目应当按照规划安排绿化用地。</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建设工程项目附属绿化工程，应当与主体工程同时规划设计、同时竣工验收，有条件的可以先行进行附属绿化工程建设。确因季节原因不能同时完成的，完成绿化工程的时间不得迟于主体工程竣工后的第一个绿化季节。”</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第六十四条 “违反本条例规定，城市建设工程项目附属绿化工程未能在规定期限内完工的，由城市绿化行政主管部门责令限期完成，并处未完成绿化建设面积应投资额两倍的罚款。”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1、擅自变更造林绿化规划或者城市绿地系统规划的；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2、对绿化违法行为包庇、纵容的；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3、不依法行使职权，并造成严重后果的；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4、其他玩忽职守、滥用职权、徇私舞弊的行为。</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5、其他违反法律法规规章规定的行为。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46</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对不服从公共绿地管理单位管理的商业、服务摊点的处罚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《河北省绿化条例》第三十二条 “在城市公共绿地内开设商业、服务摊点的，应当持工商行政管理部门批准的营业执照，在公共绿地管理单位指定的地点从事经营活动，并遵守公共绿地和工商行政管理的规定。</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占用公共绿地举办大型活动，应当向城市绿化行政主管部门办理相关手续，并不得损坏绿地和绿化设施。活动结束后，主办单位或者个人应当及时清理现场。”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第六十五条 “违反本条例规定，对不服从公共绿地管理单位管理的商业、服务摊点，由城市绿化行政主管部门给予警告，可以并处占地面积每日每平方米五元至十元的罚款。”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1、擅自变更造林绿化规划或者城市绿地系统规划的；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2、对绿化违法行为包庇、纵容的；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3、不依法行使职权，并造成严重后果的；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4、其他玩忽职守、滥用职权、徇私舞弊的行为。</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5、其他违反法律法规规章规定的行为。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47</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对擅自砍伐或者移植城市树木的处罚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《河北省绿化条例》第三十三条 “任何单位和个人不得擅自砍伐城市树木。因下列原因确需砍伐的，应当按照相关权限经城市绿化行政主管部门批准，并按照有关规定补植树木或者采取其他补救措施：</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(一)妨碍交通或者对人身安全构成威胁的；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(二)危及建筑物、构筑物和其他设施安全的；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(三)发生检疫性病虫害无保留价值或者发生其他严重病虫害的。”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第六十六条 “违反本条例规定，擅自砍伐或者移植城市树木的，由城市绿化行政主管部门责令限期补植；擅自砍伐的，并处树木基准价值五倍以上十倍以下的罚款；擅自移植的，并处树木基准价值三倍以上五倍以下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1、擅自变更造林绿化规划或者城市绿地系统规划的；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2、对绿化违法行为包庇、纵容的；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3、不依法行使职权，并造成严重后果的；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4、其他玩忽职守、滥用职权、徇私舞弊的行为。</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5、其他违反法律法规规章规定的行为。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48</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对擅自移植古树名木的处罚；非法购买古树名木的处罚；擅自砍伐古树名木或者擅自移植致使古树名木死亡的处罚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1、《河北省绿化条例》第四十四条 “县级以上人民政府负责古树名木的认定工作，按照国家和本省有关规定在古树名木或者古树名木群落周围划定保护范围，科学设置保护设施和保护标牌。</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新建、改建、扩建建设工程项目影响古树名木生长的，应当采取避让和保护措施。</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因特殊需要迁移古树名木，应当依照有关法律法规规定办理批准手续。”</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第六十八条 “违反本条例规定，擅自移植古树名木的，由绿化相关主管部门责令限期改正；非法购买古树名木的，没收树木或者其变卖所得，可以并处购买价一倍以上三倍以下的罚款；擅自砍伐古树名木或者擅自移植致使古树名木死亡的，处死亡古树名木价值三倍以上五倍以下的罚款。”</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2、《河北省古树名木保护办法》第二十六条 “禁止下列损害古树名木的行为：</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（一）擅自采伐、移植；</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（二）剥皮、挖根、折枝；</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（三）悬挂重物或者借用树干为支撑物；</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（四）在古树名木保护范围内采石、挖沙、取土、铺设管线、堆放和倾倒有毒有害物体；</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（五）其他损害古树名木的行为。”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第二十九条 “违反本办法第二十六条规定，《中华人民共和国森林法》和《城市绿化条例》等法律、法规已经规定法律责任的，从其规定；未规定法律责任的，由县级以上人民政府古树名木主管部门处二百元以上一千元以下罚款；造成损失的，依法承担赔偿责任；构成犯罪的，依法追究刑事责任。”</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1、擅自变更造林绿化规划或者城市绿地系统规划的；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2、对绿化违法行为包庇、纵容的；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3、不依法行使职权，并造成严重后果的；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4、其他玩忽职守、滥用职权、徇私舞弊的行为。</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5、其他违反法律法规规章规定的行为。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lastRenderedPageBreak/>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49</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对擅自在城市绿地内搭建建筑物、构筑物的处罚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《河北省绿化条例》第四十五条 “禁止下列损害绿化的行为：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（一）毁林开垦和毁林采石、采砂、采土；</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（二）擅自改变林地用途；</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（三）擅自在绿地内搭建建筑物、构筑物；</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（四）在绿地内堆放杂物、焚烧物品、排放污水或者倾倒有毒有害物质；</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（五）擅自采挖树木，践踏绿地，损伤树木花草；</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（六）损毁绿化设施；</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（七）在树木上设置广告牌、标语牌或者牵拉绳索、架设电线，以树承重；</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（八）其他损害绿化的行为。”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第七十条 “违反本条例规定，擅自在城市绿地内搭建建筑物、构筑物的，由城市绿化行政主管部门责令停止违法建设，限期改正，并依据有关法律法规予以处罚。”</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1、擅自变更造林绿化规划或者城市绿地系统规划的；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2、对绿化违法行为包庇、纵容的；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3、不依法行使职权，并造成严重后果的；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4、其他玩忽职守、滥用职权、徇私舞弊的行为。</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5、其他违反法律法规规章规定的行为。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50</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对盗窃、损毁绿化设施的，造成树木死亡的处罚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《河北省绿化条例》第四十五条 “禁止下列损害绿化的行为：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（一）毁林开垦和毁林采石、采砂、采土；</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（二）擅自改变林地用途；</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（三）擅自在绿地内搭建建筑物、构筑物；</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（四）在绿地内堆放杂物、焚烧物品、排放污水或者倾倒有毒有害物质；</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（五）擅自采挖树木，践踏绿地，损伤树木花草；</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（六）损毁绿化设施；</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（七）在树木上设置广告牌、标语牌或者牵拉绳索、架设电线，以树承重；</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（八）其他损害绿化的行为。”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第七十一条 “违反本条例规定，损毁绿化设施的，由绿化相关主管部门责令停止违法行为，赔偿损失，处五百元以上一千元以下的罚款；造成树木死亡的，处树木基准价值五倍以上十倍以下的罚款。”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1、擅自变更造林绿化规划或者城市绿地系统规划的；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2、对绿化违法行为包庇、纵容的；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3、不依法行使职权，并造成严重后果的；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4、其他玩忽职守、滥用职权、徇私舞弊的行为。</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5、其他违反法律法规规章规定的行为。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51</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违反本条例规定，有下列行为之一的处罚，1.在树木上设置广告牌、标语牌或者牵拉绳索、架设电线，以树承重的，2.践踏绿地，损伤树木花草，在绿地内堆放杂物、焚烧物品、排放污水的；3.在绿地内倾倒有毒有害物质的；4.擅自采挖树木的</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《河北省绿化条例》第四十五条 “禁止下列损害绿化的行为：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（一）毁林开垦和毁林采石、采砂、采土；</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（二）擅自改变林地用途；</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（三）擅自在绿地内搭建建筑物、构筑物；</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（四）在绿地内堆放杂物、焚烧物品、排放污水或者倾倒有毒有害物质；</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（五）擅自采挖树木，践踏绿地，损伤树木花草；</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（六）损毁绿化设施；</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（七）在树木上设置广告牌、标语牌或者牵拉绳索、架设电线，以树承重；</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（八）其他损害绿化的行为。”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第七十一条 “违反本条例规定，损毁绿化设施的，由绿化相关主管部门责令停止违法行为，赔偿损失，处五百元以上一千元以下的罚款；造成树木死亡的，处树木基准价值五倍以上十倍以下的罚款。”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1、擅自变更造林绿化规划或者城市绿地系统规划的；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2、对绿化违法行为包庇、纵容的；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3、不依法行使职权，并造成严重后果的；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4、其他玩忽职守、滥用职权、徇私舞弊的行为。</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5、其他违反法律法规规章规定的行为。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52</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对餐厨废弃物产生单位将餐厨废弃物擅自交给与其签订协议以外的其他企业或者个人的行为的处罚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《河北省餐厨废弃物管理办法》 第十六条 “餐厨废弃物产生单位应当遵守下列规定：</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(一)对餐厨废弃物分类存放；</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(二)设置符合标准的餐厨废弃物收集容器并保持正常使用；</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(三)产生废弃食用油脂的，安装符合有关技术要求的油水分离器或者隔油池等污染防治设施设备；</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(四)建立餐厨废弃物产生台账，并在每月末向所在地市容和环境卫生主管部门报告月餐厨废弃物的种类、数量；</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(五)餐厨废弃物不得随意倾倒、堆放，不得将餐厨废弃物投放或者排入生活垃圾收集设施、污水排水管道、雨水管道等市政公共设施及河道、渠道、湖泊、水库等场所；</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(六)餐厨废弃物不得出售、倒运；</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(七)与餐厨废弃物收集和运输企业签订书面协议，在餐厨废弃物产生后24小时内将餐厨废弃物交给与其签订协议的餐厨废弃物收集和运输企业，不得将餐厨废弃物交给其他企业或者个人收集和运输。”</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第三十五条 “餐厨废弃物产生单位将餐厨废弃物擅自交给与其签订协议以外的其他企业或者个人的，由市容和环境卫生主管部门责令改正，并纳入企业诚信记录，可处二千元以上一万元以下罚款；情节严重的，由食品药品监管等负有监督管理职责的部门依法责令停产停业整顿，直至吊销相关证照。”</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3.</w:t>
            </w:r>
            <w:r>
              <w:rPr>
                <w:rFonts w:ascii="仿宋_GB2312" w:eastAsia="仿宋_GB2312" w:cs="黑体" w:hint="eastAsia"/>
                <w:kern w:val="0"/>
                <w:sz w:val="18"/>
                <w:szCs w:val="18"/>
              </w:rPr>
              <w:t>行使违反餐厨废弃物管理、运输、处置规定的行政处罚权。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2、未按规定通过招标等方式确定餐厨废弃物收集、运输和处置企业的。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3、其他滥用职权、玩忽职守、徇私舞弊行为的。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4、其他违反法律法规规章规定的行为。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53</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对使用废弃食用油脂的餐饮单位以及向食品类生产者出售餐厨废弃物或者将餐厨废弃物再利用加工食品类产品的单位和个人的行为的处罚。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《河北省餐厨废弃物管理办法》 第二十一条 “禁止向食品类生产者出售餐厨废弃物或者将餐厨废弃物再利用加工食品类产品。</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禁止使用未经无害化处置的餐厨废弃物喂养畜禽。”</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第三十六条 “对使用废弃食用油脂的餐饮单位以及向食品类生产者出售餐厨废弃物或者将餐厨废弃物再利用加工食品类产品的单位和个人，由市容和环境卫生、工商行政管理、食品药品监管等负有监督管理职责的部门依法责令停止违法行为、停产停业整顿，直至吊销相关证照。”</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3.</w:t>
            </w:r>
            <w:r>
              <w:rPr>
                <w:rFonts w:ascii="仿宋_GB2312" w:eastAsia="仿宋_GB2312" w:cs="黑体" w:hint="eastAsia"/>
                <w:kern w:val="0"/>
                <w:sz w:val="18"/>
                <w:szCs w:val="18"/>
              </w:rPr>
              <w:t>行使违反餐厨废弃物管理、运输、处置规定的行政处罚权。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2、未按规定通过招标等方式确定餐厨废弃物收集、运输和处置企业的。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3、其他滥用职权、玩忽职守、徇私舞弊行为的。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4、其他违反法律法规规章规定的行为。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54</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从事餐厨废弃物收集和运输的企业未遵守下列规定的处罚：1.建立餐厨废弃物收集、运输台账制度；2.餐厨废弃物产生、收集、运输和处置实行联单制度；3.按环境卫生作业标准和规范，在规定的时间内及时收集和运输餐厨废弃物，每日到餐厨废弃物产生单位清运餐厨废弃物不得少于一次；4.用于收集、运输餐厨废弃物的车辆，应当为全密闭自动卸载车辆，确保密封、完好和整洁；5.将收集的餐厨废弃物运到符合本办法规定的餐厨废弃物处置场所。对从事餐厨废弃物经营性处置服务的企业未遵守下列规定的处罚：1.建立餐厨废弃物处置台账制度2.餐厨废弃物处置与产生、收集、运输实行联单制度；3.按规定的时间和要求接收餐厨废弃物；4.按相关规定和技术标准，处置餐厨废弃物；5.处置过程中产生的废水、废气、废渣等符合环保标准，防止二次污染；6.使用微生物菌剂处理方法处置餐厨废弃物的，应当符合国家有关规定并采取相应的安全控制措施；7.按要求配备餐厨废弃物处置设施、设备，并保证其运行良好；8.在餐厨废弃物处置场(厂)设置餐厨废弃物贮存设施，并符合环境标准；9.按要求进行环境影响监测，对餐厨废弃物处置设施、设备的性能和环保指标进行检测、评价，并向当地人民政府市容和环境卫生主管部门及环境保护主管部门报告检测、评价结果；10生产的产品应当符合相关质量标准。</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《河北省餐厨废弃物管理办法》 第十七条 “从事餐厨废弃物收集和运输的企业应当遵守下列规定：</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(一)建立餐厨废弃物收集、运输台账制度；</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(二)餐厨废弃物产生、收集、运输和处置实行联单制度；</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(三)按环境卫生作业标准和规范，在规定的时间内及时收集和运输餐厨废弃物，每日到餐厨废弃物产生单位清运餐厨废弃物不得少于一次；</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(四)用于收集、运输餐厨废弃物的车辆，应当为全密闭自动卸载车辆，确保密封、完好和整洁；</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(五)将收集的餐厨废弃物运到符合本办法规定的餐厨废弃物处置场所。”</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第二十二条 “从事餐厨废弃物经营性处置服务的企业应当遵守下列规定：</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(一)建立餐厨废弃物处置台账制度；</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(二)餐厨废弃物处置与产生、收集、运输实行联单制度；</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(三)按规定的时间和要求接收餐厨废弃物；</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(四)按相关规定和技术标准，处置餐厨废弃物；</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(五)处置过程中产生的废水、废气、废渣等符合环保标准，防止二次污染；</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(六)使用微生物菌剂处理方法处置餐厨废弃物的，应当符合国家有关规定并采取相应的安全控制措施；</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(七)按要求配备餐厨废弃物处置设施、设备，并保证其运行良好；</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(八)在餐厨废弃物处置场(厂)设置餐厨废弃物贮存设施，并符合环境标准；</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(九)按要求进行环境影响监测，对餐厨废弃物处置设施、设备的性能和环保指标进行检测、评价，并向当地人民政府市容和环境卫生主管部门及环境保护主管部门报告检测、评价结果；</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(十)生产的产品应当符合相关质量标准。”</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第三十七条 “从事餐厨废弃物收集和运输企业违反本办法第十七条、从事餐厨废弃物经营性处置服务企业违反本办法第二十二条规定情形之一的，由市容和环境卫生主管部门责令限期改正，逾期不改正的，处一万元以上三万元以下罚款；情节严重的，解除与其签订的相关协议，并在3年内不再与其签订相关协议，与工商行政管理、环境保护等负有监督管理职责的部门依法吊销相关证照。”</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3.</w:t>
            </w:r>
            <w:r>
              <w:rPr>
                <w:rFonts w:ascii="仿宋_GB2312" w:eastAsia="仿宋_GB2312" w:cs="黑体" w:hint="eastAsia"/>
                <w:kern w:val="0"/>
                <w:sz w:val="18"/>
                <w:szCs w:val="18"/>
              </w:rPr>
              <w:t>行使违反餐厨废弃物管理、运输、处置规定的行政处罚权。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w:t>
            </w:r>
            <w:r>
              <w:rPr>
                <w:rFonts w:ascii="仿宋_GB2312" w:eastAsia="仿宋_GB2312" w:hAnsi="黑体" w:cs="黑体" w:hint="eastAsia"/>
                <w:color w:val="000000"/>
                <w:sz w:val="18"/>
                <w:szCs w:val="18"/>
              </w:rPr>
              <w:lastRenderedPageBreak/>
              <w:t>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w:t>
            </w:r>
            <w:r>
              <w:rPr>
                <w:rFonts w:ascii="仿宋_GB2312" w:eastAsia="仿宋_GB2312" w:hAnsi="黑体" w:cs="黑体" w:hint="eastAsia"/>
                <w:color w:val="000000"/>
                <w:sz w:val="18"/>
                <w:szCs w:val="18"/>
              </w:rPr>
              <w:lastRenderedPageBreak/>
              <w:t>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2、未按规定通过招标等方式确定餐厨废弃物收集、运输和处置企业的。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3、其他滥用职权、玩忽职守、徇私舞弊行为的。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4、其他违反法律法规规章规定的行为。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55</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新建、改建、扩建公园不符合城市绿地系统规划，已建成的公园，园林绿化用地比例未达到规定标准的处罚；对建设单位或者产权单位自取得建设用地使用权之日起6个月内，工程建设项目不能开工建设的，未按园林绿化主管部门要求对建设用地进行临时绿化的处罚；对养护管理单位未按城市绿地养护技术规范实施养护管理，建立城市园林绿化管理档案的，养护管理单位发现树木死亡的，经园林绿化主管部门确认后，未对死亡树木及时清理，并补植更新的处罚；对在公园内举办大型活动，未经园林绿化主管部门批准的，活动结束后，活动主办单位或者个人未及时清理现场，恢复原貌的处罚。对改变公园内独特的自然景观或者具有历史文化价值的人文景观的风貌和格局的处罚；对调整已建成的公园绿地内部布局，减少原有绿地面积，擅自增设建筑物和构筑物的，调整后的绿地面积少于原有的绿地面积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《河北省城市园林绿化管理办法》第十五条 “新建、改建、扩建公园应当符合城市绿地系统规划，按公园性质和用地规模确定适宜的内容和各项占地比例。</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已建成的公园，园林绿化用地比例未达到规定标准的，不得新建、扩建建筑物和构筑物。</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涉及文物保护单位的园林绿化工程，依照《中华人民共和国文物保护法》相关规定执行。”</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第五十条 “违反本办法第十五条、第二十四条、第二十八条、第三十一条、第三十二条、第三十三条有关规定的，由园林绿化主管部门视情节轻重给予警告、责令停止违法行为、限期改正，逾期不改正的，可以按下列规定处以罚款；造成损失的，依法承担赔偿责任： </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（一）违反本办法第十五条第二款规定的，处一万元以上三万元以下罚款；</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（二）违反本办法第二十四条规定的，由园林绿化主管部门责令限期改正；逾期不改正的，按照临时绿化面积处每平米一百元以上两百元以下罚款；……”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1、未按规定组织编制、调整城市绿地系统规划的。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2、未按规定确定、调整城市绿线以及改变城市绿线范围内土地用途的。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3、对园林绿化监督管理中发现的违法行为，未按规定依法查处的。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4、对破坏城市绿地和园林设施的投诉、举报未按规定调查处理的。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5、其他滥用职权、徇私舞弊、玩忽职守的行为。</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6、其他违反法律法规规章规定的行为。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lastRenderedPageBreak/>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56</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下列损害城市绿地和园林设施行为的处罚：1.在树木上设置广告牌、标语牌或者牵拉绳索、架设电线，以树承重；2.践踏绿地，损伤树木花草，在绿地内堆放杂物、焚烧物品、排放污水；3.在绿地内倾倒有毒有害物质；4.擅自采挖树木；、5.在绿地内挖坑取土（沙）；6.在绿地内放养牲畜、家禽；7.盗窃树木花草及擅自采摘花果枝叶；8.盗窃、损毁园林设施；9.在绿地内擅自搭棚建屋、停放车辆，以及硬化和圈占小区绿地。</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《河北省城市园林绿化管理办法》第五十一条 违反本办法第十五条、第二十四条、第二十八条、第三十一条、第三十二条、第三十三条有关规定的，由园林绿化主管部门视情节轻重给予警告、责令停止违法行为、限期改正，逾期不改正的，可以按下列规定处以罚款；造成损失的，依法承担赔偿责任：</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（一）违反本办法第十五条第二款规定的，处一万元以上三万元以下罚款；</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（二）违反本办法第二十四条规定的，处二千元以上一万元以下罚款，由园林绿化主管部门代为绿化的相关费用由建设单位承担；</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（三）违反本办法第二十八条第三款规定的，处二百元以上二千元以下罚款；</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（四）违反本办法第三十一条第二款规定的，对单位处一万元以上三万元以下罚款，对个人处一千元以上五千元以下罚款；</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（五）违反本办法第三十二条第二款规定的，处五千元以上三万元以下罚款；</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（六）违反本办法第三十三条规定的，其相差规划指标面积按每平方米五百元以上二千元以下罚款，但最高不超过三万元。</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区园林中心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1、未按规定组织编制、调整城市绿地系统规划的。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2、未按规定确定、调整城市绿线以及改变城市绿线范围内土地用途的。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3、对园林绿化监督管理中发现的违法行为，未按规定依法查处的。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4、对破坏城市绿地和园林设施的投诉、举报未按规定调查处理的。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5、其他滥用职权、徇私舞弊、玩忽职守的行为。</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6、其他违反法律法规规章规定的行为。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lastRenderedPageBreak/>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57</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城市雕塑和街景小品应当规范设置、内容健康、格调高雅，其造型、风格、色彩应当与周边环境相协调，保持外型完好、清洁和美观，出现残缺污损、色彩剥蚀影响市容的，其所有人、管理人未及时整修、清洁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《秦皇岛市市容管理条例》第十一条 城市雕塑和街景小品应当规范设置、内容健康，其造型、风格、色彩应当与周边环境相协调，保持外型完好、清洁和美观，出现残缺污损、色彩剥蚀影响市容的，其所有人、管理人应当及时整修、清洁。</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第三十八条 违反本条例第十一条规定的，由城市管理综合执法部门责令限期改正；逾期不改正的，处一千元以上三千元以下罚款。需要拆除的，经县（区）人民政府批准，依法强制拆除。</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58</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对户外广告出现破损、陈旧、污迹影响市容的，设置人为及时维修、清洗、更换或者拆除的处罚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《秦皇岛市市容管理条例》第十四条 户外广告的设置应当符合以下要求：</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  （一）符合户外广告设置规划，外观形式应当与街景协调，并保持完好、整洁；</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  （二）内容真实、健康，符合社会主义核心价值观和有关法律、法规的要求；</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  （三）出现破损、陈旧、污迹影响市容的，设置人应当及时维修、清洗、更换或者拆除；</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  （四）设置大型户外广告或者利用悬挂物、充气装置、实物造型等载体设置广告，应当符合《河北省城市市容和环境卫生条例》的相关要求；</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  （五）国家、省其他有关规定。</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  因重大会议、庆典或者公益宣传等活动，需要在公共场所张贴、悬挂标语、横幅或者宣传品的，参照前款规定执行。               </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第三十九条 违反本条例第十四条第三项规定的，由城市管理综合执法部门责令改正；拒不改正的，处一千元以上二千元以下罚款。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lastRenderedPageBreak/>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59</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以下禁止户外广告设置、发布行为的处罚，（一）在城市道路、桥梁、隧道、绿地和河道护栏等公共设施，以及车站、码头、广场、公园和学校周边等公共场所张贴小广告；（二）跨街巷悬挂或者在杆柱间凌空悬挂横幅、条幅或者设置过街门楣；（三）在建（构）筑物的外立面、市政公用设施箱体、管线和树木上张贴、涂写、刻画、吊挂商业广告或者利用建（构）筑物阳台、门窗发布信息；（四）法律、法规禁止的其他户外广告设置、发布行为。</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《秦皇岛市市容管理条例》第十五条 禁止以下户外广告设置、发布行为：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  （一）在城市道路、桥梁、隧道、绿地和河道护栏等公共设施，以及车站、码头、广场、公园和学校周边等公共场所张贴小广告；</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  第四十条 违反本条例第十五条第一项规定张贴小广告的，由城市管理综合执法部门责令改正，对具体行为实施者处五十元以上二百元以下罚款；对组织者没收非法财物和违法所得，处二万元以上五万元以下罚款。涉及伪造证件、印章、票据等违法行为的，移交公安机关依法查处。</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2192"/>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lastRenderedPageBreak/>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60</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对在建（构）筑物上设置牌匾标识的，其设置方式、字体、色彩、风格可以多样化，但未与建筑风格以及周边市容环境相协调，兼顾昼夜景观并符合城市专项规划要求的处罚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《秦皇岛市市容管理条例》第十六条 在建（构）筑物上设置牌匾标识的，其设置方式、字体、色彩、风格可以多样化，但应当与建筑风格以及周边市容环境相协调，兼顾昼夜景观并符合城市专项规划要求。</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第四十一条 违反本条例第十六条规定的，由城市管理综合执法部门责令改正；拒不改正的，处一千元以上二千元以下罚款。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61</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对养护、维修和经批准挖掘城市道路的，未在施工场地设置明显标志和整洁、美观、安全的防围设施的或因施工损坏城市道路或者公共设施的，未及时修复的处罚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《秦皇岛市市容管理条例》第十八条 养护、维修和经批准挖掘城市道路的，应当在施工场地设置明显标志和整洁、美观、安全的防围设施。因施工损坏城市道路或者公共设施的，应当及时修复。</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第四十二条 违反本条例第十八条规定，未在施工场地设置明显标志和安全防围设施的，或者因施工损坏城市道路、公共设施未及时修复的，由城市管理综合执法部门责令限期改正，可以处二万元以下罚款；造成损失的，应当依法承担赔偿责任。</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1.业务咨询：5138387</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62</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在城市道路以及路边公共场地上设置井（箱）盖、雨箅等设施，应当符合国家规定的质量标准，保证安全，出现损坏、丢失、移位以及存在其他安全隐患的，所有人、管理人或者使用人未立即采取临时防护措施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《秦皇岛市市容管理条例》第十九条 在城市道路以及路边公共场地上设置井（箱）盖、雨箅等设施，应当符合国家规定的质量标准，保证安全，出现损坏、丢失、移位以及存在其他安全隐患的，所有人、管理人或者使用人应当立即采取临时防护措施。需要维修、更换的，由所有人负责；所有人不明的，由管理人负责；没有管理人的，由使用人负责；使用人为多个的，共同负责。</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第四十三条 违反本条例第十九条规定，责任人未履行相关义务的，由城市管理综合执法部门责令限期改正；逾期不改正的，按每处每逾期一天处五百元罚款，罚款总额不超过二万元；造成损失的，应当依法承担赔偿责任。</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1.业务咨询：5138387</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63</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对在城市道路上空和住宅楼、杆柱之间擅自新建架空管线设施的处罚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《秦皇岛市市容管理条例》第二十一条 在城市道路上空和住宅楼、杆柱之间不得擅自新建架空管线设施，已建的架空管线应当逐步改造或者采取隐蔽措施。</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  第四十四条 违反本条例第二十一条第一款规定，在城市道路上空和住宅楼、杆柱之间擅自新建架空管线设施的，由城市管理综合执法部门责令限期改正；逾期不改正的，可以处五千元以上二万元以下罚款；造成损失的，应当依法承担赔偿责任。</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1.业务咨询：5138387</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64</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对运输渣土、砂石、建筑垃圾等的车辆，未采取密闭措施防止物料遗撒的处罚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《《秦皇岛市市容管理条例》第二十二条 城市区域内运输渣土、砂石、建筑垃圾等的车辆，应当按照规定的路线、时间行驶，采取密闭措施，并确保运输路线干净、整洁、无遗撒。</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第四十五条 违反本条例第二十二条第二款规定，运输渣土、砂石、建筑垃圾等的车辆，未采取密闭措施防止物料遗撒的，由城市管理综合执法部门责令改正，处二千元以上五千元以下罚款；情节严重的，处五千元以上二万元以下罚款；拒不改正的，不得上道路行驶。</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1.业务咨询：5138387</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65</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对停车场地地面铺装出现破损，其所有人、管理人未及时维护修整的处罚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《秦皇岛市市容管理条例》第二十四条 停车场地应当保持整洁，标志标线规范，地面硬化铺装应当平整、完好，铺装出现破损的，其所有人、管理人应当及时维护、修整。</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第四十六条 违反本条例第二十四条第一款规定，停车场地地面铺装出现破损，其所有人、管理人未及时维护修整的，由城市管理综合执法部门责令限期改正；逾期不改正的，处五百元以上一千元以下罚款。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1.业务咨询：5138387</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66</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对占用公共场地停放长期闲置不用的车辆的处罚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《秦皇岛市市容管理条例》第二十四条 任何单位和个人不得占用公共停车场（位）、城市道路或者其他公共场地停放长期闲置不用的车辆。</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违反本条例第二十四条第三款规定，占用公共场地停放长期闲置不用的车辆的，由城市管理综合执法部门责令所有人或者管理人限期改正，可以处五百元以上一千元以下罚款；无法确认其责任人的，城市管理综合执法部门应当在公共媒体以及车辆所在地发布公告，督促车辆责任人履行责任。公告期间届满无人认领的，由城市管理综合执法部门依法对违法停放的车辆予以拖移。</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1.业务咨询：5088098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67</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对擅自摆设摊点或者未按要求从事相关经营活动的处罚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《秦皇岛市市容管理条例》第二十六条 在城市道路两侧或者公共场所设立早（夜）市、临时售卖等便民摊点，应当按照《河北省城市市容和环境卫生条例》和《河北省食品小作坊小餐饮小摊点管理条例》的有关规定办理相关手续，任何单位和个人不得擅自摆设摊点。</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  早（夜）市、临时售卖等便民摊点的经营者应当在规定时限、地点和范围内经营，按照要求设置标识或者统一式样，并配置垃圾收集容器，保持经营场地以及周边环境卫生干净、整洁。</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第四十七条 违反本条例第二十六条第一款和第二款规定，擅自摆设摊点或者未按要求从事相关经营活动的，由城市管理综合执法部门责令改正；拒不改正的，每次处五十元以上一百元以下罚款。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68</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对超出门（窗）或者墙体外立面进行店外经营的处罚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《秦皇岛市市容管理条例》第二十七条 临街门店经营者不得超出门（窗）或者墙体外立面进行店外经营，包括摆放商品和加工、制作、修理以及揽客等行为。</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第四十八条 违反本条例第二十七条规定，超出门（窗）或者墙体外立面进行店外经营的，由城市管理综合执法部门责令改正；拒不改正的，处二百元以上一千元以下罚款。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69</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对设置收购废旧物品的经营场所或者从事影响市容的经营活动的处罚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《秦皇岛市市容管理条例》第二十八条 城市主要街道两侧和重点区域禁止设置收购废旧物品的经营场所。</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  城市主、次干道两侧以及重要节点、重点区域禁止从事建材、金属、石材、木器加工以及殡葬用品制作销售等影响市容的经营活动。</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 xml:space="preserve">    第四十九条 违反本条例第二十八条第一款和第二款规定，设置收购废旧物品的经营场所或者从事影响市容的经营活动的，由城市管理综合执法部门责令限期改正；逾期不改正的，由城市管理综合执法部门会同有关部门依法处理。</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山办字〔2019〕27号第三条（七） 1.</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1、发现违法行为或者接到对违法行为的投诉举报不予查处的。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3.指派不具备行政执法资格人员实施行政处罚的。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6.在行政处罚过程中发生腐败行为的。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7.处罚不使用罚款、没收财物单据或者使用非法定部门制发的罚款、没收财物单据的。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8.未执行罚缴分离制度，违反规定自行收缴罚款的，向行政机关返还罚款或者拍卖款项的。         </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9.其他违反法律法规规章规定的行为。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9"/>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45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557"/>
        <w:gridCol w:w="1374"/>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70</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对擅自利用公共场地从事机动车经营活动的处罚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jc w:val="left"/>
              <w:rPr>
                <w:rFonts w:ascii="仿宋_GB2312" w:eastAsia="仿宋_GB2312" w:cs="黑体"/>
                <w:kern w:val="0"/>
                <w:sz w:val="18"/>
                <w:szCs w:val="18"/>
              </w:rPr>
            </w:pPr>
            <w:r>
              <w:rPr>
                <w:rFonts w:ascii="仿宋_GB2312" w:eastAsia="仿宋_GB2312" w:cs="黑体" w:hint="eastAsia"/>
                <w:kern w:val="0"/>
                <w:sz w:val="18"/>
                <w:szCs w:val="18"/>
              </w:rPr>
              <w:t>《秦皇岛市市容管理条例》</w:t>
            </w:r>
          </w:p>
          <w:p w:rsidR="002F43E9" w:rsidRDefault="00F26FC8">
            <w:pPr>
              <w:spacing w:line="240" w:lineRule="exact"/>
              <w:ind w:firstLineChars="200" w:firstLine="360"/>
              <w:jc w:val="left"/>
              <w:rPr>
                <w:rFonts w:ascii="仿宋_GB2312" w:eastAsia="仿宋_GB2312" w:cs="黑体"/>
                <w:kern w:val="0"/>
                <w:sz w:val="18"/>
                <w:szCs w:val="18"/>
              </w:rPr>
            </w:pPr>
            <w:r>
              <w:rPr>
                <w:rFonts w:ascii="仿宋_GB2312" w:eastAsia="仿宋_GB2312" w:cs="黑体" w:hint="eastAsia"/>
                <w:kern w:val="0"/>
                <w:sz w:val="18"/>
                <w:szCs w:val="18"/>
              </w:rPr>
              <w:t>第二十九条 除经批准的大型机动车展销活动外，任何单位和个人不得擅自利用公共停车场（位）、人行道</w:t>
            </w:r>
          </w:p>
          <w:p w:rsidR="002F43E9" w:rsidRDefault="00F26FC8">
            <w:pPr>
              <w:spacing w:line="240" w:lineRule="exact"/>
              <w:ind w:left="360" w:hangingChars="200" w:hanging="360"/>
              <w:jc w:val="left"/>
              <w:rPr>
                <w:rFonts w:ascii="仿宋_GB2312" w:eastAsia="仿宋_GB2312" w:cs="黑体"/>
                <w:kern w:val="0"/>
                <w:sz w:val="18"/>
                <w:szCs w:val="18"/>
              </w:rPr>
            </w:pPr>
            <w:r>
              <w:rPr>
                <w:rFonts w:ascii="仿宋_GB2312" w:eastAsia="仿宋_GB2312" w:cs="黑体" w:hint="eastAsia"/>
                <w:kern w:val="0"/>
                <w:sz w:val="18"/>
                <w:szCs w:val="18"/>
              </w:rPr>
              <w:t>和其他公共场地从事机动车的展销和拍卖等经营活动。                                                            第五十条 违反本条例第二十九条第二款规定，擅自利用公共场地从事机动车经营活动的，由城市管理综合</w:t>
            </w:r>
          </w:p>
          <w:p w:rsidR="002F43E9" w:rsidRDefault="00F26FC8">
            <w:pPr>
              <w:spacing w:line="240" w:lineRule="exact"/>
              <w:ind w:left="360" w:hangingChars="200" w:hanging="360"/>
              <w:jc w:val="left"/>
              <w:rPr>
                <w:rFonts w:ascii="仿宋_GB2312" w:eastAsia="仿宋_GB2312" w:cs="黑体"/>
                <w:kern w:val="0"/>
                <w:sz w:val="18"/>
                <w:szCs w:val="18"/>
              </w:rPr>
            </w:pPr>
            <w:r>
              <w:rPr>
                <w:rFonts w:ascii="仿宋_GB2312" w:eastAsia="仿宋_GB2312" w:cs="黑体" w:hint="eastAsia"/>
                <w:kern w:val="0"/>
                <w:sz w:val="18"/>
                <w:szCs w:val="18"/>
              </w:rPr>
              <w:t>执法部门责令改正；拒不改正的，处一万元以上三万元以下罚款。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w:t>
            </w:r>
            <w:r>
              <w:rPr>
                <w:rFonts w:ascii="仿宋_GB2312" w:eastAsia="仿宋_GB2312" w:hAnsi="黑体" w:cs="黑体" w:hint="eastAsia"/>
                <w:sz w:val="18"/>
                <w:szCs w:val="18"/>
              </w:rPr>
              <w:t xml:space="preserve">第三条（七） </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124"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374"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77"/>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因不履行或不正确履行行政职责，有下列情形的，行政机关及相关工作人员应承担相应责任：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3.未履行生活垃圾分类监督管理职责。</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1.业务咨询：5058098</w:t>
            </w:r>
          </w:p>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557"/>
        <w:gridCol w:w="1374"/>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71</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对在室外从事烧烤经营活动或者在道路两侧和其他公共区域露天烧烤食品的处罚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《秦皇岛市市容管理条例》</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 xml:space="preserve">第三十条 从事烧烤经营活动应当有固定的门店。烧烤加工操作应当在室内进行，并加装油烟净化设施，确保油烟排放达到国家、省规定的标准。                                                    </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第五十一条 违反本条例第三十条规定，在室外从事烧烤经营活动或者在道路两侧和其他公共区域露天烧烤食品的，由城市管理综合执法部门责令改正，没收烧烤工具和违法所得，处五百元以上一千五百元以下罚款；情节较重的，处一千五百元以上五千元以下罚款；情节严重的，处五千元以上二万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w:t>
            </w:r>
            <w:r>
              <w:rPr>
                <w:rFonts w:ascii="仿宋_GB2312" w:eastAsia="仿宋_GB2312" w:hAnsi="黑体" w:cs="黑体" w:hint="eastAsia"/>
                <w:sz w:val="18"/>
                <w:szCs w:val="18"/>
              </w:rPr>
              <w:t xml:space="preserve">第三条（七） </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124"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374"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77"/>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因不履行或不正确履行行政职责，有下列情形的，行政机关及相关工作人员应承担相应责任：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3.未履行生活垃圾分类监督管理职责。</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numPr>
                <w:ilvl w:val="0"/>
                <w:numId w:val="1"/>
              </w:numPr>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业务咨询：5058098</w:t>
            </w:r>
          </w:p>
          <w:p w:rsidR="002F43E9" w:rsidRDefault="00F26FC8">
            <w:pPr>
              <w:widowControl/>
              <w:numPr>
                <w:ilvl w:val="0"/>
                <w:numId w:val="1"/>
              </w:numPr>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557"/>
        <w:gridCol w:w="1374"/>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72</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对擅自占用城市道路以及其他公共场所招揽生意的处罚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《秦皇岛市市容管理条例》</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 xml:space="preserve">第三十一条 市、县（区）人民政府应当为零散务工人员待工指定场所，零散务工人员不得擅自占用城市道路以及其他公共场所招揽生意。                                                                  </w:t>
            </w:r>
          </w:p>
          <w:p w:rsidR="002F43E9" w:rsidRDefault="00F26FC8">
            <w:pPr>
              <w:spacing w:line="240" w:lineRule="exact"/>
              <w:ind w:firstLineChars="100" w:firstLine="180"/>
              <w:rPr>
                <w:rFonts w:ascii="仿宋_GB2312" w:eastAsia="仿宋_GB2312" w:cs="黑体"/>
                <w:kern w:val="0"/>
                <w:sz w:val="18"/>
                <w:szCs w:val="18"/>
              </w:rPr>
            </w:pPr>
            <w:r>
              <w:rPr>
                <w:rFonts w:ascii="仿宋_GB2312" w:eastAsia="仿宋_GB2312" w:cs="黑体" w:hint="eastAsia"/>
                <w:kern w:val="0"/>
                <w:sz w:val="18"/>
                <w:szCs w:val="18"/>
              </w:rPr>
              <w:t xml:space="preserve">  第五十二条 违反本条例第三十一条规定，擅自占用城市道路以及其他公共场所招揽生意的，由城市管理综合执法部门责令改正；拒不改正的，每次处二十元以上一百元以下罚款。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w:t>
            </w:r>
            <w:r>
              <w:rPr>
                <w:rFonts w:ascii="仿宋_GB2312" w:eastAsia="仿宋_GB2312" w:hAnsi="黑体" w:cs="黑体" w:hint="eastAsia"/>
                <w:sz w:val="18"/>
                <w:szCs w:val="18"/>
              </w:rPr>
              <w:t xml:space="preserve">第三条（七） </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124"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374"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77"/>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因不履行或不正确履行行政职责，有下列情形的，行政机关及相关工作人员应承担相应责任：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3.未履行生活垃圾分类监督管理职责。</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numPr>
                <w:ilvl w:val="0"/>
                <w:numId w:val="1"/>
              </w:numPr>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业务咨询：5058098</w:t>
            </w:r>
          </w:p>
          <w:p w:rsidR="002F43E9" w:rsidRDefault="00F26FC8">
            <w:pPr>
              <w:widowControl/>
              <w:numPr>
                <w:ilvl w:val="0"/>
                <w:numId w:val="1"/>
              </w:numPr>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557"/>
        <w:gridCol w:w="1374"/>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73</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对未在规定的时间、区域以及指定的焚烧炉内焚烧祭祀用品的处罚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《秦皇岛市市容管理条例》</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 xml:space="preserve">第三十六条 倡导移风易俗、文明祭祀。市民应当遵守市、县（区）人民政府关于文明祭祀的有关规定，在规定的时间、区域和指定的焚烧炉内焚烧祭祀用品。                                           </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第五十五条 违反本条例第三十六条规定，未在规定的时间、区域以及指定的焚烧炉内焚烧祭祀用品的，由城市管理综合执法部门责令改正，处警告或者五十元以上二百元以下罚款。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w:t>
            </w:r>
            <w:r>
              <w:rPr>
                <w:rFonts w:ascii="仿宋_GB2312" w:eastAsia="仿宋_GB2312" w:hAnsi="黑体" w:cs="黑体" w:hint="eastAsia"/>
                <w:sz w:val="18"/>
                <w:szCs w:val="18"/>
              </w:rPr>
              <w:t xml:space="preserve">第三条（七） </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124"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374"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77"/>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因不履行或不正确履行行政职责，有下列情形的，行政机关及相关工作人员应承担相应责任：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3.未履行生活垃圾分类监督管理职责。</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numPr>
                <w:ilvl w:val="0"/>
                <w:numId w:val="1"/>
              </w:numPr>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业务咨询：5058098</w:t>
            </w:r>
          </w:p>
          <w:p w:rsidR="002F43E9" w:rsidRDefault="00F26FC8">
            <w:pPr>
              <w:widowControl/>
              <w:numPr>
                <w:ilvl w:val="0"/>
                <w:numId w:val="1"/>
              </w:numPr>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557"/>
        <w:gridCol w:w="1374"/>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74</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spacing w:line="240" w:lineRule="exact"/>
              <w:jc w:val="center"/>
              <w:rPr>
                <w:rFonts w:ascii="仿宋_GB2312" w:eastAsia="仿宋_GB2312" w:cs="仿宋_GB2312"/>
                <w:color w:val="000000"/>
                <w:kern w:val="0"/>
                <w:sz w:val="18"/>
                <w:szCs w:val="18"/>
              </w:rPr>
            </w:pPr>
            <w:r>
              <w:rPr>
                <w:rFonts w:ascii="仿宋_GB2312" w:eastAsia="仿宋_GB2312" w:cs="黑体" w:hint="eastAsia"/>
                <w:kern w:val="0"/>
                <w:sz w:val="18"/>
                <w:szCs w:val="18"/>
              </w:rPr>
              <w:t>对在游泳区内设置雨水排放口的处罚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jc w:val="left"/>
              <w:rPr>
                <w:rFonts w:ascii="仿宋_GB2312" w:eastAsia="仿宋_GB2312" w:cs="黑体"/>
                <w:kern w:val="0"/>
                <w:sz w:val="18"/>
                <w:szCs w:val="18"/>
              </w:rPr>
            </w:pPr>
            <w:r>
              <w:rPr>
                <w:rFonts w:ascii="仿宋_GB2312" w:eastAsia="仿宋_GB2312" w:cs="黑体" w:hint="eastAsia"/>
                <w:kern w:val="0"/>
                <w:sz w:val="18"/>
                <w:szCs w:val="18"/>
              </w:rPr>
              <w:t>《秦皇岛市海水浴场管理条例》</w:t>
            </w:r>
          </w:p>
          <w:p w:rsidR="002F43E9" w:rsidRDefault="00F26FC8">
            <w:pPr>
              <w:spacing w:line="240" w:lineRule="exact"/>
              <w:ind w:firstLineChars="200" w:firstLine="360"/>
              <w:jc w:val="left"/>
              <w:rPr>
                <w:rFonts w:ascii="仿宋_GB2312" w:eastAsia="仿宋_GB2312" w:cs="黑体"/>
                <w:kern w:val="0"/>
                <w:sz w:val="18"/>
                <w:szCs w:val="18"/>
              </w:rPr>
            </w:pPr>
            <w:r>
              <w:rPr>
                <w:rFonts w:ascii="仿宋_GB2312" w:eastAsia="仿宋_GB2312" w:cs="黑体" w:hint="eastAsia"/>
                <w:kern w:val="0"/>
                <w:sz w:val="18"/>
                <w:szCs w:val="18"/>
              </w:rPr>
              <w:t>第二十五条 海水浴场内禁止设置入海排污口，游泳区内禁止设置雨水排放口。公共厕所以及更衣、冲淋和其他经营项目等服务场所产生的生活污水应当排入城镇污水管网。</w:t>
            </w:r>
          </w:p>
          <w:p w:rsidR="002F43E9" w:rsidRDefault="00F26FC8">
            <w:pPr>
              <w:spacing w:line="240" w:lineRule="exact"/>
              <w:jc w:val="left"/>
              <w:rPr>
                <w:rFonts w:ascii="仿宋_GB2312" w:eastAsia="仿宋_GB2312" w:cs="黑体"/>
                <w:kern w:val="0"/>
                <w:sz w:val="18"/>
                <w:szCs w:val="18"/>
              </w:rPr>
            </w:pPr>
            <w:r>
              <w:rPr>
                <w:rFonts w:ascii="仿宋_GB2312" w:eastAsia="仿宋_GB2312" w:cs="黑体" w:hint="eastAsia"/>
                <w:kern w:val="0"/>
                <w:sz w:val="18"/>
                <w:szCs w:val="18"/>
              </w:rPr>
              <w:t>违反本条例第二十五条规定，在海水浴场内设置入海排污口或者生活污水未排入城镇污水管网的，由生态环境、城市管理综合行政执法等部门依照《中华人民共和国海洋环境保护法》《城镇排水与污水处理条例》等法律、法规的有关规定处理。在游泳区内设置雨水排放口的，由城市管理综合行政执法部门责令改正；拒不改正的，处三千元以上一万元以下的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w:t>
            </w:r>
            <w:r>
              <w:rPr>
                <w:rFonts w:ascii="仿宋_GB2312" w:eastAsia="仿宋_GB2312" w:hAnsi="黑体" w:cs="黑体" w:hint="eastAsia"/>
                <w:sz w:val="18"/>
                <w:szCs w:val="18"/>
              </w:rPr>
              <w:t xml:space="preserve">第三条（七） </w:t>
            </w:r>
            <w:r>
              <w:rPr>
                <w:rFonts w:ascii="仿宋_GB2312" w:eastAsia="仿宋_GB2312" w:cs="黑体" w:hint="eastAsia"/>
                <w:kern w:val="0"/>
                <w:sz w:val="18"/>
                <w:szCs w:val="18"/>
              </w:rPr>
              <w:t>行使城市供水、城市排水（污水）、城市供热、城市燃气等方面的法律、法规、规章规定的行政处罚权。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124"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374"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77"/>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因不履行或不正确履行行政职责，有下列情形的，行政机关及相关工作人员应承担相应责任：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3.未履行生活垃圾分类监督管理职责。</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numPr>
                <w:ilvl w:val="0"/>
                <w:numId w:val="1"/>
              </w:numPr>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业务咨询：5138387</w:t>
            </w:r>
          </w:p>
          <w:p w:rsidR="002F43E9" w:rsidRDefault="00F26FC8">
            <w:pPr>
              <w:widowControl/>
              <w:numPr>
                <w:ilvl w:val="0"/>
                <w:numId w:val="1"/>
              </w:numPr>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557"/>
        <w:gridCol w:w="1374"/>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75</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对个人未遵守下列社会卫生规范的处罚：</w:t>
            </w:r>
          </w:p>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一）不随地吐痰、便溺；（二）不乱扔果皮、纸屑、烟蒂、口香糖、塑料袋、饮料瓶（盒）等废弃物；（三）按照规定倾倒垃圾、污水或者粪便；（四）不在禁止吸烟的场所吸烟；（五）不从事其他有碍社会卫生的行为。</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jc w:val="left"/>
              <w:rPr>
                <w:rFonts w:ascii="仿宋_GB2312" w:eastAsia="仿宋_GB2312" w:cs="黑体"/>
                <w:kern w:val="0"/>
                <w:sz w:val="18"/>
                <w:szCs w:val="18"/>
              </w:rPr>
            </w:pPr>
            <w:r>
              <w:rPr>
                <w:rFonts w:ascii="仿宋_GB2312" w:eastAsia="仿宋_GB2312" w:cs="黑体" w:hint="eastAsia"/>
                <w:kern w:val="0"/>
                <w:sz w:val="18"/>
                <w:szCs w:val="18"/>
              </w:rPr>
              <w:t>《秦皇岛市爱国卫生条例》</w:t>
            </w:r>
          </w:p>
          <w:p w:rsidR="002F43E9" w:rsidRDefault="00F26FC8">
            <w:pPr>
              <w:spacing w:line="240" w:lineRule="exact"/>
              <w:ind w:firstLineChars="200" w:firstLine="360"/>
              <w:jc w:val="left"/>
              <w:rPr>
                <w:rFonts w:ascii="仿宋_GB2312" w:eastAsia="仿宋_GB2312" w:cs="黑体"/>
                <w:kern w:val="0"/>
                <w:sz w:val="18"/>
                <w:szCs w:val="18"/>
              </w:rPr>
            </w:pPr>
            <w:r>
              <w:rPr>
                <w:rFonts w:ascii="仿宋_GB2312" w:eastAsia="仿宋_GB2312" w:cs="黑体" w:hint="eastAsia"/>
                <w:kern w:val="0"/>
                <w:sz w:val="18"/>
                <w:szCs w:val="18"/>
              </w:rPr>
              <w:t>第二十条 个人应当遵守下列社会卫生规范：（一）不随地吐痰、便溺；（二）不乱扔果皮、纸屑、烟蒂、口香糖、塑料袋、饮料瓶（盒）等废弃物；</w:t>
            </w:r>
          </w:p>
          <w:p w:rsidR="002F43E9" w:rsidRDefault="00F26FC8">
            <w:pPr>
              <w:spacing w:line="240" w:lineRule="exact"/>
              <w:ind w:firstLineChars="200" w:firstLine="360"/>
              <w:jc w:val="left"/>
              <w:rPr>
                <w:rFonts w:ascii="仿宋_GB2312" w:eastAsia="仿宋_GB2312" w:cs="黑体"/>
                <w:kern w:val="0"/>
                <w:sz w:val="18"/>
                <w:szCs w:val="18"/>
              </w:rPr>
            </w:pPr>
            <w:r>
              <w:rPr>
                <w:rFonts w:ascii="仿宋_GB2312" w:eastAsia="仿宋_GB2312" w:cs="黑体" w:hint="eastAsia"/>
                <w:kern w:val="0"/>
                <w:sz w:val="18"/>
                <w:szCs w:val="18"/>
              </w:rPr>
              <w:t>第三十七条 违反本条例第二十条第一项、第二项规定的，由城市管理综合执法行政主管部门责令改正，并处二十元以上五十元以下罚款。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w:t>
            </w:r>
            <w:r>
              <w:rPr>
                <w:rFonts w:ascii="仿宋_GB2312" w:eastAsia="仿宋_GB2312" w:hAnsi="黑体" w:cs="黑体" w:hint="eastAsia"/>
                <w:sz w:val="18"/>
                <w:szCs w:val="18"/>
              </w:rPr>
              <w:t xml:space="preserve">第三条（七） </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124"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374"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77"/>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因不履行或不正确履行行政职责，有下列情形的，行政机关及相关工作人员应承担相应责任：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3.未履行生活垃圾分类监督管理职责。</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numPr>
                <w:ilvl w:val="0"/>
                <w:numId w:val="1"/>
              </w:numPr>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业务咨询：5058098</w:t>
            </w:r>
          </w:p>
          <w:p w:rsidR="002F43E9" w:rsidRDefault="00F26FC8">
            <w:pPr>
              <w:widowControl/>
              <w:numPr>
                <w:ilvl w:val="0"/>
                <w:numId w:val="1"/>
              </w:numPr>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557"/>
        <w:gridCol w:w="1374"/>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76</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对在城市市区内饲养家畜家禽的处罚</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autoSpaceDE w:val="0"/>
              <w:autoSpaceDN w:val="0"/>
              <w:adjustRightInd w:val="0"/>
              <w:spacing w:line="22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《秦皇岛市爱国卫生条例》</w:t>
            </w:r>
          </w:p>
          <w:p w:rsidR="002F43E9" w:rsidRDefault="00F26FC8">
            <w:pPr>
              <w:autoSpaceDE w:val="0"/>
              <w:autoSpaceDN w:val="0"/>
              <w:adjustRightInd w:val="0"/>
              <w:spacing w:line="22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 xml:space="preserve">第二十四条 除因科研、教学以及其他特殊情况外，城市市区内禁止饲养鸡、鸭、鹅、兔、羊、猪等家畜家禽。                                                                       </w:t>
            </w:r>
          </w:p>
          <w:p w:rsidR="002F43E9" w:rsidRDefault="00F26FC8">
            <w:pPr>
              <w:autoSpaceDE w:val="0"/>
              <w:autoSpaceDN w:val="0"/>
              <w:adjustRightInd w:val="0"/>
              <w:spacing w:line="22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第三十九条 违反本条例第二十四条第一款规定，在城市市区内饲养家畜家禽的，由城市管理综合执法行政主管部门给予警告，责令限期处理；逾期不处理的，予以没收，并处每只二十元以上一百元以下罚款。</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w:t>
            </w:r>
            <w:r>
              <w:rPr>
                <w:rFonts w:ascii="仿宋_GB2312" w:eastAsia="仿宋_GB2312" w:hAnsi="黑体" w:cs="黑体" w:hint="eastAsia"/>
                <w:sz w:val="18"/>
                <w:szCs w:val="18"/>
              </w:rPr>
              <w:t xml:space="preserve">第三条（七） </w:t>
            </w:r>
            <w:r>
              <w:rPr>
                <w:rFonts w:ascii="仿宋_GB2312" w:eastAsia="仿宋_GB2312" w:cs="黑体" w:hint="eastAsia"/>
                <w:kern w:val="0"/>
                <w:sz w:val="18"/>
                <w:szCs w:val="18"/>
              </w:rPr>
              <w:t>行使城市容貌、环境卫生、市政道路、桥梁、户外广告、临时占道棚亭设置、城市园林绿化等方面法律、法规、规章规定的行政处罚权。</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124"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374"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77"/>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立案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经初步了解案件后，依法立案或不予立案（不予立案应当告知理由）</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调查取证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制作现场勘验笔录、调查询问笔录、搜集相关文件资料、现场拍照录像等</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执法主体是否合法、事实是否清楚、证据是否合法充分、适用法律是否准确、执法程序是否合法等</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区城管执法局法宣股</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制作事先告知书（听证告知书）、处罚决定书</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送达相关文书，告知行政复议和行政诉讼等救济权利</w:t>
            </w:r>
          </w:p>
        </w:tc>
        <w:tc>
          <w:tcPr>
            <w:tcW w:w="1124"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374"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区综合执法大队</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因不履行或不正确履行行政职责，有下列情形的，行政机关及相关工作人员应承担相应责任：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1、发现违法行为或者接到对违法行为的举报不予查处的。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2.没有法律或者事实依据实施行政处罚的。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3.未履行生活垃圾分类监督管理职责。</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4.擅自设立处罚种类或者改变处罚幅度、范围的。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5.违反法定的行政处罚程序的。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6、滥用职权、玩忽职守、徇私舞弊行为的。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numPr>
                <w:ilvl w:val="0"/>
                <w:numId w:val="1"/>
              </w:numPr>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业务咨询：5058098</w:t>
            </w:r>
          </w:p>
          <w:p w:rsidR="002F43E9" w:rsidRDefault="00F26FC8">
            <w:pPr>
              <w:widowControl/>
              <w:numPr>
                <w:ilvl w:val="0"/>
                <w:numId w:val="1"/>
              </w:numPr>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2.投诉举报电话：12345</w:t>
            </w:r>
          </w:p>
          <w:p w:rsidR="002F43E9" w:rsidRDefault="00F26FC8">
            <w:pPr>
              <w:widowControl/>
              <w:spacing w:line="240" w:lineRule="exact"/>
              <w:jc w:val="left"/>
              <w:textAlignment w:val="center"/>
              <w:rPr>
                <w:rFonts w:ascii="黑体" w:eastAsia="仿宋_GB2312"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行政征收</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卫生服务费</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《城市生活垃圾管理办法》第四条“产生城市生活垃圾的单位和个人，应当按照城市人民政府确定的生活垃圾处理费收费标准和有关规定缴纳城市生活垃圾处理费。 城市生活垃圾处理费应当专项用于城市生活垃圾收集、运输和处置，严禁挪作他用。”第五条“国务院建设主管部门负责全国城市生活垃圾管理工作。 省、自治区人民政府建设主管部门负责本行政区域内城市生活垃圾管理工作。 直辖市、市、县人民政府建设（环境卫生）主管部门负责本行政区域内城市生活垃圾的管理工作。</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山办字〔2019〕27号第三条（三）负责城市环境卫生管理工作。</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受理</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公示告知生活垃圾处理费收费依据、收费项目、收费标准、收费范围、需要提交的全部材料目录以及其他应当公示的内容，并按申请人的要求进行相关解释说明。</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审核生活垃圾处理费申报表及相关材料。</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执做出审核决定，开具生活垃圾处理费缴款书。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事后监管</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开展定期和不定期检查，对存在问题的单位及时稽查，加强对履行缴费义务的日常监管。</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1.无法定依据征收的；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2.擅自设立或者增加征收项目，擅自改变征收范围和标准的；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3.违反法定程序实行征收的；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4.截留、私分或者挪用征收款物的；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5.有玩忽职守、滥用职权、徇私舞弊行为；</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6.其他违法实施征收、征用的；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7.其他违反法律法规规章文件规定的行为。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行政征收</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对城镇垃圾处理费的征收</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《城市生活垃圾管理办法》第四条“产生城市生活垃圾的单位和个人，应当按照城市人民政府确定的生活垃圾处理费收费标准和有关规定缴纳城市生活垃圾处理费。 城市生活垃圾处理费应当专项用于城市生活垃圾收集、运输和处置，严禁挪作他用。”第五条“国务院建设主管部门负责全国城市生活垃圾管理工作。 省、自治区人民政府建设主管部门负责本行政区域内城市生活垃圾管理工作。 直辖市、市、县人民政府建设（环境卫生）主管部门负责本行政区域内城市生活垃圾的管理工作。</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山办字〔2019〕27号第三条（三）负责城市环境卫生管理工作。</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受理</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公示告知生活垃圾处理费收费依据、收费项目、收费标准、收费范围、需要提交的全部材料目录以及其他应当公示的内容，并按申请人的要求进行相关解释说明。</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审核生活垃圾处理费申报表及相关材料。</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执做出审核决定，开具生活垃圾处理费缴款书。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事后监管</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开展定期和不定期检查，对存在问题的单位及时稽查，加强对履行缴费义务的日常监管。</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1.无法定依据征收的；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2.擅自设立或者增加征收项目，擅自改变征收范围和标准的；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3.违反法定程序实行征收的；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4.截留、私分或者挪用征收款物的；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5.有玩忽职守、滥用职权、徇私舞弊行为；</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6.其他违法实施征收、征用的；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7.其他违反法律法规规章文件规定的行为。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3</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行政征收</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城市道路挖掘修复费</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《城市道路管理条例》第三十七条“占用或者挖掘由市政工程行政主管部门管理的城市道路的，应当向市政工程行政主管部门交纳城市道路占用费或者城市道路挖掘修复费。</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山办字〔2019〕27号第三条（四）负责城市市政道路、桥梁、城市夜景照明等市政设施维护管理工作。</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受理</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公示告知收费标准、征收范围、方式；</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对征收金额进行审核；</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开具收费缴款书；</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事后监管</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所征收的资金一律进入财政专户，做到专款专用，不得挪作他用；</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区市政中心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1.对依法应当征收的费用，未受理、未征收的；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2.没有按照政府及相关部门规定的征收标准组织征收的；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3不征或者少征，致使国家遭受损失的；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4.在征收过程中发生腐败行为的；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5.其他违反法律法规规章文件规定的行为。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1.业务咨询：5138387</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行政奖励</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对长期从事市容环卫作业成绩显著的单位和个人的表彰奖励</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1.《城市市容和环境卫生管理条例》第八条“对在城市市容和环境卫生工作中成绩显着的单位和个人，由人民政府给予奖励。”</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2.《河北省城市市容和环境卫生管理条例》第六条“任何单位和个人都有享受整洁、优美、文明、和谐城市环境的权利，有维护城市市容和环境卫生、爱护环境卫生设施的义务，尊重城市市容和环境卫生专业作业人员的劳动，不得妨碍其履行职责。对损害、破坏城市市容和环境卫生的行为有权劝阻、制止和举报。</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对在城市市容和环境卫生工作中做出显著成绩的单位和个人，由县级以上人民政府给予表彰和奖励。”</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山办字〔2019〕27号第三条（三）负责城市环境卫生管理工作。</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制定方案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结合实际情况，科学制定表彰方案。</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区环卫中心 </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组织推荐</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严格按照表彰方案规定的条件、程序，组织推荐工作，对推荐对象进行初审。</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审核公开</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对符合条件的推荐对象进行审核，并将初审结果进行公示。</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表彰</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按程序给予表彰。</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1.不符合条件的申请，违规受理并通过初评，造成不良影响的；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2.未经批准擅自举办表彰奖励活动的；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3.向参评单位和个人收取费用的；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4.未按照规定进行公示的；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5.工作中滥用职权、徇私舞弊、玩忽职守造成不良后果的；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6.工作中发生贪污腐败行为的；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7.其他违反法律法规规章文件规定的行为。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行政奖励</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对于在城市公厕的规划、建设和管理中取得显著成绩的单位和个人的表彰和奖励</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《城市公厕管理办法》第二十二条“城市人民政府环境卫生行政主管部门，对于在城市公厕的规划、建设和管理中取得显著成绩的单位和个人，应当给予表彰和奖励。</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山办字〔2019〕27号第三条（三）负责城市环境卫生管理工作。</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制定方案</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结合实际情况，科学制定表彰方案。</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区环卫中心 </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组织推荐</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严格按照表彰方案规定的条件、程序，组织推荐工作，对推荐对象进行初审。</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审核公开</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对符合条件的推荐对象进行审核，并将初审结果进行公示。</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表彰</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按程序给予表彰。</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其他法律法规规章文件规定应履行的责任。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1.不符合条件的申请，违规受理并通过初评，造成不良影响的；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2.未经批准擅自举办表彰奖励活动的；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3.向参评单位和个人收取费用的；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4.未按照规定进行公示的；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5.工作中滥用职权、徇私舞弊、玩忽职守造成不良后果的；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6.工作中发生贪污腐败行为的；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7.其他违反法律法规规章文件规定的行为。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对关闭、闲置、拆除城市环卫设施进行监督检查；对已建成运行的垃圾处理设施运营状况和处理效果进行检查</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1.《城市生活垃圾管理办法》第十三条“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2.《行政许可法》第六十一条“行政机关应当建立健全监督制度，通过核查反映被许可人从事行政许可事项活动情况的有关材料，履行监督责任。 </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山办字〔2019〕27号第三条（三）负责城市环境卫生管理工作。</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检查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区环卫中心 </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处置</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移送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对构成违法犯罪的移交司法机关；</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事后管理</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法律法规规章等规定应履行的责任。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1在工作中玩忽职守、滥用职权、徇私舞弊的；在城市生活垃圾监督管理工作中,玩忽职守、滥用职权、徇私舞弊的；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2.对在检查中发现的问题，不依法实施处罚；</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3.对检查发现构成违法犯罪的，不移交司法机关；</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4.其他违反法律法规规章文件规定的行为。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对城市生活垃圾及餐厨废弃物处置企业监督检查</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《河北省餐厨废弃物管理办法》第五条　省人民政府住房和城乡建设主管部门负责全省餐厨废弃物的监督管理工作。</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设区的市、县（市）人民政府市容和环境卫生主管部门负责本行政区域内餐厨废弃物的监督管理工作。</w:t>
            </w:r>
          </w:p>
          <w:p w:rsidR="002F43E9" w:rsidRDefault="00F26FC8">
            <w:pPr>
              <w:spacing w:line="240" w:lineRule="exact"/>
              <w:rPr>
                <w:rFonts w:ascii="黑体" w:eastAsia="黑体" w:hAnsi="黑体" w:cs="仿宋_GB2312"/>
                <w:kern w:val="0"/>
                <w:sz w:val="18"/>
                <w:szCs w:val="18"/>
              </w:rPr>
            </w:pPr>
            <w:r>
              <w:rPr>
                <w:rFonts w:ascii="仿宋_GB2312" w:eastAsia="仿宋_GB2312" w:cs="黑体" w:hint="eastAsia"/>
                <w:kern w:val="0"/>
                <w:sz w:val="18"/>
                <w:szCs w:val="18"/>
              </w:rPr>
              <w:t xml:space="preserve">    第二十三条　省人民政府住房和城乡建设主管部门以及设区的市、县（市）人民政府市容和环境卫生主管部门应当建立健全监督管理制度，对餐厨废弃物产生单位和收集、运输、处置企业执行本办法的情况进行监督检查。</w:t>
            </w: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山办字〔2019〕27号第三条（三）负责城市环境卫生管理工作。</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检查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区环卫中心 </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处置</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移送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对构成违法犯罪的移交司法机关；</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事后管理</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法律法规规章等规定应履行的责任。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1在工作中玩忽职守、滥用职权、徇私舞弊的；在城市生活垃圾监督管理工作中,玩忽职守、滥用职权、徇私舞弊的；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2.对在检查中发现的问题，不依法实施处罚；</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3.对检查发现构成违法犯罪的，不移交司法机关；</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4.其他违反法律法规规章文件规定的行为。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3</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对餐厨废弃物产生单位和收集、运输、处置经营活动的检查</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《河北省餐厨废弃物管理办法》第五条　省人民政府住房和城乡建设主管部门负责全省餐厨废弃物的监督管理工作。</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    设区的市、县（市）人民政府市容和环境卫生主管部门负责本行政区域内餐厨废弃物的监督管理工作。</w:t>
            </w:r>
          </w:p>
          <w:p w:rsidR="002F43E9" w:rsidRDefault="00F26FC8">
            <w:pPr>
              <w:spacing w:line="240" w:lineRule="exact"/>
              <w:rPr>
                <w:rFonts w:ascii="黑体" w:eastAsia="黑体" w:hAnsi="黑体" w:cs="仿宋_GB2312"/>
                <w:kern w:val="0"/>
                <w:sz w:val="18"/>
                <w:szCs w:val="18"/>
              </w:rPr>
            </w:pPr>
            <w:r>
              <w:rPr>
                <w:rFonts w:ascii="仿宋_GB2312" w:eastAsia="仿宋_GB2312" w:cs="黑体" w:hint="eastAsia"/>
                <w:kern w:val="0"/>
                <w:sz w:val="18"/>
                <w:szCs w:val="18"/>
              </w:rPr>
              <w:t xml:space="preserve">    第二十三条　省人民政府住房和城乡建设主管部门以及设区的市、县（市）人民政府市容和环境卫生主管部门应当建立健全监督管理制度，对餐厨废弃物产生单位和收集、运输、处置企业执行本办法的情况进行监督检查。</w:t>
            </w: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山办字〔2019〕27号第三条（三）负责城市环境卫生管理工作。</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检查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区环卫中心 </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处置</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移送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对构成违法犯罪的移交司法机关；</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事后管理</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法律法规规章等规定应履行的责任。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1在工作中玩忽职守、滥用职权、徇私舞弊的；在城市生活垃圾监督管理工作中,玩忽职守、滥用职权、徇私舞弊的；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2.对在检查中发现的问题，不依法实施处罚；</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3.对检查发现构成违法犯罪的，不移交司法机关；</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4.其他违反法律法规规章文件规定的行为。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4</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对生活垃圾产生单位或个人分类投放、分类收集、分类运输、分类处理等活动的检查</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《河北省城乡生活垃圾分类管理条例》第五十八条　生活垃圾管理部门应当加强对生活垃圾分类投放、分类收集、分类运输、分类处理等情况的监督检查，发现违反法律法规的行为，应当依法查处；发现违法行为涉及其他行政主管部门职责的，应当及时通报相关行政主管部门进行处理。</w:t>
            </w:r>
          </w:p>
          <w:p w:rsidR="002F43E9" w:rsidRDefault="00F26FC8">
            <w:pPr>
              <w:spacing w:line="240" w:lineRule="exact"/>
              <w:ind w:firstLine="360"/>
              <w:rPr>
                <w:rFonts w:ascii="仿宋_GB2312" w:eastAsia="仿宋_GB2312" w:cs="黑体"/>
                <w:kern w:val="0"/>
                <w:sz w:val="18"/>
                <w:szCs w:val="18"/>
              </w:rPr>
            </w:pPr>
            <w:r>
              <w:rPr>
                <w:rFonts w:ascii="仿宋_GB2312" w:eastAsia="仿宋_GB2312" w:cs="黑体" w:hint="eastAsia"/>
                <w:kern w:val="0"/>
                <w:sz w:val="18"/>
                <w:szCs w:val="18"/>
              </w:rPr>
              <w:t>乡镇人民政府、街道办事处和村民委员会、居民委员会（社区）应当开展日常巡查，引导、督促辖区内单位和个人做好生活垃圾分类工作。</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山办字〔2019〕27号第三条（三）负责城市环境卫生管理工作。</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检查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区环卫中心 </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处置</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移送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对构成违法犯罪的移交司法机关；</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事后管理</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法律法规规章等规定应履行的责任。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1在工作中玩忽职守、滥用职权、徇私舞弊的；在城市生活垃圾监督管理工作中,玩忽职守、滥用职权、徇私舞弊的；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2.对在检查中发现的问题，不依法实施处罚；</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3.对检查发现构成违法犯罪的，不移交司法机关；</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4.其他违反法律法规规章文件规定的行为。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5</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对城市园林绿化建设管理的监督检查</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《城市绿化条例》第七条 城市人民政府城市绿化行政主管部门主管本行政区域内城市规划区的城市绿化工作。</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山办字〔2019〕27号第三条（五）负责全区园林绿化行业管理和指导工作。</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检查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对本辖区内已经获批的卫生设施拆除工作实施监督检查；</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区园林中心 </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处置</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对监督检查发现的问题，依法实施行政处罚等；</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区园林中心 </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移送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对构成违法犯罪的移交司法机关；</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区园林中心 </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事后管理</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对监督检查发现的问题，除采取行政处罚等其他管理措施外，对整改情况组织进行核查；</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区园林中心 </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法律法规规章等规定应履行的责任。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区园林中心 </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1在工作中玩忽职守、滥用职权、徇私舞弊的；在城市生活垃圾监督管理工作中,玩忽职守、滥用职权、徇私舞弊的；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2.对在检查中发现的问题，不依法实施处罚；</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3.对检查发现构成违法犯罪的，不移交司法机关；</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4.其他违反法律法规规章文件规定的行为。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行政确认</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建立古树名木档案和标记</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《城市古树名木保护管理办法》（建城 192号）第六条 城市人民政府城市园林绿化行政主管部门应当对本行政区域内的古树名木进行调查、鉴定、定级、登记、编号，并建立档案，设立标志。 一级古树名木由省、自治区、直辖市人民政府确认，报国务院建设行政主管部门备案；二级古树名木由城市人民政府确认，直辖市以外的城市报省、自治区建设行政主管部门备案。</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山办字〔2019〕27号第三条（五）负责全区园林绿化行业管理和指导工作。</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检查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城市人民政府城市园林绿化行政主管部门应当对本行政区域内的古树名木进行调查、鉴定、定级、登记、编号，并建立档案，设立标志。</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区园林中心 </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确认</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城市人民政府城市园林绿化行政主管部门负责本行政区域内城市古树名木保护管理工作。</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区园林中心 </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养护</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城市人民政府园林绿化行政主管部门应当对城市古树名木，按实际情况分株制定养护、管理方案，落实养护责任单位、责任人，并进行检查指导。</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区园林中心 </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移送</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对构成违法犯罪的移交司法机关；</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区园林中心 </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法律法规规章等规定应履行的责任。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区园林中心 </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1在工作中玩忽职守、滥用职权、徇私舞弊的；在城市生活垃圾监督管理工作中,玩忽职守、滥用职权、徇私舞弊的；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2.对在检查中发现的问题，不依法实施处罚；</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3.对检查发现构成违法犯罪的，不移交司法机关；</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4.其他违反法律法规规章文件规定的行为。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1.业务咨询：5051780</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1</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其他</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城市环境卫生设施规划设计方案的审查和环境卫生设施的竣工验收</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河北省城市市容和环境卫生条例》第三十一条“城市新区开发、旧城改造、道路新建、改建，应当依照国家有关规定和城市环境卫生专业规划，配套建设公共厕所及生活废弃物的清扫、收集、运输和处理等城市环境卫生设施，并与主体工程同时设计、同时施工、同时交付使用，所需经费纳入建设工程概算。城市环境卫生设施规划设计方案的审查和环境卫生设施的竣工验收，应当有市容和环境卫生行政主管部门参加。</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山办字〔2019〕27号第三条（三）负责城市环境卫生管理工作。</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受理</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接受审查申请；</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依法参加验收，提出验收意见；</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489"/>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事后监督</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依法履行监督职责；</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其他法律法规规章等规定应履行的责任。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区环卫中心 </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1.把关不严，对不符合环境卫生标准和环卫专业规划审查、验收通过；</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2.玩忽职守、滥用职权、徇私舞弊的；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3.利用职务上的便利收受他人财物或者其他好处的；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4.其他违反法律法规规章文件规定的行为。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2</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其他</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拆除环境卫生设施拆迁方案核准</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 xml:space="preserve">1.《中华人民共和国固体废物污染环境防治法》“第五十五条：建设生活垃圾处理设施、场所，应当符合国务院生态环境主管部门和国务院住房城乡建设主管部门规定的环境保护和环境卫生标准。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鼓励相邻地区统筹生活垃圾处理设施建设，促进生活垃圾处理设施跨行政区域共建共享。 </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 xml:space="preserve">禁止擅自关闭、闲置或者拆除生活垃圾处理设施、场所；确有必要关闭、闲置或者拆除的，应当经所在地的市、县级人民政府环境卫生主管部门商所在地生态环境主管部门同意后核准，并采取防止污染环境的措施。 </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2.《城市市容和环境卫生管理条例》第二十二条“一切单位和个人都不得擅自拆除环境卫生设施；因建设需要必须拆除的，建设单位必须事先提出拆迁方案，报城市人民政府市容环境卫生行政主管部门批准。”</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3.《城市生活垃圾管理办法》“第十三条：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山办字〔2019〕27号第三条（三）负责城市环境卫生管理工作。</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受理</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公示依法应当提交的材料。一次性告知补正材料、依法受理或不予受理(不予受理的应当告知理由)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根据法定条件和程序，对申请材料进行审查，并提出审查意见。</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68"/>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做出批准或者不予批准决定。</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68"/>
          <w:jc w:val="center"/>
        </w:trPr>
        <w:tc>
          <w:tcPr>
            <w:tcW w:w="1463" w:type="dxa"/>
            <w:vMerge/>
            <w:tcBorders>
              <w:tl2br w:val="nil"/>
              <w:tr2bl w:val="nil"/>
            </w:tcBorders>
            <w:shd w:val="clear" w:color="auto" w:fill="auto"/>
            <w:vAlign w:val="center"/>
          </w:tcPr>
          <w:p w:rsidR="002F43E9" w:rsidRDefault="002F43E9">
            <w:pPr>
              <w:jc w:val="center"/>
            </w:pPr>
          </w:p>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告知</w:t>
            </w:r>
          </w:p>
        </w:tc>
        <w:tc>
          <w:tcPr>
            <w:tcW w:w="5287" w:type="dxa"/>
            <w:gridSpan w:val="4"/>
            <w:tcBorders>
              <w:tl2br w:val="nil"/>
              <w:tr2bl w:val="nil"/>
            </w:tcBorders>
            <w:shd w:val="clear" w:color="auto" w:fill="auto"/>
            <w:vAlign w:val="center"/>
          </w:tcPr>
          <w:p w:rsidR="002F43E9" w:rsidRDefault="00F26FC8">
            <w:pPr>
              <w:jc w:val="left"/>
              <w:rPr>
                <w:rFonts w:ascii="仿宋_GB2312" w:eastAsia="仿宋_GB2312" w:hAnsi="黑体" w:cs="黑体"/>
                <w:color w:val="000000"/>
                <w:sz w:val="18"/>
                <w:szCs w:val="18"/>
              </w:rPr>
            </w:pPr>
            <w:r>
              <w:rPr>
                <w:rFonts w:ascii="仿宋_GB2312" w:eastAsia="仿宋_GB2312" w:hAnsi="黑体" w:cs="黑体" w:hint="eastAsia"/>
                <w:color w:val="000000"/>
                <w:sz w:val="18"/>
                <w:szCs w:val="18"/>
              </w:rPr>
              <w:t>不准予的应当说明理由，并告知申请人享有依法申请行政复议或者提起行政诉讼的权利。对涉及申请人、利害关系人重大利益的，或者依法需要听证的，在作出决定前履行法定告知责任。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68"/>
          <w:jc w:val="center"/>
        </w:trPr>
        <w:tc>
          <w:tcPr>
            <w:tcW w:w="1463" w:type="dxa"/>
            <w:vMerge/>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jc w:val="left"/>
              <w:rPr>
                <w:rFonts w:ascii="仿宋_GB2312" w:eastAsia="仿宋_GB2312" w:hAnsi="黑体" w:cs="黑体"/>
                <w:color w:val="000000"/>
                <w:sz w:val="18"/>
                <w:szCs w:val="18"/>
              </w:rPr>
            </w:pPr>
            <w:r>
              <w:rPr>
                <w:rFonts w:ascii="仿宋_GB2312" w:eastAsia="仿宋_GB2312" w:hAnsi="黑体" w:cs="黑体" w:hint="eastAsia"/>
                <w:color w:val="000000"/>
                <w:sz w:val="18"/>
                <w:szCs w:val="18"/>
              </w:rPr>
              <w:t>按时办结，并将相关可以公开的信息公开。</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7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事后监督</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依法履行监督职责。</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区环卫中心 </w:t>
            </w:r>
          </w:p>
        </w:tc>
      </w:tr>
      <w:tr w:rsidR="002F43E9">
        <w:trPr>
          <w:trHeight w:val="175"/>
          <w:jc w:val="center"/>
        </w:trPr>
        <w:tc>
          <w:tcPr>
            <w:tcW w:w="1463" w:type="dxa"/>
            <w:vMerge/>
            <w:tcBorders>
              <w:tl2br w:val="nil"/>
              <w:tr2bl w:val="nil"/>
            </w:tcBorders>
            <w:shd w:val="clear" w:color="auto" w:fill="auto"/>
            <w:vAlign w:val="center"/>
          </w:tcPr>
          <w:p w:rsidR="002F43E9" w:rsidRDefault="002F43E9">
            <w:pPr>
              <w:jc w:val="center"/>
            </w:pPr>
          </w:p>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w:t>
            </w:r>
          </w:p>
        </w:tc>
        <w:tc>
          <w:tcPr>
            <w:tcW w:w="5287" w:type="dxa"/>
            <w:gridSpan w:val="4"/>
            <w:tcBorders>
              <w:tl2br w:val="nil"/>
              <w:tr2bl w:val="nil"/>
            </w:tcBorders>
            <w:shd w:val="clear" w:color="auto" w:fill="auto"/>
            <w:vAlign w:val="center"/>
          </w:tcPr>
          <w:p w:rsidR="002F43E9" w:rsidRDefault="00F26FC8">
            <w:pPr>
              <w:jc w:val="left"/>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其他法律法规规章等规定应履行的责任。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1.对符合法定条件的项目申请不予受理、核准的;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2.对不符合法定条件的项目予以受理、核准的;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3.擅自增设、变更项目核准程序或核准条件的;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4.未在法定时限内作出核准决定的;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5.擅自变更、延续、撤销已核准项目的;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6.在项目监管中滥用职权、玩忽职守，造成较大损失的;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7.索取或者收受他人财物或者谋取其他利益的;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8.其他违反法律法规规章文件规定的行为。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p w:rsidR="002F43E9" w:rsidRDefault="00F26FC8">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lastRenderedPageBreak/>
        <w:t>履职行权规程</w:t>
      </w:r>
    </w:p>
    <w:tbl>
      <w:tblPr>
        <w:tblW w:w="102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1463"/>
        <w:gridCol w:w="1050"/>
        <w:gridCol w:w="641"/>
        <w:gridCol w:w="1691"/>
        <w:gridCol w:w="1963"/>
        <w:gridCol w:w="992"/>
        <w:gridCol w:w="567"/>
        <w:gridCol w:w="772"/>
        <w:gridCol w:w="1159"/>
      </w:tblGrid>
      <w:tr w:rsidR="002F43E9">
        <w:trPr>
          <w:trHeight w:val="424"/>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szCs w:val="21"/>
              </w:rPr>
              <w:t>3</w:t>
            </w:r>
          </w:p>
        </w:tc>
        <w:tc>
          <w:tcPr>
            <w:tcW w:w="1691" w:type="dxa"/>
            <w:tcBorders>
              <w:tl2br w:val="nil"/>
              <w:tr2bl w:val="nil"/>
            </w:tcBorders>
            <w:shd w:val="clear" w:color="auto" w:fill="auto"/>
            <w:vAlign w:val="center"/>
          </w:tcPr>
          <w:p w:rsidR="002F43E9" w:rsidRDefault="00F26FC8">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其他</w:t>
            </w:r>
          </w:p>
        </w:tc>
        <w:tc>
          <w:tcPr>
            <w:tcW w:w="155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rsidR="002F43E9" w:rsidRDefault="00F26FC8">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区城管执法局</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hAnsi="宋体" w:cs="仿宋_GB2312" w:hint="eastAsia"/>
                <w:color w:val="000000"/>
                <w:kern w:val="0"/>
                <w:sz w:val="18"/>
                <w:szCs w:val="18"/>
                <w:lang/>
              </w:rPr>
              <w:t>确需在禁挖期内挖掘新建、扩建、改建、大修的城市道路批准</w:t>
            </w:r>
          </w:p>
        </w:tc>
      </w:tr>
      <w:tr w:rsidR="002F43E9">
        <w:trPr>
          <w:trHeight w:val="405"/>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rsidR="002F43E9" w:rsidRDefault="002F43E9">
            <w:pPr>
              <w:jc w:val="center"/>
              <w:rPr>
                <w:rFonts w:ascii="黑体" w:eastAsia="黑体" w:hAnsi="黑体" w:cs="黑体"/>
                <w:color w:val="000000"/>
                <w:kern w:val="0"/>
                <w:sz w:val="18"/>
                <w:szCs w:val="18"/>
              </w:rPr>
            </w:pPr>
          </w:p>
        </w:tc>
      </w:tr>
      <w:tr w:rsidR="002F43E9">
        <w:trPr>
          <w:trHeight w:val="2132"/>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【法律法规】</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《城市道路管理条例》第三十三条“因工程建设需要挖掘城市道路的，应当持城市规划部门批准签发的文件和有关设计文件，到市政工程行政主管部门和公安交通管理部门办理审批手续，方可按照规定挖掘。</w:t>
            </w:r>
          </w:p>
          <w:p w:rsidR="002F43E9" w:rsidRDefault="00F26FC8">
            <w:pPr>
              <w:spacing w:line="24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新建、扩建、改建的城市道路交付使用后5年内、大修的城市道路竣工后3年内不得挖掘；因特殊情况需要挖掘的，须经县级以上城市人民政府批准。</w:t>
            </w:r>
          </w:p>
          <w:p w:rsidR="002F43E9" w:rsidRDefault="00F26FC8">
            <w:pPr>
              <w:spacing w:line="240" w:lineRule="exact"/>
              <w:rPr>
                <w:rFonts w:ascii="黑体" w:eastAsia="黑体" w:hAnsi="黑体" w:cs="仿宋_GB2312"/>
                <w:kern w:val="0"/>
                <w:sz w:val="18"/>
                <w:szCs w:val="18"/>
              </w:rPr>
            </w:pPr>
            <w:r>
              <w:rPr>
                <w:rFonts w:ascii="黑体" w:eastAsia="黑体" w:hAnsi="黑体" w:cs="仿宋_GB2312" w:hint="eastAsia"/>
                <w:kern w:val="0"/>
                <w:sz w:val="18"/>
                <w:szCs w:val="18"/>
              </w:rPr>
              <w:t>【三定规定】</w:t>
            </w:r>
          </w:p>
          <w:p w:rsidR="002F43E9" w:rsidRDefault="00F26FC8">
            <w:pPr>
              <w:spacing w:line="240" w:lineRule="exact"/>
              <w:ind w:firstLineChars="200" w:firstLine="360"/>
              <w:rPr>
                <w:rFonts w:ascii="仿宋_GB2312" w:eastAsia="仿宋_GB2312" w:cs="黑体"/>
                <w:b/>
                <w:bCs/>
                <w:color w:val="000000"/>
                <w:szCs w:val="21"/>
              </w:rPr>
            </w:pPr>
            <w:r>
              <w:rPr>
                <w:rFonts w:ascii="仿宋_GB2312" w:eastAsia="仿宋_GB2312" w:hAnsi="黑体" w:cs="黑体" w:hint="eastAsia"/>
                <w:color w:val="000000"/>
                <w:sz w:val="18"/>
                <w:szCs w:val="18"/>
              </w:rPr>
              <w:t>山办字〔2019〕27号第三条（四）负责城市市政道路、桥梁、城市夜景照明等市政设施维护管理工作。</w:t>
            </w:r>
          </w:p>
        </w:tc>
      </w:tr>
      <w:tr w:rsidR="002F43E9">
        <w:trPr>
          <w:trHeight w:val="420"/>
          <w:jc w:val="center"/>
        </w:trPr>
        <w:tc>
          <w:tcPr>
            <w:tcW w:w="1463" w:type="dxa"/>
            <w:vMerge w:val="restart"/>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rsidR="002F43E9">
        <w:trPr>
          <w:trHeight w:val="540"/>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受理</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公示依法应当提交的材料。一次性告知补正材料、依法受理或不予受理(不予受理的应当告知理由)</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33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审查</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根据法定条件和程序，对申请材料进行审查，并提出审查意见。</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68"/>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决定</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 w:val="18"/>
                <w:szCs w:val="18"/>
              </w:rPr>
            </w:pPr>
            <w:r>
              <w:rPr>
                <w:rFonts w:ascii="仿宋_GB2312" w:eastAsia="仿宋_GB2312" w:hAnsi="黑体" w:cs="黑体" w:hint="eastAsia"/>
                <w:color w:val="000000"/>
                <w:sz w:val="18"/>
                <w:szCs w:val="18"/>
              </w:rPr>
              <w:t>做出批准或者不予批准决定。</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68"/>
          <w:jc w:val="center"/>
        </w:trPr>
        <w:tc>
          <w:tcPr>
            <w:tcW w:w="1463" w:type="dxa"/>
            <w:vMerge/>
            <w:tcBorders>
              <w:tl2br w:val="nil"/>
              <w:tr2bl w:val="nil"/>
            </w:tcBorders>
            <w:shd w:val="clear" w:color="auto" w:fill="auto"/>
            <w:vAlign w:val="center"/>
          </w:tcPr>
          <w:p w:rsidR="002F43E9" w:rsidRDefault="002F43E9">
            <w:pPr>
              <w:jc w:val="center"/>
            </w:pPr>
          </w:p>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告知</w:t>
            </w:r>
          </w:p>
        </w:tc>
        <w:tc>
          <w:tcPr>
            <w:tcW w:w="5287" w:type="dxa"/>
            <w:gridSpan w:val="4"/>
            <w:tcBorders>
              <w:tl2br w:val="nil"/>
              <w:tr2bl w:val="nil"/>
            </w:tcBorders>
            <w:shd w:val="clear" w:color="auto" w:fill="auto"/>
            <w:vAlign w:val="center"/>
          </w:tcPr>
          <w:p w:rsidR="002F43E9" w:rsidRDefault="00F26FC8">
            <w:pPr>
              <w:jc w:val="left"/>
              <w:rPr>
                <w:rFonts w:ascii="仿宋_GB2312" w:eastAsia="仿宋_GB2312" w:hAnsi="黑体" w:cs="黑体"/>
                <w:color w:val="000000"/>
                <w:sz w:val="18"/>
                <w:szCs w:val="18"/>
              </w:rPr>
            </w:pPr>
            <w:r>
              <w:rPr>
                <w:rFonts w:ascii="仿宋_GB2312" w:eastAsia="仿宋_GB2312" w:hAnsi="黑体" w:cs="黑体" w:hint="eastAsia"/>
                <w:color w:val="000000"/>
                <w:sz w:val="18"/>
                <w:szCs w:val="18"/>
              </w:rPr>
              <w:t>不准予的应当说明理由，并告知申请人享有依法申请行政复议或者提起行政诉讼的权利。对涉及申请人、利害关系人重大利益的，或者依法需要听证的，在作出决定前履行法定告知责任。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68"/>
          <w:jc w:val="center"/>
        </w:trPr>
        <w:tc>
          <w:tcPr>
            <w:tcW w:w="1463" w:type="dxa"/>
            <w:vMerge/>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送达</w:t>
            </w:r>
          </w:p>
        </w:tc>
        <w:tc>
          <w:tcPr>
            <w:tcW w:w="5287" w:type="dxa"/>
            <w:gridSpan w:val="4"/>
            <w:tcBorders>
              <w:tl2br w:val="nil"/>
              <w:tr2bl w:val="nil"/>
            </w:tcBorders>
            <w:shd w:val="clear" w:color="auto" w:fill="auto"/>
            <w:vAlign w:val="center"/>
          </w:tcPr>
          <w:p w:rsidR="002F43E9" w:rsidRDefault="00F26FC8">
            <w:pPr>
              <w:jc w:val="left"/>
              <w:rPr>
                <w:rFonts w:ascii="仿宋_GB2312" w:eastAsia="仿宋_GB2312" w:hAnsi="黑体" w:cs="黑体"/>
                <w:color w:val="000000"/>
                <w:sz w:val="18"/>
                <w:szCs w:val="18"/>
              </w:rPr>
            </w:pPr>
            <w:r>
              <w:rPr>
                <w:rFonts w:ascii="仿宋_GB2312" w:eastAsia="仿宋_GB2312" w:hAnsi="黑体" w:cs="黑体" w:hint="eastAsia"/>
                <w:color w:val="000000"/>
                <w:sz w:val="18"/>
                <w:szCs w:val="18"/>
              </w:rPr>
              <w:t>按时办结，并将相关可以公开的信息公开。</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75"/>
          <w:jc w:val="center"/>
        </w:trPr>
        <w:tc>
          <w:tcPr>
            <w:tcW w:w="1463" w:type="dxa"/>
            <w:vMerge/>
            <w:tcBorders>
              <w:tl2br w:val="nil"/>
              <w:tr2bl w:val="nil"/>
            </w:tcBorders>
            <w:shd w:val="clear" w:color="auto" w:fill="auto"/>
            <w:vAlign w:val="center"/>
          </w:tcPr>
          <w:p w:rsidR="002F43E9" w:rsidRDefault="002F43E9"/>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事后监督</w:t>
            </w:r>
          </w:p>
        </w:tc>
        <w:tc>
          <w:tcPr>
            <w:tcW w:w="5287" w:type="dxa"/>
            <w:gridSpan w:val="4"/>
            <w:tcBorders>
              <w:tl2br w:val="nil"/>
              <w:tr2bl w:val="nil"/>
            </w:tcBorders>
            <w:shd w:val="clear" w:color="auto" w:fill="auto"/>
            <w:vAlign w:val="center"/>
          </w:tcPr>
          <w:p w:rsidR="002F43E9" w:rsidRDefault="00F26FC8">
            <w:pPr>
              <w:rPr>
                <w:rFonts w:ascii="仿宋_GB2312" w:eastAsia="仿宋_GB2312" w:hAnsi="黑体" w:cs="黑体"/>
                <w:color w:val="000000"/>
                <w:szCs w:val="21"/>
              </w:rPr>
            </w:pPr>
            <w:r>
              <w:rPr>
                <w:rFonts w:ascii="仿宋_GB2312" w:eastAsia="仿宋_GB2312" w:hAnsi="黑体" w:cs="黑体" w:hint="eastAsia"/>
                <w:color w:val="000000"/>
                <w:sz w:val="18"/>
                <w:szCs w:val="18"/>
              </w:rPr>
              <w:t>依法履行监督职责。</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 xml:space="preserve">区环卫中心 </w:t>
            </w:r>
          </w:p>
        </w:tc>
      </w:tr>
      <w:tr w:rsidR="002F43E9">
        <w:trPr>
          <w:trHeight w:val="175"/>
          <w:jc w:val="center"/>
        </w:trPr>
        <w:tc>
          <w:tcPr>
            <w:tcW w:w="1463" w:type="dxa"/>
            <w:vMerge/>
            <w:tcBorders>
              <w:tl2br w:val="nil"/>
              <w:tr2bl w:val="nil"/>
            </w:tcBorders>
            <w:shd w:val="clear" w:color="auto" w:fill="auto"/>
            <w:vAlign w:val="center"/>
          </w:tcPr>
          <w:p w:rsidR="002F43E9" w:rsidRDefault="002F43E9">
            <w:pPr>
              <w:jc w:val="center"/>
            </w:pPr>
          </w:p>
        </w:tc>
        <w:tc>
          <w:tcPr>
            <w:tcW w:w="1050"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w:t>
            </w:r>
          </w:p>
        </w:tc>
        <w:tc>
          <w:tcPr>
            <w:tcW w:w="5287" w:type="dxa"/>
            <w:gridSpan w:val="4"/>
            <w:tcBorders>
              <w:tl2br w:val="nil"/>
              <w:tr2bl w:val="nil"/>
            </w:tcBorders>
            <w:shd w:val="clear" w:color="auto" w:fill="auto"/>
            <w:vAlign w:val="center"/>
          </w:tcPr>
          <w:p w:rsidR="002F43E9" w:rsidRDefault="00F26FC8">
            <w:pPr>
              <w:jc w:val="left"/>
              <w:rPr>
                <w:rFonts w:ascii="仿宋_GB2312" w:eastAsia="仿宋_GB2312" w:hAnsi="黑体" w:cs="黑体"/>
                <w:color w:val="000000"/>
                <w:sz w:val="18"/>
                <w:szCs w:val="18"/>
              </w:rPr>
            </w:pPr>
            <w:r>
              <w:rPr>
                <w:rFonts w:ascii="仿宋_GB2312" w:eastAsia="仿宋_GB2312" w:hAnsi="黑体" w:cs="黑体" w:hint="eastAsia"/>
                <w:color w:val="000000"/>
                <w:sz w:val="18"/>
                <w:szCs w:val="18"/>
              </w:rPr>
              <w:t>其他法律法规规章等规定应履行的责任。</w:t>
            </w:r>
          </w:p>
        </w:tc>
        <w:tc>
          <w:tcPr>
            <w:tcW w:w="1339" w:type="dxa"/>
            <w:gridSpan w:val="2"/>
            <w:tcBorders>
              <w:tl2br w:val="nil"/>
              <w:tr2bl w:val="nil"/>
            </w:tcBorders>
            <w:shd w:val="clear" w:color="auto" w:fill="auto"/>
            <w:vAlign w:val="center"/>
          </w:tcPr>
          <w:p w:rsidR="002F43E9" w:rsidRDefault="002F43E9">
            <w:pPr>
              <w:jc w:val="center"/>
              <w:rPr>
                <w:rFonts w:ascii="仿宋_GB2312" w:eastAsia="仿宋_GB2312" w:hAnsi="黑体" w:cs="黑体"/>
                <w:color w:val="000000"/>
                <w:sz w:val="18"/>
                <w:szCs w:val="18"/>
              </w:rPr>
            </w:pPr>
          </w:p>
        </w:tc>
        <w:tc>
          <w:tcPr>
            <w:tcW w:w="1159" w:type="dxa"/>
            <w:tcBorders>
              <w:tl2br w:val="nil"/>
              <w:tr2bl w:val="nil"/>
            </w:tcBorders>
            <w:shd w:val="clear" w:color="auto" w:fill="auto"/>
            <w:vAlign w:val="center"/>
          </w:tcPr>
          <w:p w:rsidR="002F43E9" w:rsidRDefault="00F26FC8">
            <w:pPr>
              <w:jc w:val="center"/>
              <w:rPr>
                <w:rFonts w:ascii="仿宋_GB2312" w:eastAsia="仿宋_GB2312" w:hAnsi="黑体" w:cs="黑体"/>
                <w:color w:val="000000"/>
                <w:sz w:val="18"/>
                <w:szCs w:val="18"/>
              </w:rPr>
            </w:pPr>
            <w:r>
              <w:rPr>
                <w:rFonts w:ascii="仿宋_GB2312" w:eastAsia="仿宋_GB2312" w:hAnsi="黑体" w:cs="黑体" w:hint="eastAsia"/>
                <w:color w:val="000000"/>
                <w:sz w:val="18"/>
                <w:szCs w:val="18"/>
              </w:rPr>
              <w:t>区环卫中心</w:t>
            </w:r>
          </w:p>
        </w:tc>
      </w:tr>
      <w:tr w:rsidR="002F43E9">
        <w:trPr>
          <w:trHeight w:val="1170"/>
          <w:jc w:val="center"/>
        </w:trPr>
        <w:tc>
          <w:tcPr>
            <w:tcW w:w="1463" w:type="dxa"/>
            <w:tcBorders>
              <w:tl2br w:val="nil"/>
              <w:tr2bl w:val="nil"/>
            </w:tcBorders>
            <w:shd w:val="clear" w:color="auto" w:fill="auto"/>
            <w:vAlign w:val="center"/>
          </w:tcPr>
          <w:p w:rsidR="002F43E9" w:rsidRDefault="00F26FC8">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1.对符合法定条件的项目申请不予受理、核准的;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2.对不符合法定条件的项目予以受理、核准的;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3.擅自增设、变更项目核准程序或核准条件的;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4.未在法定时限内作出核准决定的;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5.擅自变更、延续、撤销已核准项目的;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6.在项目监管中滥用职权、玩忽职守，造成较大损失的;</w:t>
            </w:r>
          </w:p>
          <w:p w:rsidR="002F43E9" w:rsidRDefault="00F26FC8">
            <w:pPr>
              <w:spacing w:line="240" w:lineRule="exact"/>
              <w:rPr>
                <w:rFonts w:ascii="仿宋_GB2312" w:eastAsia="仿宋_GB2312" w:cs="黑体"/>
                <w:kern w:val="0"/>
                <w:sz w:val="18"/>
                <w:szCs w:val="18"/>
              </w:rPr>
            </w:pPr>
            <w:r>
              <w:rPr>
                <w:rFonts w:ascii="仿宋_GB2312" w:eastAsia="仿宋_GB2312" w:cs="黑体" w:hint="eastAsia"/>
                <w:kern w:val="0"/>
                <w:sz w:val="18"/>
                <w:szCs w:val="18"/>
              </w:rPr>
              <w:t>7.索取或者收受他人财物或者谋取其他利益的;</w:t>
            </w:r>
          </w:p>
          <w:p w:rsidR="002F43E9" w:rsidRDefault="00F26FC8">
            <w:pPr>
              <w:spacing w:line="240" w:lineRule="exact"/>
              <w:rPr>
                <w:rFonts w:ascii="黑体" w:eastAsia="黑体" w:cs="黑体"/>
                <w:color w:val="000000"/>
                <w:szCs w:val="21"/>
              </w:rPr>
            </w:pPr>
            <w:r>
              <w:rPr>
                <w:rFonts w:ascii="仿宋_GB2312" w:eastAsia="仿宋_GB2312" w:cs="黑体" w:hint="eastAsia"/>
                <w:kern w:val="0"/>
                <w:sz w:val="18"/>
                <w:szCs w:val="18"/>
              </w:rPr>
              <w:t>8.其他违反法律法规规章文件规定的行为。</w:t>
            </w:r>
          </w:p>
        </w:tc>
      </w:tr>
      <w:tr w:rsidR="002F43E9">
        <w:trPr>
          <w:trHeight w:val="63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rsidR="002F43E9" w:rsidRDefault="00F26FC8">
            <w:pPr>
              <w:widowControl/>
              <w:spacing w:line="240" w:lineRule="exact"/>
              <w:jc w:val="left"/>
              <w:textAlignment w:val="center"/>
              <w:rPr>
                <w:rFonts w:ascii="仿宋_GB2312" w:eastAsia="仿宋_GB2312" w:hAnsi="黑体" w:cs="黑体"/>
                <w:color w:val="000000"/>
                <w:kern w:val="0"/>
                <w:sz w:val="18"/>
                <w:szCs w:val="18"/>
              </w:rPr>
            </w:pPr>
            <w:r>
              <w:rPr>
                <w:rFonts w:ascii="仿宋_GB2312" w:eastAsia="仿宋_GB2312" w:hAnsi="黑体" w:cs="黑体" w:hint="eastAsia"/>
                <w:color w:val="000000"/>
                <w:kern w:val="0"/>
                <w:sz w:val="18"/>
                <w:szCs w:val="18"/>
              </w:rPr>
              <w:t>1.业务咨询：5052165</w:t>
            </w:r>
            <w:bookmarkStart w:id="0" w:name="_GoBack"/>
            <w:bookmarkEnd w:id="0"/>
            <w:r>
              <w:rPr>
                <w:rFonts w:ascii="仿宋_GB2312" w:eastAsia="仿宋_GB2312" w:hAnsi="黑体" w:cs="黑体" w:hint="eastAsia"/>
                <w:color w:val="000000"/>
                <w:kern w:val="0"/>
                <w:sz w:val="18"/>
                <w:szCs w:val="18"/>
              </w:rPr>
              <w:br/>
              <w:t>2.投诉举报电话：12345</w:t>
            </w:r>
          </w:p>
          <w:p w:rsidR="002F43E9" w:rsidRDefault="00F26FC8">
            <w:pPr>
              <w:widowControl/>
              <w:spacing w:line="240" w:lineRule="exact"/>
              <w:jc w:val="left"/>
              <w:textAlignment w:val="center"/>
              <w:rPr>
                <w:rFonts w:ascii="黑体" w:eastAsia="黑体" w:cs="黑体"/>
                <w:color w:val="000000"/>
                <w:sz w:val="24"/>
              </w:rPr>
            </w:pPr>
            <w:r>
              <w:rPr>
                <w:rFonts w:ascii="仿宋_GB2312" w:eastAsia="仿宋_GB2312" w:hAnsi="黑体" w:cs="黑体" w:hint="eastAsia"/>
                <w:color w:val="000000"/>
                <w:kern w:val="0"/>
                <w:sz w:val="18"/>
                <w:szCs w:val="18"/>
              </w:rPr>
              <w:t>3.纪检监察投诉：区纪委监委第四派驻组，电话：5258985</w:t>
            </w:r>
          </w:p>
        </w:tc>
      </w:tr>
      <w:tr w:rsidR="002F43E9">
        <w:trPr>
          <w:trHeight w:val="786"/>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rsidR="002F43E9" w:rsidRDefault="00F26FC8">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1．不服许可决定自知道该具体行政行为之日起六十日内向区政府申请行政复议。</w:t>
            </w:r>
          </w:p>
          <w:p w:rsidR="002F43E9" w:rsidRDefault="00F26FC8">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2．不服许可决定应当自知道或者应当知道作出行政行为之日起六个月内提出向山海关区人民法院提起行政诉讼。</w:t>
            </w:r>
          </w:p>
        </w:tc>
      </w:tr>
      <w:tr w:rsidR="002F43E9">
        <w:trPr>
          <w:trHeight w:val="228"/>
          <w:jc w:val="center"/>
        </w:trPr>
        <w:tc>
          <w:tcPr>
            <w:tcW w:w="1463" w:type="dxa"/>
            <w:tcBorders>
              <w:tl2br w:val="nil"/>
              <w:tr2bl w:val="nil"/>
            </w:tcBorders>
            <w:shd w:val="clear" w:color="auto" w:fill="auto"/>
            <w:vAlign w:val="center"/>
          </w:tcPr>
          <w:p w:rsidR="002F43E9" w:rsidRDefault="00F26FC8">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rsidR="002F43E9" w:rsidRDefault="002F43E9">
            <w:pPr>
              <w:widowControl/>
              <w:jc w:val="left"/>
              <w:textAlignment w:val="center"/>
              <w:rPr>
                <w:rFonts w:ascii="黑体" w:eastAsia="黑体" w:cs="黑体"/>
                <w:color w:val="000000"/>
                <w:kern w:val="0"/>
                <w:sz w:val="18"/>
                <w:szCs w:val="18"/>
              </w:rPr>
            </w:pPr>
          </w:p>
        </w:tc>
      </w:tr>
    </w:tbl>
    <w:p w:rsidR="002F43E9" w:rsidRDefault="002F43E9"/>
    <w:p w:rsidR="002F43E9" w:rsidRDefault="002F43E9"/>
    <w:sectPr w:rsidR="002F43E9" w:rsidSect="002F43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7F0" w:rsidRDefault="002B37F0" w:rsidP="002D1B7E">
      <w:r>
        <w:separator/>
      </w:r>
    </w:p>
  </w:endnote>
  <w:endnote w:type="continuationSeparator" w:id="1">
    <w:p w:rsidR="002B37F0" w:rsidRDefault="002B37F0" w:rsidP="002D1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7F0" w:rsidRDefault="002B37F0" w:rsidP="002D1B7E">
      <w:r>
        <w:separator/>
      </w:r>
    </w:p>
  </w:footnote>
  <w:footnote w:type="continuationSeparator" w:id="1">
    <w:p w:rsidR="002B37F0" w:rsidRDefault="002B37F0" w:rsidP="002D1B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AEF65A"/>
    <w:multiLevelType w:val="singleLevel"/>
    <w:tmpl w:val="FEAEF65A"/>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F43E9"/>
    <w:rsid w:val="002B37F0"/>
    <w:rsid w:val="002D1B7E"/>
    <w:rsid w:val="002F43E9"/>
    <w:rsid w:val="006329EA"/>
    <w:rsid w:val="0099696C"/>
    <w:rsid w:val="00F26FC8"/>
    <w:rsid w:val="013242A4"/>
    <w:rsid w:val="04E552E6"/>
    <w:rsid w:val="14E83E03"/>
    <w:rsid w:val="18273D53"/>
    <w:rsid w:val="1FD162FB"/>
    <w:rsid w:val="40A662F0"/>
    <w:rsid w:val="44CE4F60"/>
    <w:rsid w:val="4BC354DC"/>
    <w:rsid w:val="547B032D"/>
    <w:rsid w:val="569D57B7"/>
    <w:rsid w:val="592448B2"/>
    <w:rsid w:val="59B27222"/>
    <w:rsid w:val="62DD504B"/>
    <w:rsid w:val="6AAF705E"/>
    <w:rsid w:val="745C3645"/>
    <w:rsid w:val="79BD3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3E9"/>
    <w:pPr>
      <w:widowControl w:val="0"/>
      <w:jc w:val="both"/>
    </w:pPr>
    <w:rPr>
      <w:rFonts w:ascii="Calibri" w:hAnsi="Calibri" w:cs="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D1B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D1B7E"/>
    <w:rPr>
      <w:rFonts w:ascii="Calibri" w:hAnsi="Calibri" w:cs="Arial"/>
      <w:kern w:val="2"/>
      <w:sz w:val="18"/>
      <w:szCs w:val="18"/>
    </w:rPr>
  </w:style>
  <w:style w:type="paragraph" w:styleId="a4">
    <w:name w:val="footer"/>
    <w:basedOn w:val="a"/>
    <w:link w:val="Char0"/>
    <w:rsid w:val="002D1B7E"/>
    <w:pPr>
      <w:tabs>
        <w:tab w:val="center" w:pos="4153"/>
        <w:tab w:val="right" w:pos="8306"/>
      </w:tabs>
      <w:snapToGrid w:val="0"/>
      <w:jc w:val="left"/>
    </w:pPr>
    <w:rPr>
      <w:sz w:val="18"/>
      <w:szCs w:val="18"/>
    </w:rPr>
  </w:style>
  <w:style w:type="character" w:customStyle="1" w:styleId="Char0">
    <w:name w:val="页脚 Char"/>
    <w:basedOn w:val="a0"/>
    <w:link w:val="a4"/>
    <w:rsid w:val="002D1B7E"/>
    <w:rPr>
      <w:rFonts w:ascii="Calibri" w:hAnsi="Calibri"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100</Pages>
  <Words>14583</Words>
  <Characters>83125</Characters>
  <Application>Microsoft Office Word</Application>
  <DocSecurity>0</DocSecurity>
  <Lines>692</Lines>
  <Paragraphs>195</Paragraphs>
  <ScaleCrop>false</ScaleCrop>
  <Company>微软中国</Company>
  <LinksUpToDate>false</LinksUpToDate>
  <CharactersWithSpaces>97513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2023-10-07T07:54:00Z</cp:lastPrinted>
  <dcterms:created xsi:type="dcterms:W3CDTF">2023-10-07T01:40:00Z</dcterms:created>
  <dcterms:modified xsi:type="dcterms:W3CDTF">2025-06-20T02:03:00Z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