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hint="eastAsia" w:ascii="方正小标宋_GBK" w:hAnsi="方正小标宋_GBK" w:eastAsia="方正小标宋_GBK" w:cs="方正小标宋_GBK"/>
          <w:color w:val="000000"/>
          <w:sz w:val="72"/>
        </w:rPr>
        <w:t>编委部门</w:t>
      </w:r>
    </w:p>
    <w:p>
      <w:pPr>
        <w:jc w:val="center"/>
        <w:rPr>
          <w:rFonts w:eastAsia="Times New Roman"/>
        </w:rPr>
      </w:pPr>
      <w:r>
        <w:rPr>
          <w:rFonts w:ascii="方正小标宋_GBK" w:hAnsi="方正小标宋_GBK" w:eastAsia="方正小标宋_GBK" w:cs="方正小标宋_GBK"/>
          <w:color w:val="000000"/>
          <w:sz w:val="72"/>
        </w:rPr>
        <w:t>2022</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hint="eastAsia" w:ascii="方正楷体_GBK" w:hAnsi="方正楷体_GBK" w:eastAsia="方正楷体_GBK" w:cs="方正楷体_GBK"/>
          <w:b/>
          <w:color w:val="000000"/>
          <w:sz w:val="32"/>
        </w:rPr>
        <w:t>编委部门编制</w:t>
      </w:r>
    </w:p>
    <w:p>
      <w:pPr>
        <w:jc w:val="cente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0" w:h="16840" w:orient="landscape"/>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山海关区财政局审核</w:t>
      </w:r>
    </w:p>
    <w:p>
      <w:pPr>
        <w:jc w:val="center"/>
        <w:sectPr>
          <w:pgSz w:w="11900" w:h="16840" w:orient="landscape"/>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r>
        <w:rPr>
          <w:rFonts w:ascii="方正小标宋_GBK" w:hAnsi="方正小标宋_GBK" w:eastAsia="方正小标宋_GBK" w:cs="方正小标宋_GBK"/>
          <w:color w:val="000000"/>
          <w:sz w:val="30"/>
        </w:rPr>
        <w:t xml:space="preserve"> </w:t>
      </w: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19"/>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9"/>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9"/>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19"/>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rPr>
        <w:t>事业单位改革及登记工作经费绩效目标表</w:t>
      </w:r>
      <w:r>
        <w:tab/>
      </w:r>
      <w:r>
        <w:fldChar w:fldCharType="begin"/>
      </w:r>
      <w:r>
        <w:instrText xml:space="preserve">PAGEREF _Toc_4_4_0000000004 \h</w:instrText>
      </w:r>
      <w:r>
        <w:fldChar w:fldCharType="separate"/>
      </w:r>
      <w:r>
        <w:t>1</w:t>
      </w:r>
      <w:r>
        <w:fldChar w:fldCharType="end"/>
      </w:r>
      <w:r>
        <w:fldChar w:fldCharType="end"/>
      </w:r>
    </w:p>
    <w:p>
      <w:pPr>
        <w:pStyle w:val="19"/>
        <w:tabs>
          <w:tab w:val="right" w:leader="dot" w:pos="9282"/>
        </w:tabs>
      </w:pPr>
      <w:r>
        <w:fldChar w:fldCharType="begin"/>
      </w:r>
      <w:r>
        <w:instrText xml:space="preserve"> HYPERLINK \l "_Toc_4_4_0000000005" </w:instrText>
      </w:r>
      <w:r>
        <w:fldChar w:fldCharType="separate"/>
      </w:r>
      <w:r>
        <w:t>2.</w:t>
      </w:r>
      <w:r>
        <w:rPr>
          <w:rFonts w:hint="eastAsia"/>
        </w:rPr>
        <w:t>全区中文域名续费及政务内网费绩效目标表</w:t>
      </w:r>
      <w:r>
        <w:tab/>
      </w:r>
      <w:r>
        <w:fldChar w:fldCharType="begin"/>
      </w:r>
      <w:r>
        <w:instrText xml:space="preserve">PAGEREF _Toc_4_4_0000000005 \h</w:instrText>
      </w:r>
      <w:r>
        <w:fldChar w:fldCharType="separate"/>
      </w:r>
      <w:r>
        <w:t>1</w:t>
      </w:r>
      <w:r>
        <w:fldChar w:fldCharType="end"/>
      </w:r>
      <w:r>
        <w:fldChar w:fldCharType="end"/>
      </w:r>
    </w:p>
    <w:p>
      <w:r>
        <w:fldChar w:fldCharType="end"/>
      </w:r>
    </w:p>
    <w:p>
      <w:pPr>
        <w:sectPr>
          <w:footerReference r:id="rId9" w:type="default"/>
          <w:footerReference r:id="rId10" w:type="even"/>
          <w:pgSz w:w="11900" w:h="16840" w:orient="landscape"/>
          <w:pgMar w:top="1984" w:right="1304" w:bottom="1134" w:left="1304" w:header="720" w:footer="720" w:gutter="0"/>
          <w:pgNumType w:start="1"/>
          <w:cols w:space="720" w:num="1"/>
        </w:sectPr>
      </w:pPr>
      <w:r>
        <w:rPr/>
        <w:br w:type="page" w:clear="all"/>
      </w:r>
    </w:p>
    <w:p>
      <w:pPr>
        <w:jc w:val="center"/>
      </w:pPr>
      <w:r>
        <w:rPr>
          <w:rFonts w:ascii="方正小标宋_GBK" w:hAnsi="方正小标宋_GBK" w:eastAsia="方正小标宋_GBK" w:cs="方正小标宋_GBK"/>
          <w:color w:val="000000"/>
          <w:sz w:val="44"/>
        </w:rPr>
        <w:t xml:space="preserve"> </w:t>
      </w: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rPr>
        <w:t>一、总体绩效目标</w:t>
      </w:r>
      <w:bookmarkEnd w:id="0"/>
    </w:p>
    <w:p>
      <w:pPr>
        <w:pStyle w:val="180"/>
      </w:pPr>
      <w:r>
        <w:rPr>
          <w:rFonts w:hint="eastAsia"/>
        </w:rPr>
        <w:t>区委编办部门年度规划目标</w:t>
      </w:r>
    </w:p>
    <w:p>
      <w:pPr>
        <w:pStyle w:val="180"/>
      </w:pPr>
      <w:r>
        <w:rPr>
          <w:rFonts w:hint="eastAsia"/>
        </w:rPr>
        <w:t>始终把党建工作列入各项工作重要议事日程，建立和健全学习教育制度，进一步增强做好意识形态工作，履行从严治党落实主体责任的意识，狠抓政治理论学习、理想信念和法治理念教育，强化干部政治意识，扎实开展“不忘初心、牢记使命”主题教育，</w:t>
      </w:r>
      <w:bookmarkStart w:id="5" w:name="_GoBack"/>
      <w:bookmarkEnd w:id="5"/>
      <w:r>
        <w:rPr>
          <w:rFonts w:hint="eastAsia"/>
        </w:rPr>
        <w:t>全面强化机构编制部门干部政治责任担当。</w:t>
      </w:r>
    </w:p>
    <w:p>
      <w:pPr>
        <w:pStyle w:val="180"/>
      </w:pPr>
      <w:r>
        <w:rPr>
          <w:rFonts w:hint="eastAsia"/>
        </w:rPr>
        <w:t>（一）深入学习贯彻党的十九届三中、四中、五中、六中全会精神，以习近平新时代中国特色社会主义思想为指导，把加强意识形态工作作为机关党建的首要政治任务。通过集中宣讲、专题培训、等多种方式学习党的十九大精神，用习近平新时代中国特色社会主义思想武装头脑，指导实践，推动工作。开展党组织书记讲党课活动，召开党风廉政建设和反腐败工作专题会议，组织干部职工集中学习，党员干部广泛参与，增强了做好新时代机构编制工作的政治责任感和历史使命感。</w:t>
      </w:r>
    </w:p>
    <w:p>
      <w:pPr>
        <w:pStyle w:val="180"/>
      </w:pPr>
      <w:r>
        <w:rPr>
          <w:rFonts w:hint="eastAsia"/>
        </w:rPr>
        <w:t>（二）以上率下，推动</w:t>
      </w:r>
      <w:r>
        <w:t>“</w:t>
      </w:r>
      <w:r>
        <w:rPr>
          <w:rFonts w:hint="eastAsia"/>
        </w:rPr>
        <w:t>两个责任</w:t>
      </w:r>
      <w:r>
        <w:t>”</w:t>
      </w:r>
      <w:r>
        <w:rPr>
          <w:rFonts w:hint="eastAsia"/>
        </w:rPr>
        <w:t>落实落细。认真履行党风廉政建设主体责任和监督责任，推行主体责任台账式管理，如实记录工作日志，将落实主体责任情况作为年度绩效考核和干部考核的重要内容。落实</w:t>
      </w:r>
      <w:r>
        <w:t>“</w:t>
      </w:r>
      <w:r>
        <w:rPr>
          <w:rFonts w:hint="eastAsia"/>
        </w:rPr>
        <w:t>三会一课</w:t>
      </w:r>
      <w:r>
        <w:t>”</w:t>
      </w:r>
      <w:r>
        <w:rPr>
          <w:rFonts w:hint="eastAsia"/>
        </w:rPr>
        <w:t>制度，规范填写支部手册，记录组织生活，严格落实区委关于基层党建的</w:t>
      </w:r>
      <w:r>
        <w:t>“</w:t>
      </w:r>
      <w:r>
        <w:rPr>
          <w:rFonts w:hint="eastAsia"/>
        </w:rPr>
        <w:t>三化</w:t>
      </w:r>
      <w:r>
        <w:t>”</w:t>
      </w:r>
      <w:r>
        <w:rPr>
          <w:rFonts w:hint="eastAsia"/>
        </w:rPr>
        <w:t>要求。坚持压实党建责任、层层分解责任、签订</w:t>
      </w:r>
      <w:r>
        <w:t>“</w:t>
      </w:r>
      <w:r>
        <w:rPr>
          <w:rFonts w:hint="eastAsia"/>
        </w:rPr>
        <w:t>一岗双责</w:t>
      </w:r>
      <w:r>
        <w:t>”</w:t>
      </w:r>
      <w:r>
        <w:rPr>
          <w:rFonts w:hint="eastAsia"/>
        </w:rPr>
        <w:t>承诺书，持续传导压力。</w:t>
      </w:r>
    </w:p>
    <w:p>
      <w:pPr>
        <w:pStyle w:val="180"/>
      </w:pPr>
      <w:r>
        <w:rPr>
          <w:rFonts w:hint="eastAsia"/>
        </w:rPr>
        <w:t>（三）坚持警钟长鸣，推进党风廉政建设。坚持一把手负责制，按照</w:t>
      </w:r>
      <w:r>
        <w:t>“</w:t>
      </w:r>
      <w:r>
        <w:rPr>
          <w:rFonts w:hint="eastAsia"/>
        </w:rPr>
        <w:t>一岗双责</w:t>
      </w:r>
      <w:r>
        <w:t>”</w:t>
      </w:r>
      <w:r>
        <w:rPr>
          <w:rFonts w:hint="eastAsia"/>
        </w:rPr>
        <w:t>要求，认真抓好领导班子党风廉政建设责任分解和落实，与全体党员干部签订党风廉政建设责任书，做到党风廉政建设责任全覆盖。认真贯彻民主集中制原则，落实班子议事规则。进一步加强党内监督，健全完善述职述廉、谈话和诫勉、个人有关事项报告、领导班子民主生活会、廉政承诺等制度，带头执行政治纪律、工作纪律、廉政纪律、群众纪律。</w:t>
      </w: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rPr>
        <w:t>二、分项绩效目标</w:t>
      </w:r>
      <w:bookmarkEnd w:id="1"/>
    </w:p>
    <w:p>
      <w:pPr>
        <w:pStyle w:val="181"/>
      </w:pPr>
      <w:r>
        <w:t>2021</w:t>
      </w:r>
      <w:r>
        <w:rPr>
          <w:rFonts w:hint="eastAsia"/>
        </w:rPr>
        <w:t>年，在理顺森林防灭火职责、应急执法领域改革、盘活资源、事业单位法人登记等工作中积累了重要经验，取得的成绩来之不易，积累的经验弥足珍贵。这些成绩的取得得益于上级部门的正确领导和大力支持，更得益于全体干部职工的勠力同心、开拓进取。虽然取得了一定成绩，但与新形势、新任务的要求仍需进一步加强。</w:t>
      </w:r>
      <w:r>
        <w:t>2022</w:t>
      </w:r>
      <w:r>
        <w:rPr>
          <w:rFonts w:hint="eastAsia"/>
        </w:rPr>
        <w:t>年分项绩效目标是：</w:t>
      </w:r>
    </w:p>
    <w:p>
      <w:pPr>
        <w:pStyle w:val="181"/>
      </w:pPr>
      <w:r>
        <w:rPr>
          <w:rFonts w:hint="eastAsia"/>
        </w:rPr>
        <w:t>一是进一步强化政治意识。把党建工作列入各项工作重要议事日程，健全学习教育制度，进一步做好意识形态工作，履行从严治党落实主体责任的意识，狠抓政治理论学习、理想信念和法治理念教育，强化干部政治意识，全面强化机构编制部门干部政治责任担当。</w:t>
      </w:r>
    </w:p>
    <w:p>
      <w:pPr>
        <w:pStyle w:val="181"/>
      </w:pPr>
      <w:r>
        <w:rPr>
          <w:rFonts w:hint="eastAsia"/>
        </w:rPr>
        <w:t>二是持续做好机构编制管理工作。认真落实加强机构编制管理的各项政策法规，强化机构编制的集中统一管理，不断改进管理办法和措施，严格机构编制审批程序，进一步规范机构设置和人员编制管理工作。严格编制使用核准制度，维护机构编制的严肃性和权威性。</w:t>
      </w:r>
    </w:p>
    <w:p>
      <w:pPr>
        <w:pStyle w:val="181"/>
      </w:pPr>
      <w:r>
        <w:rPr>
          <w:rFonts w:hint="eastAsia"/>
        </w:rPr>
        <w:t>三是不断强化事业单位登记管理工作。加强事业单位登记管理制度建设和对事业单位法人的监督管理，进一步优化网上登记管理办法；严格行政许可审批程序，改进服务方式，提高服务水平，做好事业单位年度报告书公示和日常登记管理工作。</w:t>
      </w:r>
    </w:p>
    <w:p>
      <w:pPr>
        <w:pStyle w:val="181"/>
      </w:pPr>
      <w:r>
        <w:rPr>
          <w:rFonts w:hint="eastAsia"/>
        </w:rPr>
        <w:t>四是切实加强机构编制监督检查工作。严格落实《机构编制监督检查工作暂行规定》和《河北省机构编制管理监督检查实施办法》，坚持惩防并举，建立健全以日常监管为主的机构编制动态监督检查工作机制，依法依纪开展工作；健全以</w:t>
      </w:r>
      <w:r>
        <w:t>“12310”</w:t>
      </w:r>
      <w:r>
        <w:rPr>
          <w:rFonts w:hint="eastAsia"/>
        </w:rPr>
        <w:t>为核心的机构编制违规违纪问题举报体系，完善与纪检监察、组织、人社、信访等部门的协作机制和违反机构编制管理规定的责任追究、惩处机制，违法必究、执法必严。</w:t>
      </w:r>
    </w:p>
    <w:p>
      <w:pPr>
        <w:pStyle w:val="181"/>
      </w:pPr>
      <w:r>
        <w:rPr>
          <w:rFonts w:hint="eastAsia"/>
        </w:rPr>
        <w:t>五是稳步推进各项改革，确保改革任务取得成效。重点围绕事业单位改革、</w:t>
      </w:r>
      <w:r>
        <w:t>“</w:t>
      </w:r>
      <w:r>
        <w:rPr>
          <w:rFonts w:hint="eastAsia"/>
        </w:rPr>
        <w:t>一网通办</w:t>
      </w:r>
      <w:r>
        <w:t>”</w:t>
      </w:r>
      <w:r>
        <w:rPr>
          <w:rFonts w:hint="eastAsia"/>
        </w:rPr>
        <w:t>，深入调研，摸清机构编制和实有人员底数，厘清部门单位职责配置、职责交叉、职责履行等需要调整优化的关键环节，找出改革涉及的主要问题，确保各项改革工作做到</w:t>
      </w:r>
      <w:r>
        <w:t>“</w:t>
      </w:r>
      <w:r>
        <w:rPr>
          <w:rFonts w:hint="eastAsia"/>
        </w:rPr>
        <w:t>规定动作</w:t>
      </w:r>
      <w:r>
        <w:t>”</w:t>
      </w:r>
      <w:r>
        <w:rPr>
          <w:rFonts w:hint="eastAsia"/>
        </w:rPr>
        <w:t>不走样，</w:t>
      </w:r>
      <w:r>
        <w:t>“</w:t>
      </w:r>
      <w:r>
        <w:rPr>
          <w:rFonts w:hint="eastAsia"/>
        </w:rPr>
        <w:t>自选动作</w:t>
      </w:r>
      <w:r>
        <w:t>”</w:t>
      </w:r>
      <w:r>
        <w:rPr>
          <w:rFonts w:hint="eastAsia"/>
        </w:rPr>
        <w:t>有特色，为改革决策提供体制机制保障。</w:t>
      </w: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rPr>
        <w:t>三、工作保障措施</w:t>
      </w:r>
      <w:bookmarkEnd w:id="2"/>
    </w:p>
    <w:p>
      <w:pPr>
        <w:pStyle w:val="182"/>
      </w:pPr>
      <w:r>
        <w:t>(</w:t>
      </w:r>
      <w:r>
        <w:rPr>
          <w:rFonts w:hint="eastAsia"/>
        </w:rPr>
        <w:t>一</w:t>
      </w:r>
      <w:r>
        <w:t>)</w:t>
      </w:r>
      <w:r>
        <w:rPr>
          <w:rFonts w:hint="eastAsia"/>
        </w:rPr>
        <w:t>理顺了区森林防灭火体制涉及机构编制相关事宜</w:t>
      </w:r>
    </w:p>
    <w:p>
      <w:pPr>
        <w:pStyle w:val="182"/>
      </w:pPr>
      <w:r>
        <w:t>1.</w:t>
      </w:r>
      <w:r>
        <w:rPr>
          <w:rFonts w:hint="eastAsia"/>
        </w:rPr>
        <w:t>完成职责调整，明确责任分工。</w:t>
      </w:r>
    </w:p>
    <w:p>
      <w:pPr>
        <w:pStyle w:val="182"/>
      </w:pPr>
      <w:r>
        <w:rPr>
          <w:rFonts w:hint="eastAsia"/>
        </w:rPr>
        <w:t>将区自然资源和规划局（区林业局）承担的森林防灭火相关职责调整至区应急管理局，并划转</w:t>
      </w:r>
      <w:r>
        <w:t>2</w:t>
      </w:r>
      <w:r>
        <w:rPr>
          <w:rFonts w:hint="eastAsia"/>
        </w:rPr>
        <w:t>名行政编制。区自然资源和规划局（林业局）继续做好林业系统内的森林防灭火工作职责。同时，进一步明确重新明确了森林防灭火其他职责分工。</w:t>
      </w:r>
    </w:p>
    <w:p>
      <w:pPr>
        <w:pStyle w:val="182"/>
      </w:pPr>
      <w:r>
        <w:t>2.</w:t>
      </w:r>
      <w:r>
        <w:rPr>
          <w:rFonts w:hint="eastAsia"/>
        </w:rPr>
        <w:t>划转机构人员，理顺隶属关系。</w:t>
      </w:r>
    </w:p>
    <w:p>
      <w:pPr>
        <w:pStyle w:val="182"/>
      </w:pPr>
      <w:r>
        <w:rPr>
          <w:rFonts w:hint="eastAsia"/>
        </w:rPr>
        <w:t>一是完成森林防灭火指挥中心整建制划转。将区森林防火指挥中心的隶属关系由自然资源和规划局（区林业局）调整至区应急管理局，并相应划转</w:t>
      </w:r>
      <w:r>
        <w:t>3</w:t>
      </w:r>
      <w:r>
        <w:rPr>
          <w:rFonts w:hint="eastAsia"/>
        </w:rPr>
        <w:t>名事业编制和</w:t>
      </w:r>
      <w:r>
        <w:t xml:space="preserve"> 3</w:t>
      </w:r>
      <w:r>
        <w:rPr>
          <w:rFonts w:hint="eastAsia"/>
        </w:rPr>
        <w:t>名工作人员；林业系要求，经区委编委领导研究，我区理顺了区森林防灭火体制涉及机构编制相关事宜。</w:t>
      </w:r>
    </w:p>
    <w:p>
      <w:pPr>
        <w:pStyle w:val="182"/>
      </w:pPr>
      <w:r>
        <w:t>3.</w:t>
      </w:r>
      <w:r>
        <w:rPr>
          <w:rFonts w:hint="eastAsia"/>
        </w:rPr>
        <w:t>加强部门协作，提高防控能力。</w:t>
      </w:r>
    </w:p>
    <w:p>
      <w:pPr>
        <w:pStyle w:val="182"/>
      </w:pPr>
      <w:r>
        <w:rPr>
          <w:rFonts w:hint="eastAsia"/>
        </w:rPr>
        <w:t>区应急管理局、区自然资源和规划局（区林业局）按照职责分工，加强沟通协调，认真履行职责。</w:t>
      </w:r>
    </w:p>
    <w:p>
      <w:pPr>
        <w:pStyle w:val="182"/>
      </w:pPr>
      <w:r>
        <w:rPr>
          <w:rFonts w:hint="eastAsia"/>
        </w:rPr>
        <w:t>（二）完成应急执法领域改革</w:t>
      </w:r>
    </w:p>
    <w:p>
      <w:pPr>
        <w:pStyle w:val="182"/>
      </w:pPr>
      <w:r>
        <w:rPr>
          <w:rFonts w:hint="eastAsia"/>
        </w:rPr>
        <w:t>按照党中央、国务院和省、市关于深化应急管理综合行政执法改革的决策部署，经市委编委研究同意，在秦皇岛市山海关区应急管理局加挂秦皇岛市山海关区应急管理综合行政执法大队牌子，实行</w:t>
      </w:r>
      <w:r>
        <w:t>“</w:t>
      </w:r>
      <w:r>
        <w:rPr>
          <w:rFonts w:hint="eastAsia"/>
        </w:rPr>
        <w:t>局队合一</w:t>
      </w:r>
      <w:r>
        <w:t>”</w:t>
      </w:r>
      <w:r>
        <w:rPr>
          <w:rFonts w:hint="eastAsia"/>
        </w:rPr>
        <w:t>体制，秦皇岛市山海关区应急管理局（秦皇岛市山海关区应急管理综合行政执法大队）为区政府工作部门、机构规格正科级维持不变。将山海关区应急管理局所属副科级事业单位秦皇岛市山海关区安全生产监察大队承担的行政执法职责和人员编制划入区应急管理局（区应急管理综合行政执法大队），以区应急管理局名义，统一行使应急管理综合执法职责。区应急管理局（区应急管理综合行政执法大队）人员编制由</w:t>
      </w:r>
      <w:r>
        <w:t>11</w:t>
      </w:r>
      <w:r>
        <w:rPr>
          <w:rFonts w:hint="eastAsia"/>
        </w:rPr>
        <w:t>名调整为</w:t>
      </w:r>
      <w:r>
        <w:t>23</w:t>
      </w:r>
      <w:r>
        <w:rPr>
          <w:rFonts w:hint="eastAsia"/>
        </w:rPr>
        <w:t>名，其中，行政编制</w:t>
      </w:r>
      <w:r>
        <w:t>11</w:t>
      </w:r>
      <w:r>
        <w:rPr>
          <w:rFonts w:hint="eastAsia"/>
        </w:rPr>
        <w:t>名</w:t>
      </w:r>
      <w:r>
        <w:t>(</w:t>
      </w:r>
      <w:r>
        <w:rPr>
          <w:rFonts w:hint="eastAsia"/>
        </w:rPr>
        <w:t>使用区应急管理局原行政编</w:t>
      </w:r>
      <w:r>
        <w:t>11</w:t>
      </w:r>
      <w:r>
        <w:rPr>
          <w:rFonts w:hint="eastAsia"/>
        </w:rPr>
        <w:t>名），锁定事业编制</w:t>
      </w:r>
      <w:r>
        <w:t>12</w:t>
      </w:r>
      <w:r>
        <w:rPr>
          <w:rFonts w:hint="eastAsia"/>
        </w:rPr>
        <w:t>名（由区安全生产监察大队划转</w:t>
      </w:r>
      <w:r>
        <w:t>12</w:t>
      </w:r>
      <w:r>
        <w:rPr>
          <w:rFonts w:hint="eastAsia"/>
        </w:rPr>
        <w:t>名）。</w:t>
      </w:r>
    </w:p>
    <w:p>
      <w:pPr>
        <w:jc w:val="center"/>
        <w:sectPr>
          <w:pgSz w:w="11900" w:h="16840" w:orient="landscape"/>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hint="eastAsia"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orient="landscape"/>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事业单位改革及登记工作经费绩效目标表</w:t>
      </w:r>
      <w:bookmarkEnd w:id="3"/>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84"/>
            </w:pPr>
            <w:r>
              <w:t>225001</w:t>
            </w:r>
            <w:r>
              <w:rPr>
                <w:rFonts w:hint="eastAsia"/>
              </w:rPr>
              <w:t>编委部门中共秦皇岛市山海关区委机构编制委员会办公室本级</w:t>
            </w:r>
          </w:p>
        </w:tc>
        <w:tc>
          <w:tcPr>
            <w:tcW w:w="1843" w:type="dxa"/>
            <w:tcBorders>
              <w:top w:val="single" w:color="FFFFFF" w:sz="6" w:space="0"/>
              <w:left w:val="single" w:color="FFFFFF" w:sz="6" w:space="0"/>
              <w:right w:val="single" w:color="FFFFFF" w:sz="6" w:space="0"/>
            </w:tcBorders>
            <w:noWrap w:val="0"/>
            <w:vAlign w:val="center"/>
          </w:tcPr>
          <w:p>
            <w:pPr>
              <w:pStyle w:val="18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6"/>
            </w:pPr>
            <w:r>
              <w:rPr>
                <w:rFonts w:hint="eastAsia"/>
              </w:rPr>
              <w:t>项目编码</w:t>
            </w:r>
          </w:p>
        </w:tc>
        <w:tc>
          <w:tcPr>
            <w:tcW w:w="2608" w:type="dxa"/>
            <w:gridSpan w:val="2"/>
            <w:noWrap w:val="0"/>
            <w:vAlign w:val="center"/>
          </w:tcPr>
          <w:p>
            <w:pPr>
              <w:pStyle w:val="185"/>
            </w:pPr>
            <w:r>
              <w:t>13030322P004068100019</w:t>
            </w:r>
          </w:p>
        </w:tc>
        <w:tc>
          <w:tcPr>
            <w:tcW w:w="1587" w:type="dxa"/>
            <w:noWrap w:val="0"/>
            <w:vAlign w:val="center"/>
          </w:tcPr>
          <w:p>
            <w:pPr>
              <w:pStyle w:val="186"/>
            </w:pPr>
            <w:r>
              <w:rPr>
                <w:rFonts w:hint="eastAsia"/>
              </w:rPr>
              <w:t>项目名称</w:t>
            </w:r>
          </w:p>
        </w:tc>
        <w:tc>
          <w:tcPr>
            <w:tcW w:w="4422" w:type="dxa"/>
            <w:gridSpan w:val="3"/>
            <w:noWrap w:val="0"/>
            <w:vAlign w:val="center"/>
          </w:tcPr>
          <w:p>
            <w:pPr>
              <w:pStyle w:val="185"/>
            </w:pPr>
            <w:r>
              <w:rPr>
                <w:rFonts w:hint="eastAsia"/>
              </w:rPr>
              <w:t>事业单位改革及登记工作经费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预算规模及资金用途</w:t>
            </w:r>
          </w:p>
        </w:tc>
        <w:tc>
          <w:tcPr>
            <w:tcW w:w="1276" w:type="dxa"/>
            <w:noWrap w:val="0"/>
            <w:vAlign w:val="center"/>
          </w:tcPr>
          <w:p>
            <w:pPr>
              <w:pStyle w:val="186"/>
            </w:pPr>
            <w:r>
              <w:rPr>
                <w:rFonts w:hint="eastAsia"/>
              </w:rPr>
              <w:t>预算数</w:t>
            </w:r>
          </w:p>
        </w:tc>
        <w:tc>
          <w:tcPr>
            <w:tcW w:w="1332" w:type="dxa"/>
            <w:noWrap w:val="0"/>
            <w:vAlign w:val="center"/>
          </w:tcPr>
          <w:p>
            <w:pPr>
              <w:pStyle w:val="185"/>
            </w:pPr>
            <w:r>
              <w:t>3.00</w:t>
            </w:r>
          </w:p>
        </w:tc>
        <w:tc>
          <w:tcPr>
            <w:tcW w:w="1587" w:type="dxa"/>
            <w:noWrap w:val="0"/>
            <w:vAlign w:val="center"/>
          </w:tcPr>
          <w:p>
            <w:pPr>
              <w:pStyle w:val="186"/>
            </w:pPr>
            <w:r>
              <w:rPr>
                <w:rFonts w:hint="eastAsia"/>
              </w:rPr>
              <w:t>其中：财政</w:t>
            </w:r>
            <w:r>
              <w:t xml:space="preserve">    </w:t>
            </w:r>
            <w:r>
              <w:rPr>
                <w:rFonts w:hint="eastAsia"/>
              </w:rPr>
              <w:t>资金</w:t>
            </w:r>
          </w:p>
        </w:tc>
        <w:tc>
          <w:tcPr>
            <w:tcW w:w="1304" w:type="dxa"/>
            <w:noWrap w:val="0"/>
            <w:vAlign w:val="center"/>
          </w:tcPr>
          <w:p>
            <w:pPr>
              <w:pStyle w:val="185"/>
            </w:pPr>
            <w:r>
              <w:t>3.00</w:t>
            </w:r>
          </w:p>
        </w:tc>
        <w:tc>
          <w:tcPr>
            <w:tcW w:w="1276" w:type="dxa"/>
            <w:noWrap w:val="0"/>
            <w:vAlign w:val="center"/>
          </w:tcPr>
          <w:p>
            <w:pPr>
              <w:pStyle w:val="186"/>
            </w:pPr>
            <w:r>
              <w:rPr>
                <w:rFonts w:hint="eastAsia"/>
              </w:rPr>
              <w:t>其他资金</w:t>
            </w:r>
          </w:p>
        </w:tc>
        <w:tc>
          <w:tcPr>
            <w:tcW w:w="1843" w:type="dxa"/>
            <w:noWrap w:val="0"/>
            <w:vAlign w:val="center"/>
          </w:tcPr>
          <w:p>
            <w:pPr>
              <w:pStyle w:val="18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8617" w:type="dxa"/>
            <w:gridSpan w:val="6"/>
            <w:noWrap w:val="0"/>
            <w:vAlign w:val="center"/>
          </w:tcPr>
          <w:p>
            <w:pPr>
              <w:pStyle w:val="185"/>
            </w:pPr>
            <w:r>
              <w:rPr>
                <w:rFonts w:hint="eastAsia"/>
              </w:rPr>
              <w:t>事业单位改革及登记工作经费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资金支出计划（</w:t>
            </w:r>
            <w:r>
              <w:t>%</w:t>
            </w:r>
            <w:r>
              <w:rPr>
                <w:rFonts w:hint="eastAsia"/>
              </w:rPr>
              <w:t>）</w:t>
            </w:r>
          </w:p>
        </w:tc>
        <w:tc>
          <w:tcPr>
            <w:tcW w:w="2608" w:type="dxa"/>
            <w:gridSpan w:val="2"/>
            <w:noWrap w:val="0"/>
            <w:vAlign w:val="center"/>
          </w:tcPr>
          <w:p>
            <w:pPr>
              <w:pStyle w:val="186"/>
            </w:pPr>
            <w:r>
              <w:t>3</w:t>
            </w:r>
            <w:r>
              <w:rPr>
                <w:rFonts w:hint="eastAsia"/>
              </w:rPr>
              <w:t>月底</w:t>
            </w:r>
          </w:p>
        </w:tc>
        <w:tc>
          <w:tcPr>
            <w:tcW w:w="1587" w:type="dxa"/>
            <w:noWrap w:val="0"/>
            <w:vAlign w:val="center"/>
          </w:tcPr>
          <w:p>
            <w:pPr>
              <w:pStyle w:val="186"/>
            </w:pPr>
            <w:r>
              <w:t>6</w:t>
            </w:r>
            <w:r>
              <w:rPr>
                <w:rFonts w:hint="eastAsia"/>
              </w:rPr>
              <w:t>月底</w:t>
            </w:r>
          </w:p>
        </w:tc>
        <w:tc>
          <w:tcPr>
            <w:tcW w:w="1304" w:type="dxa"/>
            <w:noWrap w:val="0"/>
            <w:vAlign w:val="center"/>
          </w:tcPr>
          <w:p>
            <w:pPr>
              <w:pStyle w:val="186"/>
            </w:pPr>
            <w:r>
              <w:t>10</w:t>
            </w:r>
            <w:r>
              <w:rPr>
                <w:rFonts w:hint="eastAsia"/>
              </w:rPr>
              <w:t>月底</w:t>
            </w:r>
          </w:p>
        </w:tc>
        <w:tc>
          <w:tcPr>
            <w:tcW w:w="3118" w:type="dxa"/>
            <w:gridSpan w:val="2"/>
            <w:noWrap w:val="0"/>
            <w:vAlign w:val="center"/>
          </w:tcPr>
          <w:p>
            <w:pPr>
              <w:pStyle w:val="18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2608" w:type="dxa"/>
            <w:gridSpan w:val="2"/>
            <w:noWrap w:val="0"/>
            <w:vAlign w:val="center"/>
          </w:tcPr>
          <w:p>
            <w:pPr>
              <w:pStyle w:val="187"/>
            </w:pPr>
            <w:r>
              <w:t>25%</w:t>
            </w:r>
          </w:p>
        </w:tc>
        <w:tc>
          <w:tcPr>
            <w:tcW w:w="1587" w:type="dxa"/>
            <w:noWrap w:val="0"/>
            <w:vAlign w:val="center"/>
          </w:tcPr>
          <w:p>
            <w:pPr>
              <w:pStyle w:val="187"/>
            </w:pPr>
            <w:r>
              <w:t>50%</w:t>
            </w:r>
          </w:p>
        </w:tc>
        <w:tc>
          <w:tcPr>
            <w:tcW w:w="1304" w:type="dxa"/>
            <w:noWrap w:val="0"/>
            <w:vAlign w:val="center"/>
          </w:tcPr>
          <w:p>
            <w:pPr>
              <w:pStyle w:val="187"/>
            </w:pPr>
            <w:r>
              <w:t>75%</w:t>
            </w:r>
          </w:p>
        </w:tc>
        <w:tc>
          <w:tcPr>
            <w:tcW w:w="3118" w:type="dxa"/>
            <w:gridSpan w:val="2"/>
            <w:noWrap w:val="0"/>
            <w:vAlign w:val="center"/>
          </w:tcPr>
          <w:p>
            <w:pPr>
              <w:pStyle w:val="18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86"/>
            </w:pPr>
            <w:r>
              <w:rPr>
                <w:rFonts w:hint="eastAsia"/>
              </w:rPr>
              <w:t>绩效目标</w:t>
            </w:r>
          </w:p>
        </w:tc>
        <w:tc>
          <w:tcPr>
            <w:tcW w:w="8617" w:type="dxa"/>
            <w:gridSpan w:val="6"/>
            <w:tcBorders>
              <w:bottom w:val="single" w:color="FFFFFF" w:sz="6" w:space="0"/>
            </w:tcBorders>
            <w:noWrap w:val="0"/>
            <w:vAlign w:val="center"/>
          </w:tcPr>
          <w:p>
            <w:pPr>
              <w:pStyle w:val="185"/>
            </w:pPr>
            <w:r>
              <w:t>1.</w:t>
            </w:r>
            <w:r>
              <w:rPr>
                <w:rFonts w:hint="eastAsia"/>
              </w:rPr>
              <w:t>事业单位改革及登记工作经费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6"/>
            </w:pPr>
            <w:r>
              <w:rPr>
                <w:rFonts w:hint="eastAsia"/>
              </w:rPr>
              <w:t>一级指标</w:t>
            </w:r>
          </w:p>
        </w:tc>
        <w:tc>
          <w:tcPr>
            <w:tcW w:w="1276" w:type="dxa"/>
            <w:noWrap w:val="0"/>
            <w:vAlign w:val="center"/>
          </w:tcPr>
          <w:p>
            <w:pPr>
              <w:pStyle w:val="186"/>
            </w:pPr>
            <w:r>
              <w:rPr>
                <w:rFonts w:hint="eastAsia"/>
              </w:rPr>
              <w:t>二级指标</w:t>
            </w:r>
          </w:p>
        </w:tc>
        <w:tc>
          <w:tcPr>
            <w:tcW w:w="1332" w:type="dxa"/>
            <w:noWrap w:val="0"/>
            <w:vAlign w:val="center"/>
          </w:tcPr>
          <w:p>
            <w:pPr>
              <w:pStyle w:val="186"/>
            </w:pPr>
            <w:r>
              <w:rPr>
                <w:rFonts w:hint="eastAsia"/>
              </w:rPr>
              <w:t>三级指标</w:t>
            </w:r>
          </w:p>
        </w:tc>
        <w:tc>
          <w:tcPr>
            <w:tcW w:w="2891" w:type="dxa"/>
            <w:noWrap w:val="0"/>
            <w:vAlign w:val="center"/>
          </w:tcPr>
          <w:p>
            <w:pPr>
              <w:pStyle w:val="186"/>
            </w:pPr>
            <w:r>
              <w:rPr>
                <w:rFonts w:hint="eastAsia"/>
              </w:rPr>
              <w:t>绩效指标描述</w:t>
            </w:r>
          </w:p>
        </w:tc>
        <w:tc>
          <w:tcPr>
            <w:tcW w:w="1276" w:type="dxa"/>
            <w:noWrap w:val="0"/>
            <w:vAlign w:val="center"/>
          </w:tcPr>
          <w:p>
            <w:pPr>
              <w:pStyle w:val="186"/>
            </w:pPr>
            <w:r>
              <w:rPr>
                <w:rFonts w:hint="eastAsia"/>
              </w:rPr>
              <w:t>指标值</w:t>
            </w:r>
          </w:p>
        </w:tc>
        <w:tc>
          <w:tcPr>
            <w:tcW w:w="1843" w:type="dxa"/>
            <w:noWrap w:val="0"/>
            <w:vAlign w:val="center"/>
          </w:tcPr>
          <w:p>
            <w:pPr>
              <w:pStyle w:val="18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产出指标</w:t>
            </w:r>
          </w:p>
        </w:tc>
        <w:tc>
          <w:tcPr>
            <w:tcW w:w="1276" w:type="dxa"/>
            <w:noWrap w:val="0"/>
            <w:vAlign w:val="center"/>
          </w:tcPr>
          <w:p>
            <w:pPr>
              <w:pStyle w:val="185"/>
            </w:pPr>
            <w:r>
              <w:rPr>
                <w:rFonts w:hint="eastAsia"/>
              </w:rPr>
              <w:t>数量指标</w:t>
            </w:r>
          </w:p>
        </w:tc>
        <w:tc>
          <w:tcPr>
            <w:tcW w:w="1332" w:type="dxa"/>
            <w:noWrap w:val="0"/>
            <w:vAlign w:val="center"/>
          </w:tcPr>
          <w:p>
            <w:pPr>
              <w:pStyle w:val="185"/>
            </w:pPr>
            <w:r>
              <w:rPr>
                <w:rFonts w:hint="eastAsia"/>
              </w:rPr>
              <w:t>信息系统建设、购置数量（个</w:t>
            </w:r>
            <w:r>
              <w:t>\</w:t>
            </w:r>
            <w:r>
              <w:rPr>
                <w:rFonts w:hint="eastAsia"/>
              </w:rPr>
              <w:t>套</w:t>
            </w:r>
          </w:p>
        </w:tc>
        <w:tc>
          <w:tcPr>
            <w:tcW w:w="2891" w:type="dxa"/>
            <w:noWrap w:val="0"/>
            <w:vAlign w:val="center"/>
          </w:tcPr>
          <w:p>
            <w:pPr>
              <w:pStyle w:val="185"/>
            </w:pPr>
            <w:r>
              <w:rPr>
                <w:rFonts w:hint="eastAsia"/>
              </w:rPr>
              <w:t>信息系统建设、购置数量（个</w:t>
            </w:r>
            <w:r>
              <w:t>\</w:t>
            </w:r>
            <w:r>
              <w:rPr>
                <w:rFonts w:hint="eastAsia"/>
              </w:rPr>
              <w:t>套）</w:t>
            </w:r>
          </w:p>
        </w:tc>
        <w:tc>
          <w:tcPr>
            <w:tcW w:w="1276" w:type="dxa"/>
            <w:noWrap w:val="0"/>
            <w:vAlign w:val="center"/>
          </w:tcPr>
          <w:p>
            <w:pPr>
              <w:pStyle w:val="185"/>
            </w:pPr>
            <w:r>
              <w:t>1</w:t>
            </w:r>
            <w:r>
              <w:rPr>
                <w:rFonts w:hint="eastAsia"/>
              </w:rPr>
              <w:t>套</w:t>
            </w:r>
          </w:p>
        </w:tc>
        <w:tc>
          <w:tcPr>
            <w:tcW w:w="1843" w:type="dxa"/>
            <w:noWrap w:val="0"/>
            <w:vAlign w:val="center"/>
          </w:tcPr>
          <w:p>
            <w:pPr>
              <w:pStyle w:val="185"/>
            </w:pPr>
            <w:r>
              <w:rPr>
                <w:rFonts w:hint="eastAsia"/>
              </w:rP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质量指标</w:t>
            </w:r>
          </w:p>
        </w:tc>
        <w:tc>
          <w:tcPr>
            <w:tcW w:w="1332" w:type="dxa"/>
            <w:noWrap w:val="0"/>
            <w:vAlign w:val="center"/>
          </w:tcPr>
          <w:p>
            <w:pPr>
              <w:pStyle w:val="185"/>
            </w:pPr>
            <w:r>
              <w:rPr>
                <w:rFonts w:hint="eastAsia"/>
              </w:rPr>
              <w:t>其他各项综合实务工作完成率</w:t>
            </w:r>
          </w:p>
        </w:tc>
        <w:tc>
          <w:tcPr>
            <w:tcW w:w="2891" w:type="dxa"/>
            <w:noWrap w:val="0"/>
            <w:vAlign w:val="center"/>
          </w:tcPr>
          <w:p>
            <w:pPr>
              <w:pStyle w:val="185"/>
            </w:pPr>
            <w:r>
              <w:rPr>
                <w:rFonts w:hint="eastAsia"/>
              </w:rPr>
              <w:t>其他各项综合实务工作完成率</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时效指标</w:t>
            </w:r>
          </w:p>
        </w:tc>
        <w:tc>
          <w:tcPr>
            <w:tcW w:w="1332" w:type="dxa"/>
            <w:noWrap w:val="0"/>
            <w:vAlign w:val="center"/>
          </w:tcPr>
          <w:p>
            <w:pPr>
              <w:pStyle w:val="185"/>
            </w:pPr>
            <w:r>
              <w:rPr>
                <w:rFonts w:hint="eastAsia"/>
              </w:rPr>
              <w:t>各项任务完成及时率（</w:t>
            </w:r>
            <w:r>
              <w:t>%</w:t>
            </w:r>
            <w:r>
              <w:rPr>
                <w:rFonts w:hint="eastAsia"/>
              </w:rPr>
              <w:t>）</w:t>
            </w:r>
          </w:p>
        </w:tc>
        <w:tc>
          <w:tcPr>
            <w:tcW w:w="2891" w:type="dxa"/>
            <w:noWrap w:val="0"/>
            <w:vAlign w:val="center"/>
          </w:tcPr>
          <w:p>
            <w:pPr>
              <w:pStyle w:val="185"/>
            </w:pPr>
            <w:r>
              <w:rPr>
                <w:rFonts w:hint="eastAsia"/>
              </w:rPr>
              <w:t>各项任务完成及时率（</w:t>
            </w:r>
            <w:r>
              <w:t>%</w:t>
            </w:r>
            <w:r>
              <w:rPr>
                <w:rFonts w:hint="eastAsia"/>
              </w:rPr>
              <w:t>）</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各项任务及时完成情况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成本指标</w:t>
            </w:r>
          </w:p>
        </w:tc>
        <w:tc>
          <w:tcPr>
            <w:tcW w:w="1332" w:type="dxa"/>
            <w:noWrap w:val="0"/>
            <w:vAlign w:val="center"/>
          </w:tcPr>
          <w:p>
            <w:pPr>
              <w:pStyle w:val="185"/>
            </w:pPr>
            <w:r>
              <w:rPr>
                <w:rFonts w:hint="eastAsia"/>
              </w:rPr>
              <w:t>资金成本</w:t>
            </w:r>
          </w:p>
        </w:tc>
        <w:tc>
          <w:tcPr>
            <w:tcW w:w="2891" w:type="dxa"/>
            <w:noWrap w:val="0"/>
            <w:vAlign w:val="center"/>
          </w:tcPr>
          <w:p>
            <w:pPr>
              <w:pStyle w:val="185"/>
            </w:pPr>
            <w:r>
              <w:rPr>
                <w:rFonts w:hint="eastAsia"/>
              </w:rPr>
              <w:t>资金成本</w:t>
            </w:r>
          </w:p>
        </w:tc>
        <w:tc>
          <w:tcPr>
            <w:tcW w:w="1276" w:type="dxa"/>
            <w:noWrap w:val="0"/>
            <w:vAlign w:val="center"/>
          </w:tcPr>
          <w:p>
            <w:pPr>
              <w:pStyle w:val="185"/>
            </w:pPr>
            <w:r>
              <w:t>3</w:t>
            </w:r>
            <w:r>
              <w:rPr>
                <w:rFonts w:hint="eastAsia"/>
              </w:rPr>
              <w:t>万</w:t>
            </w:r>
          </w:p>
        </w:tc>
        <w:tc>
          <w:tcPr>
            <w:tcW w:w="1843" w:type="dxa"/>
            <w:noWrap w:val="0"/>
            <w:vAlign w:val="center"/>
          </w:tcPr>
          <w:p>
            <w:pPr>
              <w:pStyle w:val="185"/>
            </w:pPr>
            <w:r>
              <w:rPr>
                <w:rFonts w:hint="eastAsia"/>
              </w:rP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效益指标</w:t>
            </w:r>
          </w:p>
        </w:tc>
        <w:tc>
          <w:tcPr>
            <w:tcW w:w="1276" w:type="dxa"/>
            <w:noWrap w:val="0"/>
            <w:vAlign w:val="center"/>
          </w:tcPr>
          <w:p>
            <w:pPr>
              <w:pStyle w:val="185"/>
            </w:pPr>
            <w:r>
              <w:rPr>
                <w:rFonts w:hint="eastAsia"/>
              </w:rPr>
              <w:t>经济效益指标</w:t>
            </w:r>
          </w:p>
        </w:tc>
        <w:tc>
          <w:tcPr>
            <w:tcW w:w="1332" w:type="dxa"/>
            <w:noWrap w:val="0"/>
            <w:vAlign w:val="center"/>
          </w:tcPr>
          <w:p>
            <w:pPr>
              <w:pStyle w:val="185"/>
            </w:pPr>
            <w:r>
              <w:rPr>
                <w:rFonts w:hint="eastAsia"/>
              </w:rPr>
              <w:t>资金的使用效率</w:t>
            </w:r>
          </w:p>
        </w:tc>
        <w:tc>
          <w:tcPr>
            <w:tcW w:w="2891" w:type="dxa"/>
            <w:noWrap w:val="0"/>
            <w:vAlign w:val="center"/>
          </w:tcPr>
          <w:p>
            <w:pPr>
              <w:pStyle w:val="185"/>
            </w:pPr>
            <w:r>
              <w:rPr>
                <w:rFonts w:hint="eastAsia"/>
              </w:rPr>
              <w:t>资金的使用效率</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社会效益指标</w:t>
            </w:r>
          </w:p>
        </w:tc>
        <w:tc>
          <w:tcPr>
            <w:tcW w:w="1332" w:type="dxa"/>
            <w:noWrap w:val="0"/>
            <w:vAlign w:val="center"/>
          </w:tcPr>
          <w:p>
            <w:pPr>
              <w:pStyle w:val="185"/>
            </w:pPr>
            <w:r>
              <w:rPr>
                <w:rFonts w:hint="eastAsia"/>
              </w:rPr>
              <w:t>创新工作完成率</w:t>
            </w:r>
          </w:p>
        </w:tc>
        <w:tc>
          <w:tcPr>
            <w:tcW w:w="2891" w:type="dxa"/>
            <w:noWrap w:val="0"/>
            <w:vAlign w:val="center"/>
          </w:tcPr>
          <w:p>
            <w:pPr>
              <w:pStyle w:val="185"/>
            </w:pPr>
            <w:r>
              <w:rPr>
                <w:rFonts w:hint="eastAsia"/>
              </w:rPr>
              <w:t>创新工作完成率</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生态效益指标</w:t>
            </w:r>
          </w:p>
        </w:tc>
        <w:tc>
          <w:tcPr>
            <w:tcW w:w="1332" w:type="dxa"/>
            <w:noWrap w:val="0"/>
            <w:vAlign w:val="center"/>
          </w:tcPr>
          <w:p>
            <w:pPr>
              <w:pStyle w:val="185"/>
            </w:pPr>
            <w:r>
              <w:rPr>
                <w:rFonts w:hint="eastAsia"/>
              </w:rPr>
              <w:t>环保节能</w:t>
            </w:r>
          </w:p>
        </w:tc>
        <w:tc>
          <w:tcPr>
            <w:tcW w:w="2891" w:type="dxa"/>
            <w:noWrap w:val="0"/>
            <w:vAlign w:val="center"/>
          </w:tcPr>
          <w:p>
            <w:pPr>
              <w:pStyle w:val="185"/>
            </w:pPr>
            <w:r>
              <w:rPr>
                <w:rFonts w:hint="eastAsia"/>
              </w:rPr>
              <w:t>环保节能</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环保效果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可持续影响指标</w:t>
            </w:r>
          </w:p>
        </w:tc>
        <w:tc>
          <w:tcPr>
            <w:tcW w:w="1332" w:type="dxa"/>
            <w:noWrap w:val="0"/>
            <w:vAlign w:val="center"/>
          </w:tcPr>
          <w:p>
            <w:pPr>
              <w:pStyle w:val="185"/>
            </w:pPr>
            <w:r>
              <w:rPr>
                <w:rFonts w:hint="eastAsia"/>
              </w:rPr>
              <w:t>设备购置类项目持续使用时间（年</w:t>
            </w:r>
          </w:p>
        </w:tc>
        <w:tc>
          <w:tcPr>
            <w:tcW w:w="2891" w:type="dxa"/>
            <w:noWrap w:val="0"/>
            <w:vAlign w:val="center"/>
          </w:tcPr>
          <w:p>
            <w:pPr>
              <w:pStyle w:val="185"/>
            </w:pPr>
            <w:r>
              <w:rPr>
                <w:rFonts w:hint="eastAsia"/>
              </w:rPr>
              <w:t>设备购置类项目持续使用时间（年）</w:t>
            </w:r>
          </w:p>
        </w:tc>
        <w:tc>
          <w:tcPr>
            <w:tcW w:w="1276" w:type="dxa"/>
            <w:noWrap w:val="0"/>
            <w:vAlign w:val="center"/>
          </w:tcPr>
          <w:p>
            <w:pPr>
              <w:pStyle w:val="185"/>
            </w:pPr>
            <w:r>
              <w:rPr>
                <w:rFonts w:hint="eastAsia"/>
              </w:rPr>
              <w:t>≥</w:t>
            </w:r>
            <w:r>
              <w:t>1</w:t>
            </w:r>
            <w:r>
              <w:rPr>
                <w:rFonts w:hint="eastAsia"/>
              </w:rPr>
              <w:t>年</w:t>
            </w:r>
          </w:p>
        </w:tc>
        <w:tc>
          <w:tcPr>
            <w:tcW w:w="1843" w:type="dxa"/>
            <w:noWrap w:val="0"/>
            <w:vAlign w:val="center"/>
          </w:tcPr>
          <w:p>
            <w:pPr>
              <w:pStyle w:val="185"/>
            </w:pPr>
            <w:r>
              <w:rPr>
                <w:rFonts w:hint="eastAsia"/>
              </w:rPr>
              <w:t>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7"/>
            </w:pPr>
            <w:r>
              <w:rPr>
                <w:rFonts w:hint="eastAsia"/>
              </w:rPr>
              <w:t>满意度指标</w:t>
            </w:r>
          </w:p>
        </w:tc>
        <w:tc>
          <w:tcPr>
            <w:tcW w:w="1276" w:type="dxa"/>
            <w:noWrap w:val="0"/>
            <w:vAlign w:val="center"/>
          </w:tcPr>
          <w:p>
            <w:pPr>
              <w:pStyle w:val="185"/>
            </w:pPr>
            <w:r>
              <w:rPr>
                <w:rFonts w:hint="eastAsia"/>
              </w:rPr>
              <w:t>服务对象满意度指标</w:t>
            </w:r>
          </w:p>
        </w:tc>
        <w:tc>
          <w:tcPr>
            <w:tcW w:w="1332" w:type="dxa"/>
            <w:noWrap w:val="0"/>
            <w:vAlign w:val="center"/>
          </w:tcPr>
          <w:p>
            <w:pPr>
              <w:pStyle w:val="185"/>
            </w:pPr>
            <w:r>
              <w:rPr>
                <w:rFonts w:hint="eastAsia"/>
              </w:rPr>
              <w:t>服务对象满意度</w:t>
            </w:r>
          </w:p>
        </w:tc>
        <w:tc>
          <w:tcPr>
            <w:tcW w:w="2891" w:type="dxa"/>
            <w:noWrap w:val="0"/>
            <w:vAlign w:val="center"/>
          </w:tcPr>
          <w:p>
            <w:pPr>
              <w:pStyle w:val="185"/>
            </w:pPr>
            <w:r>
              <w:rPr>
                <w:rFonts w:hint="eastAsia"/>
              </w:rPr>
              <w:t>服务对象满意度</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服务对象满意度</w:t>
            </w:r>
          </w:p>
        </w:tc>
      </w:tr>
    </w:tbl>
    <w:p>
      <w:pPr>
        <w:sectPr>
          <w:pgSz w:w="11900" w:h="16840" w:orient="landscape"/>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全区中文域名续费及政务内网费绩效目标表</w:t>
      </w:r>
      <w:bookmarkEnd w:id="4"/>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84"/>
            </w:pPr>
            <w:r>
              <w:t>225001</w:t>
            </w:r>
            <w:r>
              <w:rPr>
                <w:rFonts w:hint="eastAsia"/>
              </w:rPr>
              <w:t>编委部门中共秦皇岛市山海关区委机构编制委员会办公室本级</w:t>
            </w:r>
          </w:p>
        </w:tc>
        <w:tc>
          <w:tcPr>
            <w:tcW w:w="1843" w:type="dxa"/>
            <w:tcBorders>
              <w:top w:val="single" w:color="FFFFFF" w:sz="6" w:space="0"/>
              <w:left w:val="single" w:color="FFFFFF" w:sz="6" w:space="0"/>
              <w:right w:val="single" w:color="FFFFFF" w:sz="6" w:space="0"/>
            </w:tcBorders>
            <w:noWrap w:val="0"/>
            <w:vAlign w:val="center"/>
          </w:tcPr>
          <w:p>
            <w:pPr>
              <w:pStyle w:val="18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6"/>
            </w:pPr>
            <w:r>
              <w:rPr>
                <w:rFonts w:hint="eastAsia"/>
              </w:rPr>
              <w:t>项目编码</w:t>
            </w:r>
          </w:p>
        </w:tc>
        <w:tc>
          <w:tcPr>
            <w:tcW w:w="2608" w:type="dxa"/>
            <w:gridSpan w:val="2"/>
            <w:noWrap w:val="0"/>
            <w:vAlign w:val="center"/>
          </w:tcPr>
          <w:p>
            <w:pPr>
              <w:pStyle w:val="185"/>
            </w:pPr>
            <w:r>
              <w:t>13030322P00406910001Y</w:t>
            </w:r>
          </w:p>
        </w:tc>
        <w:tc>
          <w:tcPr>
            <w:tcW w:w="1587" w:type="dxa"/>
            <w:noWrap w:val="0"/>
            <w:vAlign w:val="center"/>
          </w:tcPr>
          <w:p>
            <w:pPr>
              <w:pStyle w:val="186"/>
            </w:pPr>
            <w:r>
              <w:rPr>
                <w:rFonts w:hint="eastAsia"/>
              </w:rPr>
              <w:t>项目名称</w:t>
            </w:r>
          </w:p>
        </w:tc>
        <w:tc>
          <w:tcPr>
            <w:tcW w:w="4422" w:type="dxa"/>
            <w:gridSpan w:val="3"/>
            <w:noWrap w:val="0"/>
            <w:vAlign w:val="center"/>
          </w:tcPr>
          <w:p>
            <w:pPr>
              <w:pStyle w:val="185"/>
            </w:pPr>
            <w:r>
              <w:rPr>
                <w:rFonts w:hint="eastAsia"/>
              </w:rPr>
              <w:t>全区中文域名续费及政务内网费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预算规模及资金用途</w:t>
            </w:r>
          </w:p>
        </w:tc>
        <w:tc>
          <w:tcPr>
            <w:tcW w:w="1276" w:type="dxa"/>
            <w:noWrap w:val="0"/>
            <w:vAlign w:val="center"/>
          </w:tcPr>
          <w:p>
            <w:pPr>
              <w:pStyle w:val="186"/>
            </w:pPr>
            <w:r>
              <w:rPr>
                <w:rFonts w:hint="eastAsia"/>
              </w:rPr>
              <w:t>预算数</w:t>
            </w:r>
          </w:p>
        </w:tc>
        <w:tc>
          <w:tcPr>
            <w:tcW w:w="1332" w:type="dxa"/>
            <w:noWrap w:val="0"/>
            <w:vAlign w:val="center"/>
          </w:tcPr>
          <w:p>
            <w:pPr>
              <w:pStyle w:val="185"/>
            </w:pPr>
            <w:r>
              <w:t>7.00</w:t>
            </w:r>
          </w:p>
        </w:tc>
        <w:tc>
          <w:tcPr>
            <w:tcW w:w="1587" w:type="dxa"/>
            <w:noWrap w:val="0"/>
            <w:vAlign w:val="center"/>
          </w:tcPr>
          <w:p>
            <w:pPr>
              <w:pStyle w:val="186"/>
            </w:pPr>
            <w:r>
              <w:rPr>
                <w:rFonts w:hint="eastAsia"/>
              </w:rPr>
              <w:t>其中：财政</w:t>
            </w:r>
            <w:r>
              <w:t xml:space="preserve">    </w:t>
            </w:r>
            <w:r>
              <w:rPr>
                <w:rFonts w:hint="eastAsia"/>
              </w:rPr>
              <w:t>资金</w:t>
            </w:r>
          </w:p>
        </w:tc>
        <w:tc>
          <w:tcPr>
            <w:tcW w:w="1304" w:type="dxa"/>
            <w:noWrap w:val="0"/>
            <w:vAlign w:val="center"/>
          </w:tcPr>
          <w:p>
            <w:pPr>
              <w:pStyle w:val="185"/>
            </w:pPr>
            <w:r>
              <w:t>7.00</w:t>
            </w:r>
          </w:p>
        </w:tc>
        <w:tc>
          <w:tcPr>
            <w:tcW w:w="1276" w:type="dxa"/>
            <w:noWrap w:val="0"/>
            <w:vAlign w:val="center"/>
          </w:tcPr>
          <w:p>
            <w:pPr>
              <w:pStyle w:val="186"/>
            </w:pPr>
            <w:r>
              <w:rPr>
                <w:rFonts w:hint="eastAsia"/>
              </w:rPr>
              <w:t>其他资金</w:t>
            </w:r>
          </w:p>
        </w:tc>
        <w:tc>
          <w:tcPr>
            <w:tcW w:w="1843" w:type="dxa"/>
            <w:noWrap w:val="0"/>
            <w:vAlign w:val="center"/>
          </w:tcPr>
          <w:p>
            <w:pPr>
              <w:pStyle w:val="18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8617" w:type="dxa"/>
            <w:gridSpan w:val="6"/>
            <w:noWrap w:val="0"/>
            <w:vAlign w:val="center"/>
          </w:tcPr>
          <w:p>
            <w:pPr>
              <w:pStyle w:val="185"/>
            </w:pPr>
            <w:r>
              <w:rPr>
                <w:rFonts w:hint="eastAsia"/>
              </w:rPr>
              <w:t>全区中文域名续费及政务内网费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资金支出计划（</w:t>
            </w:r>
            <w:r>
              <w:t>%</w:t>
            </w:r>
            <w:r>
              <w:rPr>
                <w:rFonts w:hint="eastAsia"/>
              </w:rPr>
              <w:t>）</w:t>
            </w:r>
          </w:p>
        </w:tc>
        <w:tc>
          <w:tcPr>
            <w:tcW w:w="2608" w:type="dxa"/>
            <w:gridSpan w:val="2"/>
            <w:noWrap w:val="0"/>
            <w:vAlign w:val="center"/>
          </w:tcPr>
          <w:p>
            <w:pPr>
              <w:pStyle w:val="186"/>
            </w:pPr>
            <w:r>
              <w:t>3</w:t>
            </w:r>
            <w:r>
              <w:rPr>
                <w:rFonts w:hint="eastAsia"/>
              </w:rPr>
              <w:t>月底</w:t>
            </w:r>
          </w:p>
        </w:tc>
        <w:tc>
          <w:tcPr>
            <w:tcW w:w="1587" w:type="dxa"/>
            <w:noWrap w:val="0"/>
            <w:vAlign w:val="center"/>
          </w:tcPr>
          <w:p>
            <w:pPr>
              <w:pStyle w:val="186"/>
            </w:pPr>
            <w:r>
              <w:t>6</w:t>
            </w:r>
            <w:r>
              <w:rPr>
                <w:rFonts w:hint="eastAsia"/>
              </w:rPr>
              <w:t>月底</w:t>
            </w:r>
          </w:p>
        </w:tc>
        <w:tc>
          <w:tcPr>
            <w:tcW w:w="1304" w:type="dxa"/>
            <w:noWrap w:val="0"/>
            <w:vAlign w:val="center"/>
          </w:tcPr>
          <w:p>
            <w:pPr>
              <w:pStyle w:val="186"/>
            </w:pPr>
            <w:r>
              <w:t>10</w:t>
            </w:r>
            <w:r>
              <w:rPr>
                <w:rFonts w:hint="eastAsia"/>
              </w:rPr>
              <w:t>月底</w:t>
            </w:r>
          </w:p>
        </w:tc>
        <w:tc>
          <w:tcPr>
            <w:tcW w:w="3118" w:type="dxa"/>
            <w:gridSpan w:val="2"/>
            <w:noWrap w:val="0"/>
            <w:vAlign w:val="center"/>
          </w:tcPr>
          <w:p>
            <w:pPr>
              <w:pStyle w:val="18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2608" w:type="dxa"/>
            <w:gridSpan w:val="2"/>
            <w:noWrap w:val="0"/>
            <w:vAlign w:val="center"/>
          </w:tcPr>
          <w:p>
            <w:pPr>
              <w:pStyle w:val="187"/>
            </w:pPr>
            <w:r>
              <w:t>25%</w:t>
            </w:r>
          </w:p>
        </w:tc>
        <w:tc>
          <w:tcPr>
            <w:tcW w:w="1587" w:type="dxa"/>
            <w:noWrap w:val="0"/>
            <w:vAlign w:val="center"/>
          </w:tcPr>
          <w:p>
            <w:pPr>
              <w:pStyle w:val="187"/>
            </w:pPr>
            <w:r>
              <w:t>50%</w:t>
            </w:r>
          </w:p>
        </w:tc>
        <w:tc>
          <w:tcPr>
            <w:tcW w:w="1304" w:type="dxa"/>
            <w:noWrap w:val="0"/>
            <w:vAlign w:val="center"/>
          </w:tcPr>
          <w:p>
            <w:pPr>
              <w:pStyle w:val="187"/>
            </w:pPr>
            <w:r>
              <w:t>75%</w:t>
            </w:r>
          </w:p>
        </w:tc>
        <w:tc>
          <w:tcPr>
            <w:tcW w:w="3118" w:type="dxa"/>
            <w:gridSpan w:val="2"/>
            <w:noWrap w:val="0"/>
            <w:vAlign w:val="center"/>
          </w:tcPr>
          <w:p>
            <w:pPr>
              <w:pStyle w:val="18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86"/>
            </w:pPr>
            <w:r>
              <w:rPr>
                <w:rFonts w:hint="eastAsia"/>
              </w:rPr>
              <w:t>绩效目标</w:t>
            </w:r>
          </w:p>
        </w:tc>
        <w:tc>
          <w:tcPr>
            <w:tcW w:w="8617" w:type="dxa"/>
            <w:gridSpan w:val="6"/>
            <w:tcBorders>
              <w:bottom w:val="single" w:color="FFFFFF" w:sz="6" w:space="0"/>
            </w:tcBorders>
            <w:noWrap w:val="0"/>
            <w:vAlign w:val="center"/>
          </w:tcPr>
          <w:p>
            <w:pPr>
              <w:pStyle w:val="185"/>
            </w:pPr>
            <w:r>
              <w:t>1.</w:t>
            </w:r>
            <w:r>
              <w:rPr>
                <w:rFonts w:hint="eastAsia"/>
              </w:rPr>
              <w:t>全区中文域名续费及政务内网费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6"/>
            </w:pPr>
            <w:r>
              <w:rPr>
                <w:rFonts w:hint="eastAsia"/>
              </w:rPr>
              <w:t>一级指标</w:t>
            </w:r>
          </w:p>
        </w:tc>
        <w:tc>
          <w:tcPr>
            <w:tcW w:w="1276" w:type="dxa"/>
            <w:noWrap w:val="0"/>
            <w:vAlign w:val="center"/>
          </w:tcPr>
          <w:p>
            <w:pPr>
              <w:pStyle w:val="186"/>
            </w:pPr>
            <w:r>
              <w:rPr>
                <w:rFonts w:hint="eastAsia"/>
              </w:rPr>
              <w:t>二级指标</w:t>
            </w:r>
          </w:p>
        </w:tc>
        <w:tc>
          <w:tcPr>
            <w:tcW w:w="1332" w:type="dxa"/>
            <w:noWrap w:val="0"/>
            <w:vAlign w:val="center"/>
          </w:tcPr>
          <w:p>
            <w:pPr>
              <w:pStyle w:val="186"/>
            </w:pPr>
            <w:r>
              <w:rPr>
                <w:rFonts w:hint="eastAsia"/>
              </w:rPr>
              <w:t>三级指标</w:t>
            </w:r>
          </w:p>
        </w:tc>
        <w:tc>
          <w:tcPr>
            <w:tcW w:w="2891" w:type="dxa"/>
            <w:noWrap w:val="0"/>
            <w:vAlign w:val="center"/>
          </w:tcPr>
          <w:p>
            <w:pPr>
              <w:pStyle w:val="186"/>
            </w:pPr>
            <w:r>
              <w:rPr>
                <w:rFonts w:hint="eastAsia"/>
              </w:rPr>
              <w:t>绩效指标描述</w:t>
            </w:r>
          </w:p>
        </w:tc>
        <w:tc>
          <w:tcPr>
            <w:tcW w:w="1276" w:type="dxa"/>
            <w:noWrap w:val="0"/>
            <w:vAlign w:val="center"/>
          </w:tcPr>
          <w:p>
            <w:pPr>
              <w:pStyle w:val="186"/>
            </w:pPr>
            <w:r>
              <w:rPr>
                <w:rFonts w:hint="eastAsia"/>
              </w:rPr>
              <w:t>指标值</w:t>
            </w:r>
          </w:p>
        </w:tc>
        <w:tc>
          <w:tcPr>
            <w:tcW w:w="1843" w:type="dxa"/>
            <w:noWrap w:val="0"/>
            <w:vAlign w:val="center"/>
          </w:tcPr>
          <w:p>
            <w:pPr>
              <w:pStyle w:val="18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产出指标</w:t>
            </w:r>
          </w:p>
        </w:tc>
        <w:tc>
          <w:tcPr>
            <w:tcW w:w="1276" w:type="dxa"/>
            <w:noWrap w:val="0"/>
            <w:vAlign w:val="center"/>
          </w:tcPr>
          <w:p>
            <w:pPr>
              <w:pStyle w:val="185"/>
            </w:pPr>
            <w:r>
              <w:rPr>
                <w:rFonts w:hint="eastAsia"/>
              </w:rPr>
              <w:t>数量指标</w:t>
            </w:r>
          </w:p>
        </w:tc>
        <w:tc>
          <w:tcPr>
            <w:tcW w:w="1332" w:type="dxa"/>
            <w:noWrap w:val="0"/>
            <w:vAlign w:val="center"/>
          </w:tcPr>
          <w:p>
            <w:pPr>
              <w:pStyle w:val="185"/>
            </w:pPr>
            <w:r>
              <w:rPr>
                <w:rFonts w:hint="eastAsia"/>
              </w:rPr>
              <w:t>信息系统建设、购置数量（个</w:t>
            </w:r>
            <w:r>
              <w:t>\</w:t>
            </w:r>
            <w:r>
              <w:rPr>
                <w:rFonts w:hint="eastAsia"/>
              </w:rPr>
              <w:t>套</w:t>
            </w:r>
          </w:p>
        </w:tc>
        <w:tc>
          <w:tcPr>
            <w:tcW w:w="2891" w:type="dxa"/>
            <w:noWrap w:val="0"/>
            <w:vAlign w:val="center"/>
          </w:tcPr>
          <w:p>
            <w:pPr>
              <w:pStyle w:val="185"/>
            </w:pPr>
            <w:r>
              <w:rPr>
                <w:rFonts w:hint="eastAsia"/>
              </w:rPr>
              <w:t>信息系统建设、购置数量（个</w:t>
            </w:r>
            <w:r>
              <w:t>\</w:t>
            </w:r>
            <w:r>
              <w:rPr>
                <w:rFonts w:hint="eastAsia"/>
              </w:rPr>
              <w:t>套）</w:t>
            </w:r>
          </w:p>
        </w:tc>
        <w:tc>
          <w:tcPr>
            <w:tcW w:w="1276" w:type="dxa"/>
            <w:noWrap w:val="0"/>
            <w:vAlign w:val="center"/>
          </w:tcPr>
          <w:p>
            <w:pPr>
              <w:pStyle w:val="185"/>
            </w:pPr>
            <w:r>
              <w:t>1</w:t>
            </w:r>
            <w:r>
              <w:rPr>
                <w:rFonts w:hint="eastAsia"/>
              </w:rPr>
              <w:t>套</w:t>
            </w:r>
          </w:p>
        </w:tc>
        <w:tc>
          <w:tcPr>
            <w:tcW w:w="1843" w:type="dxa"/>
            <w:noWrap w:val="0"/>
            <w:vAlign w:val="center"/>
          </w:tcPr>
          <w:p>
            <w:pPr>
              <w:pStyle w:val="185"/>
            </w:pPr>
            <w:r>
              <w:rPr>
                <w:rFonts w:hint="eastAsia"/>
              </w:rP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质量指标</w:t>
            </w:r>
          </w:p>
        </w:tc>
        <w:tc>
          <w:tcPr>
            <w:tcW w:w="1332" w:type="dxa"/>
            <w:noWrap w:val="0"/>
            <w:vAlign w:val="center"/>
          </w:tcPr>
          <w:p>
            <w:pPr>
              <w:pStyle w:val="185"/>
            </w:pPr>
            <w:r>
              <w:rPr>
                <w:rFonts w:hint="eastAsia"/>
              </w:rPr>
              <w:t>信息系统建设维护工作完成率</w:t>
            </w:r>
          </w:p>
        </w:tc>
        <w:tc>
          <w:tcPr>
            <w:tcW w:w="2891" w:type="dxa"/>
            <w:noWrap w:val="0"/>
            <w:vAlign w:val="center"/>
          </w:tcPr>
          <w:p>
            <w:pPr>
              <w:pStyle w:val="185"/>
            </w:pPr>
            <w:r>
              <w:rPr>
                <w:rFonts w:hint="eastAsia"/>
              </w:rPr>
              <w:t>信息系统建设维护工作完成率</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维护工作完成情况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时效指标</w:t>
            </w:r>
          </w:p>
        </w:tc>
        <w:tc>
          <w:tcPr>
            <w:tcW w:w="1332" w:type="dxa"/>
            <w:noWrap w:val="0"/>
            <w:vAlign w:val="center"/>
          </w:tcPr>
          <w:p>
            <w:pPr>
              <w:pStyle w:val="185"/>
            </w:pPr>
            <w:r>
              <w:rPr>
                <w:rFonts w:hint="eastAsia"/>
              </w:rPr>
              <w:t>按期完成率</w:t>
            </w:r>
          </w:p>
        </w:tc>
        <w:tc>
          <w:tcPr>
            <w:tcW w:w="2891" w:type="dxa"/>
            <w:noWrap w:val="0"/>
            <w:vAlign w:val="center"/>
          </w:tcPr>
          <w:p>
            <w:pPr>
              <w:pStyle w:val="185"/>
            </w:pPr>
            <w:r>
              <w:rPr>
                <w:rFonts w:hint="eastAsia"/>
              </w:rPr>
              <w:t>按期完成率</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到截止日期时维护工作进展情况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成本指标</w:t>
            </w:r>
          </w:p>
        </w:tc>
        <w:tc>
          <w:tcPr>
            <w:tcW w:w="1332" w:type="dxa"/>
            <w:noWrap w:val="0"/>
            <w:vAlign w:val="center"/>
          </w:tcPr>
          <w:p>
            <w:pPr>
              <w:pStyle w:val="185"/>
            </w:pPr>
            <w:r>
              <w:rPr>
                <w:rFonts w:hint="eastAsia"/>
              </w:rPr>
              <w:t>项目实际成本</w:t>
            </w:r>
          </w:p>
        </w:tc>
        <w:tc>
          <w:tcPr>
            <w:tcW w:w="2891" w:type="dxa"/>
            <w:noWrap w:val="0"/>
            <w:vAlign w:val="center"/>
          </w:tcPr>
          <w:p>
            <w:pPr>
              <w:pStyle w:val="185"/>
            </w:pPr>
            <w:r>
              <w:rPr>
                <w:rFonts w:hint="eastAsia"/>
              </w:rPr>
              <w:t>项目实际成本</w:t>
            </w:r>
          </w:p>
        </w:tc>
        <w:tc>
          <w:tcPr>
            <w:tcW w:w="1276" w:type="dxa"/>
            <w:noWrap w:val="0"/>
            <w:vAlign w:val="center"/>
          </w:tcPr>
          <w:p>
            <w:pPr>
              <w:pStyle w:val="185"/>
            </w:pPr>
            <w:r>
              <w:t>7</w:t>
            </w:r>
            <w:r>
              <w:rPr>
                <w:rFonts w:hint="eastAsia"/>
              </w:rPr>
              <w:t>万元</w:t>
            </w:r>
          </w:p>
        </w:tc>
        <w:tc>
          <w:tcPr>
            <w:tcW w:w="1843" w:type="dxa"/>
            <w:noWrap w:val="0"/>
            <w:vAlign w:val="center"/>
          </w:tcPr>
          <w:p>
            <w:pPr>
              <w:pStyle w:val="185"/>
            </w:pPr>
            <w:r>
              <w:rPr>
                <w:rFonts w:hint="eastAsia"/>
              </w:rP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效益指标</w:t>
            </w:r>
          </w:p>
        </w:tc>
        <w:tc>
          <w:tcPr>
            <w:tcW w:w="1276" w:type="dxa"/>
            <w:noWrap w:val="0"/>
            <w:vAlign w:val="center"/>
          </w:tcPr>
          <w:p>
            <w:pPr>
              <w:pStyle w:val="185"/>
            </w:pPr>
            <w:r>
              <w:rPr>
                <w:rFonts w:hint="eastAsia"/>
              </w:rPr>
              <w:t>经济效益指标</w:t>
            </w:r>
          </w:p>
        </w:tc>
        <w:tc>
          <w:tcPr>
            <w:tcW w:w="1332" w:type="dxa"/>
            <w:noWrap w:val="0"/>
            <w:vAlign w:val="center"/>
          </w:tcPr>
          <w:p>
            <w:pPr>
              <w:pStyle w:val="185"/>
            </w:pPr>
            <w:r>
              <w:rPr>
                <w:rFonts w:hint="eastAsia"/>
              </w:rPr>
              <w:t>项目工程完成情况</w:t>
            </w:r>
          </w:p>
        </w:tc>
        <w:tc>
          <w:tcPr>
            <w:tcW w:w="2891" w:type="dxa"/>
            <w:noWrap w:val="0"/>
            <w:vAlign w:val="center"/>
          </w:tcPr>
          <w:p>
            <w:pPr>
              <w:pStyle w:val="185"/>
            </w:pPr>
            <w:r>
              <w:rPr>
                <w:rFonts w:hint="eastAsia"/>
              </w:rPr>
              <w:t>项目工程完成情况</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项目实际完成情况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社会效益指标</w:t>
            </w:r>
          </w:p>
        </w:tc>
        <w:tc>
          <w:tcPr>
            <w:tcW w:w="1332" w:type="dxa"/>
            <w:noWrap w:val="0"/>
            <w:vAlign w:val="center"/>
          </w:tcPr>
          <w:p>
            <w:pPr>
              <w:pStyle w:val="185"/>
            </w:pPr>
            <w:r>
              <w:rPr>
                <w:rFonts w:hint="eastAsia"/>
              </w:rPr>
              <w:t>服务的改善与提升</w:t>
            </w:r>
          </w:p>
        </w:tc>
        <w:tc>
          <w:tcPr>
            <w:tcW w:w="2891" w:type="dxa"/>
            <w:noWrap w:val="0"/>
            <w:vAlign w:val="center"/>
          </w:tcPr>
          <w:p>
            <w:pPr>
              <w:pStyle w:val="185"/>
            </w:pPr>
            <w:r>
              <w:rPr>
                <w:rFonts w:hint="eastAsia"/>
              </w:rPr>
              <w:t>服务的改善与提升</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服务状态变化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生态效益指标</w:t>
            </w:r>
          </w:p>
        </w:tc>
        <w:tc>
          <w:tcPr>
            <w:tcW w:w="1332" w:type="dxa"/>
            <w:noWrap w:val="0"/>
            <w:vAlign w:val="center"/>
          </w:tcPr>
          <w:p>
            <w:pPr>
              <w:pStyle w:val="185"/>
            </w:pPr>
            <w:r>
              <w:rPr>
                <w:rFonts w:hint="eastAsia"/>
              </w:rPr>
              <w:t>促进生态文明建设，推动绿色发展</w:t>
            </w:r>
          </w:p>
        </w:tc>
        <w:tc>
          <w:tcPr>
            <w:tcW w:w="2891" w:type="dxa"/>
            <w:noWrap w:val="0"/>
            <w:vAlign w:val="center"/>
          </w:tcPr>
          <w:p>
            <w:pPr>
              <w:pStyle w:val="185"/>
            </w:pPr>
            <w:r>
              <w:rPr>
                <w:rFonts w:hint="eastAsia"/>
              </w:rPr>
              <w:t>促进生态文明建设，推动绿色发展和绿色生活方式</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项目的生态效能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可持续影响指标</w:t>
            </w:r>
          </w:p>
        </w:tc>
        <w:tc>
          <w:tcPr>
            <w:tcW w:w="1332" w:type="dxa"/>
            <w:noWrap w:val="0"/>
            <w:vAlign w:val="center"/>
          </w:tcPr>
          <w:p>
            <w:pPr>
              <w:pStyle w:val="185"/>
            </w:pPr>
            <w:r>
              <w:rPr>
                <w:rFonts w:hint="eastAsia"/>
              </w:rPr>
              <w:t>设备购置类项目持续使用时间（年</w:t>
            </w:r>
          </w:p>
        </w:tc>
        <w:tc>
          <w:tcPr>
            <w:tcW w:w="2891" w:type="dxa"/>
            <w:noWrap w:val="0"/>
            <w:vAlign w:val="center"/>
          </w:tcPr>
          <w:p>
            <w:pPr>
              <w:pStyle w:val="185"/>
            </w:pPr>
            <w:r>
              <w:rPr>
                <w:rFonts w:hint="eastAsia"/>
              </w:rPr>
              <w:t>设备购置类项目持续使用时间（年）</w:t>
            </w:r>
          </w:p>
        </w:tc>
        <w:tc>
          <w:tcPr>
            <w:tcW w:w="1276" w:type="dxa"/>
            <w:noWrap w:val="0"/>
            <w:vAlign w:val="center"/>
          </w:tcPr>
          <w:p>
            <w:pPr>
              <w:pStyle w:val="185"/>
            </w:pPr>
            <w:r>
              <w:rPr>
                <w:rFonts w:hint="eastAsia"/>
              </w:rPr>
              <w:t>≥</w:t>
            </w:r>
            <w:r>
              <w:t>1</w:t>
            </w:r>
            <w:r>
              <w:rPr>
                <w:rFonts w:hint="eastAsia"/>
              </w:rPr>
              <w:t>年</w:t>
            </w:r>
          </w:p>
        </w:tc>
        <w:tc>
          <w:tcPr>
            <w:tcW w:w="1843" w:type="dxa"/>
            <w:noWrap w:val="0"/>
            <w:vAlign w:val="center"/>
          </w:tcPr>
          <w:p>
            <w:pPr>
              <w:pStyle w:val="185"/>
            </w:pPr>
            <w:r>
              <w:rPr>
                <w:rFonts w:hint="eastAsia"/>
              </w:rPr>
              <w:t>项目的实际可使用年限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7"/>
            </w:pPr>
            <w:r>
              <w:rPr>
                <w:rFonts w:hint="eastAsia"/>
              </w:rPr>
              <w:t>满意度指标</w:t>
            </w:r>
          </w:p>
        </w:tc>
        <w:tc>
          <w:tcPr>
            <w:tcW w:w="1276" w:type="dxa"/>
            <w:noWrap w:val="0"/>
            <w:vAlign w:val="center"/>
          </w:tcPr>
          <w:p>
            <w:pPr>
              <w:pStyle w:val="185"/>
            </w:pPr>
            <w:r>
              <w:rPr>
                <w:rFonts w:hint="eastAsia"/>
              </w:rPr>
              <w:t>服务对象满意度指标</w:t>
            </w:r>
          </w:p>
        </w:tc>
        <w:tc>
          <w:tcPr>
            <w:tcW w:w="1332" w:type="dxa"/>
            <w:noWrap w:val="0"/>
            <w:vAlign w:val="center"/>
          </w:tcPr>
          <w:p>
            <w:pPr>
              <w:pStyle w:val="185"/>
            </w:pPr>
            <w:r>
              <w:rPr>
                <w:rFonts w:hint="eastAsia"/>
              </w:rPr>
              <w:t>服务对象满意度</w:t>
            </w:r>
          </w:p>
        </w:tc>
        <w:tc>
          <w:tcPr>
            <w:tcW w:w="2891" w:type="dxa"/>
            <w:noWrap w:val="0"/>
            <w:vAlign w:val="center"/>
          </w:tcPr>
          <w:p>
            <w:pPr>
              <w:pStyle w:val="185"/>
            </w:pPr>
            <w:r>
              <w:rPr>
                <w:rFonts w:hint="eastAsia"/>
              </w:rPr>
              <w:t>服务对象满意度</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服务对象满意率</w:t>
            </w:r>
          </w:p>
        </w:tc>
      </w:tr>
    </w:tbl>
    <w:p/>
    <w:sectPr>
      <w:pgSz w:w="11900" w:h="1684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书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D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iPriority="39" w:semiHidden="0" w:name="toc 3"/>
    <w:lsdException w:unhideWhenUsed="0" w:uiPriority="9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qFormat/>
    <w:uiPriority w:val="99"/>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78"/>
    <w:semiHidden/>
    <w:unhideWhenUsed/>
    <w:qFormat/>
    <w:uiPriority w:val="99"/>
    <w:pPr>
      <w:spacing w:after="0" w:line="240" w:lineRule="auto"/>
    </w:pPr>
    <w:rPr>
      <w:sz w:val="20"/>
    </w:rPr>
  </w:style>
  <w:style w:type="paragraph" w:styleId="17">
    <w:name w:val="footer"/>
    <w:basedOn w:val="1"/>
    <w:link w:val="189"/>
    <w:uiPriority w:val="99"/>
    <w:pPr>
      <w:tabs>
        <w:tab w:val="center" w:pos="4153"/>
        <w:tab w:val="right" w:pos="8306"/>
      </w:tabs>
    </w:pPr>
    <w:rPr>
      <w:sz w:val="18"/>
      <w:szCs w:val="18"/>
    </w:rPr>
  </w:style>
  <w:style w:type="paragraph" w:styleId="18">
    <w:name w:val="header"/>
    <w:basedOn w:val="1"/>
    <w:link w:val="188"/>
    <w:qFormat/>
    <w:uiPriority w:val="99"/>
    <w:pPr>
      <w:pBdr>
        <w:bottom w:val="single" w:color="000000" w:sz="6" w:space="1"/>
      </w:pBdr>
      <w:tabs>
        <w:tab w:val="center" w:pos="4153"/>
        <w:tab w:val="right" w:pos="8306"/>
      </w:tabs>
      <w:jc w:val="center"/>
    </w:pPr>
    <w:rPr>
      <w:sz w:val="18"/>
      <w:szCs w:val="18"/>
    </w:rPr>
  </w:style>
  <w:style w:type="paragraph" w:styleId="19">
    <w:name w:val="toc 1"/>
    <w:basedOn w:val="1"/>
    <w:next w:val="1"/>
    <w:qFormat/>
    <w:uiPriority w:val="99"/>
    <w:pPr>
      <w:spacing w:before="120"/>
    </w:pPr>
    <w:rPr>
      <w:rFonts w:eastAsia="方正仿宋_GBK"/>
      <w:color w:val="000000"/>
      <w:sz w:val="28"/>
    </w:rPr>
  </w:style>
  <w:style w:type="paragraph" w:styleId="20">
    <w:name w:val="toc 4"/>
    <w:basedOn w:val="1"/>
    <w:next w:val="1"/>
    <w:uiPriority w:val="99"/>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7"/>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iPriority w:val="99"/>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qFormat/>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Caption Char"/>
    <w:uiPriority w:val="99"/>
  </w:style>
  <w:style w:type="table" w:customStyle="1" w:styleId="52">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3">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6"/>
    <w:basedOn w:val="28"/>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 Accent 1"/>
    <w:basedOn w:val="28"/>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2"/>
    <w:basedOn w:val="28"/>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3"/>
    <w:basedOn w:val="28"/>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4"/>
    <w:basedOn w:val="28"/>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5"/>
    <w:basedOn w:val="28"/>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6"/>
    <w:basedOn w:val="28"/>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4">
    <w:name w:val="Grid Table 6 Colorful - Accent 1"/>
    <w:basedOn w:val="28"/>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3"/>
    <w:basedOn w:val="28"/>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5"/>
    <w:basedOn w:val="28"/>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6"/>
    <w:basedOn w:val="28"/>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 Accent 1"/>
    <w:basedOn w:val="28"/>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2"/>
    <w:basedOn w:val="28"/>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3"/>
    <w:basedOn w:val="28"/>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4"/>
    <w:basedOn w:val="28"/>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5"/>
    <w:basedOn w:val="28"/>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6"/>
    <w:basedOn w:val="28"/>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8">
    <w:name w:val="List Table 1 Light - Accent 1"/>
    <w:basedOn w:val="28"/>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2"/>
    <w:basedOn w:val="28"/>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3"/>
    <w:basedOn w:val="28"/>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4"/>
    <w:basedOn w:val="28"/>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5"/>
    <w:basedOn w:val="28"/>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6"/>
    <w:basedOn w:val="28"/>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 Accent 1"/>
    <w:basedOn w:val="28"/>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2"/>
    <w:basedOn w:val="28"/>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3"/>
    <w:basedOn w:val="28"/>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4"/>
    <w:basedOn w:val="28"/>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5"/>
    <w:basedOn w:val="2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6"/>
    <w:basedOn w:val="28"/>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 Accent 1"/>
    <w:basedOn w:val="2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3"/>
    <w:basedOn w:val="28"/>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5"/>
    <w:basedOn w:val="2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6"/>
    <w:basedOn w:val="2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 Accent 1"/>
    <w:basedOn w:val="2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2"/>
    <w:basedOn w:val="28"/>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3"/>
    <w:basedOn w:val="2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4"/>
    <w:basedOn w:val="28"/>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5"/>
    <w:basedOn w:val="28"/>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6"/>
    <w:basedOn w:val="2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6">
    <w:name w:val="List Table 5 Dark - Accent 1"/>
    <w:basedOn w:val="2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7">
    <w:name w:val="List Table 5 Dark - Accent 2"/>
    <w:basedOn w:val="2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8">
    <w:name w:val="List Table 5 Dark - Accent 3"/>
    <w:basedOn w:val="28"/>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39">
    <w:name w:val="List Table 5 Dark - Accent 4"/>
    <w:basedOn w:val="28"/>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0">
    <w:name w:val="List Table 5 Dark - Accent 5"/>
    <w:basedOn w:val="28"/>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6"/>
    <w:basedOn w:val="28"/>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3">
    <w:name w:val="List Table 6 Colorful - Accent 1"/>
    <w:basedOn w:val="28"/>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2"/>
    <w:basedOn w:val="28"/>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3"/>
    <w:basedOn w:val="28"/>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4"/>
    <w:basedOn w:val="28"/>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5"/>
    <w:basedOn w:val="28"/>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6"/>
    <w:basedOn w:val="28"/>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 Accent 1"/>
    <w:basedOn w:val="28"/>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2"/>
    <w:basedOn w:val="28"/>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4"/>
    <w:basedOn w:val="28"/>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5"/>
    <w:basedOn w:val="28"/>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6"/>
    <w:basedOn w:val="28"/>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ned - Accent"/>
    <w:basedOn w:val="28"/>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7">
    <w:name w:val="Lined - Accent 1"/>
    <w:basedOn w:val="28"/>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8">
    <w:name w:val="Lined - Accent 2"/>
    <w:basedOn w:val="28"/>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59">
    <w:name w:val="Lined - Accent 3"/>
    <w:basedOn w:val="28"/>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0">
    <w:name w:val="Lined - Accent 4"/>
    <w:basedOn w:val="28"/>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5"/>
    <w:basedOn w:val="28"/>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6"/>
    <w:basedOn w:val="28"/>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3">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4">
    <w:name w:val="Bordered &amp; Lined - Accent 1"/>
    <w:basedOn w:val="28"/>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5">
    <w:name w:val="Bordered &amp; Lined - Accent 2"/>
    <w:basedOn w:val="28"/>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6">
    <w:name w:val="Bordered &amp; Lined - Accent 3"/>
    <w:basedOn w:val="28"/>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7">
    <w:name w:val="Bordered &amp; Lined - Accent 4"/>
    <w:basedOn w:val="28"/>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5"/>
    <w:basedOn w:val="28"/>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6"/>
    <w:basedOn w:val="28"/>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0">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1">
    <w:name w:val="Bordered - Accent 1"/>
    <w:basedOn w:val="2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2"/>
    <w:basedOn w:val="2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3"/>
    <w:basedOn w:val="28"/>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7">
    <w:name w:val="Footnote Text Char"/>
    <w:link w:val="22"/>
    <w:uiPriority w:val="99"/>
    <w:rPr>
      <w:sz w:val="18"/>
    </w:rPr>
  </w:style>
  <w:style w:type="character" w:customStyle="1" w:styleId="178">
    <w:name w:val="Endnote Text Char"/>
    <w:link w:val="16"/>
    <w:uiPriority w:val="99"/>
    <w:rPr>
      <w:sz w:val="20"/>
    </w:rPr>
  </w:style>
  <w:style w:type="paragraph" w:customStyle="1" w:styleId="179">
    <w:name w:val="TOC Heading"/>
    <w:unhideWhenUsed/>
    <w:uiPriority w:val="39"/>
    <w:rPr>
      <w:rFonts w:hint="default" w:ascii="Times New Roman" w:hAnsi="Times New Roman" w:eastAsia="宋体" w:cs="Times New Roman"/>
    </w:rPr>
  </w:style>
  <w:style w:type="paragraph" w:customStyle="1" w:styleId="180">
    <w:name w:val="插入文本样式-插入总体目标文件"/>
    <w:basedOn w:val="1"/>
    <w:uiPriority w:val="99"/>
    <w:pPr>
      <w:spacing w:line="500" w:lineRule="exact"/>
      <w:ind w:firstLine="560"/>
    </w:pPr>
    <w:rPr>
      <w:rFonts w:eastAsia="方正仿宋_GBK"/>
      <w:sz w:val="28"/>
    </w:rPr>
  </w:style>
  <w:style w:type="paragraph" w:customStyle="1" w:styleId="181">
    <w:name w:val="插入文本样式-插入职责分类绩效目标文件"/>
    <w:basedOn w:val="1"/>
    <w:uiPriority w:val="99"/>
    <w:pPr>
      <w:spacing w:line="500" w:lineRule="exact"/>
      <w:ind w:firstLine="560"/>
    </w:pPr>
    <w:rPr>
      <w:rFonts w:eastAsia="方正仿宋_GBK"/>
      <w:sz w:val="28"/>
    </w:rPr>
  </w:style>
  <w:style w:type="paragraph" w:customStyle="1" w:styleId="182">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183">
    <w:name w:val="单元格样式4"/>
    <w:basedOn w:val="1"/>
    <w:qFormat/>
    <w:uiPriority w:val="99"/>
    <w:pPr>
      <w:jc w:val="right"/>
    </w:pPr>
    <w:rPr>
      <w:rFonts w:ascii="方正书宋_GBK" w:hAnsi="方正书宋_GBK" w:eastAsia="方正书宋_GBK" w:cs="方正书宋_GBK"/>
      <w:sz w:val="21"/>
    </w:rPr>
  </w:style>
  <w:style w:type="paragraph" w:customStyle="1" w:styleId="184">
    <w:name w:val="单元格样式5"/>
    <w:basedOn w:val="1"/>
    <w:qFormat/>
    <w:uiPriority w:val="99"/>
    <w:rPr>
      <w:rFonts w:ascii="方正书宋_GBK" w:hAnsi="方正书宋_GBK" w:eastAsia="方正书宋_GBK" w:cs="方正书宋_GBK"/>
      <w:b/>
      <w:sz w:val="21"/>
    </w:rPr>
  </w:style>
  <w:style w:type="paragraph" w:customStyle="1" w:styleId="185">
    <w:name w:val="单元格样式2"/>
    <w:basedOn w:val="1"/>
    <w:uiPriority w:val="99"/>
    <w:rPr>
      <w:rFonts w:ascii="方正书宋_GBK" w:hAnsi="方正书宋_GBK" w:eastAsia="方正书宋_GBK" w:cs="方正书宋_GBK"/>
      <w:sz w:val="21"/>
    </w:rPr>
  </w:style>
  <w:style w:type="paragraph" w:customStyle="1" w:styleId="186">
    <w:name w:val="单元格样式1"/>
    <w:basedOn w:val="1"/>
    <w:uiPriority w:val="99"/>
    <w:pPr>
      <w:jc w:val="center"/>
    </w:pPr>
    <w:rPr>
      <w:rFonts w:ascii="方正书宋_GBK" w:hAnsi="方正书宋_GBK" w:eastAsia="方正书宋_GBK" w:cs="方正书宋_GBK"/>
      <w:b/>
      <w:sz w:val="21"/>
    </w:rPr>
  </w:style>
  <w:style w:type="paragraph" w:customStyle="1" w:styleId="187">
    <w:name w:val="单元格样式3"/>
    <w:basedOn w:val="1"/>
    <w:uiPriority w:val="99"/>
    <w:pPr>
      <w:jc w:val="center"/>
    </w:pPr>
    <w:rPr>
      <w:rFonts w:ascii="方正书宋_GBK" w:hAnsi="方正书宋_GBK" w:eastAsia="方正书宋_GBK" w:cs="方正书宋_GBK"/>
      <w:sz w:val="21"/>
    </w:rPr>
  </w:style>
  <w:style w:type="character" w:customStyle="1" w:styleId="188">
    <w:name w:val="Header Char"/>
    <w:basedOn w:val="30"/>
    <w:link w:val="18"/>
    <w:semiHidden/>
    <w:qFormat/>
    <w:uiPriority w:val="99"/>
    <w:rPr>
      <w:sz w:val="18"/>
      <w:szCs w:val="18"/>
      <w:lang w:eastAsia="uk-UA"/>
    </w:rPr>
  </w:style>
  <w:style w:type="character" w:customStyle="1" w:styleId="189">
    <w:name w:val="Footer Char"/>
    <w:basedOn w:val="30"/>
    <w:link w:val="17"/>
    <w:semiHidden/>
    <w:qFormat/>
    <w:uiPriority w:val="99"/>
    <w:rPr>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2022-05-18T03:29:00Z</dcterms:created>
  <dc:creator>GIGABYTE</dc:creator>
  <cp:lastModifiedBy>战无不胜</cp:lastModifiedBy>
  <dcterms:modified xsi:type="dcterms:W3CDTF">2025-06-18T09:09:41Z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789415AE55FF447CAD6CC2B5EF8F9D1A_12</vt:lpwstr>
  </property>
</Properties>
</file>