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ascii="方正小标宋_GBK" w:hAnsi="方正小标宋_GBK" w:eastAsia="方正小标宋_GBK" w:cs="方正小标宋_GBK"/>
          <w:color w:val="000000"/>
          <w:sz w:val="52"/>
        </w:rPr>
        <w:t xml:space="preserve"> </w:t>
      </w:r>
    </w:p>
    <w:p>
      <w:pPr>
        <w:jc w:val="center"/>
        <w:rPr>
          <w:rFonts w:eastAsia="Times New Roman"/>
        </w:rPr>
      </w:pPr>
      <w:r>
        <w:rPr>
          <w:rFonts w:hint="eastAsia" w:ascii="方正小标宋_GBK" w:hAnsi="方正小标宋_GBK" w:eastAsia="方正小标宋_GBK" w:cs="方正小标宋_GBK"/>
          <w:color w:val="000000"/>
          <w:sz w:val="72"/>
        </w:rPr>
        <w:t>政协部门</w:t>
      </w:r>
    </w:p>
    <w:p>
      <w:pPr>
        <w:jc w:val="center"/>
        <w:rPr>
          <w:rFonts w:eastAsia="Times New Roman"/>
        </w:rPr>
      </w:pPr>
      <w:r>
        <w:rPr>
          <w:rFonts w:ascii="方正小标宋_GBK" w:hAnsi="方正小标宋_GBK" w:eastAsia="方正小标宋_GBK" w:cs="方正小标宋_GBK"/>
          <w:color w:val="000000"/>
          <w:sz w:val="72"/>
        </w:rPr>
        <w:t>2022</w:t>
      </w:r>
      <w:r>
        <w:rPr>
          <w:rFonts w:hint="eastAsia" w:ascii="方正小标宋_GBK" w:hAnsi="方正小标宋_GBK" w:eastAsia="方正小标宋_GBK" w:cs="方正小标宋_GBK"/>
          <w:color w:val="000000"/>
          <w:sz w:val="72"/>
        </w:rPr>
        <w:t>年部门预算绩效文本</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ascii="宋体" w:hAnsi="宋体" w:cs="宋体"/>
          <w:color w:val="000000"/>
          <w:sz w:val="21"/>
        </w:rPr>
        <w:t xml:space="preserve"> </w:t>
      </w:r>
    </w:p>
    <w:p>
      <w:pPr>
        <w:jc w:val="center"/>
        <w:rPr>
          <w:rFonts w:eastAsia="Times New Roman"/>
        </w:rPr>
      </w:pPr>
      <w:r>
        <w:rPr>
          <w:rFonts w:hint="eastAsia" w:ascii="方正楷体_GBK" w:hAnsi="方正楷体_GBK" w:eastAsia="方正楷体_GBK" w:cs="方正楷体_GBK"/>
          <w:b/>
          <w:color w:val="000000"/>
          <w:sz w:val="32"/>
        </w:rPr>
        <w:t>政协部门编制</w:t>
      </w:r>
    </w:p>
    <w:p>
      <w:pPr>
        <w:jc w:val="cente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0" w:h="16840" w:orient="landscape"/>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rPr>
        <w:t>山海关区财政局审核</w:t>
      </w:r>
    </w:p>
    <w:p>
      <w:pPr>
        <w:jc w:val="center"/>
        <w:sectPr>
          <w:pgSz w:w="11900" w:h="16840" w:orient="landscape"/>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hint="eastAsia" w:ascii="方正小标宋_GBK" w:hAnsi="方正小标宋_GBK" w:eastAsia="方正小标宋_GBK" w:cs="方正小标宋_GBK"/>
          <w:color w:val="000000"/>
          <w:sz w:val="36"/>
        </w:rPr>
        <w:t>目</w:t>
      </w:r>
      <w:r>
        <w:rPr>
          <w:rFonts w:ascii="方正小标宋_GBK" w:hAnsi="方正小标宋_GBK" w:eastAsia="方正小标宋_GBK" w:cs="方正小标宋_GBK"/>
          <w:color w:val="000000"/>
          <w:sz w:val="36"/>
        </w:rPr>
        <w:t xml:space="preserve">    </w:t>
      </w:r>
      <w:r>
        <w:rPr>
          <w:rFonts w:hint="eastAsia" w:ascii="方正小标宋_GBK" w:hAnsi="方正小标宋_GBK" w:eastAsia="方正小标宋_GBK" w:cs="方正小标宋_GBK"/>
          <w:color w:val="000000"/>
          <w:sz w:val="36"/>
        </w:rPr>
        <w:t>录</w:t>
      </w:r>
    </w:p>
    <w:p>
      <w:pPr>
        <w:jc w:val="center"/>
      </w:pPr>
      <w:r>
        <w:rPr>
          <w:rFonts w:ascii="方正小标宋_GBK" w:hAnsi="方正小标宋_GBK" w:eastAsia="方正小标宋_GBK" w:cs="方正小标宋_GBK"/>
          <w:color w:val="000000"/>
          <w:sz w:val="30"/>
        </w:rPr>
        <w:t xml:space="preserve"> </w:t>
      </w:r>
    </w:p>
    <w:p>
      <w:pPr>
        <w:jc w:val="center"/>
      </w:pPr>
      <w:r>
        <w:rPr>
          <w:rFonts w:hint="eastAsia" w:ascii="方正小标宋_GBK" w:hAnsi="方正小标宋_GBK" w:eastAsia="方正小标宋_GBK" w:cs="方正小标宋_GBK"/>
          <w:color w:val="000000"/>
          <w:sz w:val="30"/>
        </w:rPr>
        <w:t>第一部分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部门整体绩效目标</w:t>
      </w:r>
    </w:p>
    <w:p>
      <w:pPr>
        <w:pStyle w:val="19"/>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一、总体绩效目标</w:t>
      </w:r>
      <w:r>
        <w:tab/>
      </w:r>
      <w:r>
        <w:fldChar w:fldCharType="begin"/>
      </w:r>
      <w:r>
        <w:instrText xml:space="preserve">PAGEREF _Toc_2_2_0000000001 \h</w:instrText>
      </w:r>
      <w:r>
        <w:fldChar w:fldCharType="separate"/>
      </w:r>
      <w:r>
        <w:t>2</w:t>
      </w:r>
      <w:r>
        <w:fldChar w:fldCharType="end"/>
      </w:r>
      <w:r>
        <w:fldChar w:fldCharType="end"/>
      </w:r>
    </w:p>
    <w:p>
      <w:pPr>
        <w:pStyle w:val="19"/>
        <w:tabs>
          <w:tab w:val="right" w:leader="dot" w:pos="9282"/>
        </w:tabs>
      </w:pPr>
      <w:r>
        <w:fldChar w:fldCharType="begin"/>
      </w:r>
      <w:r>
        <w:instrText xml:space="preserve"> HYPERLINK \l "_Toc_2_2_0000000002" </w:instrText>
      </w:r>
      <w:r>
        <w:fldChar w:fldCharType="separate"/>
      </w:r>
      <w:r>
        <w:rPr>
          <w:rFonts w:hint="eastAsia"/>
        </w:rP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19"/>
        <w:tabs>
          <w:tab w:val="right" w:leader="dot" w:pos="9282"/>
        </w:tabs>
      </w:pPr>
      <w:r>
        <w:fldChar w:fldCharType="begin"/>
      </w:r>
      <w:r>
        <w:instrText xml:space="preserve"> HYPERLINK \l "_Toc_2_2_0000000003" </w:instrText>
      </w:r>
      <w:r>
        <w:fldChar w:fldCharType="separate"/>
      </w:r>
      <w:r>
        <w:rPr>
          <w:rFonts w:hint="eastAsia"/>
        </w:rP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hint="eastAsia" w:ascii="方正小标宋_GBK" w:hAnsi="方正小标宋_GBK" w:eastAsia="方正小标宋_GBK" w:cs="方正小标宋_GBK"/>
          <w:color w:val="000000"/>
          <w:sz w:val="30"/>
        </w:rPr>
        <w:t>第二部分</w:t>
      </w:r>
      <w:r>
        <w:rPr>
          <w:rFonts w:ascii="方正小标宋_GBK" w:hAnsi="方正小标宋_GBK" w:eastAsia="方正小标宋_GBK" w:cs="方正小标宋_GBK"/>
          <w:color w:val="000000"/>
          <w:sz w:val="30"/>
        </w:rPr>
        <w:t xml:space="preserve"> </w:t>
      </w:r>
      <w:r>
        <w:rPr>
          <w:rFonts w:hint="eastAsia" w:ascii="方正小标宋_GBK" w:hAnsi="方正小标宋_GBK" w:eastAsia="方正小标宋_GBK" w:cs="方正小标宋_GBK"/>
          <w:color w:val="000000"/>
          <w:sz w:val="30"/>
        </w:rPr>
        <w:t>预算项目绩效目标</w:t>
      </w:r>
    </w:p>
    <w:p>
      <w:pPr>
        <w:pStyle w:val="19"/>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rPr>
          <w:rFonts w:hint="eastAsia"/>
        </w:rPr>
        <w:t>车辆保险费绩效目标表</w:t>
      </w:r>
      <w:r>
        <w:tab/>
      </w:r>
      <w:r>
        <w:fldChar w:fldCharType="begin"/>
      </w:r>
      <w:r>
        <w:instrText xml:space="preserve">PAGEREF _Toc_4_4_0000000004 \h</w:instrText>
      </w:r>
      <w:r>
        <w:fldChar w:fldCharType="separate"/>
      </w:r>
      <w:r>
        <w:t>2</w:t>
      </w:r>
      <w:r>
        <w:fldChar w:fldCharType="end"/>
      </w:r>
      <w:r>
        <w:fldChar w:fldCharType="end"/>
      </w:r>
    </w:p>
    <w:p>
      <w:pPr>
        <w:pStyle w:val="19"/>
        <w:tabs>
          <w:tab w:val="right" w:leader="dot" w:pos="9282"/>
        </w:tabs>
      </w:pPr>
      <w:r>
        <w:fldChar w:fldCharType="begin"/>
      </w:r>
      <w:r>
        <w:instrText xml:space="preserve"> HYPERLINK \l "_Toc_4_4_0000000005" </w:instrText>
      </w:r>
      <w:r>
        <w:fldChar w:fldCharType="separate"/>
      </w:r>
      <w:r>
        <w:t>2.</w:t>
      </w:r>
      <w:r>
        <w:rPr>
          <w:rFonts w:hint="eastAsia"/>
        </w:rPr>
        <w:t>综合事务管理绩效目标表</w:t>
      </w:r>
      <w:r>
        <w:tab/>
      </w:r>
      <w:r>
        <w:fldChar w:fldCharType="begin"/>
      </w:r>
      <w:r>
        <w:instrText xml:space="preserve">PAGEREF _Toc_4_4_0000000005 \h</w:instrText>
      </w:r>
      <w:r>
        <w:fldChar w:fldCharType="separate"/>
      </w:r>
      <w:r>
        <w:t>2</w:t>
      </w:r>
      <w:r>
        <w:fldChar w:fldCharType="end"/>
      </w:r>
      <w:r>
        <w:fldChar w:fldCharType="end"/>
      </w:r>
    </w:p>
    <w:p>
      <w:pPr>
        <w:pStyle w:val="19"/>
        <w:tabs>
          <w:tab w:val="right" w:leader="dot" w:pos="9282"/>
        </w:tabs>
      </w:pPr>
      <w:r>
        <w:fldChar w:fldCharType="begin"/>
      </w:r>
      <w:r>
        <w:instrText xml:space="preserve"> HYPERLINK \l "_Toc_4_4_0000000006" </w:instrText>
      </w:r>
      <w:r>
        <w:fldChar w:fldCharType="separate"/>
      </w:r>
      <w:r>
        <w:t>3.</w:t>
      </w:r>
      <w:r>
        <w:rPr>
          <w:rFonts w:hint="eastAsia"/>
        </w:rPr>
        <w:t>参政议政绩效目标表</w:t>
      </w:r>
      <w:r>
        <w:tab/>
      </w:r>
      <w:r>
        <w:fldChar w:fldCharType="begin"/>
      </w:r>
      <w:r>
        <w:instrText xml:space="preserve">PAGEREF _Toc_4_4_0000000006 \h</w:instrText>
      </w:r>
      <w:r>
        <w:fldChar w:fldCharType="separate"/>
      </w:r>
      <w:r>
        <w:t>2</w:t>
      </w:r>
      <w:r>
        <w:fldChar w:fldCharType="end"/>
      </w:r>
      <w:r>
        <w:fldChar w:fldCharType="end"/>
      </w:r>
    </w:p>
    <w:p>
      <w:pPr>
        <w:pStyle w:val="19"/>
        <w:tabs>
          <w:tab w:val="right" w:leader="dot" w:pos="9282"/>
        </w:tabs>
      </w:pPr>
      <w:r>
        <w:fldChar w:fldCharType="begin"/>
      </w:r>
      <w:r>
        <w:instrText xml:space="preserve"> HYPERLINK \l "_Toc_4_4_0000000007" </w:instrText>
      </w:r>
      <w:r>
        <w:fldChar w:fldCharType="separate"/>
      </w:r>
      <w:r>
        <w:t>4.</w:t>
      </w:r>
      <w:r>
        <w:rPr>
          <w:rFonts w:hint="eastAsia"/>
        </w:rPr>
        <w:t>委员工作室绩效目标表</w:t>
      </w:r>
      <w:r>
        <w:tab/>
      </w:r>
      <w:r>
        <w:fldChar w:fldCharType="begin"/>
      </w:r>
      <w:r>
        <w:instrText xml:space="preserve">PAGEREF _Toc_4_4_0000000007 \h</w:instrText>
      </w:r>
      <w:r>
        <w:fldChar w:fldCharType="separate"/>
      </w:r>
      <w:r>
        <w:t>2</w:t>
      </w:r>
      <w:r>
        <w:fldChar w:fldCharType="end"/>
      </w:r>
      <w:r>
        <w:fldChar w:fldCharType="end"/>
      </w:r>
    </w:p>
    <w:p>
      <w:pPr>
        <w:pStyle w:val="19"/>
        <w:tabs>
          <w:tab w:val="right" w:leader="dot" w:pos="9282"/>
        </w:tabs>
      </w:pPr>
      <w:r>
        <w:fldChar w:fldCharType="begin"/>
      </w:r>
      <w:r>
        <w:instrText xml:space="preserve"> HYPERLINK \l "_Toc_4_4_0000000008" </w:instrText>
      </w:r>
      <w:r>
        <w:fldChar w:fldCharType="separate"/>
      </w:r>
      <w:r>
        <w:t>5.</w:t>
      </w:r>
      <w:r>
        <w:rPr>
          <w:rFonts w:hint="eastAsia"/>
        </w:rPr>
        <w:t>政协会议绩效目标表</w:t>
      </w:r>
      <w:r>
        <w:tab/>
      </w:r>
      <w:r>
        <w:fldChar w:fldCharType="begin"/>
      </w:r>
      <w:r>
        <w:instrText xml:space="preserve">PAGEREF _Toc_4_4_0000000008 \h</w:instrText>
      </w:r>
      <w:r>
        <w:fldChar w:fldCharType="separate"/>
      </w:r>
      <w:r>
        <w:t>2</w:t>
      </w:r>
      <w:r>
        <w:fldChar w:fldCharType="end"/>
      </w:r>
      <w:r>
        <w:fldChar w:fldCharType="end"/>
      </w:r>
    </w:p>
    <w:p>
      <w:r>
        <w:fldChar w:fldCharType="end"/>
      </w:r>
    </w:p>
    <w:p>
      <w:pPr>
        <w:sectPr>
          <w:footerReference r:id="rId9" w:type="default"/>
          <w:footerReference r:id="rId10" w:type="even"/>
          <w:pgSz w:w="11900" w:h="16840" w:orient="landscape"/>
          <w:pgMar w:top="1984" w:right="1304" w:bottom="1134" w:left="1304" w:header="720" w:footer="720" w:gutter="0"/>
          <w:pgNumType w:start="1"/>
          <w:cols w:space="720" w:num="1"/>
        </w:sectPr>
      </w:pPr>
      <w:r>
        <w:rPr/>
        <w:br w:type="page" w:clear="all"/>
      </w:r>
    </w:p>
    <w:p>
      <w:pPr>
        <w:jc w:val="center"/>
      </w:pPr>
      <w:r>
        <w:rPr>
          <w:rFonts w:ascii="方正小标宋_GBK" w:hAnsi="方正小标宋_GBK" w:eastAsia="方正小标宋_GBK" w:cs="方正小标宋_GBK"/>
          <w:color w:val="000000"/>
          <w:sz w:val="44"/>
        </w:rPr>
        <w:t xml:space="preserve"> </w:t>
      </w:r>
    </w:p>
    <w:p>
      <w:pPr>
        <w:jc w:val="center"/>
      </w:pPr>
      <w:r>
        <w:rPr>
          <w:rFonts w:hint="eastAsia" w:ascii="方正小标宋_GBK" w:hAnsi="方正小标宋_GBK" w:eastAsia="方正小标宋_GBK" w:cs="方正小标宋_GBK"/>
          <w:color w:val="000000"/>
          <w:sz w:val="44"/>
        </w:rPr>
        <w:t>第一部分</w:t>
      </w:r>
    </w:p>
    <w:p>
      <w:pPr>
        <w:jc w:val="center"/>
        <w:outlineLvl w:val="0"/>
      </w:pPr>
      <w:r>
        <w:rPr>
          <w:rFonts w:hint="eastAsia"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hint="eastAsia" w:ascii="方正黑体_GBK" w:hAnsi="方正黑体_GBK" w:eastAsia="方正黑体_GBK" w:cs="方正黑体_GBK"/>
          <w:color w:val="000000"/>
          <w:sz w:val="28"/>
        </w:rPr>
        <w:t>一、总体绩效目标</w:t>
      </w:r>
      <w:bookmarkEnd w:id="0"/>
    </w:p>
    <w:p>
      <w:pPr>
        <w:pStyle w:val="180"/>
      </w:pPr>
      <w:r>
        <w:rPr>
          <w:rFonts w:hint="eastAsia"/>
        </w:rPr>
        <w:t>一、增进共识汇聚合力，工作作风实现新转变。始终坚持把加强学习作为增进政治共识、提高履职本领的重要途径。通过多种形式，组织政协各参加单位和政协委员，深入学习党的十八大和习近平总书记系列重要讲话精神，学习领会区委九届五次全会精神，不断深化对人民政协职责使命的理解，不断提高对坚持道路自信、理论自信、制度自信重要性和必要性的认识，真正做到与区委在政治上、思想上保持一致，不断巩固共同政治思想基础。</w:t>
      </w:r>
    </w:p>
    <w:p>
      <w:pPr>
        <w:pStyle w:val="180"/>
      </w:pPr>
      <w:r>
        <w:rPr>
          <w:rFonts w:hint="eastAsia"/>
        </w:rPr>
        <w:t>二、紧扣中心服务大局，履行职能取得新成效。自觉践行新发展理念，按照高质量发展要求，紧紧围绕助推</w:t>
      </w:r>
      <w:r>
        <w:t>“</w:t>
      </w:r>
      <w:r>
        <w:rPr>
          <w:rFonts w:hint="eastAsia"/>
        </w:rPr>
        <w:t>稳增长、促改革、调结构、惠民生、防风险</w:t>
      </w:r>
      <w:r>
        <w:t>”</w:t>
      </w:r>
      <w:r>
        <w:rPr>
          <w:rFonts w:hint="eastAsia"/>
        </w:rPr>
        <w:t>各项工作履行职能。综合运用全体会议、常委会议、主席会议等形式，深入协商议政，为我区改革发展出实招、谋良策。要着重围绕高质量发展、创新驱动、绿色崛起等全局性、方向性问题，强化探索性、创新性、引领性导向；聚焦项目建设、污染防治、城乡环境整治、安全稳定</w:t>
      </w:r>
      <w:r>
        <w:t>“</w:t>
      </w:r>
      <w:r>
        <w:rPr>
          <w:rFonts w:hint="eastAsia"/>
        </w:rPr>
        <w:t>四场硬仗</w:t>
      </w:r>
      <w:r>
        <w:t>”</w:t>
      </w:r>
      <w:r>
        <w:rPr>
          <w:rFonts w:hint="eastAsia"/>
        </w:rPr>
        <w:t>，以及动能转换、转型升级、绿水青山、营商环境、文明筑梦、福祉增进</w:t>
      </w:r>
      <w:r>
        <w:t>“</w:t>
      </w:r>
      <w:r>
        <w:rPr>
          <w:rFonts w:hint="eastAsia"/>
        </w:rPr>
        <w:t>六个行动</w:t>
      </w:r>
      <w:r>
        <w:t>”</w:t>
      </w:r>
      <w:r>
        <w:rPr>
          <w:rFonts w:hint="eastAsia"/>
        </w:rPr>
        <w:t>等事关长远发展的重大课题开展专题协商，提出整体性、综合性的意见建议。要灵活运用对口协商、界别协商、提案办理协商等形式，选择中法文化主题公园、文体中心建设、区区联动、开发区转型、老旧小区改造、</w:t>
      </w:r>
      <w:r>
        <w:t>“</w:t>
      </w:r>
      <w:r>
        <w:rPr>
          <w:rFonts w:hint="eastAsia"/>
        </w:rPr>
        <w:t>双违</w:t>
      </w:r>
      <w:r>
        <w:t>”</w:t>
      </w:r>
      <w:r>
        <w:rPr>
          <w:rFonts w:hint="eastAsia"/>
        </w:rPr>
        <w:t>整治等全区经济社会发展和人民群众关注的课题，组织开展形式多样的协商议政活动。要把调查研究作为议政建言的基础，围绕重点协商议题，聚焦关键环节和突出瓶颈，吸纳各方人才，汇聚各界智慧，提出更加符合客观实际和群众意愿、更有操作性的对策建议。要进一步促进调研成果转化应用，梳理汇总、深化研究重要调研成果，形成综合报告，及时报送区委、区政府决策参考。</w:t>
      </w:r>
    </w:p>
    <w:p>
      <w:pPr>
        <w:pStyle w:val="180"/>
      </w:pPr>
      <w:r>
        <w:rPr>
          <w:rFonts w:hint="eastAsia"/>
        </w:rPr>
        <w:t>三、牢记真诚为民宗旨，服务民生改善取得突破。注重体察民情，紧紧抓住人民群众普遍关心的教育、医疗、养老、治安等重点领域和重大民生项目，深入基层开展调研、视察、监督活动，促进区委、区政府各项惠民政策和举措落到实处。重点围绕医药卫生体制改革、文化资源共享建设、城乡体育惠民工程、居民小区物业管理等方面议政建言。广泛听取民意，准确了解真实情况，及时反映群众诉求，充分发挥社情民意信息</w:t>
      </w:r>
      <w:r>
        <w:t>“</w:t>
      </w:r>
      <w:r>
        <w:rPr>
          <w:rFonts w:hint="eastAsia"/>
        </w:rPr>
        <w:t>直通车</w:t>
      </w:r>
      <w:r>
        <w:t>”</w:t>
      </w:r>
      <w:r>
        <w:rPr>
          <w:rFonts w:hint="eastAsia"/>
        </w:rPr>
        <w:t>作用，帮助群众解决一批实际困难和问题。尽责服务民生，深入研究提高群众收入的有效途径，深入研究改善群众生活质量的有效办法。积极引导广大政协委员自觉投身改善民生的具体实践，主动参与扶贫助困等社会活动。</w:t>
      </w:r>
    </w:p>
    <w:p>
      <w:pPr>
        <w:pStyle w:val="180"/>
      </w:pPr>
      <w:r>
        <w:rPr>
          <w:rFonts w:hint="eastAsia"/>
        </w:rPr>
        <w:t>四、提升履职能力水平，自身建设得到新加强。充分听取并认真采纳各党派团体的意见建议，继续开展联合调研视察，重点督办党派团体提案，积极为各民主党派和无党派人士履行职能创造条件。健全委员联络机制，组织委员开展学习培训，帮助委员及时掌握政策、知晓政情。广大政协委员要主动学习、善于学习，自觉更新知识，增强履职本领。修订政协委员管理办法，完善委员评价考核体系，严格</w:t>
      </w:r>
      <w:r>
        <w:t>“</w:t>
      </w:r>
      <w:r>
        <w:rPr>
          <w:rFonts w:hint="eastAsia"/>
        </w:rPr>
        <w:t>五个一</w:t>
      </w:r>
      <w:r>
        <w:t>”</w:t>
      </w:r>
      <w:r>
        <w:rPr>
          <w:rFonts w:hint="eastAsia"/>
        </w:rPr>
        <w:t>活动标准，规范委员履职行为。持续巩固党的群众路线教育实践活动成果，深化落实中央八项规定，认真践行</w:t>
      </w:r>
      <w:r>
        <w:t>“</w:t>
      </w:r>
      <w:r>
        <w:rPr>
          <w:rFonts w:hint="eastAsia"/>
        </w:rPr>
        <w:t>三严三实</w:t>
      </w:r>
      <w:r>
        <w:t>”</w:t>
      </w:r>
      <w:r>
        <w:rPr>
          <w:rFonts w:hint="eastAsia"/>
        </w:rPr>
        <w:t>要求，巩固</w:t>
      </w:r>
      <w:r>
        <w:t>“</w:t>
      </w:r>
      <w:r>
        <w:rPr>
          <w:rFonts w:hint="eastAsia"/>
        </w:rPr>
        <w:t>两学一做</w:t>
      </w:r>
      <w:r>
        <w:t>”</w:t>
      </w:r>
      <w:r>
        <w:rPr>
          <w:rFonts w:hint="eastAsia"/>
        </w:rPr>
        <w:t>成果，全面加强政协机关思想建设、组织建设、作风建设和廉政建设，努力打造</w:t>
      </w:r>
      <w:r>
        <w:t>“</w:t>
      </w:r>
      <w:r>
        <w:rPr>
          <w:rFonts w:hint="eastAsia"/>
        </w:rPr>
        <w:t>学习型、服务型、创新型</w:t>
      </w:r>
      <w:r>
        <w:t>”</w:t>
      </w:r>
      <w:r>
        <w:rPr>
          <w:rFonts w:hint="eastAsia"/>
        </w:rPr>
        <w:t>政协机关。</w:t>
      </w:r>
    </w:p>
    <w:p>
      <w:pPr>
        <w:pStyle w:val="180"/>
      </w:pPr>
    </w:p>
    <w:p>
      <w:pPr>
        <w:spacing w:before="10" w:after="10"/>
        <w:ind w:firstLine="560"/>
        <w:outlineLvl w:val="1"/>
      </w:pPr>
      <w:bookmarkStart w:id="1" w:name="_Toc_2_2_0000000002"/>
      <w:r>
        <w:rPr>
          <w:rFonts w:hint="eastAsia" w:ascii="方正黑体_GBK" w:hAnsi="方正黑体_GBK" w:eastAsia="方正黑体_GBK" w:cs="方正黑体_GBK"/>
          <w:color w:val="000000"/>
          <w:sz w:val="28"/>
        </w:rPr>
        <w:t>二、分项绩效目标</w:t>
      </w:r>
      <w:bookmarkEnd w:id="1"/>
    </w:p>
    <w:p>
      <w:pPr>
        <w:pStyle w:val="181"/>
      </w:pPr>
      <w:r>
        <w:rPr>
          <w:rFonts w:hint="eastAsia"/>
        </w:rPr>
        <w:t>本年度山海关区政协部门职责共分四项，下面就这四职责分别说明：</w:t>
      </w:r>
    </w:p>
    <w:p>
      <w:pPr>
        <w:pStyle w:val="181"/>
      </w:pPr>
      <w:r>
        <w:t>1</w:t>
      </w:r>
      <w:r>
        <w:rPr>
          <w:rFonts w:hint="eastAsia"/>
        </w:rPr>
        <w:t>、政治协商专项业务</w:t>
      </w:r>
    </w:p>
    <w:p>
      <w:pPr>
        <w:pStyle w:val="181"/>
      </w:pPr>
      <w:r>
        <w:rPr>
          <w:rFonts w:hint="eastAsia"/>
        </w:rPr>
        <w:t>主要职责是就全区大政方针以及政治、经济、文化、社会和生态文明中的重要问题在决策之前进行协商并就决策执行过程中的重要问题进行协商。</w:t>
      </w:r>
    </w:p>
    <w:p>
      <w:pPr>
        <w:pStyle w:val="181"/>
      </w:pPr>
      <w:r>
        <w:rPr>
          <w:rFonts w:hint="eastAsia"/>
        </w:rPr>
        <w:t>职责目标是坚持</w:t>
      </w:r>
      <w:r>
        <w:t>“</w:t>
      </w:r>
      <w:r>
        <w:rPr>
          <w:rFonts w:hint="eastAsia"/>
        </w:rPr>
        <w:t>注重质量，讲求实效</w:t>
      </w:r>
      <w:r>
        <w:t>”</w:t>
      </w:r>
      <w:r>
        <w:rPr>
          <w:rFonts w:hint="eastAsia"/>
        </w:rPr>
        <w:t>的原则，紧紧围绕区委、区政府中心工作开展协商议政，努力在推进科学民主决策中发挥作用。积极开展多层次政治协商。充分利用全体会议、常委会议、主席会议、专委会议，认真开展政治协商。</w:t>
      </w:r>
      <w:r>
        <w:t xml:space="preserve">  </w:t>
      </w:r>
      <w:r>
        <w:rPr>
          <w:rFonts w:hint="eastAsia"/>
        </w:rPr>
        <w:t>努力提高协商议政实效。采取召开专题协商议政会议的形式，就事关全区经济社会发展的重要事项进行协商讨论，使协商更加充分深入。不断完善协商议政会议召开形式，坚持做到主席会议提前一个星期准备、常委会议提前一个月策划、全委会议提前一个季度筹备。通过把调研、视察和协商讨论有机结合起来，使委员协商议政更具有针对性和操作。大力推进协商制度化建设。认真贯彻执行《关于加强人民政协协商民主建设的实施意见》，进一步健全完善决策协商工作的内容、形式和程序。</w:t>
      </w:r>
    </w:p>
    <w:p>
      <w:pPr>
        <w:pStyle w:val="181"/>
      </w:pPr>
      <w:r>
        <w:rPr>
          <w:rFonts w:hint="eastAsia"/>
        </w:rPr>
        <w:t>绩效目标是提高政治协商水平。</w:t>
      </w:r>
    </w:p>
    <w:p>
      <w:pPr>
        <w:pStyle w:val="181"/>
      </w:pPr>
      <w:r>
        <w:rPr>
          <w:rFonts w:hint="eastAsia"/>
        </w:rPr>
        <w:t>绩效指标是会议活动组织率、专题协商完成率。</w:t>
      </w:r>
    </w:p>
    <w:p>
      <w:pPr>
        <w:pStyle w:val="181"/>
      </w:pPr>
      <w:r>
        <w:rPr>
          <w:rFonts w:hint="eastAsia"/>
        </w:rPr>
        <w:t>绩效标准：活动率完成大于</w:t>
      </w:r>
      <w:r>
        <w:t>90%</w:t>
      </w:r>
      <w:r>
        <w:rPr>
          <w:rFonts w:hint="eastAsia"/>
        </w:rPr>
        <w:t>的为优；活动完成率</w:t>
      </w:r>
      <w:r>
        <w:t>80%-90%</w:t>
      </w:r>
      <w:r>
        <w:rPr>
          <w:rFonts w:hint="eastAsia"/>
        </w:rPr>
        <w:t>为良；活动完成率</w:t>
      </w:r>
      <w:r>
        <w:t>60%-80%</w:t>
      </w:r>
      <w:r>
        <w:rPr>
          <w:rFonts w:hint="eastAsia"/>
        </w:rPr>
        <w:t>为中；活动完成率</w:t>
      </w:r>
      <w:r>
        <w:t>60%</w:t>
      </w:r>
      <w:r>
        <w:rPr>
          <w:rFonts w:hint="eastAsia"/>
        </w:rPr>
        <w:t>以下为差。</w:t>
      </w:r>
    </w:p>
    <w:p>
      <w:pPr>
        <w:pStyle w:val="181"/>
      </w:pPr>
      <w:r>
        <w:t>2</w:t>
      </w:r>
      <w:r>
        <w:rPr>
          <w:rFonts w:hint="eastAsia"/>
        </w:rPr>
        <w:t>、民主监督</w:t>
      </w:r>
    </w:p>
    <w:p>
      <w:pPr>
        <w:pStyle w:val="181"/>
      </w:pPr>
      <w:r>
        <w:rPr>
          <w:rFonts w:hint="eastAsia"/>
        </w:rPr>
        <w:t>主要职责是有效履行民主监督职责，发挥好协调关系、汇聚力量、建言献策、服务大局的作用。通过意见、建议、批评的方式对国家法律法规的实施、执行、党和政府的工作进行政治监督。</w:t>
      </w:r>
    </w:p>
    <w:p>
      <w:pPr>
        <w:pStyle w:val="181"/>
      </w:pPr>
      <w:r>
        <w:rPr>
          <w:rFonts w:hint="eastAsia"/>
        </w:rPr>
        <w:t>职责目标是准确把握人民政协民主监督的性质和内涵，积极探索民主监督的有效实现形式，切实履行民主监督职能。深入推进特邀民主监督。不断拓展民主监督范围，由主要面向执法执纪部门，扩展到向政府职能部门全面选派民主监督员，建立统一选派特邀民主监督员制度，制定下发《民主监督员管理办法》，并定期进行工作调度与检查，对不能发挥作用的委员及时进行调整，完善了民主监督员管理体系，提高了民主监督水平和质量。不断加大提案办理力度。注重发挥提案在民主监督中的重要作用，主席会议及时研究提案工作中的重要问题，常委会议定期听取办理情况通报，切实抓好提案征集、审查立案、转交办理、督办检查、跟踪反馈、协调推动等关键环节，不断提高办理实效。精心组织委员视察活动。制定区政协《视察工作条例》，进一步健全工作制度、完善组织机制，明确强调委员视察是对国家重大方针政策和区委、区政府决策部署贯彻落实情况以及对经济社会发展中的一些重点事项进行</w:t>
      </w:r>
      <w:r>
        <w:t>“</w:t>
      </w:r>
      <w:r>
        <w:rPr>
          <w:rFonts w:hint="eastAsia"/>
        </w:rPr>
        <w:t>巡视查看</w:t>
      </w:r>
      <w:r>
        <w:t>”</w:t>
      </w:r>
      <w:r>
        <w:rPr>
          <w:rFonts w:hint="eastAsia"/>
        </w:rPr>
        <w:t>，本质是咨政建言、反映民意、发挥民主监督作用。积极反映社情民意信息。坚持把反映社情民意作为听民声、传民意、聚民智的重要载体，做到常研究、勤部署、抓问效。通过明确工作机构，开辟信息渠道，进一步建立健全社情民意征集、报送、反馈流程，不断强化政协的舆情收集和社情反映职能。</w:t>
      </w:r>
    </w:p>
    <w:p>
      <w:pPr>
        <w:pStyle w:val="181"/>
      </w:pPr>
      <w:r>
        <w:rPr>
          <w:rFonts w:hint="eastAsia"/>
        </w:rPr>
        <w:t>绩效目标是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w:t>
      </w:r>
    </w:p>
    <w:p>
      <w:pPr>
        <w:pStyle w:val="181"/>
      </w:pPr>
      <w:r>
        <w:rPr>
          <w:rFonts w:hint="eastAsia"/>
        </w:rPr>
        <w:t>绩效指标是重大工作参与率和提案办理率。</w:t>
      </w:r>
    </w:p>
    <w:p>
      <w:pPr>
        <w:pStyle w:val="181"/>
      </w:pPr>
      <w:r>
        <w:rPr>
          <w:rFonts w:hint="eastAsia"/>
        </w:rPr>
        <w:t>绩效标准：重大工作参与率提案办理率大于</w:t>
      </w:r>
      <w:r>
        <w:t>90%</w:t>
      </w:r>
      <w:r>
        <w:rPr>
          <w:rFonts w:hint="eastAsia"/>
        </w:rPr>
        <w:t>为优；</w:t>
      </w:r>
      <w:r>
        <w:t>80%-90%</w:t>
      </w:r>
      <w:r>
        <w:rPr>
          <w:rFonts w:hint="eastAsia"/>
        </w:rPr>
        <w:t>为良；</w:t>
      </w:r>
      <w:r>
        <w:t>60%-80%</w:t>
      </w:r>
      <w:r>
        <w:rPr>
          <w:rFonts w:hint="eastAsia"/>
        </w:rPr>
        <w:t>为中；</w:t>
      </w:r>
      <w:r>
        <w:t>60%</w:t>
      </w:r>
      <w:r>
        <w:rPr>
          <w:rFonts w:hint="eastAsia"/>
        </w:rPr>
        <w:t>以下为差。</w:t>
      </w:r>
    </w:p>
    <w:p>
      <w:pPr>
        <w:pStyle w:val="181"/>
      </w:pPr>
      <w:r>
        <w:t>3</w:t>
      </w:r>
      <w:r>
        <w:rPr>
          <w:rFonts w:hint="eastAsia"/>
        </w:rPr>
        <w:t>、参政议政</w:t>
      </w:r>
    </w:p>
    <w:p>
      <w:pPr>
        <w:pStyle w:val="181"/>
      </w:pPr>
      <w:r>
        <w:rPr>
          <w:rFonts w:hint="eastAsia"/>
        </w:rPr>
        <w:t>主要职责是通过对全区重大问题以及人民群众普遍关心的问题，开展调查研究，反映社情民意，进行协商讨论，以调研报告、建议案或其他形式，向区委、区政府提出意见和建议。</w:t>
      </w:r>
    </w:p>
    <w:p>
      <w:pPr>
        <w:pStyle w:val="181"/>
      </w:pPr>
      <w:r>
        <w:rPr>
          <w:rFonts w:hint="eastAsia"/>
        </w:rPr>
        <w:t>职责目标是始终把促进发展作为履行职能的第一要务，坚持在服务大局中主动融入，在推动发展中发挥作用。聚焦重大发展机遇立论建言。紧紧围绕区委十届三次全体会议确立的目标任务和工作重点，组织各党派团体、政协委员，广泛开展调查研究、学习考察活动，在充分论证的基础上，形成一批高质量的意见建议。紧扣推动产业发展竭诚谋策。就促进城乡统筹、旅游文化产业发展等课题开展专题调研，形成高质量调研报告供区委区政府决策参考。围绕促进民生改善悉心献计。就农民增收、就业和社会保障、残疾人事业发展、医疗卫生服务等民生问题开展专题调研，向区委、区政府及时反映人民群众关注的热点、难点问题，提出可操作性的对策建议。</w:t>
      </w:r>
    </w:p>
    <w:p>
      <w:pPr>
        <w:pStyle w:val="181"/>
      </w:pPr>
      <w:r>
        <w:rPr>
          <w:rFonts w:hint="eastAsia"/>
        </w:rPr>
        <w:t>绩效目标是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w:t>
      </w:r>
    </w:p>
    <w:p>
      <w:pPr>
        <w:pStyle w:val="181"/>
      </w:pPr>
      <w:r>
        <w:rPr>
          <w:rFonts w:hint="eastAsia"/>
        </w:rPr>
        <w:t>绩效指标是重点课题和专项调研完成率、社情民意反映率、文史资料完成率</w:t>
      </w:r>
    </w:p>
    <w:p>
      <w:pPr>
        <w:pStyle w:val="181"/>
      </w:pPr>
      <w:r>
        <w:rPr>
          <w:rFonts w:hint="eastAsia"/>
        </w:rPr>
        <w:t>绩效标准：重点课题和专项调研完成率、社情民意反映率、文史资料完成率大于</w:t>
      </w:r>
      <w:r>
        <w:t>90%</w:t>
      </w:r>
      <w:r>
        <w:rPr>
          <w:rFonts w:hint="eastAsia"/>
        </w:rPr>
        <w:t>为优；</w:t>
      </w:r>
      <w:r>
        <w:t>80%-90%</w:t>
      </w:r>
      <w:r>
        <w:rPr>
          <w:rFonts w:hint="eastAsia"/>
        </w:rPr>
        <w:t>为良；</w:t>
      </w:r>
      <w:r>
        <w:t>60%-80%</w:t>
      </w:r>
      <w:r>
        <w:rPr>
          <w:rFonts w:hint="eastAsia"/>
        </w:rPr>
        <w:t>为中；</w:t>
      </w:r>
      <w:r>
        <w:t>60%</w:t>
      </w:r>
      <w:r>
        <w:rPr>
          <w:rFonts w:hint="eastAsia"/>
        </w:rPr>
        <w:t>以下为差。</w:t>
      </w:r>
    </w:p>
    <w:p>
      <w:pPr>
        <w:pStyle w:val="181"/>
      </w:pPr>
      <w:r>
        <w:t>4</w:t>
      </w:r>
      <w:r>
        <w:rPr>
          <w:rFonts w:hint="eastAsia"/>
        </w:rPr>
        <w:t>、政协事务管理</w:t>
      </w:r>
    </w:p>
    <w:p>
      <w:pPr>
        <w:pStyle w:val="181"/>
      </w:pPr>
      <w:r>
        <w:rPr>
          <w:rFonts w:hint="eastAsia"/>
        </w:rPr>
        <w:t>主要职责是区政协自身建设、理论研究以及宣传工作，与区内外有关单位的联系协调；加强政协委员培训工作，提升委员能力水平；积极开展对外交流活动，宣传推介山海关，推动合作共赢。负责机关外事工作、后勤保障、经费资产管理，接待、离退休人员服务，承办区政协主席、副主席、秘书长交办的其他事项。</w:t>
      </w:r>
    </w:p>
    <w:p>
      <w:pPr>
        <w:pStyle w:val="181"/>
      </w:pPr>
      <w:r>
        <w:rPr>
          <w:rFonts w:hint="eastAsia"/>
        </w:rPr>
        <w:t>职责目标是更加重视政协委员队伍建设，把建设</w:t>
      </w:r>
      <w:r>
        <w:t>“</w:t>
      </w:r>
      <w:r>
        <w:rPr>
          <w:rFonts w:hint="eastAsia"/>
        </w:rPr>
        <w:t>懂政协、会协商、善议政</w:t>
      </w:r>
      <w:r>
        <w:t>”</w:t>
      </w:r>
      <w:r>
        <w:rPr>
          <w:rFonts w:hint="eastAsia"/>
        </w:rPr>
        <w:t>，</w:t>
      </w:r>
      <w:r>
        <w:t>“</w:t>
      </w:r>
      <w:r>
        <w:rPr>
          <w:rFonts w:hint="eastAsia"/>
        </w:rPr>
        <w:t>守纪律、讲规矩、重品行</w:t>
      </w:r>
      <w:r>
        <w:t>”</w:t>
      </w:r>
      <w:r>
        <w:rPr>
          <w:rFonts w:hint="eastAsia"/>
        </w:rPr>
        <w:t>高素质队伍作为推进政协履职能力现代化建设的重要抓手，按照</w:t>
      </w:r>
      <w:r>
        <w:t>“</w:t>
      </w:r>
      <w:r>
        <w:rPr>
          <w:rFonts w:hint="eastAsia"/>
        </w:rPr>
        <w:t>严管厚爱</w:t>
      </w:r>
      <w:r>
        <w:t>”</w:t>
      </w:r>
      <w:r>
        <w:rPr>
          <w:rFonts w:hint="eastAsia"/>
        </w:rPr>
        <w:t>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p>
    <w:p>
      <w:pPr>
        <w:pStyle w:val="181"/>
      </w:pPr>
      <w:r>
        <w:rPr>
          <w:rFonts w:hint="eastAsia"/>
        </w:rPr>
        <w:t>绩效指标是政协自身建设质量更加扎实，工作科学化水平进一步提升。文史资料的社会功能增强，理论研究成果服务履职作用明显。对外交往工作成效显著。机关基本设施设备正常运转、信息化保障、老干部服务保障能力进一步提高</w:t>
      </w:r>
    </w:p>
    <w:p>
      <w:pPr>
        <w:pStyle w:val="181"/>
      </w:pPr>
      <w:r>
        <w:rPr>
          <w:rFonts w:hint="eastAsia"/>
        </w:rPr>
        <w:t>绩效目标是综合事务保障率</w:t>
      </w:r>
    </w:p>
    <w:p>
      <w:pPr>
        <w:pStyle w:val="181"/>
      </w:pPr>
      <w:r>
        <w:rPr>
          <w:rFonts w:hint="eastAsia"/>
        </w:rPr>
        <w:t>绩效标准：综合事务保障率大于</w:t>
      </w:r>
      <w:r>
        <w:t>90%</w:t>
      </w:r>
      <w:r>
        <w:rPr>
          <w:rFonts w:hint="eastAsia"/>
        </w:rPr>
        <w:t>为优；</w:t>
      </w:r>
      <w:r>
        <w:t>80%-90%</w:t>
      </w:r>
      <w:r>
        <w:rPr>
          <w:rFonts w:hint="eastAsia"/>
        </w:rPr>
        <w:t>为良；</w:t>
      </w:r>
      <w:r>
        <w:t>60%-80%</w:t>
      </w:r>
      <w:r>
        <w:rPr>
          <w:rFonts w:hint="eastAsia"/>
        </w:rPr>
        <w:t>为中；</w:t>
      </w:r>
      <w:r>
        <w:t>60%</w:t>
      </w:r>
      <w:r>
        <w:rPr>
          <w:rFonts w:hint="eastAsia"/>
        </w:rPr>
        <w:t>以下为差。</w:t>
      </w:r>
    </w:p>
    <w:p>
      <w:pPr>
        <w:pStyle w:val="181"/>
      </w:pPr>
    </w:p>
    <w:p>
      <w:pPr>
        <w:spacing w:before="10" w:after="10"/>
        <w:ind w:firstLine="560"/>
        <w:outlineLvl w:val="1"/>
      </w:pPr>
      <w:bookmarkStart w:id="2" w:name="_Toc_2_2_0000000003"/>
      <w:r>
        <w:rPr>
          <w:rFonts w:hint="eastAsia" w:ascii="方正黑体_GBK" w:hAnsi="方正黑体_GBK" w:eastAsia="方正黑体_GBK" w:cs="方正黑体_GBK"/>
          <w:color w:val="000000"/>
          <w:sz w:val="28"/>
        </w:rPr>
        <w:t>三、工作保障措施</w:t>
      </w:r>
      <w:bookmarkEnd w:id="2"/>
    </w:p>
    <w:p>
      <w:pPr>
        <w:pStyle w:val="182"/>
      </w:pPr>
      <w:r>
        <w:rPr>
          <w:rFonts w:hint="eastAsia"/>
        </w:rPr>
        <w:t>一要以新时代</w:t>
      </w:r>
      <w:r>
        <w:t>“</w:t>
      </w:r>
      <w:r>
        <w:rPr>
          <w:rFonts w:hint="eastAsia"/>
        </w:rPr>
        <w:t>沿海强区、美丽关城和国际文化旅游名城</w:t>
      </w:r>
      <w:r>
        <w:t>”</w:t>
      </w:r>
      <w:r>
        <w:rPr>
          <w:rFonts w:hint="eastAsia"/>
        </w:rPr>
        <w:t>建设为己任，紧紧围绕</w:t>
      </w:r>
      <w:r>
        <w:t>“</w:t>
      </w:r>
      <w:r>
        <w:rPr>
          <w:rFonts w:hint="eastAsia"/>
        </w:rPr>
        <w:t>三个方面</w:t>
      </w:r>
      <w:r>
        <w:t>”</w:t>
      </w:r>
      <w:r>
        <w:rPr>
          <w:rFonts w:hint="eastAsia"/>
        </w:rPr>
        <w:t>，在助力改革发展稳定中做出积极贡献。大力实施</w:t>
      </w:r>
      <w:r>
        <w:t>“</w:t>
      </w:r>
      <w:r>
        <w:rPr>
          <w:rFonts w:hint="eastAsia"/>
        </w:rPr>
        <w:t>三大战略</w:t>
      </w:r>
      <w:r>
        <w:t>”</w:t>
      </w:r>
      <w:r>
        <w:rPr>
          <w:rFonts w:hint="eastAsia"/>
        </w:rPr>
        <w:t>、坚决打好</w:t>
      </w:r>
      <w:r>
        <w:t>“</w:t>
      </w:r>
      <w:r>
        <w:rPr>
          <w:rFonts w:hint="eastAsia"/>
        </w:rPr>
        <w:t>四场硬仗</w:t>
      </w:r>
      <w:r>
        <w:t>”</w:t>
      </w:r>
      <w:r>
        <w:rPr>
          <w:rFonts w:hint="eastAsia"/>
        </w:rPr>
        <w:t>、协调推进</w:t>
      </w:r>
      <w:r>
        <w:t>“</w:t>
      </w:r>
      <w:r>
        <w:rPr>
          <w:rFonts w:hint="eastAsia"/>
        </w:rPr>
        <w:t>六个行动</w:t>
      </w:r>
      <w:r>
        <w:t>”</w:t>
      </w:r>
      <w:r>
        <w:rPr>
          <w:rFonts w:hint="eastAsia"/>
        </w:rPr>
        <w:t>，建设新时代</w:t>
      </w:r>
      <w:r>
        <w:t>“</w:t>
      </w:r>
      <w:r>
        <w:rPr>
          <w:rFonts w:hint="eastAsia"/>
        </w:rPr>
        <w:t>沿海强区、美丽关城和国际文化旅游名城</w:t>
      </w:r>
      <w:r>
        <w:t>”</w:t>
      </w:r>
      <w:r>
        <w:rPr>
          <w:rFonts w:hint="eastAsia"/>
        </w:rPr>
        <w:t>，是全区当前和今后一个时期改革发展的中心，也是区政协和广大委员履职尽责的重点、责无旁贷的使命。我们要充分发挥人才荟萃、智力密集、渠道畅通的优势，综合运用政协提案、视察调研、社情民意、协商议政、民主监督等履职手段，谋良策、建诤言、下真功、出实招。要围绕服务中心，竭诚献计出力。聚焦项目建设、双违整治、优化营商环境、开发区转型、旅游三大片区建设、环境污染治理和生态修复等全区重点工作、重要任务，在推进思路上建睿智之言，在改进工作上献务实之策，在发展实践中聚磅礴之力。要围绕赢得民心，真情服务群众。以推动区委、区政府</w:t>
      </w:r>
      <w:r>
        <w:t>“</w:t>
      </w:r>
      <w:r>
        <w:rPr>
          <w:rFonts w:hint="eastAsia"/>
        </w:rPr>
        <w:t>福祉增进行动</w:t>
      </w:r>
      <w:r>
        <w:t>”</w:t>
      </w:r>
      <w:r>
        <w:rPr>
          <w:rFonts w:hint="eastAsia"/>
        </w:rPr>
        <w:t>的各项惠民政策落实为抓手，深入实施</w:t>
      </w:r>
      <w:r>
        <w:t>“</w:t>
      </w:r>
      <w:r>
        <w:rPr>
          <w:rFonts w:hint="eastAsia"/>
        </w:rPr>
        <w:t>六送下乡</w:t>
      </w:r>
      <w:r>
        <w:t>”“</w:t>
      </w:r>
      <w:r>
        <w:rPr>
          <w:rFonts w:hint="eastAsia"/>
        </w:rPr>
        <w:t>五个一</w:t>
      </w:r>
      <w:r>
        <w:t>”</w:t>
      </w:r>
      <w:r>
        <w:rPr>
          <w:rFonts w:hint="eastAsia"/>
        </w:rPr>
        <w:t>活动、委员工作室建设等联系和服务群众的各项工作举措，当好人民群众的知心人和代言人，协助党委政府更好地倾听民意、纾解民困、化解民怨、改善民生。要围绕凝聚人心，增进各方共识。主动加强与各党派、各团体、各民族、各阶层和各界人士的沟通联系，引导全区各界进一步把思想和行动统一到区委十届三次全会精神上来，统一到区委、区政府的部署要求上来，最大限度调动一切积极因素，凝聚一切积极力量。</w:t>
      </w:r>
    </w:p>
    <w:p>
      <w:pPr>
        <w:pStyle w:val="182"/>
      </w:pPr>
      <w:r>
        <w:rPr>
          <w:rFonts w:hint="eastAsia"/>
        </w:rPr>
        <w:t>二要以打造学习型、责任型、智库型、创新型、包容型、服务型</w:t>
      </w:r>
      <w:r>
        <w:t>“</w:t>
      </w:r>
      <w:r>
        <w:rPr>
          <w:rFonts w:hint="eastAsia"/>
        </w:rPr>
        <w:t>六型</w:t>
      </w:r>
      <w:r>
        <w:t>”</w:t>
      </w:r>
      <w:r>
        <w:rPr>
          <w:rFonts w:hint="eastAsia"/>
        </w:rPr>
        <w:t>政协为目标，突出发挥</w:t>
      </w:r>
      <w:r>
        <w:t>“</w:t>
      </w:r>
      <w:r>
        <w:rPr>
          <w:rFonts w:hint="eastAsia"/>
        </w:rPr>
        <w:t>四个作用</w:t>
      </w:r>
      <w:r>
        <w:t>”</w:t>
      </w:r>
      <w:r>
        <w:rPr>
          <w:rFonts w:hint="eastAsia"/>
        </w:rPr>
        <w:t>，在加强自身建设中树立政协新形象。要坚持在区委的领导下，充分发挥政协党组在政协组织中的政治领导作用，始终在思想上政治上行动上同以习近平同志为核心的党中央保持高度一致，确保政协工作正确的政治方向。要充分发挥政协组织中国共产党党员的先锋模范作用，切实增强党的意识、政治意识、责任意识，严守政治纪律和政治规矩，严格贯彻落实区委的决策部署，确保政协事业的前进方向。要充分发挥政协常委会的示范带动作用，每一位政协常委都要主动作为、积极作为、体现作为，在加强学习、完善自我中塑造好人品，在相互尊重、彼此激励中建立好人缘，在担当使命、履职尽责中树立好形象，努力</w:t>
      </w:r>
      <w:bookmarkStart w:id="8" w:name="_GoBack"/>
      <w:bookmarkEnd w:id="8"/>
      <w:r>
        <w:rPr>
          <w:rFonts w:hint="eastAsia"/>
        </w:rPr>
        <w:t>成为合作共事、发扬民主、求真务实、廉洁奉公的典范和楷模。要充分发挥委员在政协履职中的主体作用，抓好委员队伍建设，加强教育培训和考核管理，提升政协委员整体素养和履职能力，让每一名委员都能真正做到</w:t>
      </w:r>
      <w:r>
        <w:t>“</w:t>
      </w:r>
      <w:r>
        <w:rPr>
          <w:rFonts w:hint="eastAsia"/>
        </w:rPr>
        <w:t>懂政协、会协商、善议政</w:t>
      </w:r>
      <w:r>
        <w:t>”</w:t>
      </w:r>
      <w:r>
        <w:rPr>
          <w:rFonts w:hint="eastAsia"/>
        </w:rPr>
        <w:t>。</w:t>
      </w:r>
      <w:r>
        <w:t xml:space="preserve"> </w:t>
      </w:r>
    </w:p>
    <w:p>
      <w:pPr>
        <w:pStyle w:val="182"/>
      </w:pPr>
      <w:r>
        <w:rPr>
          <w:rFonts w:hint="eastAsia"/>
        </w:rPr>
        <w:t>四是要以完成各项规划发展目标为要务，夯实工作举措，在推动工作落实中展现新作为。要提高认识，高度重视。完成年度发展规划目标，是政协机关的职责所在。机关全体干部职工要提高思想认识，充分认识完成规划目标的重要性，大力弘扬</w:t>
      </w:r>
      <w:r>
        <w:t>“</w:t>
      </w:r>
      <w:r>
        <w:rPr>
          <w:rFonts w:hint="eastAsia"/>
        </w:rPr>
        <w:t>马上就办</w:t>
      </w:r>
      <w:r>
        <w:t>”</w:t>
      </w:r>
      <w:r>
        <w:rPr>
          <w:rFonts w:hint="eastAsia"/>
        </w:rPr>
        <w:t>的优良传统，增强执行意识、履职意识和效能意识，着力激发和调动广大干部干事创业、致力跨越的积极性、主动性，以求真务实、与时俱进的精神，拧成一股绳，形成核心力，共同推动各项规划目标的圆满完成。要加强领导，精心组织。为保障年度规划目标的圆满完成，区政协机关成立以区政协副主席白永革同志为组长，各委室负责人为成员的工作领导小组，切实加强规划目标的组织领导工作。领导小组定期召开工作会议，研究规划目标落实情况，并就工作推进中存在的问题及时研究予以解决。要健全和完善工作目标推进机制，切实加强组织领导和协同配合，形成分工明确、职责清晰、协调运转的工作机制。要分解目标，落实责任。要对年度规划目标进行责任分解，明确责任领导、责任科室以及责任人。各委室负责人为本科室工作第一责任人，要切实负起责任，深入调查研究，强化工作措施，加强运作和监督，推动目标任务实现。各委室要按照年度工作</w:t>
      </w:r>
    </w:p>
    <w:p>
      <w:pPr>
        <w:jc w:val="center"/>
        <w:sectPr>
          <w:pgSz w:w="11900" w:h="16840" w:orient="landscape"/>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hint="eastAsia"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hint="eastAsia" w:ascii="方正小标宋_GBK" w:hAnsi="方正小标宋_GBK" w:eastAsia="方正小标宋_GBK" w:cs="方正小标宋_GBK"/>
          <w:color w:val="000000"/>
          <w:sz w:val="44"/>
        </w:rPr>
        <w:t>预算项目绩效目标</w:t>
      </w:r>
    </w:p>
    <w:p>
      <w:pPr>
        <w:jc w:val="center"/>
        <w:sectPr>
          <w:pgSz w:w="11900" w:h="16840" w:orient="landscape"/>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车辆保险费绩效目标表</w:t>
      </w:r>
      <w:bookmarkEnd w:id="3"/>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8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8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6"/>
            </w:pPr>
            <w:r>
              <w:rPr>
                <w:rFonts w:hint="eastAsia"/>
              </w:rPr>
              <w:t>项目编码</w:t>
            </w:r>
          </w:p>
        </w:tc>
        <w:tc>
          <w:tcPr>
            <w:tcW w:w="2608" w:type="dxa"/>
            <w:gridSpan w:val="2"/>
            <w:noWrap w:val="0"/>
            <w:vAlign w:val="center"/>
          </w:tcPr>
          <w:p>
            <w:pPr>
              <w:pStyle w:val="185"/>
            </w:pPr>
            <w:r>
              <w:t>13030322P00397010024Q</w:t>
            </w:r>
          </w:p>
        </w:tc>
        <w:tc>
          <w:tcPr>
            <w:tcW w:w="1587" w:type="dxa"/>
            <w:noWrap w:val="0"/>
            <w:vAlign w:val="center"/>
          </w:tcPr>
          <w:p>
            <w:pPr>
              <w:pStyle w:val="186"/>
            </w:pPr>
            <w:r>
              <w:rPr>
                <w:rFonts w:hint="eastAsia"/>
              </w:rPr>
              <w:t>项目名称</w:t>
            </w:r>
          </w:p>
        </w:tc>
        <w:tc>
          <w:tcPr>
            <w:tcW w:w="4422" w:type="dxa"/>
            <w:gridSpan w:val="3"/>
            <w:noWrap w:val="0"/>
            <w:vAlign w:val="center"/>
          </w:tcPr>
          <w:p>
            <w:pPr>
              <w:pStyle w:val="185"/>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预算规模及资金用途</w:t>
            </w:r>
          </w:p>
        </w:tc>
        <w:tc>
          <w:tcPr>
            <w:tcW w:w="1276" w:type="dxa"/>
            <w:noWrap w:val="0"/>
            <w:vAlign w:val="center"/>
          </w:tcPr>
          <w:p>
            <w:pPr>
              <w:pStyle w:val="186"/>
            </w:pPr>
            <w:r>
              <w:rPr>
                <w:rFonts w:hint="eastAsia"/>
              </w:rPr>
              <w:t>预算数</w:t>
            </w:r>
          </w:p>
        </w:tc>
        <w:tc>
          <w:tcPr>
            <w:tcW w:w="1332" w:type="dxa"/>
            <w:noWrap w:val="0"/>
            <w:vAlign w:val="center"/>
          </w:tcPr>
          <w:p>
            <w:pPr>
              <w:pStyle w:val="185"/>
            </w:pPr>
            <w:r>
              <w:t>0.80</w:t>
            </w:r>
          </w:p>
        </w:tc>
        <w:tc>
          <w:tcPr>
            <w:tcW w:w="1587" w:type="dxa"/>
            <w:noWrap w:val="0"/>
            <w:vAlign w:val="center"/>
          </w:tcPr>
          <w:p>
            <w:pPr>
              <w:pStyle w:val="186"/>
            </w:pPr>
            <w:r>
              <w:rPr>
                <w:rFonts w:hint="eastAsia"/>
              </w:rPr>
              <w:t>其中：财政</w:t>
            </w:r>
            <w:r>
              <w:t xml:space="preserve">    </w:t>
            </w:r>
            <w:r>
              <w:rPr>
                <w:rFonts w:hint="eastAsia"/>
              </w:rPr>
              <w:t>资金</w:t>
            </w:r>
          </w:p>
        </w:tc>
        <w:tc>
          <w:tcPr>
            <w:tcW w:w="1304" w:type="dxa"/>
            <w:noWrap w:val="0"/>
            <w:vAlign w:val="center"/>
          </w:tcPr>
          <w:p>
            <w:pPr>
              <w:pStyle w:val="185"/>
            </w:pPr>
            <w:r>
              <w:t>0.80</w:t>
            </w:r>
          </w:p>
        </w:tc>
        <w:tc>
          <w:tcPr>
            <w:tcW w:w="1276" w:type="dxa"/>
            <w:noWrap w:val="0"/>
            <w:vAlign w:val="center"/>
          </w:tcPr>
          <w:p>
            <w:pPr>
              <w:pStyle w:val="186"/>
            </w:pPr>
            <w:r>
              <w:rPr>
                <w:rFonts w:hint="eastAsia"/>
              </w:rPr>
              <w:t>其他资金</w:t>
            </w:r>
          </w:p>
        </w:tc>
        <w:tc>
          <w:tcPr>
            <w:tcW w:w="1843" w:type="dxa"/>
            <w:noWrap w:val="0"/>
            <w:vAlign w:val="center"/>
          </w:tcPr>
          <w:p>
            <w:pPr>
              <w:pStyle w:val="18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8617" w:type="dxa"/>
            <w:gridSpan w:val="6"/>
            <w:noWrap w:val="0"/>
            <w:vAlign w:val="center"/>
          </w:tcPr>
          <w:p>
            <w:pPr>
              <w:pStyle w:val="185"/>
            </w:pPr>
            <w:r>
              <w:rPr>
                <w:rFonts w:hint="eastAsia"/>
              </w:rPr>
              <w:t>两辆公车续保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资金支出计划（</w:t>
            </w:r>
            <w:r>
              <w:t>%</w:t>
            </w:r>
            <w:r>
              <w:rPr>
                <w:rFonts w:hint="eastAsia"/>
              </w:rPr>
              <w:t>）</w:t>
            </w:r>
          </w:p>
        </w:tc>
        <w:tc>
          <w:tcPr>
            <w:tcW w:w="2608" w:type="dxa"/>
            <w:gridSpan w:val="2"/>
            <w:noWrap w:val="0"/>
            <w:vAlign w:val="center"/>
          </w:tcPr>
          <w:p>
            <w:pPr>
              <w:pStyle w:val="186"/>
            </w:pPr>
            <w:r>
              <w:t>3</w:t>
            </w:r>
            <w:r>
              <w:rPr>
                <w:rFonts w:hint="eastAsia"/>
              </w:rPr>
              <w:t>月底</w:t>
            </w:r>
          </w:p>
        </w:tc>
        <w:tc>
          <w:tcPr>
            <w:tcW w:w="1587" w:type="dxa"/>
            <w:noWrap w:val="0"/>
            <w:vAlign w:val="center"/>
          </w:tcPr>
          <w:p>
            <w:pPr>
              <w:pStyle w:val="186"/>
            </w:pPr>
            <w:r>
              <w:t>6</w:t>
            </w:r>
            <w:r>
              <w:rPr>
                <w:rFonts w:hint="eastAsia"/>
              </w:rPr>
              <w:t>月底</w:t>
            </w:r>
          </w:p>
        </w:tc>
        <w:tc>
          <w:tcPr>
            <w:tcW w:w="1304" w:type="dxa"/>
            <w:noWrap w:val="0"/>
            <w:vAlign w:val="center"/>
          </w:tcPr>
          <w:p>
            <w:pPr>
              <w:pStyle w:val="186"/>
            </w:pPr>
            <w:r>
              <w:t>10</w:t>
            </w:r>
            <w:r>
              <w:rPr>
                <w:rFonts w:hint="eastAsia"/>
              </w:rPr>
              <w:t>月底</w:t>
            </w:r>
          </w:p>
        </w:tc>
        <w:tc>
          <w:tcPr>
            <w:tcW w:w="3118" w:type="dxa"/>
            <w:gridSpan w:val="2"/>
            <w:noWrap w:val="0"/>
            <w:vAlign w:val="center"/>
          </w:tcPr>
          <w:p>
            <w:pPr>
              <w:pStyle w:val="18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2608" w:type="dxa"/>
            <w:gridSpan w:val="2"/>
            <w:noWrap w:val="0"/>
            <w:vAlign w:val="center"/>
          </w:tcPr>
          <w:p>
            <w:pPr>
              <w:pStyle w:val="187"/>
            </w:pPr>
            <w:r>
              <w:t>25%</w:t>
            </w:r>
          </w:p>
        </w:tc>
        <w:tc>
          <w:tcPr>
            <w:tcW w:w="1587" w:type="dxa"/>
            <w:noWrap w:val="0"/>
            <w:vAlign w:val="center"/>
          </w:tcPr>
          <w:p>
            <w:pPr>
              <w:pStyle w:val="187"/>
            </w:pPr>
            <w:r>
              <w:t>75%</w:t>
            </w:r>
          </w:p>
        </w:tc>
        <w:tc>
          <w:tcPr>
            <w:tcW w:w="1304" w:type="dxa"/>
            <w:noWrap w:val="0"/>
            <w:vAlign w:val="center"/>
          </w:tcPr>
          <w:p>
            <w:pPr>
              <w:pStyle w:val="187"/>
            </w:pPr>
            <w:r>
              <w:t>100%</w:t>
            </w:r>
          </w:p>
        </w:tc>
        <w:tc>
          <w:tcPr>
            <w:tcW w:w="3118" w:type="dxa"/>
            <w:gridSpan w:val="2"/>
            <w:noWrap w:val="0"/>
            <w:vAlign w:val="center"/>
          </w:tcPr>
          <w:p>
            <w:pPr>
              <w:pStyle w:val="18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86"/>
            </w:pPr>
            <w:r>
              <w:rPr>
                <w:rFonts w:hint="eastAsia"/>
              </w:rPr>
              <w:t>绩效目标</w:t>
            </w:r>
          </w:p>
        </w:tc>
        <w:tc>
          <w:tcPr>
            <w:tcW w:w="8617" w:type="dxa"/>
            <w:gridSpan w:val="6"/>
            <w:tcBorders>
              <w:bottom w:val="single" w:color="FFFFFF" w:sz="6" w:space="0"/>
            </w:tcBorders>
            <w:noWrap w:val="0"/>
            <w:vAlign w:val="center"/>
          </w:tcPr>
          <w:p>
            <w:pPr>
              <w:pStyle w:val="185"/>
            </w:pPr>
            <w:r>
              <w:t>1.</w:t>
            </w:r>
            <w:r>
              <w:rPr>
                <w:rFonts w:hint="eastAsia"/>
              </w:rPr>
              <w:t>公车保险续保</w:t>
            </w:r>
          </w:p>
        </w:tc>
      </w:tr>
    </w:tbl>
    <w:p>
      <w:pPr>
        <w:spacing w:line="2" w:lineRule="exact"/>
        <w:jc w:val="center"/>
      </w:pPr>
      <w:r>
        <w:rPr>
          <w:rFonts w:ascii="方正书宋_GBK" w:hAnsi="方正书宋_GBK" w:eastAsia="方正书宋_GBK" w:cs="方正书宋_GBK"/>
          <w:color w:val="000000"/>
          <w:sz w:val="21"/>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6"/>
            </w:pPr>
            <w:r>
              <w:rPr>
                <w:rFonts w:hint="eastAsia"/>
              </w:rPr>
              <w:t>一级指标</w:t>
            </w:r>
          </w:p>
        </w:tc>
        <w:tc>
          <w:tcPr>
            <w:tcW w:w="1276" w:type="dxa"/>
            <w:noWrap w:val="0"/>
            <w:vAlign w:val="center"/>
          </w:tcPr>
          <w:p>
            <w:pPr>
              <w:pStyle w:val="186"/>
            </w:pPr>
            <w:r>
              <w:rPr>
                <w:rFonts w:hint="eastAsia"/>
              </w:rPr>
              <w:t>二级指标</w:t>
            </w:r>
          </w:p>
        </w:tc>
        <w:tc>
          <w:tcPr>
            <w:tcW w:w="1332" w:type="dxa"/>
            <w:noWrap w:val="0"/>
            <w:vAlign w:val="center"/>
          </w:tcPr>
          <w:p>
            <w:pPr>
              <w:pStyle w:val="186"/>
            </w:pPr>
            <w:r>
              <w:rPr>
                <w:rFonts w:hint="eastAsia"/>
              </w:rPr>
              <w:t>三级指标</w:t>
            </w:r>
          </w:p>
        </w:tc>
        <w:tc>
          <w:tcPr>
            <w:tcW w:w="2891" w:type="dxa"/>
            <w:noWrap w:val="0"/>
            <w:vAlign w:val="center"/>
          </w:tcPr>
          <w:p>
            <w:pPr>
              <w:pStyle w:val="186"/>
            </w:pPr>
            <w:r>
              <w:rPr>
                <w:rFonts w:hint="eastAsia"/>
              </w:rPr>
              <w:t>绩效指标描述</w:t>
            </w:r>
          </w:p>
        </w:tc>
        <w:tc>
          <w:tcPr>
            <w:tcW w:w="1276" w:type="dxa"/>
            <w:noWrap w:val="0"/>
            <w:vAlign w:val="center"/>
          </w:tcPr>
          <w:p>
            <w:pPr>
              <w:pStyle w:val="186"/>
            </w:pPr>
            <w:r>
              <w:rPr>
                <w:rFonts w:hint="eastAsia"/>
              </w:rPr>
              <w:t>指标值</w:t>
            </w:r>
          </w:p>
        </w:tc>
        <w:tc>
          <w:tcPr>
            <w:tcW w:w="1843" w:type="dxa"/>
            <w:noWrap w:val="0"/>
            <w:vAlign w:val="center"/>
          </w:tcPr>
          <w:p>
            <w:pPr>
              <w:pStyle w:val="18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产出指标</w:t>
            </w:r>
          </w:p>
        </w:tc>
        <w:tc>
          <w:tcPr>
            <w:tcW w:w="1276" w:type="dxa"/>
            <w:noWrap w:val="0"/>
            <w:vAlign w:val="center"/>
          </w:tcPr>
          <w:p>
            <w:pPr>
              <w:pStyle w:val="185"/>
            </w:pPr>
            <w:r>
              <w:rPr>
                <w:rFonts w:hint="eastAsia"/>
              </w:rPr>
              <w:t>数量指标</w:t>
            </w:r>
          </w:p>
        </w:tc>
        <w:tc>
          <w:tcPr>
            <w:tcW w:w="1332" w:type="dxa"/>
            <w:noWrap w:val="0"/>
            <w:vAlign w:val="center"/>
          </w:tcPr>
          <w:p>
            <w:pPr>
              <w:pStyle w:val="185"/>
            </w:pPr>
            <w:r>
              <w:rPr>
                <w:rFonts w:hint="eastAsia"/>
              </w:rPr>
              <w:t>车辆正常使用情况</w:t>
            </w:r>
          </w:p>
        </w:tc>
        <w:tc>
          <w:tcPr>
            <w:tcW w:w="2891" w:type="dxa"/>
            <w:noWrap w:val="0"/>
            <w:vAlign w:val="center"/>
          </w:tcPr>
          <w:p>
            <w:pPr>
              <w:pStyle w:val="185"/>
            </w:pPr>
            <w:r>
              <w:rPr>
                <w:rFonts w:hint="eastAsia"/>
              </w:rPr>
              <w:t>车辆正常使用率</w:t>
            </w:r>
          </w:p>
        </w:tc>
        <w:tc>
          <w:tcPr>
            <w:tcW w:w="1276" w:type="dxa"/>
            <w:noWrap w:val="0"/>
            <w:vAlign w:val="center"/>
          </w:tcPr>
          <w:p>
            <w:pPr>
              <w:pStyle w:val="185"/>
            </w:pPr>
            <w:r>
              <w:rPr>
                <w:rFonts w:hint="eastAsia"/>
              </w:rPr>
              <w:t>≥</w:t>
            </w:r>
            <w:r>
              <w:t>75%</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质量指标</w:t>
            </w:r>
          </w:p>
        </w:tc>
        <w:tc>
          <w:tcPr>
            <w:tcW w:w="1332" w:type="dxa"/>
            <w:noWrap w:val="0"/>
            <w:vAlign w:val="center"/>
          </w:tcPr>
          <w:p>
            <w:pPr>
              <w:pStyle w:val="185"/>
            </w:pPr>
            <w:r>
              <w:rPr>
                <w:rFonts w:hint="eastAsia"/>
              </w:rPr>
              <w:t>完成续保车辆的数量</w:t>
            </w:r>
          </w:p>
        </w:tc>
        <w:tc>
          <w:tcPr>
            <w:tcW w:w="2891" w:type="dxa"/>
            <w:noWrap w:val="0"/>
            <w:vAlign w:val="center"/>
          </w:tcPr>
          <w:p>
            <w:pPr>
              <w:pStyle w:val="185"/>
            </w:pPr>
            <w:r>
              <w:rPr>
                <w:rFonts w:hint="eastAsia"/>
              </w:rPr>
              <w:t>全部车辆完成续保</w:t>
            </w:r>
          </w:p>
        </w:tc>
        <w:tc>
          <w:tcPr>
            <w:tcW w:w="1276" w:type="dxa"/>
            <w:noWrap w:val="0"/>
            <w:vAlign w:val="center"/>
          </w:tcPr>
          <w:p>
            <w:pPr>
              <w:pStyle w:val="185"/>
            </w:pPr>
            <w:r>
              <w:rPr>
                <w:rFonts w:hint="eastAsia"/>
              </w:rPr>
              <w:t>≥</w:t>
            </w:r>
            <w:r>
              <w:t>75%</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时效指标</w:t>
            </w:r>
          </w:p>
        </w:tc>
        <w:tc>
          <w:tcPr>
            <w:tcW w:w="1332" w:type="dxa"/>
            <w:noWrap w:val="0"/>
            <w:vAlign w:val="center"/>
          </w:tcPr>
          <w:p>
            <w:pPr>
              <w:pStyle w:val="185"/>
            </w:pPr>
            <w:r>
              <w:rPr>
                <w:rFonts w:hint="eastAsia"/>
              </w:rPr>
              <w:t>完成率</w:t>
            </w:r>
          </w:p>
        </w:tc>
        <w:tc>
          <w:tcPr>
            <w:tcW w:w="2891" w:type="dxa"/>
            <w:noWrap w:val="0"/>
            <w:vAlign w:val="center"/>
          </w:tcPr>
          <w:p>
            <w:pPr>
              <w:pStyle w:val="185"/>
            </w:pPr>
            <w:r>
              <w:rPr>
                <w:rFonts w:hint="eastAsia"/>
              </w:rPr>
              <w:t>车辆续保完成情况</w:t>
            </w:r>
          </w:p>
        </w:tc>
        <w:tc>
          <w:tcPr>
            <w:tcW w:w="1276" w:type="dxa"/>
            <w:noWrap w:val="0"/>
            <w:vAlign w:val="center"/>
          </w:tcPr>
          <w:p>
            <w:pPr>
              <w:pStyle w:val="185"/>
            </w:pPr>
            <w:r>
              <w:rPr>
                <w:rFonts w:hint="eastAsia"/>
              </w:rPr>
              <w:t>≥</w:t>
            </w:r>
            <w:r>
              <w:t>75%</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成本指标</w:t>
            </w:r>
          </w:p>
        </w:tc>
        <w:tc>
          <w:tcPr>
            <w:tcW w:w="1332" w:type="dxa"/>
            <w:noWrap w:val="0"/>
            <w:vAlign w:val="center"/>
          </w:tcPr>
          <w:p>
            <w:pPr>
              <w:pStyle w:val="185"/>
            </w:pPr>
            <w:r>
              <w:rPr>
                <w:rFonts w:hint="eastAsia"/>
              </w:rPr>
              <w:t>按总成本控制</w:t>
            </w:r>
          </w:p>
        </w:tc>
        <w:tc>
          <w:tcPr>
            <w:tcW w:w="2891" w:type="dxa"/>
            <w:noWrap w:val="0"/>
            <w:vAlign w:val="center"/>
          </w:tcPr>
          <w:p>
            <w:pPr>
              <w:pStyle w:val="185"/>
            </w:pPr>
            <w:r>
              <w:rPr>
                <w:rFonts w:hint="eastAsia"/>
              </w:rPr>
              <w:t>按总成本控制</w:t>
            </w:r>
          </w:p>
        </w:tc>
        <w:tc>
          <w:tcPr>
            <w:tcW w:w="1276" w:type="dxa"/>
            <w:noWrap w:val="0"/>
            <w:vAlign w:val="center"/>
          </w:tcPr>
          <w:p>
            <w:pPr>
              <w:pStyle w:val="185"/>
            </w:pPr>
            <w:r>
              <w:rPr>
                <w:rFonts w:hint="eastAsia"/>
              </w:rPr>
              <w:t>≥</w:t>
            </w:r>
            <w:r>
              <w:t>100%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效益指标</w:t>
            </w:r>
          </w:p>
        </w:tc>
        <w:tc>
          <w:tcPr>
            <w:tcW w:w="1276" w:type="dxa"/>
            <w:noWrap w:val="0"/>
            <w:vAlign w:val="center"/>
          </w:tcPr>
          <w:p>
            <w:pPr>
              <w:pStyle w:val="185"/>
            </w:pPr>
            <w:r>
              <w:rPr>
                <w:rFonts w:hint="eastAsia"/>
              </w:rPr>
              <w:t>经济效益指标</w:t>
            </w:r>
          </w:p>
        </w:tc>
        <w:tc>
          <w:tcPr>
            <w:tcW w:w="1332" w:type="dxa"/>
            <w:noWrap w:val="0"/>
            <w:vAlign w:val="center"/>
          </w:tcPr>
          <w:p>
            <w:pPr>
              <w:pStyle w:val="185"/>
            </w:pPr>
            <w:r>
              <w:rPr>
                <w:rFonts w:hint="eastAsia"/>
              </w:rPr>
              <w:t>节约车辆保险费用</w:t>
            </w:r>
          </w:p>
        </w:tc>
        <w:tc>
          <w:tcPr>
            <w:tcW w:w="2891" w:type="dxa"/>
            <w:noWrap w:val="0"/>
            <w:vAlign w:val="center"/>
          </w:tcPr>
          <w:p>
            <w:pPr>
              <w:pStyle w:val="185"/>
            </w:pPr>
            <w:r>
              <w:rPr>
                <w:rFonts w:hint="eastAsia"/>
              </w:rPr>
              <w:t>节约车辆保险费用</w:t>
            </w:r>
          </w:p>
        </w:tc>
        <w:tc>
          <w:tcPr>
            <w:tcW w:w="1276" w:type="dxa"/>
            <w:noWrap w:val="0"/>
            <w:vAlign w:val="center"/>
          </w:tcPr>
          <w:p>
            <w:pPr>
              <w:pStyle w:val="185"/>
            </w:pPr>
            <w:r>
              <w:rPr>
                <w:rFonts w:hint="eastAsia"/>
              </w:rPr>
              <w:t>节约车辆保险费用</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社会效益指标</w:t>
            </w:r>
          </w:p>
        </w:tc>
        <w:tc>
          <w:tcPr>
            <w:tcW w:w="1332" w:type="dxa"/>
            <w:noWrap w:val="0"/>
            <w:vAlign w:val="center"/>
          </w:tcPr>
          <w:p>
            <w:pPr>
              <w:pStyle w:val="185"/>
            </w:pPr>
            <w:r>
              <w:rPr>
                <w:rFonts w:hint="eastAsia"/>
              </w:rPr>
              <w:t>保障车辆管理工作有序开展</w:t>
            </w:r>
          </w:p>
        </w:tc>
        <w:tc>
          <w:tcPr>
            <w:tcW w:w="2891" w:type="dxa"/>
            <w:noWrap w:val="0"/>
            <w:vAlign w:val="center"/>
          </w:tcPr>
          <w:p>
            <w:pPr>
              <w:pStyle w:val="185"/>
            </w:pPr>
            <w:r>
              <w:rPr>
                <w:rFonts w:hint="eastAsia"/>
              </w:rPr>
              <w:t>正常安全持续使用</w:t>
            </w:r>
          </w:p>
        </w:tc>
        <w:tc>
          <w:tcPr>
            <w:tcW w:w="1276" w:type="dxa"/>
            <w:noWrap w:val="0"/>
            <w:vAlign w:val="center"/>
          </w:tcPr>
          <w:p>
            <w:pPr>
              <w:pStyle w:val="185"/>
            </w:pPr>
            <w:r>
              <w:rPr>
                <w:rFonts w:hint="eastAsia"/>
              </w:rPr>
              <w:t>车辆正常使用</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生态效益指标</w:t>
            </w:r>
          </w:p>
        </w:tc>
        <w:tc>
          <w:tcPr>
            <w:tcW w:w="1332" w:type="dxa"/>
            <w:noWrap w:val="0"/>
            <w:vAlign w:val="center"/>
          </w:tcPr>
          <w:p>
            <w:pPr>
              <w:pStyle w:val="185"/>
            </w:pPr>
            <w:r>
              <w:rPr>
                <w:rFonts w:hint="eastAsia"/>
              </w:rPr>
              <w:t>节能环保减排</w:t>
            </w:r>
          </w:p>
        </w:tc>
        <w:tc>
          <w:tcPr>
            <w:tcW w:w="2891" w:type="dxa"/>
            <w:noWrap w:val="0"/>
            <w:vAlign w:val="center"/>
          </w:tcPr>
          <w:p>
            <w:pPr>
              <w:pStyle w:val="185"/>
            </w:pPr>
            <w:r>
              <w:rPr>
                <w:rFonts w:hint="eastAsia"/>
              </w:rPr>
              <w:t>节能环保减排</w:t>
            </w:r>
          </w:p>
        </w:tc>
        <w:tc>
          <w:tcPr>
            <w:tcW w:w="1276" w:type="dxa"/>
            <w:noWrap w:val="0"/>
            <w:vAlign w:val="center"/>
          </w:tcPr>
          <w:p>
            <w:pPr>
              <w:pStyle w:val="185"/>
            </w:pPr>
            <w:r>
              <w:rPr>
                <w:rFonts w:hint="eastAsia"/>
              </w:rPr>
              <w:t>节能环保减排</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可持续影响指标</w:t>
            </w:r>
          </w:p>
        </w:tc>
        <w:tc>
          <w:tcPr>
            <w:tcW w:w="1332" w:type="dxa"/>
            <w:noWrap w:val="0"/>
            <w:vAlign w:val="center"/>
          </w:tcPr>
          <w:p>
            <w:pPr>
              <w:pStyle w:val="185"/>
            </w:pPr>
            <w:r>
              <w:rPr>
                <w:rFonts w:hint="eastAsia"/>
              </w:rPr>
              <w:t>持续保障车辆管理</w:t>
            </w:r>
          </w:p>
        </w:tc>
        <w:tc>
          <w:tcPr>
            <w:tcW w:w="2891" w:type="dxa"/>
            <w:noWrap w:val="0"/>
            <w:vAlign w:val="center"/>
          </w:tcPr>
          <w:p>
            <w:pPr>
              <w:pStyle w:val="185"/>
            </w:pPr>
            <w:r>
              <w:rPr>
                <w:rFonts w:hint="eastAsia"/>
              </w:rPr>
              <w:t>持续保障车辆管理</w:t>
            </w:r>
          </w:p>
        </w:tc>
        <w:tc>
          <w:tcPr>
            <w:tcW w:w="1276" w:type="dxa"/>
            <w:noWrap w:val="0"/>
            <w:vAlign w:val="center"/>
          </w:tcPr>
          <w:p>
            <w:pPr>
              <w:pStyle w:val="185"/>
            </w:pPr>
            <w:r>
              <w:rPr>
                <w:rFonts w:hint="eastAsia"/>
              </w:rPr>
              <w:t>持续保障车辆管理</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7"/>
            </w:pPr>
            <w:r>
              <w:rPr>
                <w:rFonts w:hint="eastAsia"/>
              </w:rPr>
              <w:t>满意度指标</w:t>
            </w:r>
          </w:p>
        </w:tc>
        <w:tc>
          <w:tcPr>
            <w:tcW w:w="1276" w:type="dxa"/>
            <w:noWrap w:val="0"/>
            <w:vAlign w:val="center"/>
          </w:tcPr>
          <w:p>
            <w:pPr>
              <w:pStyle w:val="185"/>
            </w:pPr>
            <w:r>
              <w:rPr>
                <w:rFonts w:hint="eastAsia"/>
              </w:rPr>
              <w:t>服务对象满意度指标</w:t>
            </w:r>
          </w:p>
        </w:tc>
        <w:tc>
          <w:tcPr>
            <w:tcW w:w="1332" w:type="dxa"/>
            <w:noWrap w:val="0"/>
            <w:vAlign w:val="center"/>
          </w:tcPr>
          <w:p>
            <w:pPr>
              <w:pStyle w:val="185"/>
            </w:pPr>
            <w:r>
              <w:rPr>
                <w:rFonts w:hint="eastAsia"/>
              </w:rPr>
              <w:t>群众满意度</w:t>
            </w:r>
          </w:p>
        </w:tc>
        <w:tc>
          <w:tcPr>
            <w:tcW w:w="2891" w:type="dxa"/>
            <w:noWrap w:val="0"/>
            <w:vAlign w:val="center"/>
          </w:tcPr>
          <w:p>
            <w:pPr>
              <w:pStyle w:val="185"/>
            </w:pPr>
            <w:r>
              <w:rPr>
                <w:rFonts w:hint="eastAsia"/>
              </w:rPr>
              <w:t>群众对公车使用的整体满意度</w:t>
            </w:r>
          </w:p>
        </w:tc>
        <w:tc>
          <w:tcPr>
            <w:tcW w:w="1276" w:type="dxa"/>
            <w:noWrap w:val="0"/>
            <w:vAlign w:val="center"/>
          </w:tcPr>
          <w:p>
            <w:pPr>
              <w:pStyle w:val="185"/>
            </w:pPr>
            <w:r>
              <w:t>%</w:t>
            </w:r>
          </w:p>
        </w:tc>
        <w:tc>
          <w:tcPr>
            <w:tcW w:w="1843" w:type="dxa"/>
            <w:noWrap w:val="0"/>
            <w:vAlign w:val="center"/>
          </w:tcPr>
          <w:p>
            <w:pPr>
              <w:pStyle w:val="185"/>
            </w:pPr>
            <w:r>
              <w:rPr>
                <w:rFonts w:hint="eastAsia"/>
              </w:rPr>
              <w:t>年度工作计划</w:t>
            </w:r>
          </w:p>
        </w:tc>
      </w:tr>
    </w:tbl>
    <w:p>
      <w:pPr>
        <w:sectPr>
          <w:pgSz w:w="11900" w:h="16840" w:orient="landscape"/>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综合事务管理绩效目标表</w:t>
      </w:r>
      <w:bookmarkEnd w:id="4"/>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8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8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6"/>
            </w:pPr>
            <w:r>
              <w:rPr>
                <w:rFonts w:hint="eastAsia"/>
              </w:rPr>
              <w:t>项目编码</w:t>
            </w:r>
          </w:p>
        </w:tc>
        <w:tc>
          <w:tcPr>
            <w:tcW w:w="2608" w:type="dxa"/>
            <w:gridSpan w:val="2"/>
            <w:noWrap w:val="0"/>
            <w:vAlign w:val="center"/>
          </w:tcPr>
          <w:p>
            <w:pPr>
              <w:pStyle w:val="185"/>
            </w:pPr>
            <w:r>
              <w:t>13030322P00396710002A</w:t>
            </w:r>
          </w:p>
        </w:tc>
        <w:tc>
          <w:tcPr>
            <w:tcW w:w="1587" w:type="dxa"/>
            <w:noWrap w:val="0"/>
            <w:vAlign w:val="center"/>
          </w:tcPr>
          <w:p>
            <w:pPr>
              <w:pStyle w:val="186"/>
            </w:pPr>
            <w:r>
              <w:rPr>
                <w:rFonts w:hint="eastAsia"/>
              </w:rPr>
              <w:t>项目名称</w:t>
            </w:r>
          </w:p>
        </w:tc>
        <w:tc>
          <w:tcPr>
            <w:tcW w:w="4422" w:type="dxa"/>
            <w:gridSpan w:val="3"/>
            <w:noWrap w:val="0"/>
            <w:vAlign w:val="center"/>
          </w:tcPr>
          <w:p>
            <w:pPr>
              <w:pStyle w:val="185"/>
            </w:pPr>
            <w:r>
              <w:rPr>
                <w:rFonts w:hint="eastAsia"/>
              </w:rP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预算规模及资金用途</w:t>
            </w:r>
          </w:p>
        </w:tc>
        <w:tc>
          <w:tcPr>
            <w:tcW w:w="1276" w:type="dxa"/>
            <w:noWrap w:val="0"/>
            <w:vAlign w:val="center"/>
          </w:tcPr>
          <w:p>
            <w:pPr>
              <w:pStyle w:val="186"/>
            </w:pPr>
            <w:r>
              <w:rPr>
                <w:rFonts w:hint="eastAsia"/>
              </w:rPr>
              <w:t>预算数</w:t>
            </w:r>
          </w:p>
        </w:tc>
        <w:tc>
          <w:tcPr>
            <w:tcW w:w="1332" w:type="dxa"/>
            <w:noWrap w:val="0"/>
            <w:vAlign w:val="center"/>
          </w:tcPr>
          <w:p>
            <w:pPr>
              <w:pStyle w:val="185"/>
            </w:pPr>
            <w:r>
              <w:t>15.00</w:t>
            </w:r>
          </w:p>
        </w:tc>
        <w:tc>
          <w:tcPr>
            <w:tcW w:w="1587" w:type="dxa"/>
            <w:noWrap w:val="0"/>
            <w:vAlign w:val="center"/>
          </w:tcPr>
          <w:p>
            <w:pPr>
              <w:pStyle w:val="186"/>
            </w:pPr>
            <w:r>
              <w:rPr>
                <w:rFonts w:hint="eastAsia"/>
              </w:rPr>
              <w:t>其中：财政</w:t>
            </w:r>
            <w:r>
              <w:t xml:space="preserve">    </w:t>
            </w:r>
            <w:r>
              <w:rPr>
                <w:rFonts w:hint="eastAsia"/>
              </w:rPr>
              <w:t>资金</w:t>
            </w:r>
          </w:p>
        </w:tc>
        <w:tc>
          <w:tcPr>
            <w:tcW w:w="1304" w:type="dxa"/>
            <w:noWrap w:val="0"/>
            <w:vAlign w:val="center"/>
          </w:tcPr>
          <w:p>
            <w:pPr>
              <w:pStyle w:val="185"/>
            </w:pPr>
            <w:r>
              <w:t>15.00</w:t>
            </w:r>
          </w:p>
        </w:tc>
        <w:tc>
          <w:tcPr>
            <w:tcW w:w="1276" w:type="dxa"/>
            <w:noWrap w:val="0"/>
            <w:vAlign w:val="center"/>
          </w:tcPr>
          <w:p>
            <w:pPr>
              <w:pStyle w:val="186"/>
            </w:pPr>
            <w:r>
              <w:rPr>
                <w:rFonts w:hint="eastAsia"/>
              </w:rPr>
              <w:t>其他资金</w:t>
            </w:r>
          </w:p>
        </w:tc>
        <w:tc>
          <w:tcPr>
            <w:tcW w:w="1843" w:type="dxa"/>
            <w:noWrap w:val="0"/>
            <w:vAlign w:val="center"/>
          </w:tcPr>
          <w:p>
            <w:pPr>
              <w:pStyle w:val="18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8617" w:type="dxa"/>
            <w:gridSpan w:val="6"/>
            <w:noWrap w:val="0"/>
            <w:vAlign w:val="center"/>
          </w:tcPr>
          <w:p>
            <w:pPr>
              <w:pStyle w:val="185"/>
            </w:pPr>
            <w:r>
              <w:rPr>
                <w:rFonts w:hint="eastAsia"/>
              </w:rPr>
              <w:t>机关日常运行维护费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资金支出计划（</w:t>
            </w:r>
            <w:r>
              <w:t>%</w:t>
            </w:r>
            <w:r>
              <w:rPr>
                <w:rFonts w:hint="eastAsia"/>
              </w:rPr>
              <w:t>）</w:t>
            </w:r>
          </w:p>
        </w:tc>
        <w:tc>
          <w:tcPr>
            <w:tcW w:w="2608" w:type="dxa"/>
            <w:gridSpan w:val="2"/>
            <w:noWrap w:val="0"/>
            <w:vAlign w:val="center"/>
          </w:tcPr>
          <w:p>
            <w:pPr>
              <w:pStyle w:val="186"/>
            </w:pPr>
            <w:r>
              <w:t>3</w:t>
            </w:r>
            <w:r>
              <w:rPr>
                <w:rFonts w:hint="eastAsia"/>
              </w:rPr>
              <w:t>月底</w:t>
            </w:r>
          </w:p>
        </w:tc>
        <w:tc>
          <w:tcPr>
            <w:tcW w:w="1587" w:type="dxa"/>
            <w:noWrap w:val="0"/>
            <w:vAlign w:val="center"/>
          </w:tcPr>
          <w:p>
            <w:pPr>
              <w:pStyle w:val="186"/>
            </w:pPr>
            <w:r>
              <w:t>6</w:t>
            </w:r>
            <w:r>
              <w:rPr>
                <w:rFonts w:hint="eastAsia"/>
              </w:rPr>
              <w:t>月底</w:t>
            </w:r>
          </w:p>
        </w:tc>
        <w:tc>
          <w:tcPr>
            <w:tcW w:w="1304" w:type="dxa"/>
            <w:noWrap w:val="0"/>
            <w:vAlign w:val="center"/>
          </w:tcPr>
          <w:p>
            <w:pPr>
              <w:pStyle w:val="186"/>
            </w:pPr>
            <w:r>
              <w:t>10</w:t>
            </w:r>
            <w:r>
              <w:rPr>
                <w:rFonts w:hint="eastAsia"/>
              </w:rPr>
              <w:t>月底</w:t>
            </w:r>
          </w:p>
        </w:tc>
        <w:tc>
          <w:tcPr>
            <w:tcW w:w="3118" w:type="dxa"/>
            <w:gridSpan w:val="2"/>
            <w:noWrap w:val="0"/>
            <w:vAlign w:val="center"/>
          </w:tcPr>
          <w:p>
            <w:pPr>
              <w:pStyle w:val="18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2608" w:type="dxa"/>
            <w:gridSpan w:val="2"/>
            <w:noWrap w:val="0"/>
            <w:vAlign w:val="center"/>
          </w:tcPr>
          <w:p>
            <w:pPr>
              <w:pStyle w:val="187"/>
            </w:pPr>
            <w:r>
              <w:t>50%</w:t>
            </w:r>
          </w:p>
        </w:tc>
        <w:tc>
          <w:tcPr>
            <w:tcW w:w="1587" w:type="dxa"/>
            <w:noWrap w:val="0"/>
            <w:vAlign w:val="center"/>
          </w:tcPr>
          <w:p>
            <w:pPr>
              <w:pStyle w:val="187"/>
            </w:pPr>
            <w:r>
              <w:t>100%</w:t>
            </w:r>
          </w:p>
        </w:tc>
        <w:tc>
          <w:tcPr>
            <w:tcW w:w="1304" w:type="dxa"/>
            <w:noWrap w:val="0"/>
            <w:vAlign w:val="center"/>
          </w:tcPr>
          <w:p>
            <w:pPr>
              <w:pStyle w:val="187"/>
            </w:pPr>
            <w:r>
              <w:t>100%</w:t>
            </w:r>
          </w:p>
        </w:tc>
        <w:tc>
          <w:tcPr>
            <w:tcW w:w="3118" w:type="dxa"/>
            <w:gridSpan w:val="2"/>
            <w:noWrap w:val="0"/>
            <w:vAlign w:val="center"/>
          </w:tcPr>
          <w:p>
            <w:pPr>
              <w:pStyle w:val="18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86"/>
            </w:pPr>
            <w:r>
              <w:rPr>
                <w:rFonts w:hint="eastAsia"/>
              </w:rPr>
              <w:t>绩效目标</w:t>
            </w:r>
          </w:p>
        </w:tc>
        <w:tc>
          <w:tcPr>
            <w:tcW w:w="8617" w:type="dxa"/>
            <w:gridSpan w:val="6"/>
            <w:tcBorders>
              <w:bottom w:val="single" w:color="FFFFFF" w:sz="6" w:space="0"/>
            </w:tcBorders>
            <w:noWrap w:val="0"/>
            <w:vAlign w:val="center"/>
          </w:tcPr>
          <w:p>
            <w:pPr>
              <w:pStyle w:val="185"/>
            </w:pPr>
            <w:r>
              <w:t>1.</w:t>
            </w:r>
            <w:r>
              <w:rPr>
                <w:rFonts w:hint="eastAsia"/>
              </w:rPr>
              <w:t>机关综合事务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6"/>
            </w:pPr>
            <w:r>
              <w:rPr>
                <w:rFonts w:hint="eastAsia"/>
              </w:rPr>
              <w:t>一级指标</w:t>
            </w:r>
          </w:p>
        </w:tc>
        <w:tc>
          <w:tcPr>
            <w:tcW w:w="1276" w:type="dxa"/>
            <w:noWrap w:val="0"/>
            <w:vAlign w:val="center"/>
          </w:tcPr>
          <w:p>
            <w:pPr>
              <w:pStyle w:val="186"/>
            </w:pPr>
            <w:r>
              <w:rPr>
                <w:rFonts w:hint="eastAsia"/>
              </w:rPr>
              <w:t>二级指标</w:t>
            </w:r>
          </w:p>
        </w:tc>
        <w:tc>
          <w:tcPr>
            <w:tcW w:w="1332" w:type="dxa"/>
            <w:noWrap w:val="0"/>
            <w:vAlign w:val="center"/>
          </w:tcPr>
          <w:p>
            <w:pPr>
              <w:pStyle w:val="186"/>
            </w:pPr>
            <w:r>
              <w:rPr>
                <w:rFonts w:hint="eastAsia"/>
              </w:rPr>
              <w:t>三级指标</w:t>
            </w:r>
          </w:p>
        </w:tc>
        <w:tc>
          <w:tcPr>
            <w:tcW w:w="2891" w:type="dxa"/>
            <w:noWrap w:val="0"/>
            <w:vAlign w:val="center"/>
          </w:tcPr>
          <w:p>
            <w:pPr>
              <w:pStyle w:val="186"/>
            </w:pPr>
            <w:r>
              <w:rPr>
                <w:rFonts w:hint="eastAsia"/>
              </w:rPr>
              <w:t>绩效指标描述</w:t>
            </w:r>
          </w:p>
        </w:tc>
        <w:tc>
          <w:tcPr>
            <w:tcW w:w="1276" w:type="dxa"/>
            <w:noWrap w:val="0"/>
            <w:vAlign w:val="center"/>
          </w:tcPr>
          <w:p>
            <w:pPr>
              <w:pStyle w:val="186"/>
            </w:pPr>
            <w:r>
              <w:rPr>
                <w:rFonts w:hint="eastAsia"/>
              </w:rPr>
              <w:t>指标值</w:t>
            </w:r>
          </w:p>
        </w:tc>
        <w:tc>
          <w:tcPr>
            <w:tcW w:w="1843" w:type="dxa"/>
            <w:noWrap w:val="0"/>
            <w:vAlign w:val="center"/>
          </w:tcPr>
          <w:p>
            <w:pPr>
              <w:pStyle w:val="18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产出指标</w:t>
            </w:r>
          </w:p>
        </w:tc>
        <w:tc>
          <w:tcPr>
            <w:tcW w:w="1276" w:type="dxa"/>
            <w:noWrap w:val="0"/>
            <w:vAlign w:val="center"/>
          </w:tcPr>
          <w:p>
            <w:pPr>
              <w:pStyle w:val="185"/>
            </w:pPr>
            <w:r>
              <w:rPr>
                <w:rFonts w:hint="eastAsia"/>
              </w:rPr>
              <w:t>数量指标</w:t>
            </w:r>
          </w:p>
        </w:tc>
        <w:tc>
          <w:tcPr>
            <w:tcW w:w="1332" w:type="dxa"/>
            <w:noWrap w:val="0"/>
            <w:vAlign w:val="center"/>
          </w:tcPr>
          <w:p>
            <w:pPr>
              <w:pStyle w:val="185"/>
            </w:pPr>
            <w:r>
              <w:rPr>
                <w:rFonts w:hint="eastAsia"/>
              </w:rPr>
              <w:t>支付办公经费人数</w:t>
            </w:r>
          </w:p>
        </w:tc>
        <w:tc>
          <w:tcPr>
            <w:tcW w:w="2891" w:type="dxa"/>
            <w:noWrap w:val="0"/>
            <w:vAlign w:val="center"/>
          </w:tcPr>
          <w:p>
            <w:pPr>
              <w:pStyle w:val="185"/>
            </w:pPr>
            <w:r>
              <w:rPr>
                <w:rFonts w:hint="eastAsia"/>
              </w:rPr>
              <w:t>支付办公经费人数</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质量指标</w:t>
            </w:r>
          </w:p>
        </w:tc>
        <w:tc>
          <w:tcPr>
            <w:tcW w:w="1332" w:type="dxa"/>
            <w:noWrap w:val="0"/>
            <w:vAlign w:val="center"/>
          </w:tcPr>
          <w:p>
            <w:pPr>
              <w:pStyle w:val="185"/>
            </w:pPr>
            <w:r>
              <w:rPr>
                <w:rFonts w:hint="eastAsia"/>
              </w:rPr>
              <w:t>办公设备运行率</w:t>
            </w:r>
          </w:p>
        </w:tc>
        <w:tc>
          <w:tcPr>
            <w:tcW w:w="2891" w:type="dxa"/>
            <w:noWrap w:val="0"/>
            <w:vAlign w:val="center"/>
          </w:tcPr>
          <w:p>
            <w:pPr>
              <w:pStyle w:val="185"/>
            </w:pPr>
            <w:r>
              <w:rPr>
                <w:rFonts w:hint="eastAsia"/>
              </w:rPr>
              <w:t>办公设备正常运行率</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时效指标</w:t>
            </w:r>
          </w:p>
        </w:tc>
        <w:tc>
          <w:tcPr>
            <w:tcW w:w="1332" w:type="dxa"/>
            <w:noWrap w:val="0"/>
            <w:vAlign w:val="center"/>
          </w:tcPr>
          <w:p>
            <w:pPr>
              <w:pStyle w:val="185"/>
            </w:pPr>
            <w:r>
              <w:rPr>
                <w:rFonts w:hint="eastAsia"/>
              </w:rPr>
              <w:t>完成率</w:t>
            </w:r>
          </w:p>
        </w:tc>
        <w:tc>
          <w:tcPr>
            <w:tcW w:w="2891" w:type="dxa"/>
            <w:noWrap w:val="0"/>
            <w:vAlign w:val="center"/>
          </w:tcPr>
          <w:p>
            <w:pPr>
              <w:pStyle w:val="185"/>
            </w:pPr>
            <w:r>
              <w:rPr>
                <w:rFonts w:hint="eastAsia"/>
              </w:rPr>
              <w:t>保障政协工作正产运转</w:t>
            </w:r>
          </w:p>
        </w:tc>
        <w:tc>
          <w:tcPr>
            <w:tcW w:w="1276" w:type="dxa"/>
            <w:noWrap w:val="0"/>
            <w:vAlign w:val="center"/>
          </w:tcPr>
          <w:p>
            <w:pPr>
              <w:pStyle w:val="185"/>
            </w:pPr>
            <w:r>
              <w:rPr>
                <w:rFonts w:hint="eastAsia"/>
              </w:rPr>
              <w:t>人</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成本指标</w:t>
            </w:r>
          </w:p>
        </w:tc>
        <w:tc>
          <w:tcPr>
            <w:tcW w:w="1332" w:type="dxa"/>
            <w:noWrap w:val="0"/>
            <w:vAlign w:val="center"/>
          </w:tcPr>
          <w:p>
            <w:pPr>
              <w:pStyle w:val="185"/>
            </w:pPr>
            <w:r>
              <w:rPr>
                <w:rFonts w:hint="eastAsia"/>
              </w:rPr>
              <w:t>项目控制预算数</w:t>
            </w:r>
          </w:p>
        </w:tc>
        <w:tc>
          <w:tcPr>
            <w:tcW w:w="2891" w:type="dxa"/>
            <w:noWrap w:val="0"/>
            <w:vAlign w:val="center"/>
          </w:tcPr>
          <w:p>
            <w:pPr>
              <w:pStyle w:val="185"/>
            </w:pPr>
            <w:r>
              <w:rPr>
                <w:rFonts w:hint="eastAsia"/>
              </w:rPr>
              <w:t>不超过财政支持经费</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效益指标</w:t>
            </w:r>
          </w:p>
        </w:tc>
        <w:tc>
          <w:tcPr>
            <w:tcW w:w="1276" w:type="dxa"/>
            <w:noWrap w:val="0"/>
            <w:vAlign w:val="center"/>
          </w:tcPr>
          <w:p>
            <w:pPr>
              <w:pStyle w:val="185"/>
            </w:pPr>
            <w:r>
              <w:rPr>
                <w:rFonts w:hint="eastAsia"/>
              </w:rPr>
              <w:t>经济效益指标</w:t>
            </w:r>
          </w:p>
        </w:tc>
        <w:tc>
          <w:tcPr>
            <w:tcW w:w="1332" w:type="dxa"/>
            <w:noWrap w:val="0"/>
            <w:vAlign w:val="center"/>
          </w:tcPr>
          <w:p>
            <w:pPr>
              <w:pStyle w:val="185"/>
            </w:pPr>
            <w:r>
              <w:rPr>
                <w:rFonts w:hint="eastAsia"/>
              </w:rPr>
              <w:t>成本节约</w:t>
            </w:r>
          </w:p>
        </w:tc>
        <w:tc>
          <w:tcPr>
            <w:tcW w:w="2891" w:type="dxa"/>
            <w:noWrap w:val="0"/>
            <w:vAlign w:val="center"/>
          </w:tcPr>
          <w:p>
            <w:pPr>
              <w:pStyle w:val="185"/>
            </w:pPr>
            <w:r>
              <w:rPr>
                <w:rFonts w:hint="eastAsia"/>
              </w:rPr>
              <w:t>成本节约</w:t>
            </w:r>
          </w:p>
        </w:tc>
        <w:tc>
          <w:tcPr>
            <w:tcW w:w="1276" w:type="dxa"/>
            <w:noWrap w:val="0"/>
            <w:vAlign w:val="center"/>
          </w:tcPr>
          <w:p>
            <w:pPr>
              <w:pStyle w:val="185"/>
            </w:pPr>
            <w:r>
              <w:rPr>
                <w:rFonts w:hint="eastAsia"/>
              </w:rPr>
              <w:t>成本节约</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社会效益指标</w:t>
            </w:r>
          </w:p>
        </w:tc>
        <w:tc>
          <w:tcPr>
            <w:tcW w:w="1332" w:type="dxa"/>
            <w:noWrap w:val="0"/>
            <w:vAlign w:val="center"/>
          </w:tcPr>
          <w:p>
            <w:pPr>
              <w:pStyle w:val="185"/>
            </w:pPr>
            <w:r>
              <w:rPr>
                <w:rFonts w:hint="eastAsia"/>
              </w:rPr>
              <w:t>社会稳定水平</w:t>
            </w:r>
          </w:p>
        </w:tc>
        <w:tc>
          <w:tcPr>
            <w:tcW w:w="2891" w:type="dxa"/>
            <w:noWrap w:val="0"/>
            <w:vAlign w:val="center"/>
          </w:tcPr>
          <w:p>
            <w:pPr>
              <w:pStyle w:val="185"/>
            </w:pPr>
            <w:r>
              <w:rPr>
                <w:rFonts w:hint="eastAsia"/>
              </w:rPr>
              <w:t>通过政协相关工作促进社会稳定水平逐步提高</w:t>
            </w:r>
          </w:p>
        </w:tc>
        <w:tc>
          <w:tcPr>
            <w:tcW w:w="1276" w:type="dxa"/>
            <w:noWrap w:val="0"/>
            <w:vAlign w:val="center"/>
          </w:tcPr>
          <w:p>
            <w:pPr>
              <w:pStyle w:val="185"/>
            </w:pPr>
            <w:r>
              <w:rPr>
                <w:rFonts w:hint="eastAsia"/>
              </w:rPr>
              <w:t>促进社会稳定</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生态效益指标</w:t>
            </w:r>
          </w:p>
        </w:tc>
        <w:tc>
          <w:tcPr>
            <w:tcW w:w="1332" w:type="dxa"/>
            <w:noWrap w:val="0"/>
            <w:vAlign w:val="center"/>
          </w:tcPr>
          <w:p>
            <w:pPr>
              <w:pStyle w:val="185"/>
            </w:pPr>
            <w:r>
              <w:rPr>
                <w:rFonts w:hint="eastAsia"/>
              </w:rPr>
              <w:t>满足生态环境要求</w:t>
            </w:r>
          </w:p>
        </w:tc>
        <w:tc>
          <w:tcPr>
            <w:tcW w:w="2891" w:type="dxa"/>
            <w:noWrap w:val="0"/>
            <w:vAlign w:val="center"/>
          </w:tcPr>
          <w:p>
            <w:pPr>
              <w:pStyle w:val="185"/>
            </w:pPr>
            <w:r>
              <w:rPr>
                <w:rFonts w:hint="eastAsia"/>
              </w:rPr>
              <w:t>满足生态环境要求</w:t>
            </w:r>
          </w:p>
        </w:tc>
        <w:tc>
          <w:tcPr>
            <w:tcW w:w="1276" w:type="dxa"/>
            <w:noWrap w:val="0"/>
            <w:vAlign w:val="center"/>
          </w:tcPr>
          <w:p>
            <w:pPr>
              <w:pStyle w:val="185"/>
            </w:pPr>
            <w:r>
              <w:rPr>
                <w:rFonts w:hint="eastAsia"/>
              </w:rPr>
              <w:t>满足生态环境要求</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可持续影响指标</w:t>
            </w:r>
          </w:p>
        </w:tc>
        <w:tc>
          <w:tcPr>
            <w:tcW w:w="1332" w:type="dxa"/>
            <w:noWrap w:val="0"/>
            <w:vAlign w:val="center"/>
          </w:tcPr>
          <w:p>
            <w:pPr>
              <w:pStyle w:val="185"/>
            </w:pPr>
            <w:r>
              <w:rPr>
                <w:rFonts w:hint="eastAsia"/>
              </w:rPr>
              <w:t>长期使用性</w:t>
            </w:r>
          </w:p>
        </w:tc>
        <w:tc>
          <w:tcPr>
            <w:tcW w:w="2891" w:type="dxa"/>
            <w:noWrap w:val="0"/>
            <w:vAlign w:val="center"/>
          </w:tcPr>
          <w:p>
            <w:pPr>
              <w:pStyle w:val="185"/>
            </w:pPr>
            <w:r>
              <w:rPr>
                <w:rFonts w:hint="eastAsia"/>
              </w:rPr>
              <w:t>长期使用性</w:t>
            </w:r>
          </w:p>
        </w:tc>
        <w:tc>
          <w:tcPr>
            <w:tcW w:w="1276" w:type="dxa"/>
            <w:noWrap w:val="0"/>
            <w:vAlign w:val="center"/>
          </w:tcPr>
          <w:p>
            <w:pPr>
              <w:pStyle w:val="185"/>
            </w:pPr>
            <w:r>
              <w:rPr>
                <w:rFonts w:hint="eastAsia"/>
              </w:rPr>
              <w:t>长期使用性</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7"/>
            </w:pPr>
            <w:r>
              <w:rPr>
                <w:rFonts w:hint="eastAsia"/>
              </w:rPr>
              <w:t>满意度指标</w:t>
            </w:r>
          </w:p>
        </w:tc>
        <w:tc>
          <w:tcPr>
            <w:tcW w:w="1276" w:type="dxa"/>
            <w:noWrap w:val="0"/>
            <w:vAlign w:val="center"/>
          </w:tcPr>
          <w:p>
            <w:pPr>
              <w:pStyle w:val="185"/>
            </w:pPr>
            <w:r>
              <w:rPr>
                <w:rFonts w:hint="eastAsia"/>
              </w:rPr>
              <w:t>服务对象满意度指标</w:t>
            </w:r>
          </w:p>
        </w:tc>
        <w:tc>
          <w:tcPr>
            <w:tcW w:w="1332" w:type="dxa"/>
            <w:noWrap w:val="0"/>
            <w:vAlign w:val="center"/>
          </w:tcPr>
          <w:p>
            <w:pPr>
              <w:pStyle w:val="185"/>
            </w:pPr>
            <w:r>
              <w:rPr>
                <w:rFonts w:hint="eastAsia"/>
              </w:rPr>
              <w:t>群众满意度</w:t>
            </w:r>
          </w:p>
        </w:tc>
        <w:tc>
          <w:tcPr>
            <w:tcW w:w="2891" w:type="dxa"/>
            <w:noWrap w:val="0"/>
            <w:vAlign w:val="center"/>
          </w:tcPr>
          <w:p>
            <w:pPr>
              <w:pStyle w:val="185"/>
            </w:pPr>
            <w:r>
              <w:rPr>
                <w:rFonts w:hint="eastAsia"/>
              </w:rPr>
              <w:t>群众对当年政协工资的整体满意度</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bl>
    <w:p>
      <w:pPr>
        <w:sectPr>
          <w:pgSz w:w="11900" w:h="16840" w:orient="landscape"/>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参政议政绩效目标表</w:t>
      </w:r>
      <w:bookmarkEnd w:id="5"/>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8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8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6"/>
            </w:pPr>
            <w:r>
              <w:rPr>
                <w:rFonts w:hint="eastAsia"/>
              </w:rPr>
              <w:t>项目编码</w:t>
            </w:r>
          </w:p>
        </w:tc>
        <w:tc>
          <w:tcPr>
            <w:tcW w:w="2608" w:type="dxa"/>
            <w:gridSpan w:val="2"/>
            <w:noWrap w:val="0"/>
            <w:vAlign w:val="center"/>
          </w:tcPr>
          <w:p>
            <w:pPr>
              <w:pStyle w:val="185"/>
            </w:pPr>
            <w:r>
              <w:t>13030322P003973100017</w:t>
            </w:r>
          </w:p>
        </w:tc>
        <w:tc>
          <w:tcPr>
            <w:tcW w:w="1587" w:type="dxa"/>
            <w:noWrap w:val="0"/>
            <w:vAlign w:val="center"/>
          </w:tcPr>
          <w:p>
            <w:pPr>
              <w:pStyle w:val="186"/>
            </w:pPr>
            <w:r>
              <w:rPr>
                <w:rFonts w:hint="eastAsia"/>
              </w:rPr>
              <w:t>项目名称</w:t>
            </w:r>
          </w:p>
        </w:tc>
        <w:tc>
          <w:tcPr>
            <w:tcW w:w="4422" w:type="dxa"/>
            <w:gridSpan w:val="3"/>
            <w:noWrap w:val="0"/>
            <w:vAlign w:val="center"/>
          </w:tcPr>
          <w:p>
            <w:pPr>
              <w:pStyle w:val="185"/>
            </w:pPr>
            <w:r>
              <w:rPr>
                <w:rFonts w:hint="eastAsia"/>
              </w:rPr>
              <w:t>参政议政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预算规模及资金用途</w:t>
            </w:r>
          </w:p>
        </w:tc>
        <w:tc>
          <w:tcPr>
            <w:tcW w:w="1276" w:type="dxa"/>
            <w:noWrap w:val="0"/>
            <w:vAlign w:val="center"/>
          </w:tcPr>
          <w:p>
            <w:pPr>
              <w:pStyle w:val="186"/>
            </w:pPr>
            <w:r>
              <w:rPr>
                <w:rFonts w:hint="eastAsia"/>
              </w:rPr>
              <w:t>预算数</w:t>
            </w:r>
          </w:p>
        </w:tc>
        <w:tc>
          <w:tcPr>
            <w:tcW w:w="1332" w:type="dxa"/>
            <w:noWrap w:val="0"/>
            <w:vAlign w:val="center"/>
          </w:tcPr>
          <w:p>
            <w:pPr>
              <w:pStyle w:val="185"/>
            </w:pPr>
            <w:r>
              <w:t>3.00</w:t>
            </w:r>
          </w:p>
        </w:tc>
        <w:tc>
          <w:tcPr>
            <w:tcW w:w="1587" w:type="dxa"/>
            <w:noWrap w:val="0"/>
            <w:vAlign w:val="center"/>
          </w:tcPr>
          <w:p>
            <w:pPr>
              <w:pStyle w:val="186"/>
            </w:pPr>
            <w:r>
              <w:rPr>
                <w:rFonts w:hint="eastAsia"/>
              </w:rPr>
              <w:t>其中：财政</w:t>
            </w:r>
            <w:r>
              <w:t xml:space="preserve">    </w:t>
            </w:r>
            <w:r>
              <w:rPr>
                <w:rFonts w:hint="eastAsia"/>
              </w:rPr>
              <w:t>资金</w:t>
            </w:r>
          </w:p>
        </w:tc>
        <w:tc>
          <w:tcPr>
            <w:tcW w:w="1304" w:type="dxa"/>
            <w:noWrap w:val="0"/>
            <w:vAlign w:val="center"/>
          </w:tcPr>
          <w:p>
            <w:pPr>
              <w:pStyle w:val="185"/>
            </w:pPr>
            <w:r>
              <w:t>3.00</w:t>
            </w:r>
          </w:p>
        </w:tc>
        <w:tc>
          <w:tcPr>
            <w:tcW w:w="1276" w:type="dxa"/>
            <w:noWrap w:val="0"/>
            <w:vAlign w:val="center"/>
          </w:tcPr>
          <w:p>
            <w:pPr>
              <w:pStyle w:val="186"/>
            </w:pPr>
            <w:r>
              <w:rPr>
                <w:rFonts w:hint="eastAsia"/>
              </w:rPr>
              <w:t>其他资金</w:t>
            </w:r>
          </w:p>
        </w:tc>
        <w:tc>
          <w:tcPr>
            <w:tcW w:w="1843" w:type="dxa"/>
            <w:noWrap w:val="0"/>
            <w:vAlign w:val="center"/>
          </w:tcPr>
          <w:p>
            <w:pPr>
              <w:pStyle w:val="18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8617" w:type="dxa"/>
            <w:gridSpan w:val="6"/>
            <w:noWrap w:val="0"/>
            <w:vAlign w:val="center"/>
          </w:tcPr>
          <w:p>
            <w:pPr>
              <w:pStyle w:val="185"/>
            </w:pPr>
            <w:r>
              <w:rPr>
                <w:rFonts w:hint="eastAsia"/>
              </w:rPr>
              <w:t>订报</w:t>
            </w:r>
            <w:r>
              <w:t xml:space="preserve"> </w:t>
            </w:r>
            <w:r>
              <w:rPr>
                <w:rFonts w:hint="eastAsia"/>
              </w:rPr>
              <w:t>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资金支出计划（</w:t>
            </w:r>
            <w:r>
              <w:t>%</w:t>
            </w:r>
            <w:r>
              <w:rPr>
                <w:rFonts w:hint="eastAsia"/>
              </w:rPr>
              <w:t>）</w:t>
            </w:r>
          </w:p>
        </w:tc>
        <w:tc>
          <w:tcPr>
            <w:tcW w:w="2608" w:type="dxa"/>
            <w:gridSpan w:val="2"/>
            <w:noWrap w:val="0"/>
            <w:vAlign w:val="center"/>
          </w:tcPr>
          <w:p>
            <w:pPr>
              <w:pStyle w:val="186"/>
            </w:pPr>
            <w:r>
              <w:t>3</w:t>
            </w:r>
            <w:r>
              <w:rPr>
                <w:rFonts w:hint="eastAsia"/>
              </w:rPr>
              <w:t>月底</w:t>
            </w:r>
          </w:p>
        </w:tc>
        <w:tc>
          <w:tcPr>
            <w:tcW w:w="1587" w:type="dxa"/>
            <w:noWrap w:val="0"/>
            <w:vAlign w:val="center"/>
          </w:tcPr>
          <w:p>
            <w:pPr>
              <w:pStyle w:val="186"/>
            </w:pPr>
            <w:r>
              <w:t>6</w:t>
            </w:r>
            <w:r>
              <w:rPr>
                <w:rFonts w:hint="eastAsia"/>
              </w:rPr>
              <w:t>月底</w:t>
            </w:r>
          </w:p>
        </w:tc>
        <w:tc>
          <w:tcPr>
            <w:tcW w:w="1304" w:type="dxa"/>
            <w:noWrap w:val="0"/>
            <w:vAlign w:val="center"/>
          </w:tcPr>
          <w:p>
            <w:pPr>
              <w:pStyle w:val="186"/>
            </w:pPr>
            <w:r>
              <w:t>10</w:t>
            </w:r>
            <w:r>
              <w:rPr>
                <w:rFonts w:hint="eastAsia"/>
              </w:rPr>
              <w:t>月底</w:t>
            </w:r>
          </w:p>
        </w:tc>
        <w:tc>
          <w:tcPr>
            <w:tcW w:w="3118" w:type="dxa"/>
            <w:gridSpan w:val="2"/>
            <w:noWrap w:val="0"/>
            <w:vAlign w:val="center"/>
          </w:tcPr>
          <w:p>
            <w:pPr>
              <w:pStyle w:val="18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2608" w:type="dxa"/>
            <w:gridSpan w:val="2"/>
            <w:noWrap w:val="0"/>
            <w:vAlign w:val="center"/>
          </w:tcPr>
          <w:p>
            <w:pPr>
              <w:pStyle w:val="187"/>
            </w:pPr>
            <w:r>
              <w:t>35%</w:t>
            </w:r>
          </w:p>
        </w:tc>
        <w:tc>
          <w:tcPr>
            <w:tcW w:w="1587" w:type="dxa"/>
            <w:noWrap w:val="0"/>
            <w:vAlign w:val="center"/>
          </w:tcPr>
          <w:p>
            <w:pPr>
              <w:pStyle w:val="187"/>
            </w:pPr>
            <w:r>
              <w:t>65%</w:t>
            </w:r>
          </w:p>
        </w:tc>
        <w:tc>
          <w:tcPr>
            <w:tcW w:w="1304" w:type="dxa"/>
            <w:noWrap w:val="0"/>
            <w:vAlign w:val="center"/>
          </w:tcPr>
          <w:p>
            <w:pPr>
              <w:pStyle w:val="187"/>
            </w:pPr>
            <w:r>
              <w:t>100%</w:t>
            </w:r>
          </w:p>
        </w:tc>
        <w:tc>
          <w:tcPr>
            <w:tcW w:w="3118" w:type="dxa"/>
            <w:gridSpan w:val="2"/>
            <w:noWrap w:val="0"/>
            <w:vAlign w:val="center"/>
          </w:tcPr>
          <w:p>
            <w:pPr>
              <w:pStyle w:val="18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86"/>
            </w:pPr>
            <w:r>
              <w:rPr>
                <w:rFonts w:hint="eastAsia"/>
              </w:rPr>
              <w:t>绩效目标</w:t>
            </w:r>
          </w:p>
        </w:tc>
        <w:tc>
          <w:tcPr>
            <w:tcW w:w="8617" w:type="dxa"/>
            <w:gridSpan w:val="6"/>
            <w:tcBorders>
              <w:bottom w:val="single" w:color="FFFFFF" w:sz="6" w:space="0"/>
            </w:tcBorders>
            <w:noWrap w:val="0"/>
            <w:vAlign w:val="center"/>
          </w:tcPr>
          <w:p>
            <w:pPr>
              <w:pStyle w:val="185"/>
            </w:pPr>
            <w:r>
              <w:t>1.</w:t>
            </w:r>
            <w:r>
              <w:rPr>
                <w:rFonts w:hint="eastAsia"/>
              </w:rPr>
              <w:t>发挥团结育人存史资政的作用，征集、整理、出版文史资料</w:t>
            </w:r>
          </w:p>
        </w:tc>
      </w:tr>
    </w:tbl>
    <w:p>
      <w:pPr>
        <w:spacing w:line="2" w:lineRule="exact"/>
        <w:jc w:val="center"/>
      </w:pPr>
      <w:r>
        <w:rPr>
          <w:rFonts w:ascii="方正书宋_GBK" w:hAnsi="方正书宋_GBK" w:eastAsia="方正书宋_GBK" w:cs="方正书宋_GBK"/>
          <w:color w:val="000000"/>
          <w:sz w:val="21"/>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6"/>
            </w:pPr>
            <w:r>
              <w:rPr>
                <w:rFonts w:hint="eastAsia"/>
              </w:rPr>
              <w:t>一级指标</w:t>
            </w:r>
          </w:p>
        </w:tc>
        <w:tc>
          <w:tcPr>
            <w:tcW w:w="1276" w:type="dxa"/>
            <w:noWrap w:val="0"/>
            <w:vAlign w:val="center"/>
          </w:tcPr>
          <w:p>
            <w:pPr>
              <w:pStyle w:val="186"/>
            </w:pPr>
            <w:r>
              <w:rPr>
                <w:rFonts w:hint="eastAsia"/>
              </w:rPr>
              <w:t>二级指标</w:t>
            </w:r>
          </w:p>
        </w:tc>
        <w:tc>
          <w:tcPr>
            <w:tcW w:w="1332" w:type="dxa"/>
            <w:noWrap w:val="0"/>
            <w:vAlign w:val="center"/>
          </w:tcPr>
          <w:p>
            <w:pPr>
              <w:pStyle w:val="186"/>
            </w:pPr>
            <w:r>
              <w:rPr>
                <w:rFonts w:hint="eastAsia"/>
              </w:rPr>
              <w:t>三级指标</w:t>
            </w:r>
          </w:p>
        </w:tc>
        <w:tc>
          <w:tcPr>
            <w:tcW w:w="2891" w:type="dxa"/>
            <w:noWrap w:val="0"/>
            <w:vAlign w:val="center"/>
          </w:tcPr>
          <w:p>
            <w:pPr>
              <w:pStyle w:val="186"/>
            </w:pPr>
            <w:r>
              <w:rPr>
                <w:rFonts w:hint="eastAsia"/>
              </w:rPr>
              <w:t>绩效指标描述</w:t>
            </w:r>
          </w:p>
        </w:tc>
        <w:tc>
          <w:tcPr>
            <w:tcW w:w="1276" w:type="dxa"/>
            <w:noWrap w:val="0"/>
            <w:vAlign w:val="center"/>
          </w:tcPr>
          <w:p>
            <w:pPr>
              <w:pStyle w:val="186"/>
            </w:pPr>
            <w:r>
              <w:rPr>
                <w:rFonts w:hint="eastAsia"/>
              </w:rPr>
              <w:t>指标值</w:t>
            </w:r>
          </w:p>
        </w:tc>
        <w:tc>
          <w:tcPr>
            <w:tcW w:w="1843" w:type="dxa"/>
            <w:noWrap w:val="0"/>
            <w:vAlign w:val="center"/>
          </w:tcPr>
          <w:p>
            <w:pPr>
              <w:pStyle w:val="18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产出指标</w:t>
            </w:r>
          </w:p>
        </w:tc>
        <w:tc>
          <w:tcPr>
            <w:tcW w:w="1276" w:type="dxa"/>
            <w:noWrap w:val="0"/>
            <w:vAlign w:val="center"/>
          </w:tcPr>
          <w:p>
            <w:pPr>
              <w:pStyle w:val="185"/>
            </w:pPr>
            <w:r>
              <w:rPr>
                <w:rFonts w:hint="eastAsia"/>
              </w:rPr>
              <w:t>数量指标</w:t>
            </w:r>
          </w:p>
        </w:tc>
        <w:tc>
          <w:tcPr>
            <w:tcW w:w="1332" w:type="dxa"/>
            <w:noWrap w:val="0"/>
            <w:vAlign w:val="center"/>
          </w:tcPr>
          <w:p>
            <w:pPr>
              <w:pStyle w:val="185"/>
            </w:pPr>
            <w:r>
              <w:rPr>
                <w:rFonts w:hint="eastAsia"/>
              </w:rPr>
              <w:t>开展社会服务活动次数</w:t>
            </w:r>
          </w:p>
        </w:tc>
        <w:tc>
          <w:tcPr>
            <w:tcW w:w="2891" w:type="dxa"/>
            <w:noWrap w:val="0"/>
            <w:vAlign w:val="center"/>
          </w:tcPr>
          <w:p>
            <w:pPr>
              <w:pStyle w:val="185"/>
            </w:pPr>
            <w:r>
              <w:rPr>
                <w:rFonts w:hint="eastAsia"/>
              </w:rPr>
              <w:t>开展社会服务活动次数</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质量指标</w:t>
            </w:r>
          </w:p>
        </w:tc>
        <w:tc>
          <w:tcPr>
            <w:tcW w:w="1332" w:type="dxa"/>
            <w:noWrap w:val="0"/>
            <w:vAlign w:val="center"/>
          </w:tcPr>
          <w:p>
            <w:pPr>
              <w:pStyle w:val="185"/>
            </w:pPr>
            <w:r>
              <w:rPr>
                <w:rFonts w:hint="eastAsia"/>
              </w:rPr>
              <w:t>社情民意反应率</w:t>
            </w:r>
          </w:p>
        </w:tc>
        <w:tc>
          <w:tcPr>
            <w:tcW w:w="2891" w:type="dxa"/>
            <w:noWrap w:val="0"/>
            <w:vAlign w:val="center"/>
          </w:tcPr>
          <w:p>
            <w:pPr>
              <w:pStyle w:val="185"/>
            </w:pPr>
            <w:r>
              <w:rPr>
                <w:rFonts w:hint="eastAsia"/>
              </w:rPr>
              <w:t>社情民意反映情况</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时效指标</w:t>
            </w:r>
          </w:p>
        </w:tc>
        <w:tc>
          <w:tcPr>
            <w:tcW w:w="1332" w:type="dxa"/>
            <w:noWrap w:val="0"/>
            <w:vAlign w:val="center"/>
          </w:tcPr>
          <w:p>
            <w:pPr>
              <w:pStyle w:val="185"/>
            </w:pPr>
            <w:r>
              <w:rPr>
                <w:rFonts w:hint="eastAsia"/>
              </w:rPr>
              <w:t>完成率</w:t>
            </w:r>
          </w:p>
        </w:tc>
        <w:tc>
          <w:tcPr>
            <w:tcW w:w="2891" w:type="dxa"/>
            <w:noWrap w:val="0"/>
            <w:vAlign w:val="center"/>
          </w:tcPr>
          <w:p>
            <w:pPr>
              <w:pStyle w:val="185"/>
            </w:pPr>
            <w:r>
              <w:rPr>
                <w:rFonts w:hint="eastAsia"/>
              </w:rPr>
              <w:t>专项调研完成率</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成本指标</w:t>
            </w:r>
          </w:p>
        </w:tc>
        <w:tc>
          <w:tcPr>
            <w:tcW w:w="1332" w:type="dxa"/>
            <w:noWrap w:val="0"/>
            <w:vAlign w:val="center"/>
          </w:tcPr>
          <w:p>
            <w:pPr>
              <w:pStyle w:val="185"/>
            </w:pPr>
            <w:r>
              <w:rPr>
                <w:rFonts w:hint="eastAsia"/>
              </w:rPr>
              <w:t>参加培训人均成本</w:t>
            </w:r>
          </w:p>
        </w:tc>
        <w:tc>
          <w:tcPr>
            <w:tcW w:w="2891" w:type="dxa"/>
            <w:noWrap w:val="0"/>
            <w:vAlign w:val="center"/>
          </w:tcPr>
          <w:p>
            <w:pPr>
              <w:pStyle w:val="185"/>
            </w:pPr>
            <w:r>
              <w:rPr>
                <w:rFonts w:hint="eastAsia"/>
              </w:rPr>
              <w:t>参加培训人均成本</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效益指标</w:t>
            </w:r>
          </w:p>
        </w:tc>
        <w:tc>
          <w:tcPr>
            <w:tcW w:w="1276" w:type="dxa"/>
            <w:noWrap w:val="0"/>
            <w:vAlign w:val="center"/>
          </w:tcPr>
          <w:p>
            <w:pPr>
              <w:pStyle w:val="185"/>
            </w:pPr>
            <w:r>
              <w:rPr>
                <w:rFonts w:hint="eastAsia"/>
              </w:rPr>
              <w:t>经济效益指标</w:t>
            </w:r>
          </w:p>
        </w:tc>
        <w:tc>
          <w:tcPr>
            <w:tcW w:w="1332" w:type="dxa"/>
            <w:noWrap w:val="0"/>
            <w:vAlign w:val="center"/>
          </w:tcPr>
          <w:p>
            <w:pPr>
              <w:pStyle w:val="185"/>
            </w:pPr>
            <w:r>
              <w:rPr>
                <w:rFonts w:hint="eastAsia"/>
              </w:rPr>
              <w:t>经济发展</w:t>
            </w:r>
          </w:p>
        </w:tc>
        <w:tc>
          <w:tcPr>
            <w:tcW w:w="2891" w:type="dxa"/>
            <w:noWrap w:val="0"/>
            <w:vAlign w:val="center"/>
          </w:tcPr>
          <w:p>
            <w:pPr>
              <w:pStyle w:val="185"/>
            </w:pPr>
            <w:r>
              <w:rPr>
                <w:rFonts w:hint="eastAsia"/>
              </w:rPr>
              <w:t>经济发展</w:t>
            </w:r>
          </w:p>
        </w:tc>
        <w:tc>
          <w:tcPr>
            <w:tcW w:w="1276" w:type="dxa"/>
            <w:noWrap w:val="0"/>
            <w:vAlign w:val="center"/>
          </w:tcPr>
          <w:p>
            <w:pPr>
              <w:pStyle w:val="185"/>
            </w:pPr>
            <w:r>
              <w:rPr>
                <w:rFonts w:hint="eastAsia"/>
              </w:rPr>
              <w:t>促进经济发展</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社会效益指标</w:t>
            </w:r>
          </w:p>
        </w:tc>
        <w:tc>
          <w:tcPr>
            <w:tcW w:w="1332" w:type="dxa"/>
            <w:noWrap w:val="0"/>
            <w:vAlign w:val="center"/>
          </w:tcPr>
          <w:p>
            <w:pPr>
              <w:pStyle w:val="185"/>
            </w:pPr>
            <w:r>
              <w:rPr>
                <w:rFonts w:hint="eastAsia"/>
              </w:rPr>
              <w:t>社会稳定水平</w:t>
            </w:r>
          </w:p>
        </w:tc>
        <w:tc>
          <w:tcPr>
            <w:tcW w:w="2891" w:type="dxa"/>
            <w:noWrap w:val="0"/>
            <w:vAlign w:val="center"/>
          </w:tcPr>
          <w:p>
            <w:pPr>
              <w:pStyle w:val="185"/>
            </w:pPr>
            <w:r>
              <w:rPr>
                <w:rFonts w:hint="eastAsia"/>
              </w:rPr>
              <w:t>通过政协委员活动工作促进社会稳定</w:t>
            </w:r>
          </w:p>
        </w:tc>
        <w:tc>
          <w:tcPr>
            <w:tcW w:w="1276" w:type="dxa"/>
            <w:noWrap w:val="0"/>
            <w:vAlign w:val="center"/>
          </w:tcPr>
          <w:p>
            <w:pPr>
              <w:pStyle w:val="185"/>
            </w:pPr>
            <w:r>
              <w:rPr>
                <w:rFonts w:hint="eastAsia"/>
              </w:rPr>
              <w:t>促进社会稳定</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生态效益指标</w:t>
            </w:r>
          </w:p>
        </w:tc>
        <w:tc>
          <w:tcPr>
            <w:tcW w:w="1332" w:type="dxa"/>
            <w:noWrap w:val="0"/>
            <w:vAlign w:val="center"/>
          </w:tcPr>
          <w:p>
            <w:pPr>
              <w:pStyle w:val="185"/>
            </w:pPr>
            <w:r>
              <w:rPr>
                <w:rFonts w:hint="eastAsia"/>
              </w:rPr>
              <w:t>改善生态环境质量</w:t>
            </w:r>
          </w:p>
        </w:tc>
        <w:tc>
          <w:tcPr>
            <w:tcW w:w="2891" w:type="dxa"/>
            <w:noWrap w:val="0"/>
            <w:vAlign w:val="center"/>
          </w:tcPr>
          <w:p>
            <w:pPr>
              <w:pStyle w:val="185"/>
            </w:pPr>
            <w:r>
              <w:rPr>
                <w:rFonts w:hint="eastAsia"/>
              </w:rPr>
              <w:t>改善生态环境质量</w:t>
            </w:r>
          </w:p>
        </w:tc>
        <w:tc>
          <w:tcPr>
            <w:tcW w:w="1276" w:type="dxa"/>
            <w:noWrap w:val="0"/>
            <w:vAlign w:val="center"/>
          </w:tcPr>
          <w:p>
            <w:pPr>
              <w:pStyle w:val="185"/>
            </w:pPr>
            <w:r>
              <w:rPr>
                <w:rFonts w:hint="eastAsia"/>
              </w:rPr>
              <w:t>促进改善生态环境质量</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可持续影响指标</w:t>
            </w:r>
          </w:p>
        </w:tc>
        <w:tc>
          <w:tcPr>
            <w:tcW w:w="1332" w:type="dxa"/>
            <w:noWrap w:val="0"/>
            <w:vAlign w:val="center"/>
          </w:tcPr>
          <w:p>
            <w:pPr>
              <w:pStyle w:val="185"/>
            </w:pPr>
            <w:r>
              <w:rPr>
                <w:rFonts w:hint="eastAsia"/>
              </w:rPr>
              <w:t>保障人才队伍可持续建设</w:t>
            </w:r>
          </w:p>
        </w:tc>
        <w:tc>
          <w:tcPr>
            <w:tcW w:w="2891" w:type="dxa"/>
            <w:noWrap w:val="0"/>
            <w:vAlign w:val="center"/>
          </w:tcPr>
          <w:p>
            <w:pPr>
              <w:pStyle w:val="185"/>
            </w:pPr>
            <w:r>
              <w:rPr>
                <w:rFonts w:hint="eastAsia"/>
              </w:rPr>
              <w:t>保障人才队伍可持续建设</w:t>
            </w:r>
          </w:p>
        </w:tc>
        <w:tc>
          <w:tcPr>
            <w:tcW w:w="1276" w:type="dxa"/>
            <w:noWrap w:val="0"/>
            <w:vAlign w:val="center"/>
          </w:tcPr>
          <w:p>
            <w:pPr>
              <w:pStyle w:val="185"/>
            </w:pPr>
            <w:r>
              <w:rPr>
                <w:rFonts w:hint="eastAsia"/>
              </w:rPr>
              <w:t>促进人才队伍可持续建设</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7"/>
            </w:pPr>
            <w:r>
              <w:rPr>
                <w:rFonts w:hint="eastAsia"/>
              </w:rPr>
              <w:t>满意度指标</w:t>
            </w:r>
          </w:p>
        </w:tc>
        <w:tc>
          <w:tcPr>
            <w:tcW w:w="1276" w:type="dxa"/>
            <w:noWrap w:val="0"/>
            <w:vAlign w:val="center"/>
          </w:tcPr>
          <w:p>
            <w:pPr>
              <w:pStyle w:val="185"/>
            </w:pPr>
            <w:r>
              <w:rPr>
                <w:rFonts w:hint="eastAsia"/>
              </w:rPr>
              <w:t>服务对象满意度指标</w:t>
            </w:r>
          </w:p>
        </w:tc>
        <w:tc>
          <w:tcPr>
            <w:tcW w:w="1332" w:type="dxa"/>
            <w:noWrap w:val="0"/>
            <w:vAlign w:val="center"/>
          </w:tcPr>
          <w:p>
            <w:pPr>
              <w:pStyle w:val="185"/>
            </w:pPr>
            <w:r>
              <w:rPr>
                <w:rFonts w:hint="eastAsia"/>
              </w:rPr>
              <w:t>群众满意度</w:t>
            </w:r>
          </w:p>
        </w:tc>
        <w:tc>
          <w:tcPr>
            <w:tcW w:w="2891" w:type="dxa"/>
            <w:noWrap w:val="0"/>
            <w:vAlign w:val="center"/>
          </w:tcPr>
          <w:p>
            <w:pPr>
              <w:pStyle w:val="185"/>
            </w:pPr>
            <w:r>
              <w:rPr>
                <w:rFonts w:hint="eastAsia"/>
              </w:rPr>
              <w:t>群众对当年政协委员工作的整体满意度</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bl>
    <w:p>
      <w:pPr>
        <w:sectPr>
          <w:pgSz w:w="11900" w:h="16840" w:orient="landscape"/>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委员工作室绩效目标表</w:t>
      </w:r>
      <w:bookmarkEnd w:id="6"/>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8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8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6"/>
            </w:pPr>
            <w:r>
              <w:rPr>
                <w:rFonts w:hint="eastAsia"/>
              </w:rPr>
              <w:t>项目编码</w:t>
            </w:r>
          </w:p>
        </w:tc>
        <w:tc>
          <w:tcPr>
            <w:tcW w:w="2608" w:type="dxa"/>
            <w:gridSpan w:val="2"/>
            <w:noWrap w:val="0"/>
            <w:vAlign w:val="center"/>
          </w:tcPr>
          <w:p>
            <w:pPr>
              <w:pStyle w:val="185"/>
            </w:pPr>
            <w:r>
              <w:t>13030322P00397410001W</w:t>
            </w:r>
          </w:p>
        </w:tc>
        <w:tc>
          <w:tcPr>
            <w:tcW w:w="1587" w:type="dxa"/>
            <w:noWrap w:val="0"/>
            <w:vAlign w:val="center"/>
          </w:tcPr>
          <w:p>
            <w:pPr>
              <w:pStyle w:val="186"/>
            </w:pPr>
            <w:r>
              <w:rPr>
                <w:rFonts w:hint="eastAsia"/>
              </w:rPr>
              <w:t>项目名称</w:t>
            </w:r>
          </w:p>
        </w:tc>
        <w:tc>
          <w:tcPr>
            <w:tcW w:w="4422" w:type="dxa"/>
            <w:gridSpan w:val="3"/>
            <w:noWrap w:val="0"/>
            <w:vAlign w:val="center"/>
          </w:tcPr>
          <w:p>
            <w:pPr>
              <w:pStyle w:val="185"/>
            </w:pPr>
            <w:r>
              <w:rPr>
                <w:rFonts w:hint="eastAsia"/>
              </w:rPr>
              <w:t>委员工作室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预算规模及资金用途</w:t>
            </w:r>
          </w:p>
        </w:tc>
        <w:tc>
          <w:tcPr>
            <w:tcW w:w="1276" w:type="dxa"/>
            <w:noWrap w:val="0"/>
            <w:vAlign w:val="center"/>
          </w:tcPr>
          <w:p>
            <w:pPr>
              <w:pStyle w:val="186"/>
            </w:pPr>
            <w:r>
              <w:rPr>
                <w:rFonts w:hint="eastAsia"/>
              </w:rPr>
              <w:t>预算数</w:t>
            </w:r>
          </w:p>
        </w:tc>
        <w:tc>
          <w:tcPr>
            <w:tcW w:w="1332" w:type="dxa"/>
            <w:noWrap w:val="0"/>
            <w:vAlign w:val="center"/>
          </w:tcPr>
          <w:p>
            <w:pPr>
              <w:pStyle w:val="185"/>
            </w:pPr>
            <w:r>
              <w:t>7.00</w:t>
            </w:r>
          </w:p>
        </w:tc>
        <w:tc>
          <w:tcPr>
            <w:tcW w:w="1587" w:type="dxa"/>
            <w:noWrap w:val="0"/>
            <w:vAlign w:val="center"/>
          </w:tcPr>
          <w:p>
            <w:pPr>
              <w:pStyle w:val="186"/>
            </w:pPr>
            <w:r>
              <w:rPr>
                <w:rFonts w:hint="eastAsia"/>
              </w:rPr>
              <w:t>其中：财政</w:t>
            </w:r>
            <w:r>
              <w:t xml:space="preserve">    </w:t>
            </w:r>
            <w:r>
              <w:rPr>
                <w:rFonts w:hint="eastAsia"/>
              </w:rPr>
              <w:t>资金</w:t>
            </w:r>
          </w:p>
        </w:tc>
        <w:tc>
          <w:tcPr>
            <w:tcW w:w="1304" w:type="dxa"/>
            <w:noWrap w:val="0"/>
            <w:vAlign w:val="center"/>
          </w:tcPr>
          <w:p>
            <w:pPr>
              <w:pStyle w:val="185"/>
            </w:pPr>
            <w:r>
              <w:t>7.00</w:t>
            </w:r>
          </w:p>
        </w:tc>
        <w:tc>
          <w:tcPr>
            <w:tcW w:w="1276" w:type="dxa"/>
            <w:noWrap w:val="0"/>
            <w:vAlign w:val="center"/>
          </w:tcPr>
          <w:p>
            <w:pPr>
              <w:pStyle w:val="186"/>
            </w:pPr>
            <w:r>
              <w:rPr>
                <w:rFonts w:hint="eastAsia"/>
              </w:rPr>
              <w:t>其他资金</w:t>
            </w:r>
          </w:p>
        </w:tc>
        <w:tc>
          <w:tcPr>
            <w:tcW w:w="1843" w:type="dxa"/>
            <w:noWrap w:val="0"/>
            <w:vAlign w:val="center"/>
          </w:tcPr>
          <w:p>
            <w:pPr>
              <w:pStyle w:val="18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8617" w:type="dxa"/>
            <w:gridSpan w:val="6"/>
            <w:noWrap w:val="0"/>
            <w:vAlign w:val="center"/>
          </w:tcPr>
          <w:p>
            <w:pPr>
              <w:pStyle w:val="185"/>
            </w:pPr>
            <w:r>
              <w:rPr>
                <w:rFonts w:hint="eastAsia"/>
              </w:rPr>
              <w:t>委员工作室运转经费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资金支出计划（</w:t>
            </w:r>
            <w:r>
              <w:t>%</w:t>
            </w:r>
            <w:r>
              <w:rPr>
                <w:rFonts w:hint="eastAsia"/>
              </w:rPr>
              <w:t>）</w:t>
            </w:r>
          </w:p>
        </w:tc>
        <w:tc>
          <w:tcPr>
            <w:tcW w:w="2608" w:type="dxa"/>
            <w:gridSpan w:val="2"/>
            <w:noWrap w:val="0"/>
            <w:vAlign w:val="center"/>
          </w:tcPr>
          <w:p>
            <w:pPr>
              <w:pStyle w:val="186"/>
            </w:pPr>
            <w:r>
              <w:t>3</w:t>
            </w:r>
            <w:r>
              <w:rPr>
                <w:rFonts w:hint="eastAsia"/>
              </w:rPr>
              <w:t>月底</w:t>
            </w:r>
          </w:p>
        </w:tc>
        <w:tc>
          <w:tcPr>
            <w:tcW w:w="1587" w:type="dxa"/>
            <w:noWrap w:val="0"/>
            <w:vAlign w:val="center"/>
          </w:tcPr>
          <w:p>
            <w:pPr>
              <w:pStyle w:val="186"/>
            </w:pPr>
            <w:r>
              <w:t>6</w:t>
            </w:r>
            <w:r>
              <w:rPr>
                <w:rFonts w:hint="eastAsia"/>
              </w:rPr>
              <w:t>月底</w:t>
            </w:r>
          </w:p>
        </w:tc>
        <w:tc>
          <w:tcPr>
            <w:tcW w:w="1304" w:type="dxa"/>
            <w:noWrap w:val="0"/>
            <w:vAlign w:val="center"/>
          </w:tcPr>
          <w:p>
            <w:pPr>
              <w:pStyle w:val="186"/>
            </w:pPr>
            <w:r>
              <w:t>10</w:t>
            </w:r>
            <w:r>
              <w:rPr>
                <w:rFonts w:hint="eastAsia"/>
              </w:rPr>
              <w:t>月底</w:t>
            </w:r>
          </w:p>
        </w:tc>
        <w:tc>
          <w:tcPr>
            <w:tcW w:w="3118" w:type="dxa"/>
            <w:gridSpan w:val="2"/>
            <w:noWrap w:val="0"/>
            <w:vAlign w:val="center"/>
          </w:tcPr>
          <w:p>
            <w:pPr>
              <w:pStyle w:val="18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2608" w:type="dxa"/>
            <w:gridSpan w:val="2"/>
            <w:noWrap w:val="0"/>
            <w:vAlign w:val="center"/>
          </w:tcPr>
          <w:p>
            <w:pPr>
              <w:pStyle w:val="187"/>
            </w:pPr>
            <w:r>
              <w:t>25%</w:t>
            </w:r>
          </w:p>
        </w:tc>
        <w:tc>
          <w:tcPr>
            <w:tcW w:w="1587" w:type="dxa"/>
            <w:noWrap w:val="0"/>
            <w:vAlign w:val="center"/>
          </w:tcPr>
          <w:p>
            <w:pPr>
              <w:pStyle w:val="187"/>
            </w:pPr>
            <w:r>
              <w:t>75%</w:t>
            </w:r>
          </w:p>
        </w:tc>
        <w:tc>
          <w:tcPr>
            <w:tcW w:w="1304" w:type="dxa"/>
            <w:noWrap w:val="0"/>
            <w:vAlign w:val="center"/>
          </w:tcPr>
          <w:p>
            <w:pPr>
              <w:pStyle w:val="187"/>
            </w:pPr>
            <w:r>
              <w:t>100%</w:t>
            </w:r>
          </w:p>
        </w:tc>
        <w:tc>
          <w:tcPr>
            <w:tcW w:w="3118" w:type="dxa"/>
            <w:gridSpan w:val="2"/>
            <w:noWrap w:val="0"/>
            <w:vAlign w:val="center"/>
          </w:tcPr>
          <w:p>
            <w:pPr>
              <w:pStyle w:val="18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86"/>
            </w:pPr>
            <w:r>
              <w:rPr>
                <w:rFonts w:hint="eastAsia"/>
              </w:rPr>
              <w:t>绩效目标</w:t>
            </w:r>
          </w:p>
        </w:tc>
        <w:tc>
          <w:tcPr>
            <w:tcW w:w="8617" w:type="dxa"/>
            <w:gridSpan w:val="6"/>
            <w:tcBorders>
              <w:bottom w:val="single" w:color="FFFFFF" w:sz="6" w:space="0"/>
            </w:tcBorders>
            <w:noWrap w:val="0"/>
            <w:vAlign w:val="center"/>
          </w:tcPr>
          <w:p>
            <w:pPr>
              <w:pStyle w:val="185"/>
            </w:pPr>
            <w:r>
              <w:t>1.</w:t>
            </w:r>
            <w:r>
              <w:rPr>
                <w:rFonts w:hint="eastAsia"/>
              </w:rPr>
              <w:t>委员工作室</w:t>
            </w:r>
          </w:p>
        </w:tc>
      </w:tr>
    </w:tbl>
    <w:p>
      <w:pPr>
        <w:spacing w:line="2" w:lineRule="exact"/>
        <w:jc w:val="center"/>
      </w:pPr>
      <w:r>
        <w:rPr>
          <w:rFonts w:ascii="方正书宋_GBK" w:hAnsi="方正书宋_GBK" w:eastAsia="方正书宋_GBK" w:cs="方正书宋_GBK"/>
          <w:color w:val="000000"/>
          <w:sz w:val="21"/>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6"/>
            </w:pPr>
            <w:r>
              <w:rPr>
                <w:rFonts w:hint="eastAsia"/>
              </w:rPr>
              <w:t>一级指标</w:t>
            </w:r>
          </w:p>
        </w:tc>
        <w:tc>
          <w:tcPr>
            <w:tcW w:w="1276" w:type="dxa"/>
            <w:noWrap w:val="0"/>
            <w:vAlign w:val="center"/>
          </w:tcPr>
          <w:p>
            <w:pPr>
              <w:pStyle w:val="186"/>
            </w:pPr>
            <w:r>
              <w:rPr>
                <w:rFonts w:hint="eastAsia"/>
              </w:rPr>
              <w:t>二级指标</w:t>
            </w:r>
          </w:p>
        </w:tc>
        <w:tc>
          <w:tcPr>
            <w:tcW w:w="1332" w:type="dxa"/>
            <w:noWrap w:val="0"/>
            <w:vAlign w:val="center"/>
          </w:tcPr>
          <w:p>
            <w:pPr>
              <w:pStyle w:val="186"/>
            </w:pPr>
            <w:r>
              <w:rPr>
                <w:rFonts w:hint="eastAsia"/>
              </w:rPr>
              <w:t>三级指标</w:t>
            </w:r>
          </w:p>
        </w:tc>
        <w:tc>
          <w:tcPr>
            <w:tcW w:w="2891" w:type="dxa"/>
            <w:noWrap w:val="0"/>
            <w:vAlign w:val="center"/>
          </w:tcPr>
          <w:p>
            <w:pPr>
              <w:pStyle w:val="186"/>
            </w:pPr>
            <w:r>
              <w:rPr>
                <w:rFonts w:hint="eastAsia"/>
              </w:rPr>
              <w:t>绩效指标描述</w:t>
            </w:r>
          </w:p>
        </w:tc>
        <w:tc>
          <w:tcPr>
            <w:tcW w:w="1276" w:type="dxa"/>
            <w:noWrap w:val="0"/>
            <w:vAlign w:val="center"/>
          </w:tcPr>
          <w:p>
            <w:pPr>
              <w:pStyle w:val="186"/>
            </w:pPr>
            <w:r>
              <w:rPr>
                <w:rFonts w:hint="eastAsia"/>
              </w:rPr>
              <w:t>指标值</w:t>
            </w:r>
          </w:p>
        </w:tc>
        <w:tc>
          <w:tcPr>
            <w:tcW w:w="1843" w:type="dxa"/>
            <w:noWrap w:val="0"/>
            <w:vAlign w:val="center"/>
          </w:tcPr>
          <w:p>
            <w:pPr>
              <w:pStyle w:val="18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产出指标</w:t>
            </w:r>
          </w:p>
        </w:tc>
        <w:tc>
          <w:tcPr>
            <w:tcW w:w="1276" w:type="dxa"/>
            <w:noWrap w:val="0"/>
            <w:vAlign w:val="center"/>
          </w:tcPr>
          <w:p>
            <w:pPr>
              <w:pStyle w:val="185"/>
            </w:pPr>
            <w:r>
              <w:rPr>
                <w:rFonts w:hint="eastAsia"/>
              </w:rPr>
              <w:t>数量指标</w:t>
            </w:r>
          </w:p>
        </w:tc>
        <w:tc>
          <w:tcPr>
            <w:tcW w:w="1332" w:type="dxa"/>
            <w:noWrap w:val="0"/>
            <w:vAlign w:val="center"/>
          </w:tcPr>
          <w:p>
            <w:pPr>
              <w:pStyle w:val="185"/>
            </w:pPr>
            <w:r>
              <w:rPr>
                <w:rFonts w:hint="eastAsia"/>
              </w:rPr>
              <w:t>开展社会服务活动次数</w:t>
            </w:r>
          </w:p>
        </w:tc>
        <w:tc>
          <w:tcPr>
            <w:tcW w:w="2891" w:type="dxa"/>
            <w:noWrap w:val="0"/>
            <w:vAlign w:val="center"/>
          </w:tcPr>
          <w:p>
            <w:pPr>
              <w:pStyle w:val="185"/>
            </w:pPr>
            <w:r>
              <w:rPr>
                <w:rFonts w:hint="eastAsia"/>
              </w:rPr>
              <w:t>开展社会服务活动次数</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质量指标</w:t>
            </w:r>
          </w:p>
        </w:tc>
        <w:tc>
          <w:tcPr>
            <w:tcW w:w="1332" w:type="dxa"/>
            <w:noWrap w:val="0"/>
            <w:vAlign w:val="center"/>
          </w:tcPr>
          <w:p>
            <w:pPr>
              <w:pStyle w:val="185"/>
            </w:pPr>
            <w:r>
              <w:rPr>
                <w:rFonts w:hint="eastAsia"/>
              </w:rPr>
              <w:t>社情民意反应率</w:t>
            </w:r>
          </w:p>
        </w:tc>
        <w:tc>
          <w:tcPr>
            <w:tcW w:w="2891" w:type="dxa"/>
            <w:noWrap w:val="0"/>
            <w:vAlign w:val="center"/>
          </w:tcPr>
          <w:p>
            <w:pPr>
              <w:pStyle w:val="185"/>
            </w:pPr>
            <w:r>
              <w:rPr>
                <w:rFonts w:hint="eastAsia"/>
              </w:rPr>
              <w:t>社情民意反映情况</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时效指标</w:t>
            </w:r>
          </w:p>
        </w:tc>
        <w:tc>
          <w:tcPr>
            <w:tcW w:w="1332" w:type="dxa"/>
            <w:noWrap w:val="0"/>
            <w:vAlign w:val="center"/>
          </w:tcPr>
          <w:p>
            <w:pPr>
              <w:pStyle w:val="185"/>
            </w:pPr>
            <w:r>
              <w:rPr>
                <w:rFonts w:hint="eastAsia"/>
              </w:rPr>
              <w:t>完成率</w:t>
            </w:r>
          </w:p>
        </w:tc>
        <w:tc>
          <w:tcPr>
            <w:tcW w:w="2891" w:type="dxa"/>
            <w:noWrap w:val="0"/>
            <w:vAlign w:val="center"/>
          </w:tcPr>
          <w:p>
            <w:pPr>
              <w:pStyle w:val="185"/>
            </w:pPr>
            <w:r>
              <w:rPr>
                <w:rFonts w:hint="eastAsia"/>
              </w:rPr>
              <w:t>专项调研完成率</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成本指标</w:t>
            </w:r>
          </w:p>
        </w:tc>
        <w:tc>
          <w:tcPr>
            <w:tcW w:w="1332" w:type="dxa"/>
            <w:noWrap w:val="0"/>
            <w:vAlign w:val="center"/>
          </w:tcPr>
          <w:p>
            <w:pPr>
              <w:pStyle w:val="185"/>
            </w:pPr>
            <w:r>
              <w:rPr>
                <w:rFonts w:hint="eastAsia"/>
              </w:rPr>
              <w:t>参加培训人均成本</w:t>
            </w:r>
          </w:p>
        </w:tc>
        <w:tc>
          <w:tcPr>
            <w:tcW w:w="2891" w:type="dxa"/>
            <w:noWrap w:val="0"/>
            <w:vAlign w:val="center"/>
          </w:tcPr>
          <w:p>
            <w:pPr>
              <w:pStyle w:val="185"/>
            </w:pPr>
            <w:r>
              <w:rPr>
                <w:rFonts w:hint="eastAsia"/>
              </w:rPr>
              <w:t>参加培训人均成本</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效益指标</w:t>
            </w:r>
          </w:p>
        </w:tc>
        <w:tc>
          <w:tcPr>
            <w:tcW w:w="1276" w:type="dxa"/>
            <w:noWrap w:val="0"/>
            <w:vAlign w:val="center"/>
          </w:tcPr>
          <w:p>
            <w:pPr>
              <w:pStyle w:val="185"/>
            </w:pPr>
            <w:r>
              <w:rPr>
                <w:rFonts w:hint="eastAsia"/>
              </w:rPr>
              <w:t>经济效益指标</w:t>
            </w:r>
          </w:p>
        </w:tc>
        <w:tc>
          <w:tcPr>
            <w:tcW w:w="1332" w:type="dxa"/>
            <w:noWrap w:val="0"/>
            <w:vAlign w:val="center"/>
          </w:tcPr>
          <w:p>
            <w:pPr>
              <w:pStyle w:val="185"/>
            </w:pPr>
            <w:r>
              <w:rPr>
                <w:rFonts w:hint="eastAsia"/>
              </w:rPr>
              <w:t>经济发展</w:t>
            </w:r>
          </w:p>
        </w:tc>
        <w:tc>
          <w:tcPr>
            <w:tcW w:w="2891" w:type="dxa"/>
            <w:noWrap w:val="0"/>
            <w:vAlign w:val="center"/>
          </w:tcPr>
          <w:p>
            <w:pPr>
              <w:pStyle w:val="185"/>
            </w:pPr>
            <w:r>
              <w:rPr>
                <w:rFonts w:hint="eastAsia"/>
              </w:rPr>
              <w:t>经济发展</w:t>
            </w:r>
          </w:p>
        </w:tc>
        <w:tc>
          <w:tcPr>
            <w:tcW w:w="1276" w:type="dxa"/>
            <w:noWrap w:val="0"/>
            <w:vAlign w:val="center"/>
          </w:tcPr>
          <w:p>
            <w:pPr>
              <w:pStyle w:val="185"/>
            </w:pPr>
            <w:r>
              <w:rPr>
                <w:rFonts w:hint="eastAsia"/>
              </w:rPr>
              <w:t>促进经济发展</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社会效益指标</w:t>
            </w:r>
          </w:p>
        </w:tc>
        <w:tc>
          <w:tcPr>
            <w:tcW w:w="1332" w:type="dxa"/>
            <w:noWrap w:val="0"/>
            <w:vAlign w:val="center"/>
          </w:tcPr>
          <w:p>
            <w:pPr>
              <w:pStyle w:val="185"/>
            </w:pPr>
            <w:r>
              <w:rPr>
                <w:rFonts w:hint="eastAsia"/>
              </w:rPr>
              <w:t>社会稳定水平</w:t>
            </w:r>
          </w:p>
        </w:tc>
        <w:tc>
          <w:tcPr>
            <w:tcW w:w="2891" w:type="dxa"/>
            <w:noWrap w:val="0"/>
            <w:vAlign w:val="center"/>
          </w:tcPr>
          <w:p>
            <w:pPr>
              <w:pStyle w:val="185"/>
            </w:pPr>
            <w:r>
              <w:rPr>
                <w:rFonts w:hint="eastAsia"/>
              </w:rPr>
              <w:t>通过委员工作室活动工作促进社会稳定</w:t>
            </w:r>
          </w:p>
        </w:tc>
        <w:tc>
          <w:tcPr>
            <w:tcW w:w="1276" w:type="dxa"/>
            <w:noWrap w:val="0"/>
            <w:vAlign w:val="center"/>
          </w:tcPr>
          <w:p>
            <w:pPr>
              <w:pStyle w:val="185"/>
            </w:pPr>
            <w:r>
              <w:rPr>
                <w:rFonts w:hint="eastAsia"/>
              </w:rPr>
              <w:t>促进社会稳定</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生态效益指标</w:t>
            </w:r>
          </w:p>
        </w:tc>
        <w:tc>
          <w:tcPr>
            <w:tcW w:w="1332" w:type="dxa"/>
            <w:noWrap w:val="0"/>
            <w:vAlign w:val="center"/>
          </w:tcPr>
          <w:p>
            <w:pPr>
              <w:pStyle w:val="185"/>
            </w:pPr>
            <w:r>
              <w:rPr>
                <w:rFonts w:hint="eastAsia"/>
              </w:rPr>
              <w:t>改善生态环境质量</w:t>
            </w:r>
          </w:p>
        </w:tc>
        <w:tc>
          <w:tcPr>
            <w:tcW w:w="2891" w:type="dxa"/>
            <w:noWrap w:val="0"/>
            <w:vAlign w:val="center"/>
          </w:tcPr>
          <w:p>
            <w:pPr>
              <w:pStyle w:val="185"/>
            </w:pPr>
            <w:r>
              <w:rPr>
                <w:rFonts w:hint="eastAsia"/>
              </w:rPr>
              <w:t>改善生态环境质量</w:t>
            </w:r>
          </w:p>
        </w:tc>
        <w:tc>
          <w:tcPr>
            <w:tcW w:w="1276" w:type="dxa"/>
            <w:noWrap w:val="0"/>
            <w:vAlign w:val="center"/>
          </w:tcPr>
          <w:p>
            <w:pPr>
              <w:pStyle w:val="185"/>
            </w:pPr>
            <w:r>
              <w:rPr>
                <w:rFonts w:hint="eastAsia"/>
              </w:rPr>
              <w:t>促进改善生态环境质量</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可持续影响指标</w:t>
            </w:r>
          </w:p>
        </w:tc>
        <w:tc>
          <w:tcPr>
            <w:tcW w:w="1332" w:type="dxa"/>
            <w:noWrap w:val="0"/>
            <w:vAlign w:val="center"/>
          </w:tcPr>
          <w:p>
            <w:pPr>
              <w:pStyle w:val="185"/>
            </w:pPr>
            <w:r>
              <w:rPr>
                <w:rFonts w:hint="eastAsia"/>
              </w:rPr>
              <w:t>保障人才队伍可持续建设</w:t>
            </w:r>
          </w:p>
        </w:tc>
        <w:tc>
          <w:tcPr>
            <w:tcW w:w="2891" w:type="dxa"/>
            <w:noWrap w:val="0"/>
            <w:vAlign w:val="center"/>
          </w:tcPr>
          <w:p>
            <w:pPr>
              <w:pStyle w:val="185"/>
            </w:pPr>
            <w:r>
              <w:rPr>
                <w:rFonts w:hint="eastAsia"/>
              </w:rPr>
              <w:t>保障人才队伍可持续建设</w:t>
            </w:r>
          </w:p>
        </w:tc>
        <w:tc>
          <w:tcPr>
            <w:tcW w:w="1276" w:type="dxa"/>
            <w:noWrap w:val="0"/>
            <w:vAlign w:val="center"/>
          </w:tcPr>
          <w:p>
            <w:pPr>
              <w:pStyle w:val="185"/>
            </w:pPr>
            <w:r>
              <w:rPr>
                <w:rFonts w:hint="eastAsia"/>
              </w:rPr>
              <w:t>促进人才队伍可持续建设</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7"/>
            </w:pPr>
            <w:r>
              <w:rPr>
                <w:rFonts w:hint="eastAsia"/>
              </w:rPr>
              <w:t>满意度指标</w:t>
            </w:r>
          </w:p>
        </w:tc>
        <w:tc>
          <w:tcPr>
            <w:tcW w:w="1276" w:type="dxa"/>
            <w:noWrap w:val="0"/>
            <w:vAlign w:val="center"/>
          </w:tcPr>
          <w:p>
            <w:pPr>
              <w:pStyle w:val="185"/>
            </w:pPr>
            <w:r>
              <w:rPr>
                <w:rFonts w:hint="eastAsia"/>
              </w:rPr>
              <w:t>服务对象满意度指标</w:t>
            </w:r>
          </w:p>
        </w:tc>
        <w:tc>
          <w:tcPr>
            <w:tcW w:w="1332" w:type="dxa"/>
            <w:noWrap w:val="0"/>
            <w:vAlign w:val="center"/>
          </w:tcPr>
          <w:p>
            <w:pPr>
              <w:pStyle w:val="185"/>
            </w:pPr>
            <w:r>
              <w:rPr>
                <w:rFonts w:hint="eastAsia"/>
              </w:rPr>
              <w:t>群众满意度</w:t>
            </w:r>
          </w:p>
        </w:tc>
        <w:tc>
          <w:tcPr>
            <w:tcW w:w="2891" w:type="dxa"/>
            <w:noWrap w:val="0"/>
            <w:vAlign w:val="center"/>
          </w:tcPr>
          <w:p>
            <w:pPr>
              <w:pStyle w:val="185"/>
            </w:pPr>
            <w:r>
              <w:rPr>
                <w:rFonts w:hint="eastAsia"/>
              </w:rPr>
              <w:t>群众对当年委员工作室工作的整体满意度</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bl>
    <w:p>
      <w:pPr>
        <w:sectPr>
          <w:pgSz w:w="11900" w:h="16840" w:orient="landscape"/>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政协会议绩效目标表</w:t>
      </w:r>
      <w:bookmarkEnd w:id="7"/>
    </w:p>
    <w:tbl>
      <w:tblPr>
        <w:tblStyle w:val="2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84"/>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83"/>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6"/>
            </w:pPr>
            <w:r>
              <w:rPr>
                <w:rFonts w:hint="eastAsia"/>
              </w:rPr>
              <w:t>项目编码</w:t>
            </w:r>
          </w:p>
        </w:tc>
        <w:tc>
          <w:tcPr>
            <w:tcW w:w="2608" w:type="dxa"/>
            <w:gridSpan w:val="2"/>
            <w:noWrap w:val="0"/>
            <w:vAlign w:val="center"/>
          </w:tcPr>
          <w:p>
            <w:pPr>
              <w:pStyle w:val="185"/>
            </w:pPr>
            <w:r>
              <w:t>13030322P00397210001H</w:t>
            </w:r>
          </w:p>
        </w:tc>
        <w:tc>
          <w:tcPr>
            <w:tcW w:w="1587" w:type="dxa"/>
            <w:noWrap w:val="0"/>
            <w:vAlign w:val="center"/>
          </w:tcPr>
          <w:p>
            <w:pPr>
              <w:pStyle w:val="186"/>
            </w:pPr>
            <w:r>
              <w:rPr>
                <w:rFonts w:hint="eastAsia"/>
              </w:rPr>
              <w:t>项目名称</w:t>
            </w:r>
          </w:p>
        </w:tc>
        <w:tc>
          <w:tcPr>
            <w:tcW w:w="4422" w:type="dxa"/>
            <w:gridSpan w:val="3"/>
            <w:noWrap w:val="0"/>
            <w:vAlign w:val="center"/>
          </w:tcPr>
          <w:p>
            <w:pPr>
              <w:pStyle w:val="185"/>
            </w:pPr>
            <w:r>
              <w:rPr>
                <w:rFonts w:hint="eastAsia"/>
              </w:rP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预算规模及资金用途</w:t>
            </w:r>
          </w:p>
        </w:tc>
        <w:tc>
          <w:tcPr>
            <w:tcW w:w="1276" w:type="dxa"/>
            <w:noWrap w:val="0"/>
            <w:vAlign w:val="center"/>
          </w:tcPr>
          <w:p>
            <w:pPr>
              <w:pStyle w:val="186"/>
            </w:pPr>
            <w:r>
              <w:rPr>
                <w:rFonts w:hint="eastAsia"/>
              </w:rPr>
              <w:t>预算数</w:t>
            </w:r>
          </w:p>
        </w:tc>
        <w:tc>
          <w:tcPr>
            <w:tcW w:w="1332" w:type="dxa"/>
            <w:noWrap w:val="0"/>
            <w:vAlign w:val="center"/>
          </w:tcPr>
          <w:p>
            <w:pPr>
              <w:pStyle w:val="185"/>
            </w:pPr>
            <w:r>
              <w:t>20.00</w:t>
            </w:r>
          </w:p>
        </w:tc>
        <w:tc>
          <w:tcPr>
            <w:tcW w:w="1587" w:type="dxa"/>
            <w:noWrap w:val="0"/>
            <w:vAlign w:val="center"/>
          </w:tcPr>
          <w:p>
            <w:pPr>
              <w:pStyle w:val="186"/>
            </w:pPr>
            <w:r>
              <w:rPr>
                <w:rFonts w:hint="eastAsia"/>
              </w:rPr>
              <w:t>其中：财政</w:t>
            </w:r>
            <w:r>
              <w:t xml:space="preserve">    </w:t>
            </w:r>
            <w:r>
              <w:rPr>
                <w:rFonts w:hint="eastAsia"/>
              </w:rPr>
              <w:t>资金</w:t>
            </w:r>
          </w:p>
        </w:tc>
        <w:tc>
          <w:tcPr>
            <w:tcW w:w="1304" w:type="dxa"/>
            <w:noWrap w:val="0"/>
            <w:vAlign w:val="center"/>
          </w:tcPr>
          <w:p>
            <w:pPr>
              <w:pStyle w:val="185"/>
            </w:pPr>
            <w:r>
              <w:t>20.00</w:t>
            </w:r>
          </w:p>
        </w:tc>
        <w:tc>
          <w:tcPr>
            <w:tcW w:w="1276" w:type="dxa"/>
            <w:noWrap w:val="0"/>
            <w:vAlign w:val="center"/>
          </w:tcPr>
          <w:p>
            <w:pPr>
              <w:pStyle w:val="186"/>
            </w:pPr>
            <w:r>
              <w:rPr>
                <w:rFonts w:hint="eastAsia"/>
              </w:rPr>
              <w:t>其他资金</w:t>
            </w:r>
          </w:p>
        </w:tc>
        <w:tc>
          <w:tcPr>
            <w:tcW w:w="1843" w:type="dxa"/>
            <w:noWrap w:val="0"/>
            <w:vAlign w:val="center"/>
          </w:tcPr>
          <w:p>
            <w:pPr>
              <w:pStyle w:val="18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8617" w:type="dxa"/>
            <w:gridSpan w:val="6"/>
            <w:noWrap w:val="0"/>
            <w:vAlign w:val="center"/>
          </w:tcPr>
          <w:p>
            <w:pPr>
              <w:pStyle w:val="185"/>
            </w:pPr>
            <w:r>
              <w:rPr>
                <w:rFonts w:hint="eastAsia"/>
              </w:rP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6"/>
            </w:pPr>
            <w:r>
              <w:rPr>
                <w:rFonts w:hint="eastAsia"/>
              </w:rPr>
              <w:t>资金支出计划（</w:t>
            </w:r>
            <w:r>
              <w:t>%</w:t>
            </w:r>
            <w:r>
              <w:rPr>
                <w:rFonts w:hint="eastAsia"/>
              </w:rPr>
              <w:t>）</w:t>
            </w:r>
          </w:p>
        </w:tc>
        <w:tc>
          <w:tcPr>
            <w:tcW w:w="2608" w:type="dxa"/>
            <w:gridSpan w:val="2"/>
            <w:noWrap w:val="0"/>
            <w:vAlign w:val="center"/>
          </w:tcPr>
          <w:p>
            <w:pPr>
              <w:pStyle w:val="186"/>
            </w:pPr>
            <w:r>
              <w:t>3</w:t>
            </w:r>
            <w:r>
              <w:rPr>
                <w:rFonts w:hint="eastAsia"/>
              </w:rPr>
              <w:t>月底</w:t>
            </w:r>
          </w:p>
        </w:tc>
        <w:tc>
          <w:tcPr>
            <w:tcW w:w="1587" w:type="dxa"/>
            <w:noWrap w:val="0"/>
            <w:vAlign w:val="center"/>
          </w:tcPr>
          <w:p>
            <w:pPr>
              <w:pStyle w:val="186"/>
            </w:pPr>
            <w:r>
              <w:t>6</w:t>
            </w:r>
            <w:r>
              <w:rPr>
                <w:rFonts w:hint="eastAsia"/>
              </w:rPr>
              <w:t>月底</w:t>
            </w:r>
          </w:p>
        </w:tc>
        <w:tc>
          <w:tcPr>
            <w:tcW w:w="1304" w:type="dxa"/>
            <w:noWrap w:val="0"/>
            <w:vAlign w:val="center"/>
          </w:tcPr>
          <w:p>
            <w:pPr>
              <w:pStyle w:val="186"/>
            </w:pPr>
            <w:r>
              <w:t>10</w:t>
            </w:r>
            <w:r>
              <w:rPr>
                <w:rFonts w:hint="eastAsia"/>
              </w:rPr>
              <w:t>月底</w:t>
            </w:r>
          </w:p>
        </w:tc>
        <w:tc>
          <w:tcPr>
            <w:tcW w:w="3118" w:type="dxa"/>
            <w:gridSpan w:val="2"/>
            <w:noWrap w:val="0"/>
            <w:vAlign w:val="center"/>
          </w:tcPr>
          <w:p>
            <w:pPr>
              <w:pStyle w:val="186"/>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tcPr>
          <w:p/>
        </w:tc>
        <w:tc>
          <w:tcPr>
            <w:tcW w:w="2608" w:type="dxa"/>
            <w:gridSpan w:val="2"/>
            <w:noWrap w:val="0"/>
            <w:vAlign w:val="center"/>
          </w:tcPr>
          <w:p>
            <w:pPr>
              <w:pStyle w:val="187"/>
            </w:pPr>
            <w:r>
              <w:t>50%</w:t>
            </w:r>
          </w:p>
        </w:tc>
        <w:tc>
          <w:tcPr>
            <w:tcW w:w="1587" w:type="dxa"/>
            <w:noWrap w:val="0"/>
            <w:vAlign w:val="center"/>
          </w:tcPr>
          <w:p>
            <w:pPr>
              <w:pStyle w:val="187"/>
            </w:pPr>
            <w:r>
              <w:t>100%</w:t>
            </w:r>
          </w:p>
        </w:tc>
        <w:tc>
          <w:tcPr>
            <w:tcW w:w="1304" w:type="dxa"/>
            <w:noWrap w:val="0"/>
            <w:vAlign w:val="center"/>
          </w:tcPr>
          <w:p>
            <w:pPr>
              <w:pStyle w:val="187"/>
            </w:pPr>
            <w:r>
              <w:t>100%</w:t>
            </w:r>
          </w:p>
        </w:tc>
        <w:tc>
          <w:tcPr>
            <w:tcW w:w="3118" w:type="dxa"/>
            <w:gridSpan w:val="2"/>
            <w:noWrap w:val="0"/>
            <w:vAlign w:val="center"/>
          </w:tcPr>
          <w:p>
            <w:pPr>
              <w:pStyle w:val="18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186"/>
            </w:pPr>
            <w:r>
              <w:rPr>
                <w:rFonts w:hint="eastAsia"/>
              </w:rPr>
              <w:t>绩效目标</w:t>
            </w:r>
          </w:p>
        </w:tc>
        <w:tc>
          <w:tcPr>
            <w:tcW w:w="8617" w:type="dxa"/>
            <w:gridSpan w:val="6"/>
            <w:tcBorders>
              <w:bottom w:val="single" w:color="FFFFFF" w:sz="6" w:space="0"/>
            </w:tcBorders>
            <w:noWrap w:val="0"/>
            <w:vAlign w:val="center"/>
          </w:tcPr>
          <w:p>
            <w:pPr>
              <w:pStyle w:val="185"/>
            </w:pPr>
            <w:r>
              <w:t>1.</w:t>
            </w:r>
            <w:r>
              <w:rPr>
                <w:rFonts w:hint="eastAsia"/>
              </w:rPr>
              <w:t>政协会议</w:t>
            </w:r>
          </w:p>
        </w:tc>
      </w:tr>
    </w:tbl>
    <w:p>
      <w:pPr>
        <w:spacing w:line="2" w:lineRule="exact"/>
        <w:jc w:val="center"/>
      </w:pPr>
      <w:r>
        <w:rPr>
          <w:rFonts w:ascii="方正书宋_GBK" w:hAnsi="方正书宋_GBK" w:eastAsia="方正书宋_GBK" w:cs="方正书宋_GBK"/>
          <w:color w:val="000000"/>
          <w:sz w:val="21"/>
        </w:rPr>
        <w:t xml:space="preserve"> </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86"/>
            </w:pPr>
            <w:r>
              <w:rPr>
                <w:rFonts w:hint="eastAsia"/>
              </w:rPr>
              <w:t>一级指标</w:t>
            </w:r>
          </w:p>
        </w:tc>
        <w:tc>
          <w:tcPr>
            <w:tcW w:w="1276" w:type="dxa"/>
            <w:noWrap w:val="0"/>
            <w:vAlign w:val="center"/>
          </w:tcPr>
          <w:p>
            <w:pPr>
              <w:pStyle w:val="186"/>
            </w:pPr>
            <w:r>
              <w:rPr>
                <w:rFonts w:hint="eastAsia"/>
              </w:rPr>
              <w:t>二级指标</w:t>
            </w:r>
          </w:p>
        </w:tc>
        <w:tc>
          <w:tcPr>
            <w:tcW w:w="1332" w:type="dxa"/>
            <w:noWrap w:val="0"/>
            <w:vAlign w:val="center"/>
          </w:tcPr>
          <w:p>
            <w:pPr>
              <w:pStyle w:val="186"/>
            </w:pPr>
            <w:r>
              <w:rPr>
                <w:rFonts w:hint="eastAsia"/>
              </w:rPr>
              <w:t>三级指标</w:t>
            </w:r>
          </w:p>
        </w:tc>
        <w:tc>
          <w:tcPr>
            <w:tcW w:w="2891" w:type="dxa"/>
            <w:noWrap w:val="0"/>
            <w:vAlign w:val="center"/>
          </w:tcPr>
          <w:p>
            <w:pPr>
              <w:pStyle w:val="186"/>
            </w:pPr>
            <w:r>
              <w:rPr>
                <w:rFonts w:hint="eastAsia"/>
              </w:rPr>
              <w:t>绩效指标描述</w:t>
            </w:r>
          </w:p>
        </w:tc>
        <w:tc>
          <w:tcPr>
            <w:tcW w:w="1276" w:type="dxa"/>
            <w:noWrap w:val="0"/>
            <w:vAlign w:val="center"/>
          </w:tcPr>
          <w:p>
            <w:pPr>
              <w:pStyle w:val="186"/>
            </w:pPr>
            <w:r>
              <w:rPr>
                <w:rFonts w:hint="eastAsia"/>
              </w:rPr>
              <w:t>指标值</w:t>
            </w:r>
          </w:p>
        </w:tc>
        <w:tc>
          <w:tcPr>
            <w:tcW w:w="1843" w:type="dxa"/>
            <w:noWrap w:val="0"/>
            <w:vAlign w:val="center"/>
          </w:tcPr>
          <w:p>
            <w:pPr>
              <w:pStyle w:val="186"/>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产出指标</w:t>
            </w:r>
          </w:p>
        </w:tc>
        <w:tc>
          <w:tcPr>
            <w:tcW w:w="1276" w:type="dxa"/>
            <w:noWrap w:val="0"/>
            <w:vAlign w:val="center"/>
          </w:tcPr>
          <w:p>
            <w:pPr>
              <w:pStyle w:val="185"/>
            </w:pPr>
            <w:r>
              <w:rPr>
                <w:rFonts w:hint="eastAsia"/>
              </w:rPr>
              <w:t>数量指标</w:t>
            </w:r>
          </w:p>
        </w:tc>
        <w:tc>
          <w:tcPr>
            <w:tcW w:w="1332" w:type="dxa"/>
            <w:noWrap w:val="0"/>
            <w:vAlign w:val="center"/>
          </w:tcPr>
          <w:p>
            <w:pPr>
              <w:pStyle w:val="185"/>
            </w:pPr>
            <w:r>
              <w:rPr>
                <w:rFonts w:hint="eastAsia"/>
              </w:rPr>
              <w:t>实现率</w:t>
            </w:r>
          </w:p>
        </w:tc>
        <w:tc>
          <w:tcPr>
            <w:tcW w:w="2891" w:type="dxa"/>
            <w:noWrap w:val="0"/>
            <w:vAlign w:val="center"/>
          </w:tcPr>
          <w:p>
            <w:pPr>
              <w:pStyle w:val="185"/>
            </w:pPr>
            <w:r>
              <w:rPr>
                <w:rFonts w:hint="eastAsia"/>
              </w:rPr>
              <w:t>反映政治任务实现率</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质量指标</w:t>
            </w:r>
          </w:p>
        </w:tc>
        <w:tc>
          <w:tcPr>
            <w:tcW w:w="1332" w:type="dxa"/>
            <w:noWrap w:val="0"/>
            <w:vAlign w:val="center"/>
          </w:tcPr>
          <w:p>
            <w:pPr>
              <w:pStyle w:val="185"/>
            </w:pPr>
            <w:r>
              <w:rPr>
                <w:rFonts w:hint="eastAsia"/>
              </w:rPr>
              <w:t>选举换届圆满完成</w:t>
            </w:r>
          </w:p>
        </w:tc>
        <w:tc>
          <w:tcPr>
            <w:tcW w:w="2891" w:type="dxa"/>
            <w:noWrap w:val="0"/>
            <w:vAlign w:val="center"/>
          </w:tcPr>
          <w:p>
            <w:pPr>
              <w:pStyle w:val="185"/>
            </w:pPr>
            <w:r>
              <w:rPr>
                <w:rFonts w:hint="eastAsia"/>
              </w:rPr>
              <w:t>选举换届圆满完成</w:t>
            </w:r>
          </w:p>
        </w:tc>
        <w:tc>
          <w:tcPr>
            <w:tcW w:w="1276" w:type="dxa"/>
            <w:noWrap w:val="0"/>
            <w:vAlign w:val="center"/>
          </w:tcPr>
          <w:p>
            <w:pPr>
              <w:pStyle w:val="185"/>
            </w:pPr>
            <w:r>
              <w:rPr>
                <w:rFonts w:hint="eastAsia"/>
              </w:rPr>
              <w:t>换届圆满完成</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时效指标</w:t>
            </w:r>
          </w:p>
        </w:tc>
        <w:tc>
          <w:tcPr>
            <w:tcW w:w="1332" w:type="dxa"/>
            <w:noWrap w:val="0"/>
            <w:vAlign w:val="center"/>
          </w:tcPr>
          <w:p>
            <w:pPr>
              <w:pStyle w:val="185"/>
            </w:pPr>
            <w:r>
              <w:rPr>
                <w:rFonts w:hint="eastAsia"/>
              </w:rPr>
              <w:t>完成率</w:t>
            </w:r>
          </w:p>
        </w:tc>
        <w:tc>
          <w:tcPr>
            <w:tcW w:w="2891" w:type="dxa"/>
            <w:noWrap w:val="0"/>
            <w:vAlign w:val="center"/>
          </w:tcPr>
          <w:p>
            <w:pPr>
              <w:pStyle w:val="185"/>
            </w:pPr>
            <w:r>
              <w:rPr>
                <w:rFonts w:hint="eastAsia"/>
              </w:rPr>
              <w:t>反映工作完成情况</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成本指标</w:t>
            </w:r>
          </w:p>
        </w:tc>
        <w:tc>
          <w:tcPr>
            <w:tcW w:w="1332" w:type="dxa"/>
            <w:noWrap w:val="0"/>
            <w:vAlign w:val="center"/>
          </w:tcPr>
          <w:p>
            <w:pPr>
              <w:pStyle w:val="185"/>
            </w:pPr>
            <w:r>
              <w:rPr>
                <w:rFonts w:hint="eastAsia"/>
              </w:rPr>
              <w:t>换届人均成本</w:t>
            </w:r>
          </w:p>
        </w:tc>
        <w:tc>
          <w:tcPr>
            <w:tcW w:w="2891" w:type="dxa"/>
            <w:noWrap w:val="0"/>
            <w:vAlign w:val="center"/>
          </w:tcPr>
          <w:p>
            <w:pPr>
              <w:pStyle w:val="185"/>
            </w:pPr>
            <w:r>
              <w:rPr>
                <w:rFonts w:hint="eastAsia"/>
              </w:rPr>
              <w:t>换届人均成本</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87"/>
            </w:pPr>
            <w:r>
              <w:rPr>
                <w:rFonts w:hint="eastAsia"/>
              </w:rPr>
              <w:t>效益指标</w:t>
            </w:r>
          </w:p>
        </w:tc>
        <w:tc>
          <w:tcPr>
            <w:tcW w:w="1276" w:type="dxa"/>
            <w:noWrap w:val="0"/>
            <w:vAlign w:val="center"/>
          </w:tcPr>
          <w:p>
            <w:pPr>
              <w:pStyle w:val="185"/>
            </w:pPr>
            <w:r>
              <w:rPr>
                <w:rFonts w:hint="eastAsia"/>
              </w:rPr>
              <w:t>经济效益指标</w:t>
            </w:r>
          </w:p>
        </w:tc>
        <w:tc>
          <w:tcPr>
            <w:tcW w:w="1332" w:type="dxa"/>
            <w:noWrap w:val="0"/>
            <w:vAlign w:val="center"/>
          </w:tcPr>
          <w:p>
            <w:pPr>
              <w:pStyle w:val="185"/>
            </w:pPr>
            <w:r>
              <w:rPr>
                <w:rFonts w:hint="eastAsia"/>
              </w:rPr>
              <w:t>拉动地方经济发展</w:t>
            </w:r>
          </w:p>
        </w:tc>
        <w:tc>
          <w:tcPr>
            <w:tcW w:w="2891" w:type="dxa"/>
            <w:noWrap w:val="0"/>
            <w:vAlign w:val="center"/>
          </w:tcPr>
          <w:p>
            <w:pPr>
              <w:pStyle w:val="185"/>
            </w:pPr>
            <w:r>
              <w:rPr>
                <w:rFonts w:hint="eastAsia"/>
              </w:rPr>
              <w:t>拉动地方经济发展</w:t>
            </w:r>
          </w:p>
        </w:tc>
        <w:tc>
          <w:tcPr>
            <w:tcW w:w="1276" w:type="dxa"/>
            <w:noWrap w:val="0"/>
            <w:vAlign w:val="center"/>
          </w:tcPr>
          <w:p>
            <w:pPr>
              <w:pStyle w:val="185"/>
            </w:pPr>
            <w:r>
              <w:rPr>
                <w:rFonts w:hint="eastAsia"/>
              </w:rPr>
              <w:t>拉动地方经济发展</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社会效益指标</w:t>
            </w:r>
          </w:p>
        </w:tc>
        <w:tc>
          <w:tcPr>
            <w:tcW w:w="1332" w:type="dxa"/>
            <w:noWrap w:val="0"/>
            <w:vAlign w:val="center"/>
          </w:tcPr>
          <w:p>
            <w:pPr>
              <w:pStyle w:val="185"/>
            </w:pPr>
            <w:r>
              <w:rPr>
                <w:rFonts w:hint="eastAsia"/>
              </w:rPr>
              <w:t>社会稳定水平</w:t>
            </w:r>
          </w:p>
        </w:tc>
        <w:tc>
          <w:tcPr>
            <w:tcW w:w="2891" w:type="dxa"/>
            <w:noWrap w:val="0"/>
            <w:vAlign w:val="center"/>
          </w:tcPr>
          <w:p>
            <w:pPr>
              <w:pStyle w:val="185"/>
            </w:pPr>
            <w:r>
              <w:rPr>
                <w:rFonts w:hint="eastAsia"/>
              </w:rPr>
              <w:t>促进社会和谐稳定</w:t>
            </w:r>
          </w:p>
        </w:tc>
        <w:tc>
          <w:tcPr>
            <w:tcW w:w="1276" w:type="dxa"/>
            <w:noWrap w:val="0"/>
            <w:vAlign w:val="center"/>
          </w:tcPr>
          <w:p>
            <w:pPr>
              <w:pStyle w:val="185"/>
            </w:pPr>
            <w:r>
              <w:rPr>
                <w:rFonts w:hint="eastAsia"/>
              </w:rPr>
              <w:t>促进社会稳定</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生态效益指标</w:t>
            </w:r>
          </w:p>
        </w:tc>
        <w:tc>
          <w:tcPr>
            <w:tcW w:w="1332" w:type="dxa"/>
            <w:noWrap w:val="0"/>
            <w:vAlign w:val="center"/>
          </w:tcPr>
          <w:p>
            <w:pPr>
              <w:pStyle w:val="185"/>
            </w:pPr>
            <w:r>
              <w:rPr>
                <w:rFonts w:hint="eastAsia"/>
              </w:rPr>
              <w:t>改善生态环境质量</w:t>
            </w:r>
          </w:p>
        </w:tc>
        <w:tc>
          <w:tcPr>
            <w:tcW w:w="2891" w:type="dxa"/>
            <w:noWrap w:val="0"/>
            <w:vAlign w:val="center"/>
          </w:tcPr>
          <w:p>
            <w:pPr>
              <w:pStyle w:val="185"/>
            </w:pPr>
            <w:r>
              <w:rPr>
                <w:rFonts w:hint="eastAsia"/>
              </w:rPr>
              <w:t>督促改善生态环境质量</w:t>
            </w:r>
          </w:p>
        </w:tc>
        <w:tc>
          <w:tcPr>
            <w:tcW w:w="1276" w:type="dxa"/>
            <w:noWrap w:val="0"/>
            <w:vAlign w:val="center"/>
          </w:tcPr>
          <w:p>
            <w:pPr>
              <w:pStyle w:val="185"/>
            </w:pPr>
            <w:r>
              <w:rPr>
                <w:rFonts w:hint="eastAsia"/>
              </w:rPr>
              <w:t>改善生态环境质量</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5"/>
            </w:pPr>
            <w:r>
              <w:rPr>
                <w:rFonts w:hint="eastAsia"/>
              </w:rPr>
              <w:t>可持续影响指标</w:t>
            </w:r>
          </w:p>
        </w:tc>
        <w:tc>
          <w:tcPr>
            <w:tcW w:w="1332" w:type="dxa"/>
            <w:noWrap w:val="0"/>
            <w:vAlign w:val="center"/>
          </w:tcPr>
          <w:p>
            <w:pPr>
              <w:pStyle w:val="185"/>
            </w:pPr>
            <w:r>
              <w:rPr>
                <w:rFonts w:hint="eastAsia"/>
              </w:rPr>
              <w:t>项目持续发挥作用期限</w:t>
            </w:r>
          </w:p>
        </w:tc>
        <w:tc>
          <w:tcPr>
            <w:tcW w:w="2891" w:type="dxa"/>
            <w:noWrap w:val="0"/>
            <w:vAlign w:val="center"/>
          </w:tcPr>
          <w:p>
            <w:pPr>
              <w:pStyle w:val="185"/>
            </w:pPr>
            <w:r>
              <w:rPr>
                <w:rFonts w:hint="eastAsia"/>
              </w:rPr>
              <w:t>项目持续发挥作用期限</w:t>
            </w:r>
          </w:p>
        </w:tc>
        <w:tc>
          <w:tcPr>
            <w:tcW w:w="1276" w:type="dxa"/>
            <w:noWrap w:val="0"/>
            <w:vAlign w:val="center"/>
          </w:tcPr>
          <w:p>
            <w:pPr>
              <w:pStyle w:val="185"/>
            </w:pPr>
            <w:r>
              <w:rPr>
                <w:rFonts w:hint="eastAsia"/>
              </w:rPr>
              <w:t>项目持续发挥作用期限</w:t>
            </w:r>
          </w:p>
        </w:tc>
        <w:tc>
          <w:tcPr>
            <w:tcW w:w="1843" w:type="dxa"/>
            <w:noWrap w:val="0"/>
            <w:vAlign w:val="center"/>
          </w:tcPr>
          <w:p>
            <w:pPr>
              <w:pStyle w:val="185"/>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87"/>
            </w:pPr>
            <w:r>
              <w:rPr>
                <w:rFonts w:hint="eastAsia"/>
              </w:rPr>
              <w:t>满意度指标</w:t>
            </w:r>
          </w:p>
        </w:tc>
        <w:tc>
          <w:tcPr>
            <w:tcW w:w="1276" w:type="dxa"/>
            <w:noWrap w:val="0"/>
            <w:vAlign w:val="center"/>
          </w:tcPr>
          <w:p>
            <w:pPr>
              <w:pStyle w:val="185"/>
            </w:pPr>
            <w:r>
              <w:rPr>
                <w:rFonts w:hint="eastAsia"/>
              </w:rPr>
              <w:t>服务对象满意度指标</w:t>
            </w:r>
          </w:p>
        </w:tc>
        <w:tc>
          <w:tcPr>
            <w:tcW w:w="1332" w:type="dxa"/>
            <w:noWrap w:val="0"/>
            <w:vAlign w:val="center"/>
          </w:tcPr>
          <w:p>
            <w:pPr>
              <w:pStyle w:val="185"/>
            </w:pPr>
            <w:r>
              <w:rPr>
                <w:rFonts w:hint="eastAsia"/>
              </w:rPr>
              <w:t>群众满意度</w:t>
            </w:r>
          </w:p>
        </w:tc>
        <w:tc>
          <w:tcPr>
            <w:tcW w:w="2891" w:type="dxa"/>
            <w:noWrap w:val="0"/>
            <w:vAlign w:val="center"/>
          </w:tcPr>
          <w:p>
            <w:pPr>
              <w:pStyle w:val="185"/>
            </w:pPr>
            <w:r>
              <w:rPr>
                <w:rFonts w:hint="eastAsia"/>
              </w:rPr>
              <w:t>群众对当年政协换届的整体满意度</w:t>
            </w:r>
          </w:p>
        </w:tc>
        <w:tc>
          <w:tcPr>
            <w:tcW w:w="1276" w:type="dxa"/>
            <w:noWrap w:val="0"/>
            <w:vAlign w:val="center"/>
          </w:tcPr>
          <w:p>
            <w:pPr>
              <w:pStyle w:val="185"/>
            </w:pPr>
            <w:r>
              <w:rPr>
                <w:rFonts w:hint="eastAsia"/>
              </w:rPr>
              <w:t>≥</w:t>
            </w:r>
            <w:r>
              <w:t>90%</w:t>
            </w:r>
          </w:p>
        </w:tc>
        <w:tc>
          <w:tcPr>
            <w:tcW w:w="1843" w:type="dxa"/>
            <w:noWrap w:val="0"/>
            <w:vAlign w:val="center"/>
          </w:tcPr>
          <w:p>
            <w:pPr>
              <w:pStyle w:val="185"/>
            </w:pPr>
            <w:r>
              <w:rPr>
                <w:rFonts w:hint="eastAsia"/>
              </w:rPr>
              <w:t>年度工作计划</w:t>
            </w:r>
          </w:p>
        </w:tc>
      </w:tr>
    </w:tbl>
    <w:p/>
    <w:sectPr>
      <w:pgSz w:w="11900" w:h="1684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楷体_GBK">
    <w:altName w:val="微软雅黑"/>
    <w:panose1 w:val="020B0604020202020204"/>
    <w:charset w:val="00"/>
    <w:family w:val="auto"/>
    <w:pitch w:val="default"/>
    <w:sig w:usb0="00000000" w:usb1="00000000" w:usb2="00000000" w:usb3="00000000" w:csb0="00000000" w:csb1="00000000"/>
  </w:font>
  <w:font w:name="方正黑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5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iPriority="39" w:semiHidden="0" w:name="toc 3"/>
    <w:lsdException w:unhideWhenUsed="0" w:uiPriority="9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default" w:ascii="Times New Roman" w:hAnsi="Times New Roman" w:eastAsia="宋体" w:cs="Times New Roman"/>
      <w:sz w:val="24"/>
      <w:szCs w:val="24"/>
      <w:lang w:val="en-US" w:eastAsia="uk-UA"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iPriority w:val="99"/>
  </w:style>
  <w:style w:type="table" w:default="1" w:styleId="28">
    <w:name w:val="Normal Table"/>
    <w:semiHidden/>
    <w:unhideWhenUsed/>
    <w:qFormat/>
    <w:uiPriority w:val="99"/>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78"/>
    <w:semiHidden/>
    <w:unhideWhenUsed/>
    <w:uiPriority w:val="99"/>
    <w:pPr>
      <w:spacing w:after="0" w:line="240" w:lineRule="auto"/>
    </w:pPr>
    <w:rPr>
      <w:sz w:val="20"/>
    </w:rPr>
  </w:style>
  <w:style w:type="paragraph" w:styleId="17">
    <w:name w:val="footer"/>
    <w:basedOn w:val="1"/>
    <w:link w:val="189"/>
    <w:uiPriority w:val="99"/>
    <w:pPr>
      <w:tabs>
        <w:tab w:val="center" w:pos="4153"/>
        <w:tab w:val="right" w:pos="8306"/>
      </w:tabs>
    </w:pPr>
    <w:rPr>
      <w:sz w:val="18"/>
      <w:szCs w:val="18"/>
    </w:rPr>
  </w:style>
  <w:style w:type="paragraph" w:styleId="18">
    <w:name w:val="header"/>
    <w:basedOn w:val="1"/>
    <w:link w:val="188"/>
    <w:uiPriority w:val="99"/>
    <w:pPr>
      <w:pBdr>
        <w:bottom w:val="single" w:color="000000" w:sz="6" w:space="1"/>
      </w:pBdr>
      <w:tabs>
        <w:tab w:val="center" w:pos="4153"/>
        <w:tab w:val="right" w:pos="8306"/>
      </w:tabs>
      <w:jc w:val="center"/>
    </w:pPr>
    <w:rPr>
      <w:sz w:val="18"/>
      <w:szCs w:val="18"/>
    </w:rPr>
  </w:style>
  <w:style w:type="paragraph" w:styleId="19">
    <w:name w:val="toc 1"/>
    <w:basedOn w:val="1"/>
    <w:next w:val="1"/>
    <w:uiPriority w:val="99"/>
    <w:pPr>
      <w:spacing w:before="120"/>
    </w:pPr>
    <w:rPr>
      <w:rFonts w:eastAsia="方正仿宋_GBK"/>
      <w:color w:val="000000"/>
      <w:sz w:val="28"/>
    </w:rPr>
  </w:style>
  <w:style w:type="paragraph" w:styleId="20">
    <w:name w:val="toc 4"/>
    <w:basedOn w:val="1"/>
    <w:next w:val="1"/>
    <w:uiPriority w:val="99"/>
    <w:pPr>
      <w:ind w:left="72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7"/>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iPriority w:val="99"/>
    <w:pPr>
      <w:ind w:left="24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9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uiPriority w:val="9"/>
    <w:rPr>
      <w:rFonts w:ascii="等线" w:hAnsi="等线" w:eastAsia="等线" w:cs="等线"/>
      <w:sz w:val="40"/>
      <w:szCs w:val="40"/>
    </w:rPr>
  </w:style>
  <w:style w:type="character" w:customStyle="1" w:styleId="35">
    <w:name w:val="Heading 2 Char"/>
    <w:basedOn w:val="30"/>
    <w:link w:val="3"/>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qFormat/>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uiPriority w:val="10"/>
    <w:rPr>
      <w:sz w:val="48"/>
      <w:szCs w:val="48"/>
    </w:rPr>
  </w:style>
  <w:style w:type="character" w:customStyle="1" w:styleId="46">
    <w:name w:val="Subtitle Char"/>
    <w:basedOn w:val="30"/>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Caption Char"/>
    <w:uiPriority w:val="99"/>
  </w:style>
  <w:style w:type="table" w:customStyle="1" w:styleId="52">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3">
    <w:name w:val="Plain Table 1"/>
    <w:basedOn w:val="28"/>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4">
    <w:name w:val="Plain Table 2"/>
    <w:basedOn w:val="2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3"/>
    <w:basedOn w:val="28"/>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4"/>
    <w:basedOn w:val="28"/>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5"/>
    <w:basedOn w:val="28"/>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Grid Table 1 Light - Accent 1"/>
    <w:basedOn w:val="2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 Accent 2"/>
    <w:basedOn w:val="28"/>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3"/>
    <w:basedOn w:val="28"/>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2 - Accent 1"/>
    <w:basedOn w:val="28"/>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 Accent 2"/>
    <w:basedOn w:val="28"/>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3"/>
    <w:basedOn w:val="28"/>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4"/>
    <w:basedOn w:val="28"/>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5"/>
    <w:basedOn w:val="28"/>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6"/>
    <w:basedOn w:val="28"/>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3 - Accent 1"/>
    <w:basedOn w:val="28"/>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 Accent 2"/>
    <w:basedOn w:val="28"/>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3"/>
    <w:basedOn w:val="28"/>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4"/>
    <w:basedOn w:val="28"/>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5"/>
    <w:basedOn w:val="28"/>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6"/>
    <w:basedOn w:val="28"/>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4 - Accent 1"/>
    <w:basedOn w:val="28"/>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 Accent 2"/>
    <w:basedOn w:val="28"/>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3"/>
    <w:basedOn w:val="28"/>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4"/>
    <w:basedOn w:val="28"/>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5"/>
    <w:basedOn w:val="28"/>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6"/>
    <w:basedOn w:val="28"/>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4">
    <w:name w:val="Grid Table 6 Colorful - Accent 1"/>
    <w:basedOn w:val="28"/>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bl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Pr/>
    </w:tblStylePr>
    <w:tblStylePr w:type="firstCol">
      <w:rPr>
        <w:b/>
        <w:color w:val="A7C0DE" w:themeColor="accent1" w:themeTint="80"/>
        <w14:textFill>
          <w14:solidFill>
            <w14:schemeClr w14:val="accent1">
              <w14:lumMod w14:val="50000"/>
              <w14:lumOff w14:val="50000"/>
            </w14:schemeClr>
          </w14:solidFill>
        </w14:textFill>
      </w:rPr>
      <w:tblPr/>
    </w:tblStylePr>
    <w:tblStylePr w:type="lastCol">
      <w:rPr>
        <w:b/>
        <w:color w:val="A7C0DE" w:themeColor="accent1" w:themeTint="80"/>
        <w14:textFill>
          <w14:solidFill>
            <w14:schemeClr w14:val="accent1">
              <w14:lumMod w14:val="50000"/>
              <w14:lumOff w14:val="50000"/>
            </w14:schemeClr>
          </w14:solidFill>
        </w14:textFill>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5">
    <w:name w:val="Grid Table 6 Colorful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3"/>
    <w:basedOn w:val="28"/>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bl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Pr/>
    </w:tblStylePr>
    <w:tblStylePr w:type="firstCol">
      <w:rPr>
        <w:b/>
        <w:color w:val="9BBB59" w:themeColor="accent3" w:themeTint="FF"/>
        <w14:textFill>
          <w14:solidFill>
            <w14:schemeClr w14:val="accent3">
              <w14:lumMod w14:val="100000"/>
              <w14:lumOff w14:val="0"/>
            </w14:schemeClr>
          </w14:solidFill>
        </w14:textFill>
      </w:rPr>
      <w:tblPr/>
    </w:tblStylePr>
    <w:tblStylePr w:type="lastCol">
      <w:rPr>
        <w:b/>
        <w:color w:val="9BBB59" w:themeColor="accent3" w:themeTint="FF"/>
        <w14:textFill>
          <w14:solidFill>
            <w14:schemeClr w14:val="accent3">
              <w14:lumMod w14:val="100000"/>
              <w14:lumOff w14:val="0"/>
            </w14:schemeClr>
          </w14:solidFill>
        </w14:textFill>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5"/>
    <w:basedOn w:val="28"/>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blPr/>
      <w:tcPr>
        <w:tcBorders>
          <w:bottom w:val="single" w:color="4BACC6" w:themeColor="accent5"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6"/>
    <w:basedOn w:val="28"/>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blPr/>
      <w:tcPr>
        <w:tcBorders>
          <w:bottom w:val="single" w:color="F79646" w:themeColor="accent6" w:sz="12" w:space="0"/>
        </w:tcBorders>
      </w:tcPr>
    </w:tblStylePr>
    <w:tblStylePr w:type="lastRow">
      <w:rPr>
        <w:b/>
        <w:color w:val="266778" w:themeColor="accent5" w:themeShade="94"/>
      </w:rPr>
      <w:tblPr/>
    </w:tblStylePr>
    <w:tblStylePr w:type="firstCol">
      <w:rPr>
        <w:b/>
        <w:color w:val="266778" w:themeColor="accent5" w:themeShade="94"/>
      </w:rPr>
      <w:tblPr/>
    </w:tblStylePr>
    <w:tblStylePr w:type="lastCol">
      <w:rPr>
        <w:b/>
        <w:color w:val="266778" w:themeColor="accent5" w:themeShade="94"/>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8" w:themeColor="accent5" w:themeShade="94"/>
        <w:sz w:val="22"/>
      </w:rPr>
      <w:tblPr/>
      <w:tcPr>
        <w:shd w:val="clear" w:color="FDE9D9" w:themeColor="accent6" w:themeTint="34" w:fill="FDE9D9" w:themeFill="accent6"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1">
    <w:name w:val="Grid Table 7 Colorful - Accent 1"/>
    <w:basedOn w:val="28"/>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bl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 Accent 2"/>
    <w:basedOn w:val="28"/>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3"/>
    <w:basedOn w:val="28"/>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Tint="FF"/>
        <w:sz w:val="22"/>
        <w14:textFill>
          <w14:solidFill>
            <w14:schemeClr w14:val="accent3">
              <w14:lumMod w14:val="100000"/>
              <w14:lumOff w14:val="0"/>
            </w14:schemeClr>
          </w14:solidFill>
        </w14:textFill>
      </w:rPr>
      <w:tbl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4"/>
    <w:basedOn w:val="28"/>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5"/>
    <w:basedOn w:val="28"/>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8" w:themeColor="accent5" w:themeShade="94"/>
        <w:sz w:val="22"/>
      </w:rPr>
      <w:tblPr/>
      <w:tcPr>
        <w:shd w:val="clear" w:color="DAEEF3" w:themeColor="accent5" w:themeTint="34" w:fill="DAEEF3" w:themeFill="accent5" w:themeFillTint="34"/>
      </w:tcPr>
    </w:tblStylePr>
    <w:tblStylePr w:type="band2Horz">
      <w:rPr>
        <w:rFonts w:ascii="Arial" w:hAnsi="Arial"/>
        <w:color w:val="266778"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6"/>
    <w:basedOn w:val="28"/>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05408" w:themeColor="accent6" w:themeShade="94"/>
        <w:sz w:val="22"/>
      </w:rPr>
      <w:tblPr/>
      <w:tcPr>
        <w:shd w:val="clear" w:color="FDE9D9" w:themeColor="accent6" w:themeTint="34" w:fill="FDE9D9" w:themeFill="accent6" w:themeFillTint="34"/>
      </w:tcPr>
    </w:tblStylePr>
    <w:tblStylePr w:type="band2Horz">
      <w:rPr>
        <w:rFonts w:ascii="Arial" w:hAnsi="Arial"/>
        <w:color w:val="B05408"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7">
    <w:name w:val="List Table 1 Light"/>
    <w:basedOn w:val="28"/>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8">
    <w:name w:val="List Table 1 Light - Accent 1"/>
    <w:basedOn w:val="28"/>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09">
    <w:name w:val="List Table 1 Light - Accent 2"/>
    <w:basedOn w:val="28"/>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3"/>
    <w:basedOn w:val="28"/>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4"/>
    <w:basedOn w:val="28"/>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5"/>
    <w:basedOn w:val="28"/>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6"/>
    <w:basedOn w:val="28"/>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2 - Accent 1"/>
    <w:basedOn w:val="28"/>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 Accent 2"/>
    <w:basedOn w:val="28"/>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3"/>
    <w:basedOn w:val="28"/>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4"/>
    <w:basedOn w:val="28"/>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5"/>
    <w:basedOn w:val="28"/>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6"/>
    <w:basedOn w:val="28"/>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3 - Accent 1"/>
    <w:basedOn w:val="28"/>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 Accent 2"/>
    <w:basedOn w:val="28"/>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3"/>
    <w:basedOn w:val="28"/>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4"/>
    <w:basedOn w:val="28"/>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5"/>
    <w:basedOn w:val="28"/>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6"/>
    <w:basedOn w:val="28"/>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4 - Accent 1"/>
    <w:basedOn w:val="28"/>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 Accent 2"/>
    <w:basedOn w:val="28"/>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3"/>
    <w:basedOn w:val="28"/>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4"/>
    <w:basedOn w:val="28"/>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5"/>
    <w:basedOn w:val="28"/>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6"/>
    <w:basedOn w:val="28"/>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6">
    <w:name w:val="List Table 5 Dark - Accent 1"/>
    <w:basedOn w:val="28"/>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7">
    <w:name w:val="List Table 5 Dark - Accent 2"/>
    <w:basedOn w:val="28"/>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38">
    <w:name w:val="List Table 5 Dark - Accent 3"/>
    <w:basedOn w:val="28"/>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39">
    <w:name w:val="List Table 5 Dark - Accent 4"/>
    <w:basedOn w:val="28"/>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0">
    <w:name w:val="List Table 5 Dark - Accent 5"/>
    <w:basedOn w:val="28"/>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1">
    <w:name w:val="List Table 5 Dark - Accent 6"/>
    <w:basedOn w:val="28"/>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Pr/>
    </w:tblStylePr>
    <w:tblStylePr w:type="firstCol">
      <w:rPr>
        <w:rFonts w:ascii="Arial" w:hAnsi="Arial"/>
        <w:b/>
        <w:color w:val="FFFFFF" w:themeColor="light1"/>
        <w:sz w:val="22"/>
        <w14:textFill>
          <w14:solidFill>
            <w14:schemeClr w14:val="lt1"/>
          </w14:solidFill>
        </w14:textFill>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3">
    <w:name w:val="List Table 6 Colorful - Accent 1"/>
    <w:basedOn w:val="28"/>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blPr/>
      <w:tcPr>
        <w:tcBorders>
          <w:bottom w:val="single" w:color="4F81BD" w:themeColor="accent1" w:sz="4" w:space="0"/>
        </w:tcBorders>
      </w:tcPr>
    </w:tblStylePr>
    <w:tblStylePr w:type="lastRow">
      <w:rPr>
        <w:b/>
        <w:color w:val="2A4B71" w:themeColor="accent1" w:themeShade="94"/>
      </w:rPr>
      <w:tblPr/>
      <w:tcPr>
        <w:tcBorders>
          <w:top w:val="single" w:color="4F81BD" w:themeColor="accent1" w:sz="4" w:space="0"/>
        </w:tcBorders>
      </w:tcPr>
    </w:tblStylePr>
    <w:tblStylePr w:type="firstCol">
      <w:rPr>
        <w:b/>
        <w:color w:val="2A4B71" w:themeColor="accent1" w:themeShade="94"/>
      </w:rPr>
      <w:tblPr/>
    </w:tblStylePr>
    <w:tblStylePr w:type="lastCol">
      <w:rPr>
        <w:b/>
        <w:color w:val="2A4B71" w:themeColor="accent1" w:themeShade="94"/>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4">
    <w:name w:val="List Table 6 Colorful - Accent 2"/>
    <w:basedOn w:val="28"/>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bl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bl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Pr/>
    </w:tblStylePr>
    <w:tblStylePr w:type="lastCol">
      <w:rPr>
        <w:b/>
        <w:color w:val="DA9896" w:themeColor="accent2" w:themeTint="96"/>
        <w14:textFill>
          <w14:solidFill>
            <w14:schemeClr w14:val="accent2">
              <w14:lumMod w14:val="59000"/>
              <w14:lumOff w14:val="41000"/>
            </w14:schemeClr>
          </w14:solidFill>
        </w14:textFill>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3"/>
    <w:basedOn w:val="28"/>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bl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bl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Pr/>
    </w:tblStylePr>
    <w:tblStylePr w:type="lastCol">
      <w:rPr>
        <w:b/>
        <w:color w:val="C3D69B" w:themeColor="accent3" w:themeTint="99"/>
        <w14:textFill>
          <w14:solidFill>
            <w14:schemeClr w14:val="accent3">
              <w14:lumMod w14:val="60000"/>
              <w14:lumOff w14:val="40000"/>
            </w14:schemeClr>
          </w14:solidFill>
        </w14:textFill>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4"/>
    <w:basedOn w:val="28"/>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bl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bl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Pr/>
    </w:tblStylePr>
    <w:tblStylePr w:type="lastCol">
      <w:rPr>
        <w:b/>
        <w:color w:val="B3A2C7" w:themeColor="accent4" w:themeTint="99"/>
        <w14:textFill>
          <w14:solidFill>
            <w14:schemeClr w14:val="accent4">
              <w14:lumMod w14:val="60000"/>
              <w14:lumOff w14:val="40000"/>
            </w14:schemeClr>
          </w14:solidFill>
        </w14:textFill>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5"/>
    <w:basedOn w:val="28"/>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bl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bl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Pr/>
    </w:tblStylePr>
    <w:tblStylePr w:type="lastCol">
      <w:rPr>
        <w:b/>
        <w:color w:val="93CDDD" w:themeColor="accent5" w:themeTint="99"/>
        <w14:textFill>
          <w14:solidFill>
            <w14:schemeClr w14:val="accent5">
              <w14:lumMod w14:val="60000"/>
              <w14:lumOff w14:val="40000"/>
            </w14:schemeClr>
          </w14:solidFill>
        </w14:textFill>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6"/>
    <w:basedOn w:val="28"/>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bl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bl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Pr/>
    </w:tblStylePr>
    <w:tblStylePr w:type="lastCol">
      <w:rPr>
        <w:b/>
        <w:color w:val="FAC090" w:themeColor="accent6" w:themeTint="99"/>
        <w14:textFill>
          <w14:solidFill>
            <w14:schemeClr w14:val="accent6">
              <w14:lumMod w14:val="60000"/>
              <w14:lumOff w14:val="40000"/>
            </w14:schemeClr>
          </w14:solidFill>
        </w14:textFill>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7 Colorful - Accent 1"/>
    <w:basedOn w:val="28"/>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4"/>
        <w:sz w:val="22"/>
      </w:rPr>
      <w:tblPr/>
      <w:tcPr>
        <w:shd w:val="clear" w:color="D2DFEE" w:themeColor="accent1" w:themeTint="40" w:fill="D2DFEE" w:themeFill="accent1" w:themeFillTint="40"/>
      </w:tcPr>
    </w:tblStylePr>
    <w:tblStylePr w:type="band2Horz">
      <w:rPr>
        <w:rFonts w:ascii="Arial" w:hAnsi="Arial"/>
        <w:color w:val="2A4B71"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 Accent 2"/>
    <w:basedOn w:val="28"/>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bl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3"/>
    <w:basedOn w:val="28"/>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bl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4"/>
    <w:basedOn w:val="28"/>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bl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5"/>
    <w:basedOn w:val="28"/>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bl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6"/>
    <w:basedOn w:val="28"/>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bl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ned - Accent"/>
    <w:basedOn w:val="28"/>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7">
    <w:name w:val="Lined - Accent 1"/>
    <w:basedOn w:val="28"/>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58">
    <w:name w:val="Lined - Accent 2"/>
    <w:basedOn w:val="28"/>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59">
    <w:name w:val="Lined - Accent 3"/>
    <w:basedOn w:val="28"/>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0">
    <w:name w:val="Lined - Accent 4"/>
    <w:basedOn w:val="28"/>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1">
    <w:name w:val="Lined - Accent 5"/>
    <w:basedOn w:val="28"/>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6"/>
    <w:basedOn w:val="28"/>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3">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4">
    <w:name w:val="Bordered &amp; Lined - Accent 1"/>
    <w:basedOn w:val="28"/>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5">
    <w:name w:val="Bordered &amp; Lined - Accent 2"/>
    <w:basedOn w:val="28"/>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6">
    <w:name w:val="Bordered &amp; Lined - Accent 3"/>
    <w:basedOn w:val="28"/>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7">
    <w:name w:val="Bordered &amp; Lined - Accent 4"/>
    <w:basedOn w:val="28"/>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8">
    <w:name w:val="Bordered &amp; Lined - Accent 5"/>
    <w:basedOn w:val="28"/>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6"/>
    <w:basedOn w:val="28"/>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0">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1">
    <w:name w:val="Bordered - Accent 1"/>
    <w:basedOn w:val="28"/>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2">
    <w:name w:val="Bordered - Accent 2"/>
    <w:basedOn w:val="28"/>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3"/>
    <w:basedOn w:val="28"/>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4"/>
    <w:basedOn w:val="28"/>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5"/>
    <w:basedOn w:val="28"/>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6"/>
    <w:basedOn w:val="28"/>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7">
    <w:name w:val="Footnote Text Char"/>
    <w:link w:val="22"/>
    <w:uiPriority w:val="99"/>
    <w:rPr>
      <w:sz w:val="18"/>
    </w:rPr>
  </w:style>
  <w:style w:type="character" w:customStyle="1" w:styleId="178">
    <w:name w:val="Endnote Text Char"/>
    <w:link w:val="16"/>
    <w:uiPriority w:val="99"/>
    <w:rPr>
      <w:sz w:val="20"/>
    </w:rPr>
  </w:style>
  <w:style w:type="paragraph" w:customStyle="1" w:styleId="179">
    <w:name w:val="TOC Heading"/>
    <w:unhideWhenUsed/>
    <w:uiPriority w:val="39"/>
    <w:rPr>
      <w:rFonts w:hint="default" w:ascii="Times New Roman" w:hAnsi="Times New Roman" w:eastAsia="宋体" w:cs="Times New Roman"/>
    </w:rPr>
  </w:style>
  <w:style w:type="paragraph" w:customStyle="1" w:styleId="180">
    <w:name w:val="插入文本样式-插入总体目标文件"/>
    <w:basedOn w:val="1"/>
    <w:uiPriority w:val="99"/>
    <w:pPr>
      <w:spacing w:line="500" w:lineRule="exact"/>
      <w:ind w:firstLine="560"/>
    </w:pPr>
    <w:rPr>
      <w:rFonts w:eastAsia="方正仿宋_GBK"/>
      <w:sz w:val="28"/>
    </w:rPr>
  </w:style>
  <w:style w:type="paragraph" w:customStyle="1" w:styleId="181">
    <w:name w:val="插入文本样式-插入职责分类绩效目标文件"/>
    <w:basedOn w:val="1"/>
    <w:uiPriority w:val="99"/>
    <w:pPr>
      <w:spacing w:line="500" w:lineRule="exact"/>
      <w:ind w:firstLine="560"/>
    </w:pPr>
    <w:rPr>
      <w:rFonts w:eastAsia="方正仿宋_GBK"/>
      <w:sz w:val="28"/>
    </w:rPr>
  </w:style>
  <w:style w:type="paragraph" w:customStyle="1" w:styleId="182">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183">
    <w:name w:val="单元格样式4"/>
    <w:basedOn w:val="1"/>
    <w:uiPriority w:val="99"/>
    <w:pPr>
      <w:jc w:val="right"/>
    </w:pPr>
    <w:rPr>
      <w:rFonts w:ascii="方正书宋_GBK" w:hAnsi="方正书宋_GBK" w:eastAsia="方正书宋_GBK" w:cs="方正书宋_GBK"/>
      <w:sz w:val="21"/>
    </w:rPr>
  </w:style>
  <w:style w:type="paragraph" w:customStyle="1" w:styleId="184">
    <w:name w:val="单元格样式5"/>
    <w:basedOn w:val="1"/>
    <w:uiPriority w:val="99"/>
    <w:rPr>
      <w:rFonts w:ascii="方正书宋_GBK" w:hAnsi="方正书宋_GBK" w:eastAsia="方正书宋_GBK" w:cs="方正书宋_GBK"/>
      <w:b/>
      <w:sz w:val="21"/>
    </w:rPr>
  </w:style>
  <w:style w:type="paragraph" w:customStyle="1" w:styleId="185">
    <w:name w:val="单元格样式2"/>
    <w:basedOn w:val="1"/>
    <w:uiPriority w:val="99"/>
    <w:rPr>
      <w:rFonts w:ascii="方正书宋_GBK" w:hAnsi="方正书宋_GBK" w:eastAsia="方正书宋_GBK" w:cs="方正书宋_GBK"/>
      <w:sz w:val="21"/>
    </w:rPr>
  </w:style>
  <w:style w:type="paragraph" w:customStyle="1" w:styleId="186">
    <w:name w:val="单元格样式1"/>
    <w:basedOn w:val="1"/>
    <w:uiPriority w:val="99"/>
    <w:pPr>
      <w:jc w:val="center"/>
    </w:pPr>
    <w:rPr>
      <w:rFonts w:ascii="方正书宋_GBK" w:hAnsi="方正书宋_GBK" w:eastAsia="方正书宋_GBK" w:cs="方正书宋_GBK"/>
      <w:b/>
      <w:sz w:val="21"/>
    </w:rPr>
  </w:style>
  <w:style w:type="paragraph" w:customStyle="1" w:styleId="187">
    <w:name w:val="单元格样式3"/>
    <w:basedOn w:val="1"/>
    <w:uiPriority w:val="99"/>
    <w:pPr>
      <w:jc w:val="center"/>
    </w:pPr>
    <w:rPr>
      <w:rFonts w:ascii="方正书宋_GBK" w:hAnsi="方正书宋_GBK" w:eastAsia="方正书宋_GBK" w:cs="方正书宋_GBK"/>
      <w:sz w:val="21"/>
    </w:rPr>
  </w:style>
  <w:style w:type="character" w:customStyle="1" w:styleId="188">
    <w:name w:val="Header Char"/>
    <w:basedOn w:val="30"/>
    <w:link w:val="18"/>
    <w:semiHidden/>
    <w:uiPriority w:val="99"/>
    <w:rPr>
      <w:sz w:val="18"/>
      <w:szCs w:val="18"/>
      <w:lang w:eastAsia="uk-UA"/>
    </w:rPr>
  </w:style>
  <w:style w:type="character" w:customStyle="1" w:styleId="189">
    <w:name w:val="Footer Char"/>
    <w:basedOn w:val="30"/>
    <w:link w:val="17"/>
    <w:semiHidden/>
    <w:uiPriority w:val="99"/>
    <w:rPr>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2</TotalTime>
  <ScaleCrop>false</ScaleCrop>
  <LinksUpToDate>false</LinksUpToDate>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2022-02-13T04:50:00Z</dcterms:created>
  <dc:creator>ZHX</dc:creator>
  <cp:lastModifiedBy>战无不胜</cp:lastModifiedBy>
  <dcterms:modified xsi:type="dcterms:W3CDTF">2025-06-17T07:54:45Z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03B26475C8714EC985B1BD6BAE015EC8</vt:lpwstr>
  </property>
</Properties>
</file>