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一、审计部门审计局本级收支预算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一、审计部门审计局本级收支预算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319001审计部门审计局本级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246.72</w:t>
            </w:r>
          </w:p>
        </w:tc>
        <w:tc>
          <w:tcPr>
            <w:tcW w:w="4535" w:type="dxa"/>
            <w:vAlign w:val="center"/>
          </w:tcPr>
          <w:p>
            <w:pPr>
              <w:pStyle w:val="12"/>
            </w:pPr>
            <w:r>
              <w:t>一、一般公共服务支出</w:t>
            </w:r>
          </w:p>
        </w:tc>
        <w:tc>
          <w:tcPr>
            <w:tcW w:w="2126" w:type="dxa"/>
            <w:vAlign w:val="center"/>
          </w:tcPr>
          <w:p>
            <w:pPr>
              <w:pStyle w:val="11"/>
            </w:pPr>
            <w:r>
              <w:t>173.76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246.72</w:t>
            </w:r>
          </w:p>
        </w:tc>
        <w:tc>
          <w:tcPr>
            <w:tcW w:w="4535" w:type="dxa"/>
            <w:vAlign w:val="center"/>
          </w:tcPr>
          <w:p>
            <w:pPr>
              <w:pStyle w:val="14"/>
            </w:pPr>
            <w:r>
              <w:t>本年支出合计</w:t>
            </w:r>
          </w:p>
        </w:tc>
        <w:tc>
          <w:tcPr>
            <w:tcW w:w="2126" w:type="dxa"/>
            <w:vAlign w:val="center"/>
          </w:tcPr>
          <w:p>
            <w:pPr>
              <w:pStyle w:val="15"/>
            </w:pPr>
            <w:r>
              <w:t>246.72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246.72</w:t>
            </w:r>
          </w:p>
        </w:tc>
        <w:tc>
          <w:tcPr>
            <w:tcW w:w="4535" w:type="dxa"/>
            <w:vAlign w:val="center"/>
          </w:tcPr>
          <w:p>
            <w:pPr>
              <w:pStyle w:val="14"/>
            </w:pPr>
            <w:r>
              <w:t>支出总计</w:t>
            </w:r>
          </w:p>
        </w:tc>
        <w:tc>
          <w:tcPr>
            <w:tcW w:w="2126" w:type="dxa"/>
            <w:vAlign w:val="center"/>
          </w:tcPr>
          <w:p>
            <w:pPr>
              <w:pStyle w:val="15"/>
            </w:pPr>
            <w:r>
              <w:t>246.72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319001审计部门审计局本级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246.72</w:t>
            </w:r>
          </w:p>
        </w:tc>
        <w:tc>
          <w:tcPr>
            <w:tcW w:w="1134" w:type="dxa"/>
            <w:vAlign w:val="center"/>
          </w:tcPr>
          <w:p>
            <w:pPr>
              <w:pStyle w:val="15"/>
            </w:pPr>
            <w:r>
              <w:t>246.72</w:t>
            </w:r>
          </w:p>
        </w:tc>
        <w:tc>
          <w:tcPr>
            <w:tcW w:w="1134" w:type="dxa"/>
            <w:vAlign w:val="center"/>
          </w:tcPr>
          <w:p>
            <w:pPr>
              <w:pStyle w:val="15"/>
            </w:pPr>
            <w:r>
              <w:t>246.72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165.76</w:t>
            </w:r>
          </w:p>
        </w:tc>
        <w:tc>
          <w:tcPr>
            <w:tcW w:w="1134" w:type="dxa"/>
            <w:vAlign w:val="center"/>
          </w:tcPr>
          <w:p>
            <w:pPr>
              <w:pStyle w:val="11"/>
            </w:pPr>
            <w:r>
              <w:t>165.76</w:t>
            </w:r>
          </w:p>
        </w:tc>
        <w:tc>
          <w:tcPr>
            <w:tcW w:w="1134" w:type="dxa"/>
            <w:vAlign w:val="center"/>
          </w:tcPr>
          <w:p>
            <w:pPr>
              <w:pStyle w:val="11"/>
            </w:pPr>
            <w:r>
              <w:t>165.76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21.54</w:t>
            </w:r>
          </w:p>
        </w:tc>
        <w:tc>
          <w:tcPr>
            <w:tcW w:w="1134" w:type="dxa"/>
            <w:vAlign w:val="center"/>
          </w:tcPr>
          <w:p>
            <w:pPr>
              <w:pStyle w:val="11"/>
            </w:pPr>
            <w:r>
              <w:t>21.54</w:t>
            </w:r>
          </w:p>
        </w:tc>
        <w:tc>
          <w:tcPr>
            <w:tcW w:w="1134" w:type="dxa"/>
            <w:vAlign w:val="center"/>
          </w:tcPr>
          <w:p>
            <w:pPr>
              <w:pStyle w:val="11"/>
            </w:pPr>
            <w:r>
              <w:t>21.54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1.17</w:t>
            </w:r>
          </w:p>
        </w:tc>
        <w:tc>
          <w:tcPr>
            <w:tcW w:w="1134" w:type="dxa"/>
            <w:vAlign w:val="center"/>
          </w:tcPr>
          <w:p>
            <w:pPr>
              <w:pStyle w:val="11"/>
            </w:pPr>
            <w:r>
              <w:t>1.17</w:t>
            </w:r>
          </w:p>
        </w:tc>
        <w:tc>
          <w:tcPr>
            <w:tcW w:w="1134" w:type="dxa"/>
            <w:vAlign w:val="center"/>
          </w:tcPr>
          <w:p>
            <w:pPr>
              <w:pStyle w:val="11"/>
            </w:pPr>
            <w:r>
              <w:t>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14.39</w:t>
            </w:r>
          </w:p>
        </w:tc>
        <w:tc>
          <w:tcPr>
            <w:tcW w:w="1134" w:type="dxa"/>
            <w:vAlign w:val="center"/>
          </w:tcPr>
          <w:p>
            <w:pPr>
              <w:pStyle w:val="11"/>
            </w:pPr>
            <w:r>
              <w:t>14.39</w:t>
            </w:r>
          </w:p>
        </w:tc>
        <w:tc>
          <w:tcPr>
            <w:tcW w:w="1134" w:type="dxa"/>
            <w:vAlign w:val="center"/>
          </w:tcPr>
          <w:p>
            <w:pPr>
              <w:pStyle w:val="11"/>
            </w:pPr>
            <w:r>
              <w:t>14.39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246.72</w:t>
            </w:r>
          </w:p>
        </w:tc>
        <w:tc>
          <w:tcPr>
            <w:tcW w:w="1361" w:type="dxa"/>
            <w:vAlign w:val="center"/>
          </w:tcPr>
          <w:p>
            <w:pPr>
              <w:pStyle w:val="15"/>
            </w:pPr>
            <w:r>
              <w:t>238.72</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173.76</w:t>
            </w:r>
          </w:p>
        </w:tc>
        <w:tc>
          <w:tcPr>
            <w:tcW w:w="1361" w:type="dxa"/>
            <w:vAlign w:val="center"/>
          </w:tcPr>
          <w:p>
            <w:pPr>
              <w:pStyle w:val="11"/>
            </w:pPr>
            <w:r>
              <w:t>165.76</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173.76</w:t>
            </w:r>
          </w:p>
        </w:tc>
        <w:tc>
          <w:tcPr>
            <w:tcW w:w="1361" w:type="dxa"/>
            <w:vAlign w:val="center"/>
          </w:tcPr>
          <w:p>
            <w:pPr>
              <w:pStyle w:val="11"/>
            </w:pPr>
            <w:r>
              <w:t>165.76</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165.76</w:t>
            </w:r>
          </w:p>
        </w:tc>
        <w:tc>
          <w:tcPr>
            <w:tcW w:w="1361" w:type="dxa"/>
            <w:vAlign w:val="center"/>
          </w:tcPr>
          <w:p>
            <w:pPr>
              <w:pStyle w:val="11"/>
            </w:pPr>
            <w:r>
              <w:t>165.76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32.58</w:t>
            </w: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32.58</w:t>
            </w: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9.88</w:t>
            </w:r>
          </w:p>
        </w:tc>
        <w:tc>
          <w:tcPr>
            <w:tcW w:w="1361" w:type="dxa"/>
            <w:vAlign w:val="center"/>
          </w:tcPr>
          <w:p>
            <w:pPr>
              <w:pStyle w:val="11"/>
            </w:pPr>
            <w:r>
              <w:t>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21.54</w:t>
            </w:r>
          </w:p>
        </w:tc>
        <w:tc>
          <w:tcPr>
            <w:tcW w:w="1361" w:type="dxa"/>
            <w:vAlign w:val="center"/>
          </w:tcPr>
          <w:p>
            <w:pPr>
              <w:pStyle w:val="11"/>
            </w:pPr>
            <w:r>
              <w:t>21.54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1.17</w:t>
            </w:r>
          </w:p>
        </w:tc>
        <w:tc>
          <w:tcPr>
            <w:tcW w:w="1361" w:type="dxa"/>
            <w:vAlign w:val="center"/>
          </w:tcPr>
          <w:p>
            <w:pPr>
              <w:pStyle w:val="11"/>
            </w:pPr>
            <w:r>
              <w:t>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23.81</w:t>
            </w:r>
          </w:p>
        </w:tc>
        <w:tc>
          <w:tcPr>
            <w:tcW w:w="1361" w:type="dxa"/>
            <w:vAlign w:val="center"/>
          </w:tcPr>
          <w:p>
            <w:pPr>
              <w:pStyle w:val="11"/>
            </w:pPr>
            <w:r>
              <w:t>23.81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23.81</w:t>
            </w:r>
          </w:p>
        </w:tc>
        <w:tc>
          <w:tcPr>
            <w:tcW w:w="1361" w:type="dxa"/>
            <w:vAlign w:val="center"/>
          </w:tcPr>
          <w:p>
            <w:pPr>
              <w:pStyle w:val="11"/>
            </w:pPr>
            <w:r>
              <w:t>23.81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14.39</w:t>
            </w:r>
          </w:p>
        </w:tc>
        <w:tc>
          <w:tcPr>
            <w:tcW w:w="1361" w:type="dxa"/>
            <w:vAlign w:val="center"/>
          </w:tcPr>
          <w:p>
            <w:pPr>
              <w:pStyle w:val="11"/>
            </w:pPr>
            <w:r>
              <w:t>14.39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16.57</w:t>
            </w:r>
          </w:p>
        </w:tc>
        <w:tc>
          <w:tcPr>
            <w:tcW w:w="1361" w:type="dxa"/>
            <w:vAlign w:val="center"/>
          </w:tcPr>
          <w:p>
            <w:pPr>
              <w:pStyle w:val="11"/>
            </w:pPr>
            <w:r>
              <w:t>16.57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16.57</w:t>
            </w:r>
          </w:p>
        </w:tc>
        <w:tc>
          <w:tcPr>
            <w:tcW w:w="1361" w:type="dxa"/>
            <w:vAlign w:val="center"/>
          </w:tcPr>
          <w:p>
            <w:pPr>
              <w:pStyle w:val="11"/>
            </w:pPr>
            <w:r>
              <w:t>16.57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16.57</w:t>
            </w:r>
          </w:p>
        </w:tc>
        <w:tc>
          <w:tcPr>
            <w:tcW w:w="1361" w:type="dxa"/>
            <w:vAlign w:val="center"/>
          </w:tcPr>
          <w:p>
            <w:pPr>
              <w:pStyle w:val="11"/>
            </w:pPr>
            <w:r>
              <w:t>16.57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246.72</w:t>
            </w:r>
          </w:p>
        </w:tc>
        <w:tc>
          <w:tcPr>
            <w:tcW w:w="3402" w:type="dxa"/>
            <w:vAlign w:val="center"/>
          </w:tcPr>
          <w:p>
            <w:pPr>
              <w:pStyle w:val="12"/>
            </w:pPr>
            <w:r>
              <w:t>一、一般公共服务支出</w:t>
            </w:r>
          </w:p>
        </w:tc>
        <w:tc>
          <w:tcPr>
            <w:tcW w:w="1474" w:type="dxa"/>
            <w:vAlign w:val="center"/>
          </w:tcPr>
          <w:p>
            <w:pPr>
              <w:pStyle w:val="11"/>
            </w:pPr>
            <w:r>
              <w:t>173.76</w:t>
            </w:r>
          </w:p>
        </w:tc>
        <w:tc>
          <w:tcPr>
            <w:tcW w:w="1474" w:type="dxa"/>
            <w:vAlign w:val="center"/>
          </w:tcPr>
          <w:p>
            <w:pPr>
              <w:pStyle w:val="11"/>
            </w:pPr>
            <w:r>
              <w:t>173.76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32.58</w:t>
            </w:r>
          </w:p>
        </w:tc>
        <w:tc>
          <w:tcPr>
            <w:tcW w:w="1474" w:type="dxa"/>
            <w:vAlign w:val="center"/>
          </w:tcPr>
          <w:p>
            <w:pPr>
              <w:pStyle w:val="11"/>
            </w:pPr>
            <w:r>
              <w:t>32.58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23.81</w:t>
            </w:r>
          </w:p>
        </w:tc>
        <w:tc>
          <w:tcPr>
            <w:tcW w:w="1474" w:type="dxa"/>
            <w:vAlign w:val="center"/>
          </w:tcPr>
          <w:p>
            <w:pPr>
              <w:pStyle w:val="11"/>
            </w:pPr>
            <w:r>
              <w:t>23.81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16.57</w:t>
            </w:r>
          </w:p>
        </w:tc>
        <w:tc>
          <w:tcPr>
            <w:tcW w:w="1474" w:type="dxa"/>
            <w:vAlign w:val="center"/>
          </w:tcPr>
          <w:p>
            <w:pPr>
              <w:pStyle w:val="11"/>
            </w:pPr>
            <w:r>
              <w:t>16.57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246.72</w:t>
            </w:r>
          </w:p>
        </w:tc>
        <w:tc>
          <w:tcPr>
            <w:tcW w:w="3402" w:type="dxa"/>
            <w:vAlign w:val="center"/>
          </w:tcPr>
          <w:p>
            <w:pPr>
              <w:pStyle w:val="14"/>
            </w:pPr>
            <w:r>
              <w:t>本年支出合计</w:t>
            </w:r>
          </w:p>
        </w:tc>
        <w:tc>
          <w:tcPr>
            <w:tcW w:w="1474" w:type="dxa"/>
            <w:vAlign w:val="center"/>
          </w:tcPr>
          <w:p>
            <w:pPr>
              <w:pStyle w:val="15"/>
            </w:pPr>
            <w:r>
              <w:t>246.72</w:t>
            </w:r>
          </w:p>
        </w:tc>
        <w:tc>
          <w:tcPr>
            <w:tcW w:w="1474" w:type="dxa"/>
            <w:vAlign w:val="center"/>
          </w:tcPr>
          <w:p>
            <w:pPr>
              <w:pStyle w:val="15"/>
            </w:pPr>
            <w:r>
              <w:t>246.72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246.72</w:t>
            </w:r>
          </w:p>
        </w:tc>
        <w:tc>
          <w:tcPr>
            <w:tcW w:w="3402" w:type="dxa"/>
            <w:vAlign w:val="center"/>
          </w:tcPr>
          <w:p>
            <w:pPr>
              <w:pStyle w:val="14"/>
            </w:pPr>
            <w:r>
              <w:t>支出总计</w:t>
            </w:r>
          </w:p>
        </w:tc>
        <w:tc>
          <w:tcPr>
            <w:tcW w:w="1474" w:type="dxa"/>
            <w:vAlign w:val="center"/>
          </w:tcPr>
          <w:p>
            <w:pPr>
              <w:pStyle w:val="15"/>
            </w:pPr>
            <w:r>
              <w:t>246.72</w:t>
            </w:r>
          </w:p>
        </w:tc>
        <w:tc>
          <w:tcPr>
            <w:tcW w:w="1474" w:type="dxa"/>
            <w:vAlign w:val="center"/>
          </w:tcPr>
          <w:p>
            <w:pPr>
              <w:pStyle w:val="15"/>
            </w:pPr>
            <w:r>
              <w:t>246.72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246.72</w:t>
            </w:r>
          </w:p>
        </w:tc>
        <w:tc>
          <w:tcPr>
            <w:tcW w:w="2551" w:type="dxa"/>
            <w:vAlign w:val="center"/>
          </w:tcPr>
          <w:p>
            <w:pPr>
              <w:pStyle w:val="15"/>
            </w:pPr>
            <w:r>
              <w:t>238.72</w:t>
            </w:r>
          </w:p>
        </w:tc>
        <w:tc>
          <w:tcPr>
            <w:tcW w:w="2551" w:type="dxa"/>
            <w:vAlign w:val="center"/>
          </w:tcPr>
          <w:p>
            <w:pPr>
              <w:pStyle w:val="15"/>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173.76</w:t>
            </w:r>
          </w:p>
        </w:tc>
        <w:tc>
          <w:tcPr>
            <w:tcW w:w="2551" w:type="dxa"/>
            <w:vAlign w:val="center"/>
          </w:tcPr>
          <w:p>
            <w:pPr>
              <w:pStyle w:val="11"/>
            </w:pPr>
            <w:r>
              <w:t>165.76</w:t>
            </w: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173.76</w:t>
            </w:r>
          </w:p>
        </w:tc>
        <w:tc>
          <w:tcPr>
            <w:tcW w:w="2551" w:type="dxa"/>
            <w:vAlign w:val="center"/>
          </w:tcPr>
          <w:p>
            <w:pPr>
              <w:pStyle w:val="11"/>
            </w:pPr>
            <w:r>
              <w:t>165.76</w:t>
            </w: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165.76</w:t>
            </w:r>
          </w:p>
        </w:tc>
        <w:tc>
          <w:tcPr>
            <w:tcW w:w="2551" w:type="dxa"/>
            <w:vAlign w:val="center"/>
          </w:tcPr>
          <w:p>
            <w:pPr>
              <w:pStyle w:val="11"/>
            </w:pPr>
            <w:r>
              <w:t>165.76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32.58</w:t>
            </w:r>
          </w:p>
        </w:tc>
        <w:tc>
          <w:tcPr>
            <w:tcW w:w="2551" w:type="dxa"/>
            <w:vAlign w:val="center"/>
          </w:tcPr>
          <w:p>
            <w:pPr>
              <w:pStyle w:val="11"/>
            </w:pPr>
            <w:r>
              <w:t>32.58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32.58</w:t>
            </w:r>
          </w:p>
        </w:tc>
        <w:tc>
          <w:tcPr>
            <w:tcW w:w="2551" w:type="dxa"/>
            <w:vAlign w:val="center"/>
          </w:tcPr>
          <w:p>
            <w:pPr>
              <w:pStyle w:val="11"/>
            </w:pPr>
            <w:r>
              <w:t>32.58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9.88</w:t>
            </w:r>
          </w:p>
        </w:tc>
        <w:tc>
          <w:tcPr>
            <w:tcW w:w="2551" w:type="dxa"/>
            <w:vAlign w:val="center"/>
          </w:tcPr>
          <w:p>
            <w:pPr>
              <w:pStyle w:val="11"/>
            </w:pPr>
            <w:r>
              <w:t>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21.54</w:t>
            </w:r>
          </w:p>
        </w:tc>
        <w:tc>
          <w:tcPr>
            <w:tcW w:w="2551" w:type="dxa"/>
            <w:vAlign w:val="center"/>
          </w:tcPr>
          <w:p>
            <w:pPr>
              <w:pStyle w:val="11"/>
            </w:pPr>
            <w:r>
              <w:t>21.54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1.17</w:t>
            </w:r>
          </w:p>
        </w:tc>
        <w:tc>
          <w:tcPr>
            <w:tcW w:w="2551" w:type="dxa"/>
            <w:vAlign w:val="center"/>
          </w:tcPr>
          <w:p>
            <w:pPr>
              <w:pStyle w:val="11"/>
            </w:pPr>
            <w:r>
              <w:t>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23.81</w:t>
            </w:r>
          </w:p>
        </w:tc>
        <w:tc>
          <w:tcPr>
            <w:tcW w:w="2551" w:type="dxa"/>
            <w:vAlign w:val="center"/>
          </w:tcPr>
          <w:p>
            <w:pPr>
              <w:pStyle w:val="11"/>
            </w:pPr>
            <w:r>
              <w:t>23.81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23.81</w:t>
            </w:r>
          </w:p>
        </w:tc>
        <w:tc>
          <w:tcPr>
            <w:tcW w:w="2551" w:type="dxa"/>
            <w:vAlign w:val="center"/>
          </w:tcPr>
          <w:p>
            <w:pPr>
              <w:pStyle w:val="11"/>
            </w:pPr>
            <w:r>
              <w:t>23.81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14.39</w:t>
            </w:r>
          </w:p>
        </w:tc>
        <w:tc>
          <w:tcPr>
            <w:tcW w:w="2551" w:type="dxa"/>
            <w:vAlign w:val="center"/>
          </w:tcPr>
          <w:p>
            <w:pPr>
              <w:pStyle w:val="11"/>
            </w:pPr>
            <w:r>
              <w:t>14.39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16.57</w:t>
            </w:r>
          </w:p>
        </w:tc>
        <w:tc>
          <w:tcPr>
            <w:tcW w:w="2551" w:type="dxa"/>
            <w:vAlign w:val="center"/>
          </w:tcPr>
          <w:p>
            <w:pPr>
              <w:pStyle w:val="11"/>
            </w:pPr>
            <w:r>
              <w:t>16.57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16.57</w:t>
            </w:r>
          </w:p>
        </w:tc>
        <w:tc>
          <w:tcPr>
            <w:tcW w:w="2551" w:type="dxa"/>
            <w:vAlign w:val="center"/>
          </w:tcPr>
          <w:p>
            <w:pPr>
              <w:pStyle w:val="11"/>
            </w:pPr>
            <w:r>
              <w:t>16.57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16.57</w:t>
            </w:r>
          </w:p>
        </w:tc>
        <w:tc>
          <w:tcPr>
            <w:tcW w:w="2551" w:type="dxa"/>
            <w:vAlign w:val="center"/>
          </w:tcPr>
          <w:p>
            <w:pPr>
              <w:pStyle w:val="11"/>
            </w:pPr>
            <w:r>
              <w:t>16.57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238.72</w:t>
            </w:r>
          </w:p>
        </w:tc>
        <w:tc>
          <w:tcPr>
            <w:tcW w:w="2551" w:type="dxa"/>
            <w:vAlign w:val="center"/>
          </w:tcPr>
          <w:p>
            <w:pPr>
              <w:pStyle w:val="15"/>
            </w:pPr>
            <w:r>
              <w:t>224.19</w:t>
            </w:r>
          </w:p>
        </w:tc>
        <w:tc>
          <w:tcPr>
            <w:tcW w:w="2551" w:type="dxa"/>
            <w:vAlign w:val="center"/>
          </w:tcPr>
          <w:p>
            <w:pPr>
              <w:pStyle w:val="15"/>
            </w:pPr>
            <w:r>
              <w:t>14.54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214.80</w:t>
            </w:r>
          </w:p>
        </w:tc>
        <w:tc>
          <w:tcPr>
            <w:tcW w:w="2551" w:type="dxa"/>
            <w:vAlign w:val="center"/>
          </w:tcPr>
          <w:p>
            <w:pPr>
              <w:pStyle w:val="11"/>
            </w:pPr>
            <w:r>
              <w:t>214.80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61.30</w:t>
            </w:r>
          </w:p>
        </w:tc>
        <w:tc>
          <w:tcPr>
            <w:tcW w:w="2551" w:type="dxa"/>
            <w:vAlign w:val="center"/>
          </w:tcPr>
          <w:p>
            <w:pPr>
              <w:pStyle w:val="11"/>
            </w:pPr>
            <w:r>
              <w:t>61.30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36.12</w:t>
            </w:r>
          </w:p>
        </w:tc>
        <w:tc>
          <w:tcPr>
            <w:tcW w:w="2551" w:type="dxa"/>
            <w:vAlign w:val="center"/>
          </w:tcPr>
          <w:p>
            <w:pPr>
              <w:pStyle w:val="11"/>
            </w:pPr>
            <w:r>
              <w:t>36.12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29.10</w:t>
            </w:r>
          </w:p>
        </w:tc>
        <w:tc>
          <w:tcPr>
            <w:tcW w:w="2551" w:type="dxa"/>
            <w:vAlign w:val="center"/>
          </w:tcPr>
          <w:p>
            <w:pPr>
              <w:pStyle w:val="11"/>
            </w:pPr>
            <w:r>
              <w:t>29.10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19.19</w:t>
            </w:r>
          </w:p>
        </w:tc>
        <w:tc>
          <w:tcPr>
            <w:tcW w:w="2551" w:type="dxa"/>
            <w:vAlign w:val="center"/>
          </w:tcPr>
          <w:p>
            <w:pPr>
              <w:pStyle w:val="11"/>
            </w:pPr>
            <w:r>
              <w:t>19.19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8.29</w:t>
            </w:r>
          </w:p>
        </w:tc>
        <w:tc>
          <w:tcPr>
            <w:tcW w:w="2551" w:type="dxa"/>
            <w:vAlign w:val="center"/>
          </w:tcPr>
          <w:p>
            <w:pPr>
              <w:pStyle w:val="11"/>
            </w:pPr>
            <w:r>
              <w:t>8.29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13.13</w:t>
            </w:r>
          </w:p>
        </w:tc>
        <w:tc>
          <w:tcPr>
            <w:tcW w:w="2551" w:type="dxa"/>
            <w:vAlign w:val="center"/>
          </w:tcPr>
          <w:p>
            <w:pPr>
              <w:pStyle w:val="11"/>
            </w:pPr>
            <w:r>
              <w:t>13.13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14.76</w:t>
            </w:r>
          </w:p>
        </w:tc>
        <w:tc>
          <w:tcPr>
            <w:tcW w:w="2551" w:type="dxa"/>
            <w:vAlign w:val="center"/>
          </w:tcPr>
          <w:p>
            <w:pPr>
              <w:pStyle w:val="11"/>
            </w:pPr>
            <w:r>
              <w:t>14.76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24.10</w:t>
            </w:r>
          </w:p>
        </w:tc>
        <w:tc>
          <w:tcPr>
            <w:tcW w:w="2551" w:type="dxa"/>
            <w:vAlign w:val="center"/>
          </w:tcPr>
          <w:p>
            <w:pPr>
              <w:pStyle w:val="11"/>
            </w:pPr>
            <w:r>
              <w:t>24.10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2.55</w:t>
            </w:r>
          </w:p>
        </w:tc>
        <w:tc>
          <w:tcPr>
            <w:tcW w:w="2551" w:type="dxa"/>
            <w:vAlign w:val="center"/>
          </w:tcPr>
          <w:p>
            <w:pPr>
              <w:pStyle w:val="11"/>
            </w:pPr>
          </w:p>
        </w:tc>
        <w:tc>
          <w:tcPr>
            <w:tcW w:w="2551" w:type="dxa"/>
            <w:vAlign w:val="center"/>
          </w:tcPr>
          <w:p>
            <w:pPr>
              <w:pStyle w:val="11"/>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1.33</w:t>
            </w:r>
          </w:p>
        </w:tc>
        <w:tc>
          <w:tcPr>
            <w:tcW w:w="2551" w:type="dxa"/>
            <w:vAlign w:val="center"/>
          </w:tcPr>
          <w:p>
            <w:pPr>
              <w:pStyle w:val="11"/>
            </w:pPr>
          </w:p>
        </w:tc>
        <w:tc>
          <w:tcPr>
            <w:tcW w:w="2551" w:type="dxa"/>
            <w:vAlign w:val="center"/>
          </w:tcPr>
          <w:p>
            <w:pPr>
              <w:pStyle w:val="11"/>
            </w:pPr>
            <w: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9.39</w:t>
            </w:r>
          </w:p>
        </w:tc>
        <w:tc>
          <w:tcPr>
            <w:tcW w:w="2551" w:type="dxa"/>
            <w:vAlign w:val="center"/>
          </w:tcPr>
          <w:p>
            <w:pPr>
              <w:pStyle w:val="11"/>
            </w:pPr>
            <w:r>
              <w:t>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9.39</w:t>
            </w:r>
          </w:p>
        </w:tc>
        <w:tc>
          <w:tcPr>
            <w:tcW w:w="2551" w:type="dxa"/>
            <w:vAlign w:val="center"/>
          </w:tcPr>
          <w:p>
            <w:pPr>
              <w:pStyle w:val="11"/>
            </w:pPr>
            <w:r>
              <w:t>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审计部门审计局本级2025年单位预算信息公开情况说明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按照《中华人民共和国预算法》、《地方预决算公开操作规程》和《关于进一步推进预算公开工作的实施意见》规定，现将审计部门审计局本级2025年单位预算公开如下：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负责组织领导全区审计工作。负责对区政府财政收支和法律法规规定属于审计监督范围的财务收支的真实、合法和效益进行审计监督，维护财政经济秩序，提高财政资金使用效益，促进廉政建设，保障全区经济和社会健康发展，对审计、专项审计调查和核查社会审计机构相关审计报告的结果承担责任，并负有督促被审计单位整改的责任。</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（二）制定全区审计工作发展规划和年度审计计划。对直接审计、调查和核查的事项依法进行审计评价，做出审计决定或提出审计建议。</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向区长提交区本级预算执行情况和其他财政收支情况的审计结果报告；受区政府委托向区人大常委会提出区政府预算执行和其他财政收支情况的审计工作报告、审计发现问题的纠正和处理结果报告；向区政府报告对其他事项的审计和专项审计调查情况及结果。</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（四）直接审计下列事项，出具审计报告，在法定职权范围内作出审计决定和向有关部门提出处理处罚的建议：</w:t>
      </w:r>
      <w:r>
        <w:rPr>
          <w:rFonts w:ascii="Times New Roman" w:hAnsi="Times New Roman" w:eastAsia="方正仿宋_GBK" w:cs="Times New Roman"/>
          <w:color w:val="000000"/>
          <w:sz w:val="28"/>
        </w:rPr>
        <w:t xml:space="preserve">       </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、区级预算的执行情况和其他财政收支，区本级预算部门预算的执行情况、决算和其他财政收支。</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2</w:t>
      </w:r>
      <w:r>
        <w:rPr>
          <w:rFonts w:hint="eastAsia" w:ascii="Times New Roman" w:hAnsi="Times New Roman" w:eastAsia="方正仿宋_GBK" w:cs="Times New Roman"/>
          <w:color w:val="000000"/>
          <w:sz w:val="28"/>
        </w:rPr>
        <w:t>、使用区级财政资金的事业单位和社会团体的财务收支。</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3</w:t>
      </w:r>
      <w:r>
        <w:rPr>
          <w:rFonts w:hint="eastAsia" w:ascii="Times New Roman" w:hAnsi="Times New Roman" w:eastAsia="方正仿宋_GBK" w:cs="Times New Roman"/>
          <w:color w:val="000000"/>
          <w:sz w:val="28"/>
        </w:rPr>
        <w:t>、区人民政府预算的执行情况和各镇人民政府决算。</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4</w:t>
      </w:r>
      <w:r>
        <w:rPr>
          <w:rFonts w:hint="eastAsia" w:ascii="Times New Roman" w:hAnsi="Times New Roman" w:eastAsia="方正仿宋_GBK" w:cs="Times New Roman"/>
          <w:color w:val="000000"/>
          <w:sz w:val="28"/>
        </w:rPr>
        <w:t>、区政府管理和其他单位受区政府及其部门委托管理的社会保障基金、社会捐赠资金、农业专项资金、关系国计民生的资源能源和环境保护资金及其他有关基金、资金的财务收支。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w:t>
      </w:r>
      <w:r>
        <w:rPr>
          <w:rFonts w:hint="eastAsia" w:ascii="Times New Roman" w:hAnsi="Times New Roman" w:eastAsia="方正仿宋_GBK" w:cs="Times New Roman"/>
          <w:color w:val="000000"/>
          <w:sz w:val="28"/>
        </w:rPr>
        <w:t>、对金融机构和非银行金融企业的财务收支、信贷计划及现金、外汇的管理进行审计监督（国家金融机构需由上级审计机关授权）。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w:t>
      </w:r>
      <w:r>
        <w:rPr>
          <w:rFonts w:hint="eastAsia" w:ascii="Times New Roman" w:hAnsi="Times New Roman" w:eastAsia="方正仿宋_GBK" w:cs="Times New Roman"/>
          <w:color w:val="000000"/>
          <w:sz w:val="28"/>
        </w:rPr>
        <w:t>、区级投资和以去投资为主的建设项目的预算执行情况和决算。</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7</w:t>
      </w:r>
      <w:r>
        <w:rPr>
          <w:rFonts w:hint="eastAsia" w:ascii="Times New Roman" w:hAnsi="Times New Roman" w:eastAsia="方正仿宋_GBK" w:cs="Times New Roman"/>
          <w:color w:val="000000"/>
          <w:sz w:val="28"/>
        </w:rPr>
        <w:t>、法律、行政法规规定应由审计机关审计的其他事项。</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（五）按规定对全区县级以下党政领导干部，区属国有及国有控股企业领导人及依法属于区级审计机构审计监督对象的其他单位主要负责人实施经济责任审计。</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（六）依法检查审计决定执行情况，督促纠正和处理审计发现的问题。协助配合有关部门查处相关重大案件。</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（七）指导和监督内部审计工作，核查社会审计机构对依法属于审计监督对象的单位出具相关审计报告。</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hint="eastAsia" w:ascii="Times New Roman" w:hAnsi="Times New Roman" w:eastAsia="方正仿宋_GBK" w:cs="Times New Roman"/>
          <w:color w:val="000000"/>
          <w:sz w:val="28"/>
        </w:rPr>
        <w:t>（八）承办区政府及上级审计机关交办的其他事项。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审计部门审计局本级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pStyle w:val="24"/>
      </w:pPr>
      <w:r>
        <w:rPr>
          <w:rFonts w:hint="eastAsia" w:ascii="黑体" w:hAnsi="黑体" w:eastAsia="黑体" w:cs="黑体"/>
          <w:color w:val="000000"/>
          <w:sz w:val="32"/>
          <w:lang w:val="en-US" w:eastAsia="zh-CN"/>
        </w:rPr>
        <w:t xml:space="preserve">  </w:t>
      </w:r>
      <w:r>
        <w:t>按照预算管理有关规定，目前部门预算的编制实行综合预算管理，即全部收入和支出都反映在预算中。审计部门机关及所属事业单位的收支包含在部门预算中。</w:t>
      </w:r>
    </w:p>
    <w:p>
      <w:pPr>
        <w:pStyle w:val="24"/>
      </w:pPr>
      <w:r>
        <w:t>1、收入说明</w:t>
      </w:r>
    </w:p>
    <w:p>
      <w:pPr>
        <w:pStyle w:val="24"/>
      </w:pPr>
      <w:r>
        <w:t>反映本部门当年全部收入。2025年预算收入246.72万元，其中：一般公共预算收入246.72万元，基金预算收入0.00万元，国有资本经营预算收入0.00万元，财政专户核拨收入0.00万元，单位资金收入0.00万元，上年结转结余0.00万元。</w:t>
      </w:r>
    </w:p>
    <w:p>
      <w:pPr>
        <w:pStyle w:val="24"/>
      </w:pPr>
      <w:r>
        <w:t>2、支出说明</w:t>
      </w:r>
    </w:p>
    <w:p>
      <w:pPr>
        <w:pStyle w:val="24"/>
      </w:pPr>
      <w:r>
        <w:t>收支预算总表支出栏、基本支出表、项目支出表按经济分类和支出功能分类科目编制，反映审计部门年度部门预算中支出预算的总体情况。2025年支出预算246.72万元，其中基本支出238.72万元，包括人员经费224.19万元和日常公用经费14.54万元；项目支出8.00万元，主要为审计业务费，包含审计金审三期工程内网月租费已经其他审计业务支出。</w:t>
      </w:r>
    </w:p>
    <w:p>
      <w:pPr>
        <w:pStyle w:val="24"/>
      </w:pPr>
      <w:r>
        <w:t>3、比上年增减情况</w:t>
      </w:r>
    </w:p>
    <w:p>
      <w:pPr>
        <w:pStyle w:val="24"/>
      </w:pPr>
      <w:r>
        <w:t>2025年预算收支安排246.72万元，较2024年预算增加32.39万元，其中：基本支出增加52.19万元，主要为人员基本工资和保险支出。项目支出减少19.80万元，主要为人事代理人员工资保险纳入基本支出。</w:t>
      </w:r>
    </w:p>
    <w:p>
      <w:pPr>
        <w:pStyle w:val="2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rPr>
          <w:rFonts w:hint="default"/>
          <w:lang w:val="en-US"/>
        </w:rPr>
      </w:pPr>
      <w:r>
        <w:rPr>
          <w:rFonts w:hint="eastAsia"/>
          <w:lang w:val="en-US" w:eastAsia="zh-CN"/>
        </w:rPr>
        <w:t>本年度安排办公费1.16万元，印刷费0.42万元，邮电费0.35万元，差旅费1.05万元，维修（护）费0.14万元，福利费2.30万元。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numPr>
          <w:ilvl w:val="0"/>
          <w:numId w:val="0"/>
        </w:numPr>
        <w:ind w:left="640" w:leftChars="0"/>
      </w:pPr>
      <w:r>
        <w:rPr>
          <w:rFonts w:hint="eastAsia" w:ascii="Times New Roman" w:hAnsi="Times New Roman" w:eastAsia="方正仿宋_GBK" w:cs="Times New Roman"/>
          <w:sz w:val="28"/>
          <w:szCs w:val="24"/>
          <w:lang w:val="en-US" w:eastAsia="zh-CN" w:bidi="ar-SA"/>
        </w:rPr>
        <w:t>本年度三公经费无安排。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1、审计业务费绩效目标表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13030325P004953100126</w:t>
            </w:r>
          </w:p>
        </w:tc>
        <w:tc>
          <w:tcPr>
            <w:tcW w:w="2835" w:type="dxa"/>
            <w:vAlign w:val="center"/>
          </w:tcPr>
          <w:p>
            <w:pPr>
              <w:pStyle w:val="10"/>
            </w:pPr>
            <w:r>
              <w:t>项目名称</w:t>
            </w:r>
          </w:p>
        </w:tc>
        <w:tc>
          <w:tcPr>
            <w:tcW w:w="6095" w:type="dxa"/>
            <w:gridSpan w:val="3"/>
            <w:vAlign w:val="center"/>
          </w:tcPr>
          <w:p>
            <w:pPr>
              <w:pStyle w:val="12"/>
            </w:pPr>
            <w:r>
              <w:t>审计业务费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本年度各项审计事务支出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扎实推进审计工作，规范审计项目。强化财政预算执行和财政财务收支审计，提高财政资金使用效益。强化领导干部经济责任审计，促进领导干部依法履职。维护“金审”三期正常运行，提升审计项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严格控制各项费用</w:t>
            </w:r>
          </w:p>
        </w:tc>
        <w:tc>
          <w:tcPr>
            <w:tcW w:w="1276" w:type="dxa"/>
            <w:vAlign w:val="center"/>
          </w:tcPr>
          <w:p>
            <w:pPr>
              <w:pStyle w:val="12"/>
            </w:pPr>
            <w:r>
              <w:t>年初项目预算数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完成审计项目</w:t>
            </w:r>
          </w:p>
        </w:tc>
        <w:tc>
          <w:tcPr>
            <w:tcW w:w="5386" w:type="dxa"/>
            <w:vAlign w:val="center"/>
          </w:tcPr>
          <w:p>
            <w:pPr>
              <w:pStyle w:val="12"/>
            </w:pPr>
            <w:r>
              <w:t>保障全年审计项目完成率</w:t>
            </w:r>
          </w:p>
        </w:tc>
        <w:tc>
          <w:tcPr>
            <w:tcW w:w="2268" w:type="dxa"/>
            <w:vAlign w:val="center"/>
          </w:tcPr>
          <w:p>
            <w:pPr>
              <w:pStyle w:val="12"/>
            </w:pPr>
            <w:r>
              <w:t>≥95%</w:t>
            </w:r>
          </w:p>
        </w:tc>
        <w:tc>
          <w:tcPr>
            <w:tcW w:w="1276" w:type="dxa"/>
            <w:vAlign w:val="center"/>
          </w:tcPr>
          <w:p>
            <w:pPr>
              <w:pStyle w:val="12"/>
            </w:pPr>
            <w:r>
              <w:t>保障全年审计项目完成率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运行正常运转率</w:t>
            </w:r>
          </w:p>
        </w:tc>
        <w:tc>
          <w:tcPr>
            <w:tcW w:w="5386" w:type="dxa"/>
            <w:vAlign w:val="center"/>
          </w:tcPr>
          <w:p>
            <w:pPr>
              <w:pStyle w:val="12"/>
            </w:pPr>
            <w:r>
              <w:t>各项审计业务工作保障率</w:t>
            </w:r>
          </w:p>
        </w:tc>
        <w:tc>
          <w:tcPr>
            <w:tcW w:w="2268" w:type="dxa"/>
            <w:vAlign w:val="center"/>
          </w:tcPr>
          <w:p>
            <w:pPr>
              <w:pStyle w:val="12"/>
            </w:pPr>
            <w:r>
              <w:t>100%</w:t>
            </w:r>
          </w:p>
        </w:tc>
        <w:tc>
          <w:tcPr>
            <w:tcW w:w="1276" w:type="dxa"/>
            <w:vAlign w:val="center"/>
          </w:tcPr>
          <w:p>
            <w:pPr>
              <w:pStyle w:val="12"/>
            </w:pPr>
            <w:r>
              <w:t>维持审计工作正常运转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及时保障各项审计业务办公需要</w:t>
            </w:r>
          </w:p>
        </w:tc>
        <w:tc>
          <w:tcPr>
            <w:tcW w:w="2268" w:type="dxa"/>
            <w:vAlign w:val="center"/>
          </w:tcPr>
          <w:p>
            <w:pPr>
              <w:pStyle w:val="12"/>
            </w:pPr>
            <w:r>
              <w:t>100%</w:t>
            </w:r>
          </w:p>
        </w:tc>
        <w:tc>
          <w:tcPr>
            <w:tcW w:w="1276" w:type="dxa"/>
            <w:vAlign w:val="center"/>
          </w:tcPr>
          <w:p>
            <w:pPr>
              <w:pStyle w:val="12"/>
            </w:pPr>
            <w:r>
              <w:t>及时保障审计业务办公需要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做好日常维护提高被审计单位资金使用效益</w:t>
            </w:r>
          </w:p>
        </w:tc>
        <w:tc>
          <w:tcPr>
            <w:tcW w:w="5386" w:type="dxa"/>
            <w:vAlign w:val="center"/>
          </w:tcPr>
          <w:p>
            <w:pPr>
              <w:pStyle w:val="12"/>
            </w:pPr>
            <w:r>
              <w:t>提高被审计单位资金使用效益</w:t>
            </w:r>
          </w:p>
        </w:tc>
        <w:tc>
          <w:tcPr>
            <w:tcW w:w="2268" w:type="dxa"/>
            <w:vAlign w:val="center"/>
          </w:tcPr>
          <w:p>
            <w:pPr>
              <w:pStyle w:val="12"/>
            </w:pPr>
            <w:r>
              <w:t>提高被审计单位资金使用效益</w:t>
            </w:r>
          </w:p>
        </w:tc>
        <w:tc>
          <w:tcPr>
            <w:tcW w:w="1276" w:type="dxa"/>
            <w:vAlign w:val="center"/>
          </w:tcPr>
          <w:p>
            <w:pPr>
              <w:pStyle w:val="12"/>
            </w:pPr>
            <w:r>
              <w:t>提高被审计单位资金使用效益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促进被审计单位财务规范，提升财政资金使用效益</w:t>
            </w:r>
          </w:p>
        </w:tc>
        <w:tc>
          <w:tcPr>
            <w:tcW w:w="5386" w:type="dxa"/>
            <w:vAlign w:val="center"/>
          </w:tcPr>
          <w:p>
            <w:pPr>
              <w:pStyle w:val="12"/>
            </w:pPr>
            <w:r>
              <w:t>促进被审计单位财务规范，提升财政资金使用效益</w:t>
            </w:r>
          </w:p>
        </w:tc>
        <w:tc>
          <w:tcPr>
            <w:tcW w:w="2268" w:type="dxa"/>
            <w:vAlign w:val="center"/>
          </w:tcPr>
          <w:p>
            <w:pPr>
              <w:pStyle w:val="12"/>
            </w:pPr>
            <w:r>
              <w:t>提升</w:t>
            </w:r>
          </w:p>
        </w:tc>
        <w:tc>
          <w:tcPr>
            <w:tcW w:w="1276" w:type="dxa"/>
            <w:vAlign w:val="center"/>
          </w:tcPr>
          <w:p>
            <w:pPr>
              <w:pStyle w:val="12"/>
            </w:pPr>
            <w:r>
              <w:t>促进被审计单位财务规范，提升财政资金使用效益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被审计单位及机关工作人员的满意率</w:t>
            </w:r>
          </w:p>
        </w:tc>
        <w:tc>
          <w:tcPr>
            <w:tcW w:w="5386" w:type="dxa"/>
            <w:vAlign w:val="center"/>
          </w:tcPr>
          <w:p>
            <w:pPr>
              <w:pStyle w:val="12"/>
            </w:pPr>
            <w:r>
              <w:t>被审单位及机关工作人员满意率</w:t>
            </w:r>
          </w:p>
        </w:tc>
        <w:tc>
          <w:tcPr>
            <w:tcW w:w="2268" w:type="dxa"/>
            <w:vAlign w:val="center"/>
          </w:tcPr>
          <w:p>
            <w:pPr>
              <w:pStyle w:val="12"/>
            </w:pPr>
            <w:r>
              <w:t>≥95%</w:t>
            </w:r>
          </w:p>
        </w:tc>
        <w:tc>
          <w:tcPr>
            <w:tcW w:w="1276" w:type="dxa"/>
            <w:vAlign w:val="center"/>
          </w:tcPr>
          <w:p>
            <w:pPr>
              <w:pStyle w:val="12"/>
            </w:pPr>
            <w:r>
              <w:t>被审计单位及机关工作人员的满意率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319001审计部门审计局本级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审计部门审计局本级上年末固定资产金额为0.00万元（详见下表）。本年度拟购置固定资产总额为0.00万元，已按要求列入政府采购预算，详见政府采购预算表。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319001审计部门审计局本级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eastAsia="zh-CN"/>
              </w:rPr>
            </w:pPr>
            <w:r>
              <w:rPr>
                <w:rFonts w:hint="eastAsia"/>
                <w:lang w:eastAsia="zh-CN"/>
              </w:rPr>
              <w:t>资产总额</w:t>
            </w:r>
          </w:p>
        </w:tc>
        <w:tc>
          <w:tcPr>
            <w:tcW w:w="2835" w:type="dxa"/>
            <w:vAlign w:val="center"/>
          </w:tcPr>
          <w:p>
            <w:pPr>
              <w:pStyle w:val="13"/>
              <w:ind w:firstLine="0" w:firstLineChars="0"/>
              <w:rPr>
                <w:rFonts w:ascii="方正书宋_GBK" w:hAnsi="方正书宋_GBK" w:eastAsia="方正书宋_GBK" w:cs="方正书宋_GBK"/>
                <w:sz w:val="21"/>
              </w:rPr>
            </w:pP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1、房屋（平方米）</w:t>
            </w:r>
          </w:p>
        </w:tc>
        <w:tc>
          <w:tcPr>
            <w:tcW w:w="2835" w:type="dxa"/>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80</w:t>
            </w: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 xml:space="preserve"> 其中：办公用房（平方米）</w:t>
            </w:r>
          </w:p>
        </w:tc>
        <w:tc>
          <w:tcPr>
            <w:tcW w:w="2835" w:type="dxa"/>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80</w:t>
            </w: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2.车辆（台、辆）</w:t>
            </w:r>
          </w:p>
        </w:tc>
        <w:tc>
          <w:tcPr>
            <w:tcW w:w="2835" w:type="dxa"/>
            <w:vAlign w:val="center"/>
          </w:tcPr>
          <w:p>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2835" w:type="dxa"/>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3.单价 在20万元以上的设备</w:t>
            </w:r>
          </w:p>
        </w:tc>
        <w:tc>
          <w:tcPr>
            <w:tcW w:w="2835" w:type="dxa"/>
            <w:vAlign w:val="center"/>
          </w:tcPr>
          <w:p>
            <w:pPr>
              <w:pStyle w:val="13"/>
              <w:ind w:firstLine="0" w:firstLineChars="0"/>
              <w:rPr>
                <w:rFonts w:hint="eastAsia" w:ascii="方正书宋_GBK" w:hAnsi="方正书宋_GBK" w:eastAsia="方正书宋_GBK" w:cs="方正书宋_GBK"/>
                <w:sz w:val="21"/>
                <w:lang w:val="en-US" w:eastAsia="zh-CN"/>
              </w:rPr>
            </w:pPr>
          </w:p>
        </w:tc>
        <w:tc>
          <w:tcPr>
            <w:tcW w:w="2835" w:type="dxa"/>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4.其他固定资产</w:t>
            </w:r>
          </w:p>
        </w:tc>
        <w:tc>
          <w:tcPr>
            <w:tcW w:w="2835" w:type="dxa"/>
            <w:vAlign w:val="center"/>
          </w:tcPr>
          <w:p>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59</w:t>
            </w: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2.64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6585E"/>
    <w:multiLevelType w:val="singleLevel"/>
    <w:tmpl w:val="F54658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163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正文-公1"/>
    <w:basedOn w:val="23"/>
    <w:next w:val="1"/>
    <w:qFormat/>
    <w:uiPriority w:val="0"/>
    <w:pPr>
      <w:ind w:firstLine="200" w:firstLineChars="200"/>
    </w:p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TotalTime>0</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2025-01-23T09:52:00Z</dcterms:created>
  <dc:creator>jo</dc:creator>
  <cp:lastModifiedBy>jo</cp:lastModifiedBy>
  <dcterms:modified xsi:type="dcterms:W3CDTF">2025-01-23T02:03:15Z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6FEFF5FF3C2E4B54AB68C5991E857986</vt:lpwstr>
  </property>
</Properties>
</file>