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20" w:name="_GoBack"/>
      <w:bookmarkEnd w:id="20"/>
      <w:r>
        <w:rPr>
          <w:rFonts w:ascii="黑体" w:hAnsi="黑体" w:eastAsia="黑体" w:cs="黑体"/>
          <w:b/>
          <w:bCs/>
          <w:color w:val="000000"/>
          <w:sz w:val="44"/>
          <w:szCs w:val="44"/>
          <w:lang w:eastAsia="zh-CN"/>
        </w:rPr>
        <w:t xml:space="preserve">  </w:t>
      </w:r>
      <w:r>
        <w:rPr>
          <w:rFonts w:ascii="黑体" w:hAnsi="黑体" w:eastAsia="黑体" w:cs="黑体"/>
          <w:b/>
          <w:bCs/>
          <w:color w:val="000000"/>
          <w:sz w:val="44"/>
          <w:szCs w:val="44"/>
        </w:rPr>
        <w:t>2024</w:t>
      </w:r>
      <w:r>
        <w:rPr>
          <w:rFonts w:hint="eastAsia" w:ascii="黑体" w:hAnsi="黑体" w:eastAsia="黑体" w:cs="黑体"/>
          <w:b/>
          <w:bCs/>
          <w:color w:val="000000"/>
          <w:sz w:val="44"/>
          <w:szCs w:val="44"/>
        </w:rPr>
        <w:t>年部门预算信息公开目录</w:t>
      </w:r>
    </w:p>
    <w:p>
      <w:pPr>
        <w:jc w:val="center"/>
        <w:rPr>
          <w:rFonts w:eastAsia="Times New Roman"/>
        </w:rPr>
      </w:pPr>
      <w:r>
        <w:rPr>
          <w:rFonts w:ascii="黑体" w:hAnsi="黑体" w:eastAsia="黑体" w:cs="黑体"/>
          <w:b/>
          <w:bCs/>
          <w:color w:val="000000"/>
          <w:sz w:val="30"/>
          <w:szCs w:val="30"/>
        </w:rPr>
        <w:t xml:space="preserve"> </w:t>
      </w:r>
    </w:p>
    <w:p>
      <w:pPr>
        <w:rPr>
          <w:rFonts w:eastAsia="Times New Roman"/>
        </w:rPr>
      </w:pPr>
      <w:r>
        <w:rPr>
          <w:rFonts w:hint="eastAsia" w:ascii="方正楷体_GBK" w:hAnsi="方正楷体_GBK" w:eastAsia="方正楷体_GBK" w:cs="方正楷体_GBK"/>
          <w:b/>
          <w:bCs/>
          <w:color w:val="000000"/>
          <w:sz w:val="28"/>
          <w:szCs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cs="方正仿宋_GBK"/>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cs="方正仿宋_GBK"/>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cs="方正仿宋_GBK"/>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cs="方正仿宋_GBK"/>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cs="方正仿宋_GBK"/>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cs="方正仿宋_GBK"/>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cs="方正仿宋_GBK"/>
        </w:rPr>
        <w:t>部门预算政府性基金预算财政拨款支出表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cs="方正仿宋_GBK"/>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cs="方正仿宋_GBK"/>
        </w:rPr>
        <w:t>部门预算财政拨款</w:t>
      </w:r>
      <w:r>
        <w:t>“</w:t>
      </w:r>
      <w:r>
        <w:rPr>
          <w:rFonts w:hint="eastAsia" w:cs="方正仿宋_GBK"/>
        </w:rPr>
        <w:t>三公</w:t>
      </w:r>
      <w:r>
        <w:t>”</w:t>
      </w:r>
      <w:r>
        <w:rPr>
          <w:rFonts w:hint="eastAsia" w:cs="方正仿宋_GBK"/>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bCs/>
          <w:color w:val="000000"/>
          <w:sz w:val="28"/>
          <w:szCs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cs="方正仿宋_GBK"/>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cs="方正仿宋_GBK"/>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cs="方正仿宋_GBK"/>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cs="方正仿宋_GBK"/>
        </w:rPr>
        <w:t>四、财政拨款</w:t>
      </w:r>
      <w:r>
        <w:t>“</w:t>
      </w:r>
      <w:r>
        <w:rPr>
          <w:rFonts w:hint="eastAsia" w:cs="方正仿宋_GBK"/>
        </w:rPr>
        <w:t>三公</w:t>
      </w:r>
      <w:r>
        <w:t>”</w:t>
      </w:r>
      <w:r>
        <w:rPr>
          <w:rFonts w:hint="eastAsia" w:cs="方正仿宋_GBK"/>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cs="方正仿宋_GBK"/>
        </w:rPr>
        <w:t>五、部门整体绩效目标</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cs="方正仿宋_GBK"/>
        </w:rPr>
        <w:t>六、部门主管专项资金预算安排情况及绩效目标</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cs="方正仿宋_GBK"/>
        </w:rPr>
        <w:t>七、部门项目预算安排情况及绩效目标</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cs="方正仿宋_GBK"/>
        </w:rPr>
        <w:t>八、政府采购预算情况</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cs="方正仿宋_GBK"/>
        </w:rPr>
        <w:t>九、国有资产信息</w:t>
      </w:r>
      <w:r>
        <w:tab/>
      </w:r>
      <w:r>
        <w:fldChar w:fldCharType="begin"/>
      </w:r>
      <w:r>
        <w:instrText xml:space="preserve">PAGEREF _Toc_3_3_0000000018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rPr>
          <w:rFonts w:hint="eastAsia" w:cs="方正仿宋_GBK"/>
        </w:rPr>
        <w:t>十、名词解释</w:t>
      </w:r>
      <w:r>
        <w:tab/>
      </w:r>
      <w:r>
        <w:fldChar w:fldCharType="begin"/>
      </w:r>
      <w:r>
        <w:instrText xml:space="preserve">PAGEREF _Toc_3_3_0000000019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rPr>
          <w:rFonts w:hint="eastAsia" w:cs="方正仿宋_GBK"/>
        </w:rPr>
        <w:t>十一、其他需要说明的事项</w:t>
      </w:r>
      <w:r>
        <w:tab/>
      </w:r>
      <w:r>
        <w:fldChar w:fldCharType="begin"/>
      </w:r>
      <w:r>
        <w:instrText xml:space="preserve">PAGEREF _Toc_3_3_0000000020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szCs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rPr>
                <w:rFonts w:cs="Times New Roman"/>
              </w:rPr>
            </w:pPr>
            <w:r>
              <w:t>450</w:t>
            </w:r>
            <w:r>
              <w:rPr>
                <w:rFonts w:hint="eastAsia"/>
              </w:rPr>
              <w:t>医保部门</w:t>
            </w:r>
          </w:p>
        </w:tc>
        <w:tc>
          <w:tcPr>
            <w:tcW w:w="2126"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cs="Times New Roman"/>
              </w:rPr>
            </w:pPr>
            <w:r>
              <w:rPr>
                <w:rFonts w:hint="eastAsia"/>
              </w:rPr>
              <w:t>序号</w:t>
            </w:r>
          </w:p>
        </w:tc>
        <w:tc>
          <w:tcPr>
            <w:tcW w:w="6661" w:type="dxa"/>
            <w:gridSpan w:val="2"/>
            <w:vAlign w:val="center"/>
          </w:tcPr>
          <w:p>
            <w:pPr>
              <w:pStyle w:val="11"/>
              <w:rPr>
                <w:rFonts w:cs="Times New Roman"/>
              </w:rPr>
            </w:pPr>
            <w:r>
              <w:rPr>
                <w:rFonts w:hint="eastAsia"/>
              </w:rPr>
              <w:t>收入</w:t>
            </w:r>
          </w:p>
        </w:tc>
        <w:tc>
          <w:tcPr>
            <w:tcW w:w="6661" w:type="dxa"/>
            <w:gridSpan w:val="2"/>
            <w:vAlign w:val="center"/>
          </w:tcPr>
          <w:p>
            <w:pPr>
              <w:pStyle w:val="11"/>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rPr>
                <w:rFonts w:cs="Times New Roman"/>
              </w:rPr>
            </w:pPr>
            <w:r>
              <w:rPr>
                <w:rFonts w:hint="eastAsia"/>
              </w:rPr>
              <w:t>项</w:t>
            </w:r>
            <w:r>
              <w:t xml:space="preserve">  </w:t>
            </w:r>
            <w:r>
              <w:rPr>
                <w:rFonts w:hint="eastAsia"/>
              </w:rPr>
              <w:t>目</w:t>
            </w:r>
          </w:p>
        </w:tc>
        <w:tc>
          <w:tcPr>
            <w:tcW w:w="2126" w:type="dxa"/>
            <w:vAlign w:val="center"/>
          </w:tcPr>
          <w:p>
            <w:pPr>
              <w:pStyle w:val="11"/>
              <w:rPr>
                <w:rFonts w:cs="Times New Roman"/>
              </w:rPr>
            </w:pPr>
            <w:r>
              <w:rPr>
                <w:rFonts w:hint="eastAsia"/>
              </w:rPr>
              <w:t>预算数</w:t>
            </w:r>
          </w:p>
        </w:tc>
        <w:tc>
          <w:tcPr>
            <w:tcW w:w="4535" w:type="dxa"/>
            <w:vAlign w:val="center"/>
          </w:tcPr>
          <w:p>
            <w:pPr>
              <w:pStyle w:val="11"/>
              <w:rPr>
                <w:rFonts w:cs="Times New Roman"/>
              </w:rPr>
            </w:pPr>
            <w:r>
              <w:rPr>
                <w:rFonts w:hint="eastAsia"/>
              </w:rPr>
              <w:t>项</w:t>
            </w:r>
            <w:r>
              <w:t xml:space="preserve">  </w:t>
            </w:r>
            <w:r>
              <w:rPr>
                <w:rFonts w:hint="eastAsia"/>
              </w:rPr>
              <w:t>目</w:t>
            </w:r>
          </w:p>
        </w:tc>
        <w:tc>
          <w:tcPr>
            <w:tcW w:w="2126" w:type="dxa"/>
            <w:vAlign w:val="center"/>
          </w:tcPr>
          <w:p>
            <w:pPr>
              <w:pStyle w:val="11"/>
              <w:rPr>
                <w:rFonts w:cs="Times New Roman"/>
              </w:rPr>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cs="Times New Roman"/>
              </w:rPr>
            </w:pPr>
            <w:r>
              <w:rPr>
                <w:rFonts w:hint="eastAsia"/>
              </w:rP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rPr>
                <w:rFonts w:cs="Times New Roman"/>
              </w:rPr>
            </w:pPr>
            <w:r>
              <w:rPr>
                <w:rFonts w:hint="eastAsia"/>
              </w:rPr>
              <w:t>一、一般公共预算拨款收入</w:t>
            </w:r>
          </w:p>
        </w:tc>
        <w:tc>
          <w:tcPr>
            <w:tcW w:w="2126" w:type="dxa"/>
            <w:vAlign w:val="center"/>
          </w:tcPr>
          <w:p>
            <w:pPr>
              <w:pStyle w:val="12"/>
            </w:pPr>
            <w:r>
              <w:t>436.66</w:t>
            </w:r>
          </w:p>
        </w:tc>
        <w:tc>
          <w:tcPr>
            <w:tcW w:w="4535" w:type="dxa"/>
            <w:vAlign w:val="center"/>
          </w:tcPr>
          <w:p>
            <w:pPr>
              <w:pStyle w:val="13"/>
              <w:rPr>
                <w:rFonts w:cs="Times New Roman"/>
              </w:rPr>
            </w:pPr>
            <w:r>
              <w:rPr>
                <w:rFonts w:hint="eastAsia"/>
              </w:rPr>
              <w:t>一、一般公共服务支出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rPr>
                <w:rFonts w:cs="Times New Roman"/>
              </w:rPr>
            </w:pPr>
            <w:r>
              <w:rPr>
                <w:rFonts w:hint="eastAsia"/>
              </w:rPr>
              <w:t>二、政府性基金预算拨款收入</w:t>
            </w: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二、外交支出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rPr>
                <w:rFonts w:cs="Times New Roman"/>
              </w:rPr>
            </w:pPr>
            <w:r>
              <w:rPr>
                <w:rFonts w:hint="eastAsia"/>
              </w:rPr>
              <w:t>三、国有资本经营预算拨款收入</w:t>
            </w: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三、国防支出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rPr>
                <w:rFonts w:cs="Times New Roman"/>
              </w:rPr>
            </w:pPr>
            <w:r>
              <w:rPr>
                <w:rFonts w:hint="eastAsia"/>
              </w:rPr>
              <w:t>四、财政专户管理资金收入</w:t>
            </w: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四、公共安全支出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rPr>
                <w:rFonts w:cs="Times New Roman"/>
              </w:rPr>
            </w:pPr>
            <w:r>
              <w:rPr>
                <w:rFonts w:hint="eastAsia"/>
              </w:rPr>
              <w:t>五、单位资金</w:t>
            </w: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五、教育支出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六、科学技术支出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七、文化旅游体育与传媒支出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八、社会保障和就业支出</w:t>
            </w:r>
          </w:p>
        </w:tc>
        <w:tc>
          <w:tcPr>
            <w:tcW w:w="2126" w:type="dxa"/>
            <w:vAlign w:val="center"/>
          </w:tcPr>
          <w:p>
            <w:pPr>
              <w:pStyle w:val="12"/>
            </w:pPr>
            <w:r>
              <w:t>28.94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九、社会保险基金支出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十、卫生健康支出</w:t>
            </w:r>
          </w:p>
        </w:tc>
        <w:tc>
          <w:tcPr>
            <w:tcW w:w="2126" w:type="dxa"/>
            <w:vAlign w:val="center"/>
          </w:tcPr>
          <w:p>
            <w:pPr>
              <w:pStyle w:val="12"/>
            </w:pPr>
            <w:r>
              <w:t>387.61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十一、节能环保支出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十二、城乡社区支出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十三、农林水支出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十四、交通运输支出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十五、资源勘探工业信息等支出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十六、商业服务业等支出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十七、金融支出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十八、援助其他地区支出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十九、自然资源海洋气象等支出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二十、住房保障支出</w:t>
            </w:r>
          </w:p>
        </w:tc>
        <w:tc>
          <w:tcPr>
            <w:tcW w:w="2126" w:type="dxa"/>
            <w:vAlign w:val="center"/>
          </w:tcPr>
          <w:p>
            <w:pPr>
              <w:pStyle w:val="12"/>
            </w:pPr>
            <w:r>
              <w:t>20.11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二十一、粮油物资储备支出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二十二、国有资本经营预算支出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二十三、灾害防治及应急管理支出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二十四、预备费</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二十五、其他支出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二十六、转移性支出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二十七、债务还本支出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二十八、债务付息支出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二十九、债务发行费用支出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三十、抗疫特别国债安排的支出</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三十一、人行科目</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rPr>
                <w:rFonts w:cs="Times New Roman"/>
              </w:rPr>
            </w:pPr>
            <w:r>
              <w:rPr>
                <w:rFonts w:hint="eastAsia"/>
              </w:rPr>
              <w:t>本年收入合计</w:t>
            </w:r>
          </w:p>
        </w:tc>
        <w:tc>
          <w:tcPr>
            <w:tcW w:w="2126" w:type="dxa"/>
            <w:vAlign w:val="center"/>
          </w:tcPr>
          <w:p>
            <w:pPr>
              <w:pStyle w:val="16"/>
            </w:pPr>
            <w:r>
              <w:t>436.66</w:t>
            </w:r>
          </w:p>
        </w:tc>
        <w:tc>
          <w:tcPr>
            <w:tcW w:w="4535" w:type="dxa"/>
            <w:vAlign w:val="center"/>
          </w:tcPr>
          <w:p>
            <w:pPr>
              <w:pStyle w:val="15"/>
              <w:rPr>
                <w:rFonts w:cs="Times New Roman"/>
              </w:rPr>
            </w:pPr>
            <w:r>
              <w:rPr>
                <w:rFonts w:hint="eastAsia"/>
              </w:rPr>
              <w:t>本年支出合计</w:t>
            </w:r>
          </w:p>
        </w:tc>
        <w:tc>
          <w:tcPr>
            <w:tcW w:w="2126" w:type="dxa"/>
            <w:vAlign w:val="center"/>
          </w:tcPr>
          <w:p>
            <w:pPr>
              <w:pStyle w:val="16"/>
            </w:pPr>
            <w:r>
              <w:t>436.66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rPr>
                <w:rFonts w:cs="Times New Roman"/>
              </w:rPr>
            </w:pPr>
            <w:r>
              <w:rPr>
                <w:rFonts w:hint="eastAsia"/>
              </w:rPr>
              <w:t>上年结转结余</w:t>
            </w: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年终结转结余</w:t>
            </w:r>
          </w:p>
        </w:tc>
        <w:tc>
          <w:tcPr>
            <w:tcW w:w="2126"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rPr>
                <w:rFonts w:cs="Times New Roman"/>
              </w:rPr>
            </w:pPr>
            <w:r>
              <w:rPr>
                <w:rFonts w:hint="eastAsia"/>
              </w:rPr>
              <w:t>收入总计</w:t>
            </w:r>
          </w:p>
        </w:tc>
        <w:tc>
          <w:tcPr>
            <w:tcW w:w="2126" w:type="dxa"/>
            <w:vAlign w:val="center"/>
          </w:tcPr>
          <w:p>
            <w:pPr>
              <w:pStyle w:val="16"/>
            </w:pPr>
            <w:r>
              <w:t>436.66</w:t>
            </w:r>
          </w:p>
        </w:tc>
        <w:tc>
          <w:tcPr>
            <w:tcW w:w="4535" w:type="dxa"/>
            <w:vAlign w:val="center"/>
          </w:tcPr>
          <w:p>
            <w:pPr>
              <w:pStyle w:val="15"/>
              <w:rPr>
                <w:rFonts w:cs="Times New Roman"/>
              </w:rPr>
            </w:pPr>
            <w:r>
              <w:rPr>
                <w:rFonts w:hint="eastAsia"/>
              </w:rPr>
              <w:t>支出总计</w:t>
            </w:r>
          </w:p>
        </w:tc>
        <w:tc>
          <w:tcPr>
            <w:tcW w:w="2126" w:type="dxa"/>
            <w:vAlign w:val="center"/>
          </w:tcPr>
          <w:p>
            <w:pPr>
              <w:pStyle w:val="16"/>
            </w:pPr>
            <w:r>
              <w:t>436.66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szCs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rPr>
                <w:rFonts w:cs="Times New Roman"/>
              </w:rPr>
            </w:pPr>
            <w:r>
              <w:t>450</w:t>
            </w:r>
            <w:r>
              <w:rPr>
                <w:rFonts w:hint="eastAsia"/>
              </w:rPr>
              <w:t>医保部门</w:t>
            </w:r>
          </w:p>
        </w:tc>
        <w:tc>
          <w:tcPr>
            <w:tcW w:w="3402" w:type="dxa"/>
            <w:gridSpan w:val="3"/>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rPr>
                <w:rFonts w:cs="Times New Roman"/>
              </w:rPr>
            </w:pPr>
            <w:r>
              <w:rPr>
                <w:rFonts w:hint="eastAsia"/>
              </w:rPr>
              <w:t>序号</w:t>
            </w:r>
          </w:p>
        </w:tc>
        <w:tc>
          <w:tcPr>
            <w:tcW w:w="2551" w:type="dxa"/>
            <w:gridSpan w:val="2"/>
            <w:vAlign w:val="center"/>
          </w:tcPr>
          <w:p>
            <w:pPr>
              <w:pStyle w:val="11"/>
              <w:rPr>
                <w:rFonts w:cs="Times New Roman"/>
              </w:rPr>
            </w:pPr>
            <w:r>
              <w:rPr>
                <w:rFonts w:hint="eastAsia"/>
              </w:rPr>
              <w:t>功能分类科目</w:t>
            </w:r>
          </w:p>
        </w:tc>
        <w:tc>
          <w:tcPr>
            <w:tcW w:w="1134" w:type="dxa"/>
            <w:vMerge w:val="restart"/>
            <w:vAlign w:val="center"/>
          </w:tcPr>
          <w:p>
            <w:pPr>
              <w:pStyle w:val="11"/>
              <w:rPr>
                <w:rFonts w:cs="Times New Roman"/>
              </w:rPr>
            </w:pPr>
            <w:r>
              <w:rPr>
                <w:rFonts w:hint="eastAsia"/>
              </w:rPr>
              <w:t>合计</w:t>
            </w:r>
          </w:p>
        </w:tc>
        <w:tc>
          <w:tcPr>
            <w:tcW w:w="9071" w:type="dxa"/>
            <w:gridSpan w:val="8"/>
            <w:vAlign w:val="center"/>
          </w:tcPr>
          <w:p>
            <w:pPr>
              <w:pStyle w:val="11"/>
              <w:rPr>
                <w:rFonts w:cs="Times New Roman"/>
              </w:rPr>
            </w:pPr>
            <w:r>
              <w:rPr>
                <w:rFonts w:hint="eastAsia"/>
              </w:rPr>
              <w:t>本年收入</w:t>
            </w:r>
          </w:p>
        </w:tc>
        <w:tc>
          <w:tcPr>
            <w:tcW w:w="1134" w:type="dxa"/>
            <w:vMerge w:val="restart"/>
            <w:vAlign w:val="center"/>
          </w:tcPr>
          <w:p>
            <w:pPr>
              <w:pStyle w:val="11"/>
              <w:rPr>
                <w:rFonts w:cs="Times New Roman"/>
              </w:rPr>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rPr>
                <w:rFonts w:cs="Times New Roman"/>
              </w:rPr>
            </w:pPr>
            <w:r>
              <w:rPr>
                <w:rFonts w:hint="eastAsia"/>
              </w:rPr>
              <w:t>科目</w:t>
            </w:r>
            <w:r>
              <w:t xml:space="preserve">    </w:t>
            </w:r>
            <w:r>
              <w:rPr>
                <w:rFonts w:hint="eastAsia"/>
              </w:rPr>
              <w:t>编码</w:t>
            </w:r>
          </w:p>
        </w:tc>
        <w:tc>
          <w:tcPr>
            <w:tcW w:w="1559" w:type="dxa"/>
            <w:vAlign w:val="center"/>
          </w:tcPr>
          <w:p>
            <w:pPr>
              <w:pStyle w:val="11"/>
              <w:rPr>
                <w:rFonts w:cs="Times New Roman"/>
              </w:rPr>
            </w:pPr>
            <w:r>
              <w:rPr>
                <w:rFonts w:hint="eastAsia"/>
              </w:rPr>
              <w:t>科目名称</w:t>
            </w:r>
          </w:p>
        </w:tc>
        <w:tc>
          <w:tcPr>
            <w:tcW w:w="1134" w:type="dxa"/>
            <w:vMerge w:val="continue"/>
          </w:tcPr>
          <w:p/>
        </w:tc>
        <w:tc>
          <w:tcPr>
            <w:tcW w:w="1134" w:type="dxa"/>
            <w:vAlign w:val="center"/>
          </w:tcPr>
          <w:p>
            <w:pPr>
              <w:pStyle w:val="11"/>
              <w:rPr>
                <w:rFonts w:cs="Times New Roman"/>
              </w:rPr>
            </w:pPr>
            <w:r>
              <w:rPr>
                <w:rFonts w:hint="eastAsia"/>
              </w:rPr>
              <w:t>小计</w:t>
            </w:r>
          </w:p>
        </w:tc>
        <w:tc>
          <w:tcPr>
            <w:tcW w:w="1134" w:type="dxa"/>
            <w:vAlign w:val="center"/>
          </w:tcPr>
          <w:p>
            <w:pPr>
              <w:pStyle w:val="11"/>
              <w:rPr>
                <w:rFonts w:cs="Times New Roman"/>
              </w:rPr>
            </w:pPr>
            <w:r>
              <w:rPr>
                <w:rFonts w:hint="eastAsia"/>
              </w:rPr>
              <w:t>财政拨款</w:t>
            </w:r>
            <w:r>
              <w:t xml:space="preserve"> </w:t>
            </w:r>
            <w:r>
              <w:rPr>
                <w:rFonts w:hint="eastAsia"/>
              </w:rPr>
              <w:t>收入</w:t>
            </w:r>
          </w:p>
        </w:tc>
        <w:tc>
          <w:tcPr>
            <w:tcW w:w="1134" w:type="dxa"/>
            <w:vAlign w:val="center"/>
          </w:tcPr>
          <w:p>
            <w:pPr>
              <w:pStyle w:val="11"/>
              <w:rPr>
                <w:rFonts w:cs="Times New Roman"/>
              </w:rPr>
            </w:pPr>
            <w:r>
              <w:rPr>
                <w:rFonts w:hint="eastAsia"/>
              </w:rPr>
              <w:t>财政专户</w:t>
            </w:r>
            <w:r>
              <w:t xml:space="preserve"> </w:t>
            </w:r>
            <w:r>
              <w:rPr>
                <w:rFonts w:hint="eastAsia"/>
              </w:rPr>
              <w:t>收入</w:t>
            </w:r>
          </w:p>
        </w:tc>
        <w:tc>
          <w:tcPr>
            <w:tcW w:w="1134" w:type="dxa"/>
            <w:vAlign w:val="center"/>
          </w:tcPr>
          <w:p>
            <w:pPr>
              <w:pStyle w:val="11"/>
              <w:rPr>
                <w:rFonts w:cs="Times New Roman"/>
              </w:rPr>
            </w:pPr>
            <w:r>
              <w:rPr>
                <w:rFonts w:hint="eastAsia"/>
              </w:rPr>
              <w:t>事业收入</w:t>
            </w:r>
          </w:p>
        </w:tc>
        <w:tc>
          <w:tcPr>
            <w:tcW w:w="1134" w:type="dxa"/>
            <w:vAlign w:val="center"/>
          </w:tcPr>
          <w:p>
            <w:pPr>
              <w:pStyle w:val="11"/>
              <w:rPr>
                <w:rFonts w:cs="Times New Roman"/>
              </w:rPr>
            </w:pPr>
            <w:r>
              <w:rPr>
                <w:rFonts w:hint="eastAsia"/>
              </w:rPr>
              <w:t>经营收入</w:t>
            </w:r>
          </w:p>
        </w:tc>
        <w:tc>
          <w:tcPr>
            <w:tcW w:w="1134" w:type="dxa"/>
            <w:vAlign w:val="center"/>
          </w:tcPr>
          <w:p>
            <w:pPr>
              <w:pStyle w:val="11"/>
              <w:rPr>
                <w:rFonts w:cs="Times New Roman"/>
              </w:rPr>
            </w:pPr>
            <w:r>
              <w:rPr>
                <w:rFonts w:hint="eastAsia"/>
              </w:rPr>
              <w:t>上级补助收入</w:t>
            </w:r>
          </w:p>
        </w:tc>
        <w:tc>
          <w:tcPr>
            <w:tcW w:w="1134" w:type="dxa"/>
            <w:vAlign w:val="center"/>
          </w:tcPr>
          <w:p>
            <w:pPr>
              <w:pStyle w:val="11"/>
              <w:rPr>
                <w:rFonts w:cs="Times New Roman"/>
              </w:rPr>
            </w:pPr>
            <w:r>
              <w:rPr>
                <w:rFonts w:hint="eastAsia"/>
              </w:rPr>
              <w:t>附属单位上缴收入</w:t>
            </w:r>
          </w:p>
        </w:tc>
        <w:tc>
          <w:tcPr>
            <w:tcW w:w="1134" w:type="dxa"/>
            <w:vAlign w:val="center"/>
          </w:tcPr>
          <w:p>
            <w:pPr>
              <w:pStyle w:val="11"/>
              <w:rPr>
                <w:rFonts w:cs="Times New Roman"/>
              </w:rPr>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rPr>
                <w:rFonts w:cs="Times New Roman"/>
              </w:rPr>
            </w:pPr>
            <w:r>
              <w:rPr>
                <w:rFonts w:hint="eastAsia"/>
              </w:rP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rPr>
                <w:rFonts w:cs="Times New Roman"/>
              </w:rPr>
            </w:pPr>
          </w:p>
        </w:tc>
        <w:tc>
          <w:tcPr>
            <w:tcW w:w="1559" w:type="dxa"/>
            <w:vAlign w:val="center"/>
          </w:tcPr>
          <w:p>
            <w:pPr>
              <w:pStyle w:val="15"/>
              <w:rPr>
                <w:rFonts w:cs="Times New Roman"/>
              </w:rPr>
            </w:pPr>
            <w:r>
              <w:rPr>
                <w:rFonts w:hint="eastAsia"/>
              </w:rPr>
              <w:t>合计</w:t>
            </w:r>
          </w:p>
        </w:tc>
        <w:tc>
          <w:tcPr>
            <w:tcW w:w="1134" w:type="dxa"/>
            <w:vAlign w:val="center"/>
          </w:tcPr>
          <w:p>
            <w:pPr>
              <w:pStyle w:val="16"/>
            </w:pPr>
            <w:r>
              <w:t>436.66</w:t>
            </w:r>
          </w:p>
        </w:tc>
        <w:tc>
          <w:tcPr>
            <w:tcW w:w="1134" w:type="dxa"/>
            <w:vAlign w:val="center"/>
          </w:tcPr>
          <w:p>
            <w:pPr>
              <w:pStyle w:val="16"/>
            </w:pPr>
            <w:r>
              <w:t>436.66</w:t>
            </w:r>
          </w:p>
        </w:tc>
        <w:tc>
          <w:tcPr>
            <w:tcW w:w="1134" w:type="dxa"/>
            <w:vAlign w:val="center"/>
          </w:tcPr>
          <w:p>
            <w:pPr>
              <w:pStyle w:val="16"/>
            </w:pPr>
            <w:r>
              <w:t>436.66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rPr>
                <w:rFonts w:cs="Times New Roman"/>
              </w:rPr>
            </w:pPr>
            <w:r>
              <w:rPr>
                <w:rFonts w:hint="eastAsia"/>
              </w:rPr>
              <w:t>社会保障和就业支出</w:t>
            </w:r>
          </w:p>
        </w:tc>
        <w:tc>
          <w:tcPr>
            <w:tcW w:w="1134" w:type="dxa"/>
            <w:vAlign w:val="center"/>
          </w:tcPr>
          <w:p>
            <w:pPr>
              <w:pStyle w:val="12"/>
            </w:pPr>
            <w:r>
              <w:t>28.94</w:t>
            </w:r>
          </w:p>
        </w:tc>
        <w:tc>
          <w:tcPr>
            <w:tcW w:w="1134" w:type="dxa"/>
            <w:vAlign w:val="center"/>
          </w:tcPr>
          <w:p>
            <w:pPr>
              <w:pStyle w:val="12"/>
            </w:pPr>
            <w:r>
              <w:t>28.94</w:t>
            </w:r>
          </w:p>
        </w:tc>
        <w:tc>
          <w:tcPr>
            <w:tcW w:w="1134" w:type="dxa"/>
            <w:vAlign w:val="center"/>
          </w:tcPr>
          <w:p>
            <w:pPr>
              <w:pStyle w:val="12"/>
            </w:pPr>
            <w:r>
              <w:t>28.94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rPr>
                <w:rFonts w:cs="Times New Roman"/>
              </w:rPr>
            </w:pPr>
            <w:r>
              <w:rPr>
                <w:rFonts w:hint="eastAsia"/>
              </w:rPr>
              <w:t>行政事业单位养老支出</w:t>
            </w:r>
          </w:p>
        </w:tc>
        <w:tc>
          <w:tcPr>
            <w:tcW w:w="1134" w:type="dxa"/>
            <w:vAlign w:val="center"/>
          </w:tcPr>
          <w:p>
            <w:pPr>
              <w:pStyle w:val="12"/>
            </w:pPr>
            <w:r>
              <w:t>28.94</w:t>
            </w:r>
          </w:p>
        </w:tc>
        <w:tc>
          <w:tcPr>
            <w:tcW w:w="1134" w:type="dxa"/>
            <w:vAlign w:val="center"/>
          </w:tcPr>
          <w:p>
            <w:pPr>
              <w:pStyle w:val="12"/>
            </w:pPr>
            <w:r>
              <w:t>28.94</w:t>
            </w:r>
          </w:p>
        </w:tc>
        <w:tc>
          <w:tcPr>
            <w:tcW w:w="1134" w:type="dxa"/>
            <w:vAlign w:val="center"/>
          </w:tcPr>
          <w:p>
            <w:pPr>
              <w:pStyle w:val="12"/>
            </w:pPr>
            <w:r>
              <w:t>28.94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rPr>
                <w:rFonts w:cs="Times New Roman"/>
              </w:rPr>
            </w:pPr>
            <w:r>
              <w:rPr>
                <w:rFonts w:hint="eastAsia"/>
              </w:rPr>
              <w:t>行政单位离退休</w:t>
            </w:r>
          </w:p>
        </w:tc>
        <w:tc>
          <w:tcPr>
            <w:tcW w:w="1134" w:type="dxa"/>
            <w:vAlign w:val="center"/>
          </w:tcPr>
          <w:p>
            <w:pPr>
              <w:pStyle w:val="12"/>
            </w:pPr>
            <w:r>
              <w:t>2.79</w:t>
            </w:r>
          </w:p>
        </w:tc>
        <w:tc>
          <w:tcPr>
            <w:tcW w:w="1134" w:type="dxa"/>
            <w:vAlign w:val="center"/>
          </w:tcPr>
          <w:p>
            <w:pPr>
              <w:pStyle w:val="12"/>
            </w:pPr>
            <w:r>
              <w:t>2.79</w:t>
            </w:r>
          </w:p>
        </w:tc>
        <w:tc>
          <w:tcPr>
            <w:tcW w:w="1134" w:type="dxa"/>
            <w:vAlign w:val="center"/>
          </w:tcPr>
          <w:p>
            <w:pPr>
              <w:pStyle w:val="12"/>
            </w:pPr>
            <w:r>
              <w:t>2.79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rPr>
                <w:rFonts w:cs="Times New Roman"/>
              </w:rPr>
            </w:pPr>
            <w:r>
              <w:rPr>
                <w:rFonts w:hint="eastAsia"/>
              </w:rPr>
              <w:t>机关事业单位基本养老保险缴费支出</w:t>
            </w:r>
          </w:p>
        </w:tc>
        <w:tc>
          <w:tcPr>
            <w:tcW w:w="1134" w:type="dxa"/>
            <w:vAlign w:val="center"/>
          </w:tcPr>
          <w:p>
            <w:pPr>
              <w:pStyle w:val="12"/>
            </w:pPr>
            <w:r>
              <w:t>26.15</w:t>
            </w:r>
          </w:p>
        </w:tc>
        <w:tc>
          <w:tcPr>
            <w:tcW w:w="1134" w:type="dxa"/>
            <w:vAlign w:val="center"/>
          </w:tcPr>
          <w:p>
            <w:pPr>
              <w:pStyle w:val="12"/>
            </w:pPr>
            <w:r>
              <w:t>26.15</w:t>
            </w:r>
          </w:p>
        </w:tc>
        <w:tc>
          <w:tcPr>
            <w:tcW w:w="1134" w:type="dxa"/>
            <w:vAlign w:val="center"/>
          </w:tcPr>
          <w:p>
            <w:pPr>
              <w:pStyle w:val="12"/>
            </w:pPr>
            <w:r>
              <w:t>26.15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w:t>
            </w:r>
          </w:p>
        </w:tc>
        <w:tc>
          <w:tcPr>
            <w:tcW w:w="1559" w:type="dxa"/>
            <w:vAlign w:val="center"/>
          </w:tcPr>
          <w:p>
            <w:pPr>
              <w:pStyle w:val="13"/>
              <w:rPr>
                <w:rFonts w:cs="Times New Roman"/>
              </w:rPr>
            </w:pPr>
            <w:r>
              <w:rPr>
                <w:rFonts w:hint="eastAsia"/>
              </w:rPr>
              <w:t>卫生健康支出</w:t>
            </w:r>
          </w:p>
        </w:tc>
        <w:tc>
          <w:tcPr>
            <w:tcW w:w="1134" w:type="dxa"/>
            <w:vAlign w:val="center"/>
          </w:tcPr>
          <w:p>
            <w:pPr>
              <w:pStyle w:val="12"/>
            </w:pPr>
            <w:r>
              <w:t>387.61</w:t>
            </w:r>
          </w:p>
        </w:tc>
        <w:tc>
          <w:tcPr>
            <w:tcW w:w="1134" w:type="dxa"/>
            <w:vAlign w:val="center"/>
          </w:tcPr>
          <w:p>
            <w:pPr>
              <w:pStyle w:val="12"/>
            </w:pPr>
            <w:r>
              <w:t>387.61</w:t>
            </w:r>
          </w:p>
        </w:tc>
        <w:tc>
          <w:tcPr>
            <w:tcW w:w="1134" w:type="dxa"/>
            <w:vAlign w:val="center"/>
          </w:tcPr>
          <w:p>
            <w:pPr>
              <w:pStyle w:val="12"/>
            </w:pPr>
            <w:r>
              <w:t>387.61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21011</w:t>
            </w:r>
          </w:p>
        </w:tc>
        <w:tc>
          <w:tcPr>
            <w:tcW w:w="1559" w:type="dxa"/>
            <w:vAlign w:val="center"/>
          </w:tcPr>
          <w:p>
            <w:pPr>
              <w:pStyle w:val="13"/>
              <w:rPr>
                <w:rFonts w:cs="Times New Roman"/>
              </w:rPr>
            </w:pPr>
            <w:r>
              <w:rPr>
                <w:rFonts w:hint="eastAsia"/>
              </w:rPr>
              <w:t>行政事业单位医疗</w:t>
            </w:r>
          </w:p>
        </w:tc>
        <w:tc>
          <w:tcPr>
            <w:tcW w:w="1134" w:type="dxa"/>
            <w:vAlign w:val="center"/>
          </w:tcPr>
          <w:p>
            <w:pPr>
              <w:pStyle w:val="12"/>
            </w:pPr>
            <w:r>
              <w:t>14.70</w:t>
            </w:r>
          </w:p>
        </w:tc>
        <w:tc>
          <w:tcPr>
            <w:tcW w:w="1134" w:type="dxa"/>
            <w:vAlign w:val="center"/>
          </w:tcPr>
          <w:p>
            <w:pPr>
              <w:pStyle w:val="12"/>
            </w:pPr>
            <w:r>
              <w:t>14.70</w:t>
            </w:r>
          </w:p>
        </w:tc>
        <w:tc>
          <w:tcPr>
            <w:tcW w:w="1134" w:type="dxa"/>
            <w:vAlign w:val="center"/>
          </w:tcPr>
          <w:p>
            <w:pPr>
              <w:pStyle w:val="12"/>
            </w:pPr>
            <w:r>
              <w:t>14.70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2101101</w:t>
            </w:r>
          </w:p>
        </w:tc>
        <w:tc>
          <w:tcPr>
            <w:tcW w:w="1559" w:type="dxa"/>
            <w:vAlign w:val="center"/>
          </w:tcPr>
          <w:p>
            <w:pPr>
              <w:pStyle w:val="13"/>
              <w:rPr>
                <w:rFonts w:cs="Times New Roman"/>
              </w:rPr>
            </w:pPr>
            <w:r>
              <w:rPr>
                <w:rFonts w:hint="eastAsia"/>
              </w:rPr>
              <w:t>行政单位医疗</w:t>
            </w:r>
          </w:p>
        </w:tc>
        <w:tc>
          <w:tcPr>
            <w:tcW w:w="1134" w:type="dxa"/>
            <w:vAlign w:val="center"/>
          </w:tcPr>
          <w:p>
            <w:pPr>
              <w:pStyle w:val="12"/>
            </w:pPr>
            <w:r>
              <w:t>11.17</w:t>
            </w:r>
          </w:p>
        </w:tc>
        <w:tc>
          <w:tcPr>
            <w:tcW w:w="1134" w:type="dxa"/>
            <w:vAlign w:val="center"/>
          </w:tcPr>
          <w:p>
            <w:pPr>
              <w:pStyle w:val="12"/>
            </w:pPr>
            <w:r>
              <w:t>11.17</w:t>
            </w:r>
          </w:p>
        </w:tc>
        <w:tc>
          <w:tcPr>
            <w:tcW w:w="1134" w:type="dxa"/>
            <w:vAlign w:val="center"/>
          </w:tcPr>
          <w:p>
            <w:pPr>
              <w:pStyle w:val="12"/>
            </w:pPr>
            <w:r>
              <w:t>11.17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2101103</w:t>
            </w:r>
          </w:p>
        </w:tc>
        <w:tc>
          <w:tcPr>
            <w:tcW w:w="1559" w:type="dxa"/>
            <w:vAlign w:val="center"/>
          </w:tcPr>
          <w:p>
            <w:pPr>
              <w:pStyle w:val="13"/>
              <w:rPr>
                <w:rFonts w:cs="Times New Roman"/>
              </w:rPr>
            </w:pPr>
            <w:r>
              <w:rPr>
                <w:rFonts w:hint="eastAsia"/>
              </w:rPr>
              <w:t>公务员医疗补助</w:t>
            </w:r>
          </w:p>
        </w:tc>
        <w:tc>
          <w:tcPr>
            <w:tcW w:w="1134" w:type="dxa"/>
            <w:vAlign w:val="center"/>
          </w:tcPr>
          <w:p>
            <w:pPr>
              <w:pStyle w:val="12"/>
            </w:pPr>
            <w:r>
              <w:t>3.53</w:t>
            </w:r>
          </w:p>
        </w:tc>
        <w:tc>
          <w:tcPr>
            <w:tcW w:w="1134" w:type="dxa"/>
            <w:vAlign w:val="center"/>
          </w:tcPr>
          <w:p>
            <w:pPr>
              <w:pStyle w:val="12"/>
            </w:pPr>
            <w:r>
              <w:t>3.53</w:t>
            </w:r>
          </w:p>
        </w:tc>
        <w:tc>
          <w:tcPr>
            <w:tcW w:w="1134" w:type="dxa"/>
            <w:vAlign w:val="center"/>
          </w:tcPr>
          <w:p>
            <w:pPr>
              <w:pStyle w:val="12"/>
            </w:pPr>
            <w:r>
              <w:t>3.53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21015</w:t>
            </w:r>
          </w:p>
        </w:tc>
        <w:tc>
          <w:tcPr>
            <w:tcW w:w="1559" w:type="dxa"/>
            <w:vAlign w:val="center"/>
          </w:tcPr>
          <w:p>
            <w:pPr>
              <w:pStyle w:val="13"/>
              <w:rPr>
                <w:rFonts w:cs="Times New Roman"/>
              </w:rPr>
            </w:pPr>
            <w:r>
              <w:rPr>
                <w:rFonts w:hint="eastAsia"/>
              </w:rPr>
              <w:t>医疗保障管理事务</w:t>
            </w:r>
          </w:p>
        </w:tc>
        <w:tc>
          <w:tcPr>
            <w:tcW w:w="1134" w:type="dxa"/>
            <w:vAlign w:val="center"/>
          </w:tcPr>
          <w:p>
            <w:pPr>
              <w:pStyle w:val="12"/>
            </w:pPr>
            <w:r>
              <w:t>372.92</w:t>
            </w:r>
          </w:p>
        </w:tc>
        <w:tc>
          <w:tcPr>
            <w:tcW w:w="1134" w:type="dxa"/>
            <w:vAlign w:val="center"/>
          </w:tcPr>
          <w:p>
            <w:pPr>
              <w:pStyle w:val="12"/>
            </w:pPr>
            <w:r>
              <w:t>372.92</w:t>
            </w:r>
          </w:p>
        </w:tc>
        <w:tc>
          <w:tcPr>
            <w:tcW w:w="1134" w:type="dxa"/>
            <w:vAlign w:val="center"/>
          </w:tcPr>
          <w:p>
            <w:pPr>
              <w:pStyle w:val="12"/>
            </w:pPr>
            <w:r>
              <w:t>372.92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2101501</w:t>
            </w:r>
          </w:p>
        </w:tc>
        <w:tc>
          <w:tcPr>
            <w:tcW w:w="1559" w:type="dxa"/>
            <w:vAlign w:val="center"/>
          </w:tcPr>
          <w:p>
            <w:pPr>
              <w:pStyle w:val="13"/>
              <w:rPr>
                <w:rFonts w:cs="Times New Roman"/>
              </w:rPr>
            </w:pPr>
            <w:r>
              <w:rPr>
                <w:rFonts w:hint="eastAsia"/>
              </w:rPr>
              <w:t>行政运行</w:t>
            </w:r>
          </w:p>
        </w:tc>
        <w:tc>
          <w:tcPr>
            <w:tcW w:w="1134" w:type="dxa"/>
            <w:vAlign w:val="center"/>
          </w:tcPr>
          <w:p>
            <w:pPr>
              <w:pStyle w:val="12"/>
            </w:pPr>
            <w:r>
              <w:t>196.32</w:t>
            </w:r>
          </w:p>
        </w:tc>
        <w:tc>
          <w:tcPr>
            <w:tcW w:w="1134" w:type="dxa"/>
            <w:vAlign w:val="center"/>
          </w:tcPr>
          <w:p>
            <w:pPr>
              <w:pStyle w:val="12"/>
            </w:pPr>
            <w:r>
              <w:t>196.32</w:t>
            </w:r>
          </w:p>
        </w:tc>
        <w:tc>
          <w:tcPr>
            <w:tcW w:w="1134" w:type="dxa"/>
            <w:vAlign w:val="center"/>
          </w:tcPr>
          <w:p>
            <w:pPr>
              <w:pStyle w:val="12"/>
            </w:pPr>
            <w:r>
              <w:t>196.32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2101599</w:t>
            </w:r>
          </w:p>
        </w:tc>
        <w:tc>
          <w:tcPr>
            <w:tcW w:w="1559" w:type="dxa"/>
            <w:vAlign w:val="center"/>
          </w:tcPr>
          <w:p>
            <w:pPr>
              <w:pStyle w:val="13"/>
              <w:rPr>
                <w:rFonts w:cs="Times New Roman"/>
              </w:rPr>
            </w:pPr>
            <w:r>
              <w:rPr>
                <w:rFonts w:hint="eastAsia"/>
              </w:rPr>
              <w:t>其他医疗保障管理事务支出</w:t>
            </w:r>
          </w:p>
        </w:tc>
        <w:tc>
          <w:tcPr>
            <w:tcW w:w="1134" w:type="dxa"/>
            <w:vAlign w:val="center"/>
          </w:tcPr>
          <w:p>
            <w:pPr>
              <w:pStyle w:val="12"/>
            </w:pPr>
            <w:r>
              <w:t>176.60</w:t>
            </w:r>
          </w:p>
        </w:tc>
        <w:tc>
          <w:tcPr>
            <w:tcW w:w="1134" w:type="dxa"/>
            <w:vAlign w:val="center"/>
          </w:tcPr>
          <w:p>
            <w:pPr>
              <w:pStyle w:val="12"/>
            </w:pPr>
            <w:r>
              <w:t>176.60</w:t>
            </w:r>
          </w:p>
        </w:tc>
        <w:tc>
          <w:tcPr>
            <w:tcW w:w="1134" w:type="dxa"/>
            <w:vAlign w:val="center"/>
          </w:tcPr>
          <w:p>
            <w:pPr>
              <w:pStyle w:val="12"/>
            </w:pPr>
            <w:r>
              <w:t>176.60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rPr>
                <w:rFonts w:cs="Times New Roman"/>
              </w:rPr>
            </w:pPr>
            <w:r>
              <w:rPr>
                <w:rFonts w:hint="eastAsia"/>
              </w:rPr>
              <w:t>住房保障支出</w:t>
            </w:r>
          </w:p>
        </w:tc>
        <w:tc>
          <w:tcPr>
            <w:tcW w:w="1134" w:type="dxa"/>
            <w:vAlign w:val="center"/>
          </w:tcPr>
          <w:p>
            <w:pPr>
              <w:pStyle w:val="12"/>
            </w:pPr>
            <w:r>
              <w:t>20.11</w:t>
            </w:r>
          </w:p>
        </w:tc>
        <w:tc>
          <w:tcPr>
            <w:tcW w:w="1134" w:type="dxa"/>
            <w:vAlign w:val="center"/>
          </w:tcPr>
          <w:p>
            <w:pPr>
              <w:pStyle w:val="12"/>
            </w:pPr>
            <w:r>
              <w:t>20.11</w:t>
            </w:r>
          </w:p>
        </w:tc>
        <w:tc>
          <w:tcPr>
            <w:tcW w:w="1134" w:type="dxa"/>
            <w:vAlign w:val="center"/>
          </w:tcPr>
          <w:p>
            <w:pPr>
              <w:pStyle w:val="12"/>
            </w:pPr>
            <w:r>
              <w:t>20.11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rPr>
                <w:rFonts w:cs="Times New Roman"/>
              </w:rPr>
            </w:pPr>
            <w:r>
              <w:rPr>
                <w:rFonts w:hint="eastAsia"/>
              </w:rPr>
              <w:t>住房改革支出</w:t>
            </w:r>
          </w:p>
        </w:tc>
        <w:tc>
          <w:tcPr>
            <w:tcW w:w="1134" w:type="dxa"/>
            <w:vAlign w:val="center"/>
          </w:tcPr>
          <w:p>
            <w:pPr>
              <w:pStyle w:val="12"/>
            </w:pPr>
            <w:r>
              <w:t>20.11</w:t>
            </w:r>
          </w:p>
        </w:tc>
        <w:tc>
          <w:tcPr>
            <w:tcW w:w="1134" w:type="dxa"/>
            <w:vAlign w:val="center"/>
          </w:tcPr>
          <w:p>
            <w:pPr>
              <w:pStyle w:val="12"/>
            </w:pPr>
            <w:r>
              <w:t>20.11</w:t>
            </w:r>
          </w:p>
        </w:tc>
        <w:tc>
          <w:tcPr>
            <w:tcW w:w="1134" w:type="dxa"/>
            <w:vAlign w:val="center"/>
          </w:tcPr>
          <w:p>
            <w:pPr>
              <w:pStyle w:val="12"/>
            </w:pPr>
            <w:r>
              <w:t>20.11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rPr>
                <w:rFonts w:cs="Times New Roman"/>
              </w:rPr>
            </w:pPr>
            <w:r>
              <w:rPr>
                <w:rFonts w:hint="eastAsia"/>
              </w:rPr>
              <w:t>住房公积金</w:t>
            </w:r>
          </w:p>
        </w:tc>
        <w:tc>
          <w:tcPr>
            <w:tcW w:w="1134" w:type="dxa"/>
            <w:vAlign w:val="center"/>
          </w:tcPr>
          <w:p>
            <w:pPr>
              <w:pStyle w:val="12"/>
            </w:pPr>
            <w:r>
              <w:t>20.11</w:t>
            </w:r>
          </w:p>
        </w:tc>
        <w:tc>
          <w:tcPr>
            <w:tcW w:w="1134" w:type="dxa"/>
            <w:vAlign w:val="center"/>
          </w:tcPr>
          <w:p>
            <w:pPr>
              <w:pStyle w:val="12"/>
            </w:pPr>
            <w:r>
              <w:t>20.11</w:t>
            </w:r>
          </w:p>
        </w:tc>
        <w:tc>
          <w:tcPr>
            <w:tcW w:w="1134" w:type="dxa"/>
            <w:vAlign w:val="center"/>
          </w:tcPr>
          <w:p>
            <w:pPr>
              <w:pStyle w:val="12"/>
            </w:pPr>
            <w:r>
              <w:t>20.11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szCs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rPr>
                <w:rFonts w:cs="Times New Roman"/>
              </w:rPr>
            </w:pPr>
            <w:r>
              <w:t>450</w:t>
            </w:r>
            <w:r>
              <w:rPr>
                <w:rFonts w:hint="eastAsia"/>
              </w:rPr>
              <w:t>医保部门</w:t>
            </w:r>
          </w:p>
        </w:tc>
        <w:tc>
          <w:tcPr>
            <w:tcW w:w="2721" w:type="dxa"/>
            <w:gridSpan w:val="2"/>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cs="Times New Roman"/>
              </w:rPr>
            </w:pPr>
            <w:r>
              <w:rPr>
                <w:rFonts w:hint="eastAsia"/>
              </w:rPr>
              <w:t>序号</w:t>
            </w:r>
          </w:p>
        </w:tc>
        <w:tc>
          <w:tcPr>
            <w:tcW w:w="5528" w:type="dxa"/>
            <w:gridSpan w:val="2"/>
            <w:vAlign w:val="center"/>
          </w:tcPr>
          <w:p>
            <w:pPr>
              <w:pStyle w:val="11"/>
              <w:rPr>
                <w:rFonts w:cs="Times New Roman"/>
              </w:rPr>
            </w:pPr>
            <w:r>
              <w:rPr>
                <w:rFonts w:hint="eastAsia"/>
              </w:rPr>
              <w:t>功能分类科目</w:t>
            </w:r>
          </w:p>
        </w:tc>
        <w:tc>
          <w:tcPr>
            <w:tcW w:w="1361" w:type="dxa"/>
            <w:vMerge w:val="restart"/>
            <w:vAlign w:val="center"/>
          </w:tcPr>
          <w:p>
            <w:pPr>
              <w:pStyle w:val="11"/>
              <w:rPr>
                <w:rFonts w:cs="Times New Roman"/>
              </w:rPr>
            </w:pPr>
            <w:r>
              <w:rPr>
                <w:rFonts w:hint="eastAsia"/>
              </w:rPr>
              <w:t>合计</w:t>
            </w:r>
          </w:p>
        </w:tc>
        <w:tc>
          <w:tcPr>
            <w:tcW w:w="1361" w:type="dxa"/>
            <w:vMerge w:val="restart"/>
            <w:vAlign w:val="center"/>
          </w:tcPr>
          <w:p>
            <w:pPr>
              <w:pStyle w:val="11"/>
              <w:rPr>
                <w:rFonts w:cs="Times New Roman"/>
              </w:rPr>
            </w:pPr>
            <w:r>
              <w:rPr>
                <w:rFonts w:hint="eastAsia"/>
              </w:rPr>
              <w:t>基本支出</w:t>
            </w:r>
          </w:p>
        </w:tc>
        <w:tc>
          <w:tcPr>
            <w:tcW w:w="1361" w:type="dxa"/>
            <w:vMerge w:val="restart"/>
            <w:vAlign w:val="center"/>
          </w:tcPr>
          <w:p>
            <w:pPr>
              <w:pStyle w:val="11"/>
              <w:rPr>
                <w:rFonts w:cs="Times New Roman"/>
              </w:rPr>
            </w:pPr>
            <w:r>
              <w:rPr>
                <w:rFonts w:hint="eastAsia"/>
              </w:rPr>
              <w:t>项目支出</w:t>
            </w:r>
          </w:p>
        </w:tc>
        <w:tc>
          <w:tcPr>
            <w:tcW w:w="1361" w:type="dxa"/>
            <w:vMerge w:val="restart"/>
            <w:vAlign w:val="center"/>
          </w:tcPr>
          <w:p>
            <w:pPr>
              <w:pStyle w:val="11"/>
              <w:rPr>
                <w:rFonts w:cs="Times New Roman"/>
              </w:rPr>
            </w:pPr>
            <w:r>
              <w:rPr>
                <w:rFonts w:hint="eastAsia"/>
              </w:rPr>
              <w:t>经营支出</w:t>
            </w:r>
          </w:p>
        </w:tc>
        <w:tc>
          <w:tcPr>
            <w:tcW w:w="1361" w:type="dxa"/>
            <w:vMerge w:val="restart"/>
            <w:vAlign w:val="center"/>
          </w:tcPr>
          <w:p>
            <w:pPr>
              <w:pStyle w:val="11"/>
              <w:rPr>
                <w:rFonts w:cs="Times New Roman"/>
              </w:rPr>
            </w:pPr>
            <w:r>
              <w:rPr>
                <w:rFonts w:hint="eastAsia"/>
              </w:rPr>
              <w:t>上解上级</w:t>
            </w:r>
            <w:r>
              <w:t xml:space="preserve">     </w:t>
            </w:r>
            <w:r>
              <w:rPr>
                <w:rFonts w:hint="eastAsia"/>
              </w:rPr>
              <w:t>支出</w:t>
            </w:r>
          </w:p>
        </w:tc>
        <w:tc>
          <w:tcPr>
            <w:tcW w:w="1361" w:type="dxa"/>
            <w:vMerge w:val="restart"/>
            <w:vAlign w:val="center"/>
          </w:tcPr>
          <w:p>
            <w:pPr>
              <w:pStyle w:val="11"/>
              <w:rPr>
                <w:rFonts w:cs="Times New Roman"/>
              </w:rPr>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rPr>
                <w:rFonts w:cs="Times New Roman"/>
              </w:rPr>
            </w:pPr>
            <w:r>
              <w:rPr>
                <w:rFonts w:hint="eastAsia"/>
              </w:rPr>
              <w:t>科目</w:t>
            </w:r>
            <w:r>
              <w:t xml:space="preserve">    </w:t>
            </w:r>
            <w:r>
              <w:rPr>
                <w:rFonts w:hint="eastAsia"/>
              </w:rPr>
              <w:t>编码</w:t>
            </w:r>
          </w:p>
        </w:tc>
        <w:tc>
          <w:tcPr>
            <w:tcW w:w="4535" w:type="dxa"/>
            <w:vAlign w:val="center"/>
          </w:tcPr>
          <w:p>
            <w:pPr>
              <w:pStyle w:val="11"/>
              <w:rPr>
                <w:rFonts w:cs="Times New Roman"/>
              </w:rPr>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cs="Times New Roman"/>
              </w:rPr>
            </w:pPr>
            <w:r>
              <w:rPr>
                <w:rFonts w:hint="eastAsia"/>
              </w:rP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rPr>
                <w:rFonts w:cs="Times New Roman"/>
              </w:rPr>
            </w:pPr>
          </w:p>
        </w:tc>
        <w:tc>
          <w:tcPr>
            <w:tcW w:w="4535" w:type="dxa"/>
            <w:vAlign w:val="center"/>
          </w:tcPr>
          <w:p>
            <w:pPr>
              <w:pStyle w:val="15"/>
              <w:rPr>
                <w:rFonts w:cs="Times New Roman"/>
              </w:rPr>
            </w:pPr>
            <w:r>
              <w:rPr>
                <w:rFonts w:hint="eastAsia"/>
              </w:rPr>
              <w:t>合计</w:t>
            </w:r>
          </w:p>
        </w:tc>
        <w:tc>
          <w:tcPr>
            <w:tcW w:w="1361" w:type="dxa"/>
            <w:vAlign w:val="center"/>
          </w:tcPr>
          <w:p>
            <w:pPr>
              <w:pStyle w:val="16"/>
            </w:pPr>
            <w:r>
              <w:t>436.66</w:t>
            </w:r>
          </w:p>
        </w:tc>
        <w:tc>
          <w:tcPr>
            <w:tcW w:w="1361" w:type="dxa"/>
            <w:vAlign w:val="center"/>
          </w:tcPr>
          <w:p>
            <w:pPr>
              <w:pStyle w:val="16"/>
            </w:pPr>
            <w:r>
              <w:t>260.06</w:t>
            </w:r>
          </w:p>
        </w:tc>
        <w:tc>
          <w:tcPr>
            <w:tcW w:w="1361" w:type="dxa"/>
            <w:vAlign w:val="center"/>
          </w:tcPr>
          <w:p>
            <w:pPr>
              <w:pStyle w:val="16"/>
            </w:pPr>
            <w:r>
              <w:t>176.60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rPr>
                <w:rFonts w:cs="Times New Roman"/>
              </w:rPr>
            </w:pPr>
            <w:r>
              <w:rPr>
                <w:rFonts w:hint="eastAsia"/>
              </w:rPr>
              <w:t>社会保障和就业支出</w:t>
            </w:r>
          </w:p>
        </w:tc>
        <w:tc>
          <w:tcPr>
            <w:tcW w:w="1361" w:type="dxa"/>
            <w:vAlign w:val="center"/>
          </w:tcPr>
          <w:p>
            <w:pPr>
              <w:pStyle w:val="12"/>
            </w:pPr>
            <w:r>
              <w:t>28.94</w:t>
            </w:r>
          </w:p>
        </w:tc>
        <w:tc>
          <w:tcPr>
            <w:tcW w:w="1361" w:type="dxa"/>
            <w:vAlign w:val="center"/>
          </w:tcPr>
          <w:p>
            <w:pPr>
              <w:pStyle w:val="12"/>
            </w:pPr>
            <w:r>
              <w:t>28.94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rPr>
                <w:rFonts w:cs="Times New Roman"/>
              </w:rPr>
            </w:pPr>
            <w:r>
              <w:rPr>
                <w:rFonts w:hint="eastAsia"/>
              </w:rPr>
              <w:t>行政事业单位养老支出</w:t>
            </w:r>
          </w:p>
        </w:tc>
        <w:tc>
          <w:tcPr>
            <w:tcW w:w="1361" w:type="dxa"/>
            <w:vAlign w:val="center"/>
          </w:tcPr>
          <w:p>
            <w:pPr>
              <w:pStyle w:val="12"/>
            </w:pPr>
            <w:r>
              <w:t>28.94</w:t>
            </w:r>
          </w:p>
        </w:tc>
        <w:tc>
          <w:tcPr>
            <w:tcW w:w="1361" w:type="dxa"/>
            <w:vAlign w:val="center"/>
          </w:tcPr>
          <w:p>
            <w:pPr>
              <w:pStyle w:val="12"/>
            </w:pPr>
            <w:r>
              <w:t>28.94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rPr>
                <w:rFonts w:cs="Times New Roman"/>
              </w:rPr>
            </w:pPr>
            <w:r>
              <w:rPr>
                <w:rFonts w:hint="eastAsia"/>
              </w:rPr>
              <w:t>行政单位离退休</w:t>
            </w:r>
          </w:p>
        </w:tc>
        <w:tc>
          <w:tcPr>
            <w:tcW w:w="1361" w:type="dxa"/>
            <w:vAlign w:val="center"/>
          </w:tcPr>
          <w:p>
            <w:pPr>
              <w:pStyle w:val="12"/>
            </w:pPr>
            <w:r>
              <w:t>2.79</w:t>
            </w:r>
          </w:p>
        </w:tc>
        <w:tc>
          <w:tcPr>
            <w:tcW w:w="1361" w:type="dxa"/>
            <w:vAlign w:val="center"/>
          </w:tcPr>
          <w:p>
            <w:pPr>
              <w:pStyle w:val="12"/>
            </w:pPr>
            <w:r>
              <w:t>2.79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rPr>
                <w:rFonts w:cs="Times New Roman"/>
              </w:rPr>
            </w:pPr>
            <w:r>
              <w:rPr>
                <w:rFonts w:hint="eastAsia"/>
              </w:rPr>
              <w:t>机关事业单位基本养老保险缴费支出</w:t>
            </w:r>
          </w:p>
        </w:tc>
        <w:tc>
          <w:tcPr>
            <w:tcW w:w="1361" w:type="dxa"/>
            <w:vAlign w:val="center"/>
          </w:tcPr>
          <w:p>
            <w:pPr>
              <w:pStyle w:val="12"/>
            </w:pPr>
            <w:r>
              <w:t>26.15</w:t>
            </w:r>
          </w:p>
        </w:tc>
        <w:tc>
          <w:tcPr>
            <w:tcW w:w="1361" w:type="dxa"/>
            <w:vAlign w:val="center"/>
          </w:tcPr>
          <w:p>
            <w:pPr>
              <w:pStyle w:val="12"/>
            </w:pPr>
            <w:r>
              <w:t>26.15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w:t>
            </w:r>
          </w:p>
        </w:tc>
        <w:tc>
          <w:tcPr>
            <w:tcW w:w="4535" w:type="dxa"/>
            <w:vAlign w:val="center"/>
          </w:tcPr>
          <w:p>
            <w:pPr>
              <w:pStyle w:val="13"/>
              <w:rPr>
                <w:rFonts w:cs="Times New Roman"/>
              </w:rPr>
            </w:pPr>
            <w:r>
              <w:rPr>
                <w:rFonts w:hint="eastAsia"/>
              </w:rPr>
              <w:t>卫生健康支出</w:t>
            </w:r>
          </w:p>
        </w:tc>
        <w:tc>
          <w:tcPr>
            <w:tcW w:w="1361" w:type="dxa"/>
            <w:vAlign w:val="center"/>
          </w:tcPr>
          <w:p>
            <w:pPr>
              <w:pStyle w:val="12"/>
            </w:pPr>
            <w:r>
              <w:t>387.61</w:t>
            </w:r>
          </w:p>
        </w:tc>
        <w:tc>
          <w:tcPr>
            <w:tcW w:w="1361" w:type="dxa"/>
            <w:vAlign w:val="center"/>
          </w:tcPr>
          <w:p>
            <w:pPr>
              <w:pStyle w:val="12"/>
            </w:pPr>
            <w:r>
              <w:t>211.01</w:t>
            </w:r>
          </w:p>
        </w:tc>
        <w:tc>
          <w:tcPr>
            <w:tcW w:w="1361" w:type="dxa"/>
            <w:vAlign w:val="center"/>
          </w:tcPr>
          <w:p>
            <w:pPr>
              <w:pStyle w:val="12"/>
            </w:pPr>
            <w:r>
              <w:t>176.60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w:t>
            </w:r>
          </w:p>
        </w:tc>
        <w:tc>
          <w:tcPr>
            <w:tcW w:w="4535" w:type="dxa"/>
            <w:vAlign w:val="center"/>
          </w:tcPr>
          <w:p>
            <w:pPr>
              <w:pStyle w:val="13"/>
              <w:rPr>
                <w:rFonts w:cs="Times New Roman"/>
              </w:rPr>
            </w:pPr>
            <w:r>
              <w:rPr>
                <w:rFonts w:hint="eastAsia"/>
              </w:rPr>
              <w:t>行政事业单位医疗</w:t>
            </w:r>
          </w:p>
        </w:tc>
        <w:tc>
          <w:tcPr>
            <w:tcW w:w="1361" w:type="dxa"/>
            <w:vAlign w:val="center"/>
          </w:tcPr>
          <w:p>
            <w:pPr>
              <w:pStyle w:val="12"/>
            </w:pPr>
            <w:r>
              <w:t>14.70</w:t>
            </w:r>
          </w:p>
        </w:tc>
        <w:tc>
          <w:tcPr>
            <w:tcW w:w="1361" w:type="dxa"/>
            <w:vAlign w:val="center"/>
          </w:tcPr>
          <w:p>
            <w:pPr>
              <w:pStyle w:val="12"/>
            </w:pPr>
            <w:r>
              <w:t>14.70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2101101</w:t>
            </w:r>
          </w:p>
        </w:tc>
        <w:tc>
          <w:tcPr>
            <w:tcW w:w="4535" w:type="dxa"/>
            <w:vAlign w:val="center"/>
          </w:tcPr>
          <w:p>
            <w:pPr>
              <w:pStyle w:val="13"/>
              <w:rPr>
                <w:rFonts w:cs="Times New Roman"/>
              </w:rPr>
            </w:pPr>
            <w:r>
              <w:rPr>
                <w:rFonts w:hint="eastAsia"/>
              </w:rPr>
              <w:t>行政单位医疗</w:t>
            </w:r>
          </w:p>
        </w:tc>
        <w:tc>
          <w:tcPr>
            <w:tcW w:w="1361" w:type="dxa"/>
            <w:vAlign w:val="center"/>
          </w:tcPr>
          <w:p>
            <w:pPr>
              <w:pStyle w:val="12"/>
            </w:pPr>
            <w:r>
              <w:t>11.17</w:t>
            </w:r>
          </w:p>
        </w:tc>
        <w:tc>
          <w:tcPr>
            <w:tcW w:w="1361" w:type="dxa"/>
            <w:vAlign w:val="center"/>
          </w:tcPr>
          <w:p>
            <w:pPr>
              <w:pStyle w:val="12"/>
            </w:pPr>
            <w:r>
              <w:t>11.17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2101103</w:t>
            </w:r>
          </w:p>
        </w:tc>
        <w:tc>
          <w:tcPr>
            <w:tcW w:w="4535" w:type="dxa"/>
            <w:vAlign w:val="center"/>
          </w:tcPr>
          <w:p>
            <w:pPr>
              <w:pStyle w:val="13"/>
              <w:rPr>
                <w:rFonts w:cs="Times New Roman"/>
              </w:rPr>
            </w:pPr>
            <w:r>
              <w:rPr>
                <w:rFonts w:hint="eastAsia"/>
              </w:rPr>
              <w:t>公务员医疗补助</w:t>
            </w:r>
          </w:p>
        </w:tc>
        <w:tc>
          <w:tcPr>
            <w:tcW w:w="1361" w:type="dxa"/>
            <w:vAlign w:val="center"/>
          </w:tcPr>
          <w:p>
            <w:pPr>
              <w:pStyle w:val="12"/>
            </w:pPr>
            <w:r>
              <w:t>3.53</w:t>
            </w:r>
          </w:p>
        </w:tc>
        <w:tc>
          <w:tcPr>
            <w:tcW w:w="1361" w:type="dxa"/>
            <w:vAlign w:val="center"/>
          </w:tcPr>
          <w:p>
            <w:pPr>
              <w:pStyle w:val="12"/>
            </w:pPr>
            <w:r>
              <w:t>3.53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21015</w:t>
            </w:r>
          </w:p>
        </w:tc>
        <w:tc>
          <w:tcPr>
            <w:tcW w:w="4535" w:type="dxa"/>
            <w:vAlign w:val="center"/>
          </w:tcPr>
          <w:p>
            <w:pPr>
              <w:pStyle w:val="13"/>
              <w:rPr>
                <w:rFonts w:cs="Times New Roman"/>
              </w:rPr>
            </w:pPr>
            <w:r>
              <w:rPr>
                <w:rFonts w:hint="eastAsia"/>
              </w:rPr>
              <w:t>医疗保障管理事务</w:t>
            </w:r>
          </w:p>
        </w:tc>
        <w:tc>
          <w:tcPr>
            <w:tcW w:w="1361" w:type="dxa"/>
            <w:vAlign w:val="center"/>
          </w:tcPr>
          <w:p>
            <w:pPr>
              <w:pStyle w:val="12"/>
            </w:pPr>
            <w:r>
              <w:t>372.92</w:t>
            </w:r>
          </w:p>
        </w:tc>
        <w:tc>
          <w:tcPr>
            <w:tcW w:w="1361" w:type="dxa"/>
            <w:vAlign w:val="center"/>
          </w:tcPr>
          <w:p>
            <w:pPr>
              <w:pStyle w:val="12"/>
            </w:pPr>
            <w:r>
              <w:t>196.32</w:t>
            </w:r>
          </w:p>
        </w:tc>
        <w:tc>
          <w:tcPr>
            <w:tcW w:w="1361" w:type="dxa"/>
            <w:vAlign w:val="center"/>
          </w:tcPr>
          <w:p>
            <w:pPr>
              <w:pStyle w:val="12"/>
            </w:pPr>
            <w:r>
              <w:t>176.60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2101501</w:t>
            </w:r>
          </w:p>
        </w:tc>
        <w:tc>
          <w:tcPr>
            <w:tcW w:w="4535" w:type="dxa"/>
            <w:vAlign w:val="center"/>
          </w:tcPr>
          <w:p>
            <w:pPr>
              <w:pStyle w:val="13"/>
              <w:rPr>
                <w:rFonts w:cs="Times New Roman"/>
              </w:rPr>
            </w:pPr>
            <w:r>
              <w:rPr>
                <w:rFonts w:hint="eastAsia"/>
              </w:rPr>
              <w:t>行政运行</w:t>
            </w:r>
          </w:p>
        </w:tc>
        <w:tc>
          <w:tcPr>
            <w:tcW w:w="1361" w:type="dxa"/>
            <w:vAlign w:val="center"/>
          </w:tcPr>
          <w:p>
            <w:pPr>
              <w:pStyle w:val="12"/>
            </w:pPr>
            <w:r>
              <w:t>196.32</w:t>
            </w:r>
          </w:p>
        </w:tc>
        <w:tc>
          <w:tcPr>
            <w:tcW w:w="1361" w:type="dxa"/>
            <w:vAlign w:val="center"/>
          </w:tcPr>
          <w:p>
            <w:pPr>
              <w:pStyle w:val="12"/>
            </w:pPr>
            <w:r>
              <w:t>196.32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2101599</w:t>
            </w:r>
          </w:p>
        </w:tc>
        <w:tc>
          <w:tcPr>
            <w:tcW w:w="4535" w:type="dxa"/>
            <w:vAlign w:val="center"/>
          </w:tcPr>
          <w:p>
            <w:pPr>
              <w:pStyle w:val="13"/>
              <w:rPr>
                <w:rFonts w:cs="Times New Roman"/>
              </w:rPr>
            </w:pPr>
            <w:r>
              <w:rPr>
                <w:rFonts w:hint="eastAsia"/>
              </w:rPr>
              <w:t>其他医疗保障管理事务支出</w:t>
            </w:r>
          </w:p>
        </w:tc>
        <w:tc>
          <w:tcPr>
            <w:tcW w:w="1361" w:type="dxa"/>
            <w:vAlign w:val="center"/>
          </w:tcPr>
          <w:p>
            <w:pPr>
              <w:pStyle w:val="12"/>
            </w:pPr>
            <w:r>
              <w:t>176.60</w:t>
            </w:r>
          </w:p>
        </w:tc>
        <w:tc>
          <w:tcPr>
            <w:tcW w:w="1361" w:type="dxa"/>
            <w:vAlign w:val="center"/>
          </w:tcPr>
          <w:p>
            <w:pPr>
              <w:pStyle w:val="12"/>
            </w:pPr>
          </w:p>
        </w:tc>
        <w:tc>
          <w:tcPr>
            <w:tcW w:w="1361" w:type="dxa"/>
            <w:vAlign w:val="center"/>
          </w:tcPr>
          <w:p>
            <w:pPr>
              <w:pStyle w:val="12"/>
            </w:pPr>
            <w:r>
              <w:t>176.60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rPr>
                <w:rFonts w:cs="Times New Roman"/>
              </w:rPr>
            </w:pPr>
            <w:r>
              <w:rPr>
                <w:rFonts w:hint="eastAsia"/>
              </w:rPr>
              <w:t>住房保障支出</w:t>
            </w:r>
          </w:p>
        </w:tc>
        <w:tc>
          <w:tcPr>
            <w:tcW w:w="1361" w:type="dxa"/>
            <w:vAlign w:val="center"/>
          </w:tcPr>
          <w:p>
            <w:pPr>
              <w:pStyle w:val="12"/>
            </w:pPr>
            <w:r>
              <w:t>20.11</w:t>
            </w:r>
          </w:p>
        </w:tc>
        <w:tc>
          <w:tcPr>
            <w:tcW w:w="1361" w:type="dxa"/>
            <w:vAlign w:val="center"/>
          </w:tcPr>
          <w:p>
            <w:pPr>
              <w:pStyle w:val="12"/>
            </w:pPr>
            <w:r>
              <w:t>20.11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rPr>
                <w:rFonts w:cs="Times New Roman"/>
              </w:rPr>
            </w:pPr>
            <w:r>
              <w:rPr>
                <w:rFonts w:hint="eastAsia"/>
              </w:rPr>
              <w:t>住房改革支出</w:t>
            </w:r>
          </w:p>
        </w:tc>
        <w:tc>
          <w:tcPr>
            <w:tcW w:w="1361" w:type="dxa"/>
            <w:vAlign w:val="center"/>
          </w:tcPr>
          <w:p>
            <w:pPr>
              <w:pStyle w:val="12"/>
            </w:pPr>
            <w:r>
              <w:t>20.11</w:t>
            </w:r>
          </w:p>
        </w:tc>
        <w:tc>
          <w:tcPr>
            <w:tcW w:w="1361" w:type="dxa"/>
            <w:vAlign w:val="center"/>
          </w:tcPr>
          <w:p>
            <w:pPr>
              <w:pStyle w:val="12"/>
            </w:pPr>
            <w:r>
              <w:t>20.11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rPr>
                <w:rFonts w:cs="Times New Roman"/>
              </w:rPr>
            </w:pPr>
            <w:r>
              <w:rPr>
                <w:rFonts w:hint="eastAsia"/>
              </w:rPr>
              <w:t>住房公积金</w:t>
            </w:r>
          </w:p>
        </w:tc>
        <w:tc>
          <w:tcPr>
            <w:tcW w:w="1361" w:type="dxa"/>
            <w:vAlign w:val="center"/>
          </w:tcPr>
          <w:p>
            <w:pPr>
              <w:pStyle w:val="12"/>
            </w:pPr>
            <w:r>
              <w:t>20.11</w:t>
            </w:r>
          </w:p>
        </w:tc>
        <w:tc>
          <w:tcPr>
            <w:tcW w:w="1361" w:type="dxa"/>
            <w:vAlign w:val="center"/>
          </w:tcPr>
          <w:p>
            <w:pPr>
              <w:pStyle w:val="12"/>
            </w:pPr>
            <w:r>
              <w:t>20.11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szCs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rPr>
                <w:rFonts w:cs="Times New Roman"/>
              </w:rPr>
            </w:pPr>
            <w:r>
              <w:t>450</w:t>
            </w:r>
            <w:r>
              <w:rPr>
                <w:rFonts w:hint="eastAsia"/>
              </w:rPr>
              <w:t>医保部门</w:t>
            </w:r>
          </w:p>
        </w:tc>
        <w:tc>
          <w:tcPr>
            <w:tcW w:w="3402"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cs="Times New Roman"/>
              </w:rPr>
            </w:pPr>
            <w:r>
              <w:rPr>
                <w:rFonts w:hint="eastAsia"/>
              </w:rPr>
              <w:t>序号</w:t>
            </w:r>
          </w:p>
        </w:tc>
        <w:tc>
          <w:tcPr>
            <w:tcW w:w="4876" w:type="dxa"/>
            <w:gridSpan w:val="2"/>
            <w:vAlign w:val="center"/>
          </w:tcPr>
          <w:p>
            <w:pPr>
              <w:pStyle w:val="11"/>
              <w:rPr>
                <w:rFonts w:cs="Times New Roman"/>
              </w:rPr>
            </w:pPr>
            <w:r>
              <w:rPr>
                <w:rFonts w:hint="eastAsia"/>
              </w:rPr>
              <w:t>收入</w:t>
            </w:r>
          </w:p>
        </w:tc>
        <w:tc>
          <w:tcPr>
            <w:tcW w:w="9298" w:type="dxa"/>
            <w:gridSpan w:val="5"/>
            <w:vAlign w:val="center"/>
          </w:tcPr>
          <w:p>
            <w:pPr>
              <w:pStyle w:val="11"/>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rPr>
                <w:rFonts w:cs="Times New Roman"/>
              </w:rPr>
            </w:pPr>
            <w:r>
              <w:rPr>
                <w:rFonts w:hint="eastAsia"/>
              </w:rPr>
              <w:t>项</w:t>
            </w:r>
            <w:r>
              <w:t xml:space="preserve">  </w:t>
            </w:r>
            <w:r>
              <w:rPr>
                <w:rFonts w:hint="eastAsia"/>
              </w:rPr>
              <w:t>目</w:t>
            </w:r>
          </w:p>
        </w:tc>
        <w:tc>
          <w:tcPr>
            <w:tcW w:w="1474" w:type="dxa"/>
            <w:vAlign w:val="center"/>
          </w:tcPr>
          <w:p>
            <w:pPr>
              <w:pStyle w:val="11"/>
              <w:rPr>
                <w:rFonts w:cs="Times New Roman"/>
              </w:rPr>
            </w:pPr>
            <w:r>
              <w:rPr>
                <w:rFonts w:hint="eastAsia"/>
              </w:rPr>
              <w:t>金额</w:t>
            </w:r>
          </w:p>
        </w:tc>
        <w:tc>
          <w:tcPr>
            <w:tcW w:w="3402" w:type="dxa"/>
            <w:vAlign w:val="center"/>
          </w:tcPr>
          <w:p>
            <w:pPr>
              <w:pStyle w:val="11"/>
              <w:rPr>
                <w:rFonts w:cs="Times New Roman"/>
              </w:rPr>
            </w:pPr>
            <w:r>
              <w:rPr>
                <w:rFonts w:hint="eastAsia"/>
              </w:rPr>
              <w:t>项</w:t>
            </w:r>
            <w:r>
              <w:t xml:space="preserve">  </w:t>
            </w:r>
            <w:r>
              <w:rPr>
                <w:rFonts w:hint="eastAsia"/>
              </w:rPr>
              <w:t>目</w:t>
            </w:r>
          </w:p>
        </w:tc>
        <w:tc>
          <w:tcPr>
            <w:tcW w:w="1474" w:type="dxa"/>
            <w:vAlign w:val="center"/>
          </w:tcPr>
          <w:p>
            <w:pPr>
              <w:pStyle w:val="11"/>
              <w:rPr>
                <w:rFonts w:cs="Times New Roman"/>
              </w:rPr>
            </w:pPr>
            <w:r>
              <w:rPr>
                <w:rFonts w:hint="eastAsia"/>
              </w:rPr>
              <w:t>合计</w:t>
            </w:r>
          </w:p>
        </w:tc>
        <w:tc>
          <w:tcPr>
            <w:tcW w:w="1474" w:type="dxa"/>
            <w:vAlign w:val="center"/>
          </w:tcPr>
          <w:p>
            <w:pPr>
              <w:pStyle w:val="11"/>
              <w:rPr>
                <w:rFonts w:cs="Times New Roman"/>
              </w:rPr>
            </w:pPr>
            <w:r>
              <w:rPr>
                <w:rFonts w:hint="eastAsia"/>
              </w:rPr>
              <w:t>一般公共预算财政拨款</w:t>
            </w:r>
          </w:p>
        </w:tc>
        <w:tc>
          <w:tcPr>
            <w:tcW w:w="1474" w:type="dxa"/>
            <w:vAlign w:val="center"/>
          </w:tcPr>
          <w:p>
            <w:pPr>
              <w:pStyle w:val="11"/>
              <w:rPr>
                <w:rFonts w:cs="Times New Roman"/>
              </w:rPr>
            </w:pPr>
            <w:r>
              <w:rPr>
                <w:rFonts w:hint="eastAsia"/>
              </w:rPr>
              <w:t>政府性基金预算财政</w:t>
            </w:r>
            <w:r>
              <w:t xml:space="preserve">    </w:t>
            </w:r>
            <w:r>
              <w:rPr>
                <w:rFonts w:hint="eastAsia"/>
              </w:rPr>
              <w:t>拨款</w:t>
            </w:r>
          </w:p>
        </w:tc>
        <w:tc>
          <w:tcPr>
            <w:tcW w:w="1474" w:type="dxa"/>
            <w:vAlign w:val="center"/>
          </w:tcPr>
          <w:p>
            <w:pPr>
              <w:pStyle w:val="11"/>
              <w:rPr>
                <w:rFonts w:cs="Times New Roman"/>
              </w:rPr>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cs="Times New Roman"/>
              </w:rPr>
            </w:pPr>
            <w:r>
              <w:rPr>
                <w:rFonts w:hint="eastAsia"/>
              </w:rP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rPr>
                <w:rFonts w:cs="Times New Roman"/>
              </w:rPr>
            </w:pPr>
            <w:r>
              <w:rPr>
                <w:rFonts w:hint="eastAsia"/>
              </w:rPr>
              <w:t>一、一般公共预算拨款</w:t>
            </w:r>
          </w:p>
        </w:tc>
        <w:tc>
          <w:tcPr>
            <w:tcW w:w="1474" w:type="dxa"/>
            <w:vAlign w:val="center"/>
          </w:tcPr>
          <w:p>
            <w:pPr>
              <w:pStyle w:val="12"/>
            </w:pPr>
            <w:r>
              <w:t>436.66</w:t>
            </w:r>
          </w:p>
        </w:tc>
        <w:tc>
          <w:tcPr>
            <w:tcW w:w="3402" w:type="dxa"/>
            <w:vAlign w:val="center"/>
          </w:tcPr>
          <w:p>
            <w:pPr>
              <w:pStyle w:val="13"/>
              <w:rPr>
                <w:rFonts w:cs="Times New Roman"/>
              </w:rPr>
            </w:pPr>
            <w:r>
              <w:rPr>
                <w:rFonts w:hint="eastAsia"/>
              </w:rPr>
              <w:t>一、一般公共服务支出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rPr>
                <w:rFonts w:cs="Times New Roman"/>
              </w:rPr>
            </w:pPr>
            <w:r>
              <w:rPr>
                <w:rFonts w:hint="eastAsia"/>
              </w:rPr>
              <w:t>二、政府性基金预算拨款</w:t>
            </w: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二、外交支出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rPr>
                <w:rFonts w:cs="Times New Roman"/>
              </w:rPr>
            </w:pPr>
            <w:r>
              <w:rPr>
                <w:rFonts w:hint="eastAsia"/>
              </w:rPr>
              <w:t>三、国有资本经营预算拨款</w:t>
            </w: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三、国防支出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四、公共安全支出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五、教育支出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六、科学技术支出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七、文化旅游体育与传媒支出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八、社会保障和就业支出</w:t>
            </w:r>
          </w:p>
        </w:tc>
        <w:tc>
          <w:tcPr>
            <w:tcW w:w="1474" w:type="dxa"/>
            <w:vAlign w:val="center"/>
          </w:tcPr>
          <w:p>
            <w:pPr>
              <w:pStyle w:val="12"/>
            </w:pPr>
            <w:r>
              <w:t>28.94</w:t>
            </w:r>
          </w:p>
        </w:tc>
        <w:tc>
          <w:tcPr>
            <w:tcW w:w="1474" w:type="dxa"/>
            <w:vAlign w:val="center"/>
          </w:tcPr>
          <w:p>
            <w:pPr>
              <w:pStyle w:val="12"/>
            </w:pPr>
            <w:r>
              <w:t>28.94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九、社会保险基金支出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十、卫生健康支出</w:t>
            </w:r>
          </w:p>
        </w:tc>
        <w:tc>
          <w:tcPr>
            <w:tcW w:w="1474" w:type="dxa"/>
            <w:vAlign w:val="center"/>
          </w:tcPr>
          <w:p>
            <w:pPr>
              <w:pStyle w:val="12"/>
            </w:pPr>
            <w:r>
              <w:t>387.61</w:t>
            </w:r>
          </w:p>
        </w:tc>
        <w:tc>
          <w:tcPr>
            <w:tcW w:w="1474" w:type="dxa"/>
            <w:vAlign w:val="center"/>
          </w:tcPr>
          <w:p>
            <w:pPr>
              <w:pStyle w:val="12"/>
            </w:pPr>
            <w:r>
              <w:t>387.61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十一、节能环保支出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十二、城乡社区支出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十三、农林水支出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十四、交通运输支出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十五、资源勘探工业信息等支出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十六、商业服务业等支出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十七、金融支出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十八、援助其他地区支出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十九、自然资源海洋气象等支出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二十、住房保障支出</w:t>
            </w:r>
          </w:p>
        </w:tc>
        <w:tc>
          <w:tcPr>
            <w:tcW w:w="1474" w:type="dxa"/>
            <w:vAlign w:val="center"/>
          </w:tcPr>
          <w:p>
            <w:pPr>
              <w:pStyle w:val="12"/>
            </w:pPr>
            <w:r>
              <w:t>20.11</w:t>
            </w:r>
          </w:p>
        </w:tc>
        <w:tc>
          <w:tcPr>
            <w:tcW w:w="1474" w:type="dxa"/>
            <w:vAlign w:val="center"/>
          </w:tcPr>
          <w:p>
            <w:pPr>
              <w:pStyle w:val="12"/>
            </w:pPr>
            <w:r>
              <w:t>20.11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二十一、粮油物资储备支出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二十二、国有资本经营预算支出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二十三、灾害防治及应急管理支出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二十四、预备费</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二十五、其他支出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二十六、转移性支出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二十七、债务还本支出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二十八、债务付息支出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二十九、债务发行费用支出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三十、抗疫特别国债安排的支出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三十一、人行科目</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rPr>
                <w:rFonts w:cs="Times New Roman"/>
              </w:rPr>
            </w:pPr>
            <w:r>
              <w:rPr>
                <w:rFonts w:hint="eastAsia"/>
              </w:rPr>
              <w:t>本年收入合计</w:t>
            </w:r>
          </w:p>
        </w:tc>
        <w:tc>
          <w:tcPr>
            <w:tcW w:w="1474" w:type="dxa"/>
            <w:vAlign w:val="center"/>
          </w:tcPr>
          <w:p>
            <w:pPr>
              <w:pStyle w:val="16"/>
            </w:pPr>
            <w:r>
              <w:t>436.66</w:t>
            </w:r>
          </w:p>
        </w:tc>
        <w:tc>
          <w:tcPr>
            <w:tcW w:w="3402" w:type="dxa"/>
            <w:vAlign w:val="center"/>
          </w:tcPr>
          <w:p>
            <w:pPr>
              <w:pStyle w:val="15"/>
              <w:rPr>
                <w:rFonts w:cs="Times New Roman"/>
              </w:rPr>
            </w:pPr>
            <w:r>
              <w:rPr>
                <w:rFonts w:hint="eastAsia"/>
              </w:rPr>
              <w:t>本年支出合计</w:t>
            </w:r>
          </w:p>
        </w:tc>
        <w:tc>
          <w:tcPr>
            <w:tcW w:w="1474" w:type="dxa"/>
            <w:vAlign w:val="center"/>
          </w:tcPr>
          <w:p>
            <w:pPr>
              <w:pStyle w:val="16"/>
            </w:pPr>
            <w:r>
              <w:t>436.66</w:t>
            </w:r>
          </w:p>
        </w:tc>
        <w:tc>
          <w:tcPr>
            <w:tcW w:w="1474" w:type="dxa"/>
            <w:vAlign w:val="center"/>
          </w:tcPr>
          <w:p>
            <w:pPr>
              <w:pStyle w:val="16"/>
            </w:pPr>
            <w:r>
              <w:t>436.66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rPr>
                <w:rFonts w:cs="Times New Roman"/>
              </w:rPr>
            </w:pPr>
            <w:r>
              <w:rPr>
                <w:rFonts w:hint="eastAsia"/>
              </w:rPr>
              <w:t>年初财政拨款结转和结余</w:t>
            </w: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年末财政拨款结转和结余</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rPr>
                <w:rFonts w:cs="Times New Roman"/>
              </w:rPr>
            </w:pPr>
            <w:r>
              <w:rPr>
                <w:rFonts w:hint="eastAsia"/>
              </w:rPr>
              <w:t>一、一般公共预算拨款</w:t>
            </w:r>
          </w:p>
        </w:tc>
        <w:tc>
          <w:tcPr>
            <w:tcW w:w="1474" w:type="dxa"/>
            <w:vAlign w:val="center"/>
          </w:tcPr>
          <w:p>
            <w:pPr>
              <w:pStyle w:val="12"/>
              <w:rPr>
                <w:rFonts w:cs="Times New Roman"/>
              </w:rPr>
            </w:pP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rPr>
                <w:rFonts w:cs="Times New Roman"/>
              </w:rPr>
            </w:pPr>
            <w:r>
              <w:rPr>
                <w:rFonts w:hint="eastAsia"/>
              </w:rPr>
              <w:t>二、政府性基金预算拨款</w:t>
            </w:r>
          </w:p>
        </w:tc>
        <w:tc>
          <w:tcPr>
            <w:tcW w:w="1474" w:type="dxa"/>
            <w:vAlign w:val="center"/>
          </w:tcPr>
          <w:p>
            <w:pPr>
              <w:pStyle w:val="12"/>
              <w:rPr>
                <w:rFonts w:cs="Times New Roman"/>
              </w:rPr>
            </w:pP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rPr>
                <w:rFonts w:cs="Times New Roman"/>
              </w:rPr>
            </w:pPr>
            <w:r>
              <w:rPr>
                <w:rFonts w:hint="eastAsia"/>
              </w:rPr>
              <w:t>三、国有资本经营预算拨款</w:t>
            </w:r>
          </w:p>
        </w:tc>
        <w:tc>
          <w:tcPr>
            <w:tcW w:w="1474" w:type="dxa"/>
            <w:vAlign w:val="center"/>
          </w:tcPr>
          <w:p>
            <w:pPr>
              <w:pStyle w:val="12"/>
              <w:rPr>
                <w:rFonts w:cs="Times New Roman"/>
              </w:rPr>
            </w:pP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rPr>
                <w:rFonts w:cs="Times New Roman"/>
              </w:rPr>
            </w:pPr>
            <w:r>
              <w:rPr>
                <w:rFonts w:hint="eastAsia"/>
              </w:rPr>
              <w:t>收入总计</w:t>
            </w:r>
          </w:p>
        </w:tc>
        <w:tc>
          <w:tcPr>
            <w:tcW w:w="1474" w:type="dxa"/>
            <w:vAlign w:val="center"/>
          </w:tcPr>
          <w:p>
            <w:pPr>
              <w:pStyle w:val="16"/>
            </w:pPr>
            <w:r>
              <w:t>436.66</w:t>
            </w:r>
          </w:p>
        </w:tc>
        <w:tc>
          <w:tcPr>
            <w:tcW w:w="3402" w:type="dxa"/>
            <w:vAlign w:val="center"/>
          </w:tcPr>
          <w:p>
            <w:pPr>
              <w:pStyle w:val="15"/>
              <w:rPr>
                <w:rFonts w:cs="Times New Roman"/>
              </w:rPr>
            </w:pPr>
            <w:r>
              <w:rPr>
                <w:rFonts w:hint="eastAsia"/>
              </w:rPr>
              <w:t>支出总计</w:t>
            </w:r>
          </w:p>
        </w:tc>
        <w:tc>
          <w:tcPr>
            <w:tcW w:w="1474" w:type="dxa"/>
            <w:vAlign w:val="center"/>
          </w:tcPr>
          <w:p>
            <w:pPr>
              <w:pStyle w:val="16"/>
            </w:pPr>
            <w:r>
              <w:t>436.66</w:t>
            </w:r>
          </w:p>
        </w:tc>
        <w:tc>
          <w:tcPr>
            <w:tcW w:w="1474" w:type="dxa"/>
            <w:vAlign w:val="center"/>
          </w:tcPr>
          <w:p>
            <w:pPr>
              <w:pStyle w:val="16"/>
            </w:pPr>
            <w:r>
              <w:t>436.66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szCs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cs="Times New Roman"/>
              </w:rPr>
            </w:pPr>
            <w:r>
              <w:t>450</w:t>
            </w:r>
            <w:r>
              <w:rPr>
                <w:rFonts w:hint="eastAsia"/>
              </w:rPr>
              <w:t>医保部门</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cs="Times New Roman"/>
              </w:rPr>
            </w:pPr>
            <w:r>
              <w:rPr>
                <w:rFonts w:hint="eastAsia"/>
              </w:rPr>
              <w:t>序号</w:t>
            </w:r>
          </w:p>
        </w:tc>
        <w:tc>
          <w:tcPr>
            <w:tcW w:w="5726" w:type="dxa"/>
            <w:gridSpan w:val="2"/>
            <w:vAlign w:val="center"/>
          </w:tcPr>
          <w:p>
            <w:pPr>
              <w:pStyle w:val="11"/>
              <w:rPr>
                <w:rFonts w:cs="Times New Roman"/>
              </w:rPr>
            </w:pPr>
            <w:r>
              <w:rPr>
                <w:rFonts w:hint="eastAsia"/>
              </w:rPr>
              <w:t>功能分类科目</w:t>
            </w:r>
          </w:p>
        </w:tc>
        <w:tc>
          <w:tcPr>
            <w:tcW w:w="2551" w:type="dxa"/>
            <w:vMerge w:val="restart"/>
            <w:vAlign w:val="center"/>
          </w:tcPr>
          <w:p>
            <w:pPr>
              <w:pStyle w:val="11"/>
              <w:rPr>
                <w:rFonts w:cs="Times New Roman"/>
              </w:rPr>
            </w:pPr>
            <w:r>
              <w:rPr>
                <w:rFonts w:hint="eastAsia"/>
              </w:rPr>
              <w:t>合计</w:t>
            </w:r>
          </w:p>
        </w:tc>
        <w:tc>
          <w:tcPr>
            <w:tcW w:w="2551" w:type="dxa"/>
            <w:vMerge w:val="restart"/>
            <w:vAlign w:val="center"/>
          </w:tcPr>
          <w:p>
            <w:pPr>
              <w:pStyle w:val="11"/>
              <w:rPr>
                <w:rFonts w:cs="Times New Roman"/>
              </w:rPr>
            </w:pPr>
            <w:r>
              <w:rPr>
                <w:rFonts w:hint="eastAsia"/>
              </w:rPr>
              <w:t>基本支出</w:t>
            </w:r>
          </w:p>
        </w:tc>
        <w:tc>
          <w:tcPr>
            <w:tcW w:w="2551" w:type="dxa"/>
            <w:vMerge w:val="restart"/>
            <w:vAlign w:val="center"/>
          </w:tcPr>
          <w:p>
            <w:pPr>
              <w:pStyle w:val="11"/>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rPr>
                <w:rFonts w:cs="Times New Roman"/>
              </w:rPr>
            </w:pPr>
            <w:r>
              <w:rPr>
                <w:rFonts w:hint="eastAsia"/>
              </w:rPr>
              <w:t>科目编码</w:t>
            </w:r>
          </w:p>
        </w:tc>
        <w:tc>
          <w:tcPr>
            <w:tcW w:w="4535" w:type="dxa"/>
            <w:vAlign w:val="center"/>
          </w:tcPr>
          <w:p>
            <w:pPr>
              <w:pStyle w:val="11"/>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cs="Times New Roman"/>
              </w:rPr>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rPr>
                <w:rFonts w:cs="Times New Roman"/>
              </w:rPr>
            </w:pPr>
          </w:p>
        </w:tc>
        <w:tc>
          <w:tcPr>
            <w:tcW w:w="4535" w:type="dxa"/>
            <w:vAlign w:val="center"/>
          </w:tcPr>
          <w:p>
            <w:pPr>
              <w:pStyle w:val="15"/>
              <w:rPr>
                <w:rFonts w:cs="Times New Roman"/>
              </w:rPr>
            </w:pPr>
            <w:r>
              <w:rPr>
                <w:rFonts w:hint="eastAsia"/>
              </w:rPr>
              <w:t>合计</w:t>
            </w:r>
          </w:p>
        </w:tc>
        <w:tc>
          <w:tcPr>
            <w:tcW w:w="2551" w:type="dxa"/>
            <w:vAlign w:val="center"/>
          </w:tcPr>
          <w:p>
            <w:pPr>
              <w:pStyle w:val="16"/>
            </w:pPr>
            <w:r>
              <w:t>436.66</w:t>
            </w:r>
          </w:p>
        </w:tc>
        <w:tc>
          <w:tcPr>
            <w:tcW w:w="2551" w:type="dxa"/>
            <w:vAlign w:val="center"/>
          </w:tcPr>
          <w:p>
            <w:pPr>
              <w:pStyle w:val="16"/>
            </w:pPr>
            <w:r>
              <w:t>260.06</w:t>
            </w:r>
          </w:p>
        </w:tc>
        <w:tc>
          <w:tcPr>
            <w:tcW w:w="2551" w:type="dxa"/>
            <w:vAlign w:val="center"/>
          </w:tcPr>
          <w:p>
            <w:pPr>
              <w:pStyle w:val="16"/>
            </w:pPr>
            <w:r>
              <w:t>176.60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rPr>
                <w:rFonts w:cs="Times New Roman"/>
              </w:rPr>
            </w:pPr>
            <w:r>
              <w:rPr>
                <w:rFonts w:hint="eastAsia"/>
              </w:rPr>
              <w:t>社会保障和就业支出</w:t>
            </w:r>
          </w:p>
        </w:tc>
        <w:tc>
          <w:tcPr>
            <w:tcW w:w="2551" w:type="dxa"/>
            <w:vAlign w:val="center"/>
          </w:tcPr>
          <w:p>
            <w:pPr>
              <w:pStyle w:val="12"/>
            </w:pPr>
            <w:r>
              <w:t>28.94</w:t>
            </w:r>
          </w:p>
        </w:tc>
        <w:tc>
          <w:tcPr>
            <w:tcW w:w="2551" w:type="dxa"/>
            <w:vAlign w:val="center"/>
          </w:tcPr>
          <w:p>
            <w:pPr>
              <w:pStyle w:val="12"/>
            </w:pPr>
            <w:r>
              <w:t>28.94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rPr>
                <w:rFonts w:cs="Times New Roman"/>
              </w:rPr>
            </w:pPr>
            <w:r>
              <w:rPr>
                <w:rFonts w:hint="eastAsia"/>
              </w:rPr>
              <w:t>行政事业单位养老支出</w:t>
            </w:r>
          </w:p>
        </w:tc>
        <w:tc>
          <w:tcPr>
            <w:tcW w:w="2551" w:type="dxa"/>
            <w:vAlign w:val="center"/>
          </w:tcPr>
          <w:p>
            <w:pPr>
              <w:pStyle w:val="12"/>
            </w:pPr>
            <w:r>
              <w:t>28.94</w:t>
            </w:r>
          </w:p>
        </w:tc>
        <w:tc>
          <w:tcPr>
            <w:tcW w:w="2551" w:type="dxa"/>
            <w:vAlign w:val="center"/>
          </w:tcPr>
          <w:p>
            <w:pPr>
              <w:pStyle w:val="12"/>
            </w:pPr>
            <w:r>
              <w:t>28.94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rPr>
                <w:rFonts w:cs="Times New Roman"/>
              </w:rPr>
            </w:pPr>
            <w:r>
              <w:rPr>
                <w:rFonts w:hint="eastAsia"/>
              </w:rPr>
              <w:t>行政单位离退休</w:t>
            </w:r>
          </w:p>
        </w:tc>
        <w:tc>
          <w:tcPr>
            <w:tcW w:w="2551" w:type="dxa"/>
            <w:vAlign w:val="center"/>
          </w:tcPr>
          <w:p>
            <w:pPr>
              <w:pStyle w:val="12"/>
            </w:pPr>
            <w:r>
              <w:t>2.79</w:t>
            </w:r>
          </w:p>
        </w:tc>
        <w:tc>
          <w:tcPr>
            <w:tcW w:w="2551" w:type="dxa"/>
            <w:vAlign w:val="center"/>
          </w:tcPr>
          <w:p>
            <w:pPr>
              <w:pStyle w:val="12"/>
            </w:pPr>
            <w:r>
              <w:t>2.79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rPr>
                <w:rFonts w:cs="Times New Roman"/>
              </w:rPr>
            </w:pPr>
            <w:r>
              <w:rPr>
                <w:rFonts w:hint="eastAsia"/>
              </w:rPr>
              <w:t>机关事业单位基本养老保险缴费支出</w:t>
            </w:r>
          </w:p>
        </w:tc>
        <w:tc>
          <w:tcPr>
            <w:tcW w:w="2551" w:type="dxa"/>
            <w:vAlign w:val="center"/>
          </w:tcPr>
          <w:p>
            <w:pPr>
              <w:pStyle w:val="12"/>
            </w:pPr>
            <w:r>
              <w:t>26.15</w:t>
            </w:r>
          </w:p>
        </w:tc>
        <w:tc>
          <w:tcPr>
            <w:tcW w:w="2551" w:type="dxa"/>
            <w:vAlign w:val="center"/>
          </w:tcPr>
          <w:p>
            <w:pPr>
              <w:pStyle w:val="12"/>
            </w:pPr>
            <w:r>
              <w:t>26.15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w:t>
            </w:r>
          </w:p>
        </w:tc>
        <w:tc>
          <w:tcPr>
            <w:tcW w:w="4535" w:type="dxa"/>
            <w:vAlign w:val="center"/>
          </w:tcPr>
          <w:p>
            <w:pPr>
              <w:pStyle w:val="13"/>
              <w:rPr>
                <w:rFonts w:cs="Times New Roman"/>
              </w:rPr>
            </w:pPr>
            <w:r>
              <w:rPr>
                <w:rFonts w:hint="eastAsia"/>
              </w:rPr>
              <w:t>卫生健康支出</w:t>
            </w:r>
          </w:p>
        </w:tc>
        <w:tc>
          <w:tcPr>
            <w:tcW w:w="2551" w:type="dxa"/>
            <w:vAlign w:val="center"/>
          </w:tcPr>
          <w:p>
            <w:pPr>
              <w:pStyle w:val="12"/>
            </w:pPr>
            <w:r>
              <w:t>387.61</w:t>
            </w:r>
          </w:p>
        </w:tc>
        <w:tc>
          <w:tcPr>
            <w:tcW w:w="2551" w:type="dxa"/>
            <w:vAlign w:val="center"/>
          </w:tcPr>
          <w:p>
            <w:pPr>
              <w:pStyle w:val="12"/>
            </w:pPr>
            <w:r>
              <w:t>211.01</w:t>
            </w:r>
          </w:p>
        </w:tc>
        <w:tc>
          <w:tcPr>
            <w:tcW w:w="2551" w:type="dxa"/>
            <w:vAlign w:val="center"/>
          </w:tcPr>
          <w:p>
            <w:pPr>
              <w:pStyle w:val="12"/>
            </w:pPr>
            <w:r>
              <w:t>176.60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w:t>
            </w:r>
          </w:p>
        </w:tc>
        <w:tc>
          <w:tcPr>
            <w:tcW w:w="4535" w:type="dxa"/>
            <w:vAlign w:val="center"/>
          </w:tcPr>
          <w:p>
            <w:pPr>
              <w:pStyle w:val="13"/>
              <w:rPr>
                <w:rFonts w:cs="Times New Roman"/>
              </w:rPr>
            </w:pPr>
            <w:r>
              <w:rPr>
                <w:rFonts w:hint="eastAsia"/>
              </w:rPr>
              <w:t>行政事业单位医疗</w:t>
            </w:r>
          </w:p>
        </w:tc>
        <w:tc>
          <w:tcPr>
            <w:tcW w:w="2551" w:type="dxa"/>
            <w:vAlign w:val="center"/>
          </w:tcPr>
          <w:p>
            <w:pPr>
              <w:pStyle w:val="12"/>
            </w:pPr>
            <w:r>
              <w:t>14.70</w:t>
            </w:r>
          </w:p>
        </w:tc>
        <w:tc>
          <w:tcPr>
            <w:tcW w:w="2551" w:type="dxa"/>
            <w:vAlign w:val="center"/>
          </w:tcPr>
          <w:p>
            <w:pPr>
              <w:pStyle w:val="12"/>
            </w:pPr>
            <w:r>
              <w:t>14.70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2101101</w:t>
            </w:r>
          </w:p>
        </w:tc>
        <w:tc>
          <w:tcPr>
            <w:tcW w:w="4535" w:type="dxa"/>
            <w:vAlign w:val="center"/>
          </w:tcPr>
          <w:p>
            <w:pPr>
              <w:pStyle w:val="13"/>
              <w:rPr>
                <w:rFonts w:cs="Times New Roman"/>
              </w:rPr>
            </w:pPr>
            <w:r>
              <w:rPr>
                <w:rFonts w:hint="eastAsia"/>
              </w:rPr>
              <w:t>行政单位医疗</w:t>
            </w:r>
          </w:p>
        </w:tc>
        <w:tc>
          <w:tcPr>
            <w:tcW w:w="2551" w:type="dxa"/>
            <w:vAlign w:val="center"/>
          </w:tcPr>
          <w:p>
            <w:pPr>
              <w:pStyle w:val="12"/>
            </w:pPr>
            <w:r>
              <w:t>11.17</w:t>
            </w:r>
          </w:p>
        </w:tc>
        <w:tc>
          <w:tcPr>
            <w:tcW w:w="2551" w:type="dxa"/>
            <w:vAlign w:val="center"/>
          </w:tcPr>
          <w:p>
            <w:pPr>
              <w:pStyle w:val="12"/>
            </w:pPr>
            <w:r>
              <w:t>11.17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2101103</w:t>
            </w:r>
          </w:p>
        </w:tc>
        <w:tc>
          <w:tcPr>
            <w:tcW w:w="4535" w:type="dxa"/>
            <w:vAlign w:val="center"/>
          </w:tcPr>
          <w:p>
            <w:pPr>
              <w:pStyle w:val="13"/>
              <w:rPr>
                <w:rFonts w:cs="Times New Roman"/>
              </w:rPr>
            </w:pPr>
            <w:r>
              <w:rPr>
                <w:rFonts w:hint="eastAsia"/>
              </w:rPr>
              <w:t>公务员医疗补助</w:t>
            </w:r>
          </w:p>
        </w:tc>
        <w:tc>
          <w:tcPr>
            <w:tcW w:w="2551" w:type="dxa"/>
            <w:vAlign w:val="center"/>
          </w:tcPr>
          <w:p>
            <w:pPr>
              <w:pStyle w:val="12"/>
            </w:pPr>
            <w:r>
              <w:t>3.53</w:t>
            </w:r>
          </w:p>
        </w:tc>
        <w:tc>
          <w:tcPr>
            <w:tcW w:w="2551" w:type="dxa"/>
            <w:vAlign w:val="center"/>
          </w:tcPr>
          <w:p>
            <w:pPr>
              <w:pStyle w:val="12"/>
            </w:pPr>
            <w:r>
              <w:t>3.53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21015</w:t>
            </w:r>
          </w:p>
        </w:tc>
        <w:tc>
          <w:tcPr>
            <w:tcW w:w="4535" w:type="dxa"/>
            <w:vAlign w:val="center"/>
          </w:tcPr>
          <w:p>
            <w:pPr>
              <w:pStyle w:val="13"/>
              <w:rPr>
                <w:rFonts w:cs="Times New Roman"/>
              </w:rPr>
            </w:pPr>
            <w:r>
              <w:rPr>
                <w:rFonts w:hint="eastAsia"/>
              </w:rPr>
              <w:t>医疗保障管理事务</w:t>
            </w:r>
          </w:p>
        </w:tc>
        <w:tc>
          <w:tcPr>
            <w:tcW w:w="2551" w:type="dxa"/>
            <w:vAlign w:val="center"/>
          </w:tcPr>
          <w:p>
            <w:pPr>
              <w:pStyle w:val="12"/>
            </w:pPr>
            <w:r>
              <w:t>372.92</w:t>
            </w:r>
          </w:p>
        </w:tc>
        <w:tc>
          <w:tcPr>
            <w:tcW w:w="2551" w:type="dxa"/>
            <w:vAlign w:val="center"/>
          </w:tcPr>
          <w:p>
            <w:pPr>
              <w:pStyle w:val="12"/>
            </w:pPr>
            <w:r>
              <w:t>196.32</w:t>
            </w:r>
          </w:p>
        </w:tc>
        <w:tc>
          <w:tcPr>
            <w:tcW w:w="2551" w:type="dxa"/>
            <w:vAlign w:val="center"/>
          </w:tcPr>
          <w:p>
            <w:pPr>
              <w:pStyle w:val="12"/>
            </w:pPr>
            <w:r>
              <w:t>176.60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2101501</w:t>
            </w:r>
          </w:p>
        </w:tc>
        <w:tc>
          <w:tcPr>
            <w:tcW w:w="4535" w:type="dxa"/>
            <w:vAlign w:val="center"/>
          </w:tcPr>
          <w:p>
            <w:pPr>
              <w:pStyle w:val="13"/>
              <w:rPr>
                <w:rFonts w:cs="Times New Roman"/>
              </w:rPr>
            </w:pPr>
            <w:r>
              <w:rPr>
                <w:rFonts w:hint="eastAsia"/>
              </w:rPr>
              <w:t>行政运行</w:t>
            </w:r>
          </w:p>
        </w:tc>
        <w:tc>
          <w:tcPr>
            <w:tcW w:w="2551" w:type="dxa"/>
            <w:vAlign w:val="center"/>
          </w:tcPr>
          <w:p>
            <w:pPr>
              <w:pStyle w:val="12"/>
            </w:pPr>
            <w:r>
              <w:t>196.32</w:t>
            </w:r>
          </w:p>
        </w:tc>
        <w:tc>
          <w:tcPr>
            <w:tcW w:w="2551" w:type="dxa"/>
            <w:vAlign w:val="center"/>
          </w:tcPr>
          <w:p>
            <w:pPr>
              <w:pStyle w:val="12"/>
            </w:pPr>
            <w:r>
              <w:t>196.32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2101599</w:t>
            </w:r>
          </w:p>
        </w:tc>
        <w:tc>
          <w:tcPr>
            <w:tcW w:w="4535" w:type="dxa"/>
            <w:vAlign w:val="center"/>
          </w:tcPr>
          <w:p>
            <w:pPr>
              <w:pStyle w:val="13"/>
              <w:rPr>
                <w:rFonts w:cs="Times New Roman"/>
              </w:rPr>
            </w:pPr>
            <w:r>
              <w:rPr>
                <w:rFonts w:hint="eastAsia"/>
              </w:rPr>
              <w:t>其他医疗保障管理事务支出</w:t>
            </w:r>
          </w:p>
        </w:tc>
        <w:tc>
          <w:tcPr>
            <w:tcW w:w="2551" w:type="dxa"/>
            <w:vAlign w:val="center"/>
          </w:tcPr>
          <w:p>
            <w:pPr>
              <w:pStyle w:val="12"/>
            </w:pPr>
            <w:r>
              <w:t>176.60</w:t>
            </w:r>
          </w:p>
        </w:tc>
        <w:tc>
          <w:tcPr>
            <w:tcW w:w="2551" w:type="dxa"/>
            <w:vAlign w:val="center"/>
          </w:tcPr>
          <w:p>
            <w:pPr>
              <w:pStyle w:val="12"/>
            </w:pPr>
          </w:p>
        </w:tc>
        <w:tc>
          <w:tcPr>
            <w:tcW w:w="2551" w:type="dxa"/>
            <w:vAlign w:val="center"/>
          </w:tcPr>
          <w:p>
            <w:pPr>
              <w:pStyle w:val="12"/>
            </w:pPr>
            <w:r>
              <w:t>176.60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rPr>
                <w:rFonts w:cs="Times New Roman"/>
              </w:rPr>
            </w:pPr>
            <w:r>
              <w:rPr>
                <w:rFonts w:hint="eastAsia"/>
              </w:rPr>
              <w:t>住房保障支出</w:t>
            </w:r>
          </w:p>
        </w:tc>
        <w:tc>
          <w:tcPr>
            <w:tcW w:w="2551" w:type="dxa"/>
            <w:vAlign w:val="center"/>
          </w:tcPr>
          <w:p>
            <w:pPr>
              <w:pStyle w:val="12"/>
            </w:pPr>
            <w:r>
              <w:t>20.11</w:t>
            </w:r>
          </w:p>
        </w:tc>
        <w:tc>
          <w:tcPr>
            <w:tcW w:w="2551" w:type="dxa"/>
            <w:vAlign w:val="center"/>
          </w:tcPr>
          <w:p>
            <w:pPr>
              <w:pStyle w:val="12"/>
            </w:pPr>
            <w:r>
              <w:t>20.11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rPr>
                <w:rFonts w:cs="Times New Roman"/>
              </w:rPr>
            </w:pPr>
            <w:r>
              <w:rPr>
                <w:rFonts w:hint="eastAsia"/>
              </w:rPr>
              <w:t>住房改革支出</w:t>
            </w:r>
          </w:p>
        </w:tc>
        <w:tc>
          <w:tcPr>
            <w:tcW w:w="2551" w:type="dxa"/>
            <w:vAlign w:val="center"/>
          </w:tcPr>
          <w:p>
            <w:pPr>
              <w:pStyle w:val="12"/>
            </w:pPr>
            <w:r>
              <w:t>20.11</w:t>
            </w:r>
          </w:p>
        </w:tc>
        <w:tc>
          <w:tcPr>
            <w:tcW w:w="2551" w:type="dxa"/>
            <w:vAlign w:val="center"/>
          </w:tcPr>
          <w:p>
            <w:pPr>
              <w:pStyle w:val="12"/>
            </w:pPr>
            <w:r>
              <w:t>20.11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rPr>
                <w:rFonts w:cs="Times New Roman"/>
              </w:rPr>
            </w:pPr>
            <w:r>
              <w:rPr>
                <w:rFonts w:hint="eastAsia"/>
              </w:rPr>
              <w:t>住房公积金</w:t>
            </w:r>
          </w:p>
        </w:tc>
        <w:tc>
          <w:tcPr>
            <w:tcW w:w="2551" w:type="dxa"/>
            <w:vAlign w:val="center"/>
          </w:tcPr>
          <w:p>
            <w:pPr>
              <w:pStyle w:val="12"/>
            </w:pPr>
            <w:r>
              <w:t>20.11</w:t>
            </w:r>
          </w:p>
        </w:tc>
        <w:tc>
          <w:tcPr>
            <w:tcW w:w="2551" w:type="dxa"/>
            <w:vAlign w:val="center"/>
          </w:tcPr>
          <w:p>
            <w:pPr>
              <w:pStyle w:val="12"/>
            </w:pPr>
            <w:r>
              <w:t>20.11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szCs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cs="Times New Roman"/>
              </w:rPr>
            </w:pPr>
            <w:r>
              <w:t>450</w:t>
            </w:r>
            <w:r>
              <w:rPr>
                <w:rFonts w:hint="eastAsia"/>
              </w:rPr>
              <w:t>医保部门</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cs="Times New Roman"/>
              </w:rPr>
            </w:pPr>
            <w:r>
              <w:rPr>
                <w:rFonts w:hint="eastAsia"/>
              </w:rPr>
              <w:t>序号</w:t>
            </w:r>
          </w:p>
        </w:tc>
        <w:tc>
          <w:tcPr>
            <w:tcW w:w="5726" w:type="dxa"/>
            <w:gridSpan w:val="2"/>
            <w:vAlign w:val="center"/>
          </w:tcPr>
          <w:p>
            <w:pPr>
              <w:pStyle w:val="11"/>
              <w:rPr>
                <w:rFonts w:cs="Times New Roman"/>
              </w:rPr>
            </w:pPr>
            <w:r>
              <w:rPr>
                <w:rFonts w:hint="eastAsia"/>
              </w:rPr>
              <w:t>支出部门经济分类科目</w:t>
            </w:r>
          </w:p>
        </w:tc>
        <w:tc>
          <w:tcPr>
            <w:tcW w:w="7654" w:type="dxa"/>
            <w:gridSpan w:val="3"/>
            <w:vAlign w:val="center"/>
          </w:tcPr>
          <w:p>
            <w:pPr>
              <w:pStyle w:val="11"/>
              <w:rPr>
                <w:rFonts w:cs="Times New Roman"/>
              </w:rPr>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rPr>
                <w:rFonts w:cs="Times New Roman"/>
              </w:rPr>
            </w:pPr>
            <w:r>
              <w:rPr>
                <w:rFonts w:hint="eastAsia"/>
              </w:rPr>
              <w:t>科目编码</w:t>
            </w:r>
          </w:p>
        </w:tc>
        <w:tc>
          <w:tcPr>
            <w:tcW w:w="4535" w:type="dxa"/>
            <w:vAlign w:val="center"/>
          </w:tcPr>
          <w:p>
            <w:pPr>
              <w:pStyle w:val="11"/>
              <w:rPr>
                <w:rFonts w:cs="Times New Roman"/>
              </w:rPr>
            </w:pPr>
            <w:r>
              <w:rPr>
                <w:rFonts w:hint="eastAsia"/>
              </w:rPr>
              <w:t>科目名称</w:t>
            </w:r>
          </w:p>
        </w:tc>
        <w:tc>
          <w:tcPr>
            <w:tcW w:w="2551" w:type="dxa"/>
            <w:vAlign w:val="center"/>
          </w:tcPr>
          <w:p>
            <w:pPr>
              <w:pStyle w:val="11"/>
              <w:rPr>
                <w:rFonts w:cs="Times New Roman"/>
              </w:rPr>
            </w:pPr>
            <w:r>
              <w:rPr>
                <w:rFonts w:hint="eastAsia"/>
              </w:rPr>
              <w:t>合计</w:t>
            </w:r>
          </w:p>
        </w:tc>
        <w:tc>
          <w:tcPr>
            <w:tcW w:w="2551" w:type="dxa"/>
            <w:vAlign w:val="center"/>
          </w:tcPr>
          <w:p>
            <w:pPr>
              <w:pStyle w:val="11"/>
              <w:rPr>
                <w:rFonts w:cs="Times New Roman"/>
              </w:rPr>
            </w:pPr>
            <w:r>
              <w:rPr>
                <w:rFonts w:hint="eastAsia"/>
              </w:rPr>
              <w:t>人员经费</w:t>
            </w:r>
          </w:p>
        </w:tc>
        <w:tc>
          <w:tcPr>
            <w:tcW w:w="2551" w:type="dxa"/>
            <w:vAlign w:val="center"/>
          </w:tcPr>
          <w:p>
            <w:pPr>
              <w:pStyle w:val="11"/>
              <w:rPr>
                <w:rFonts w:cs="Times New Roman"/>
              </w:rPr>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cs="Times New Roman"/>
              </w:rPr>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rPr>
                <w:rFonts w:cs="Times New Roman"/>
              </w:rPr>
            </w:pPr>
          </w:p>
        </w:tc>
        <w:tc>
          <w:tcPr>
            <w:tcW w:w="4535" w:type="dxa"/>
            <w:vAlign w:val="center"/>
          </w:tcPr>
          <w:p>
            <w:pPr>
              <w:pStyle w:val="15"/>
              <w:rPr>
                <w:rFonts w:cs="Times New Roman"/>
              </w:rPr>
            </w:pPr>
            <w:r>
              <w:rPr>
                <w:rFonts w:hint="eastAsia"/>
              </w:rPr>
              <w:t>合计</w:t>
            </w:r>
          </w:p>
        </w:tc>
        <w:tc>
          <w:tcPr>
            <w:tcW w:w="2551" w:type="dxa"/>
            <w:vAlign w:val="center"/>
          </w:tcPr>
          <w:p>
            <w:pPr>
              <w:pStyle w:val="16"/>
            </w:pPr>
            <w:r>
              <w:t>260.06</w:t>
            </w:r>
          </w:p>
        </w:tc>
        <w:tc>
          <w:tcPr>
            <w:tcW w:w="2551" w:type="dxa"/>
            <w:vAlign w:val="center"/>
          </w:tcPr>
          <w:p>
            <w:pPr>
              <w:pStyle w:val="16"/>
            </w:pPr>
            <w:r>
              <w:t>245.69</w:t>
            </w:r>
          </w:p>
        </w:tc>
        <w:tc>
          <w:tcPr>
            <w:tcW w:w="2551" w:type="dxa"/>
            <w:vAlign w:val="center"/>
          </w:tcPr>
          <w:p>
            <w:pPr>
              <w:pStyle w:val="16"/>
            </w:pPr>
            <w:r>
              <w:t>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rPr>
                <w:rFonts w:cs="Times New Roman"/>
              </w:rPr>
            </w:pPr>
            <w:r>
              <w:rPr>
                <w:rFonts w:hint="eastAsia"/>
              </w:rPr>
              <w:t>工资福利支出</w:t>
            </w:r>
          </w:p>
        </w:tc>
        <w:tc>
          <w:tcPr>
            <w:tcW w:w="2551" w:type="dxa"/>
            <w:vAlign w:val="center"/>
          </w:tcPr>
          <w:p>
            <w:pPr>
              <w:pStyle w:val="12"/>
            </w:pPr>
            <w:r>
              <w:t>242.65</w:t>
            </w:r>
          </w:p>
        </w:tc>
        <w:tc>
          <w:tcPr>
            <w:tcW w:w="2551" w:type="dxa"/>
            <w:vAlign w:val="center"/>
          </w:tcPr>
          <w:p>
            <w:pPr>
              <w:pStyle w:val="12"/>
            </w:pPr>
            <w:r>
              <w:t>242.65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rPr>
                <w:rFonts w:cs="Times New Roman"/>
              </w:rPr>
            </w:pPr>
            <w:r>
              <w:rPr>
                <w:rFonts w:hint="eastAsia"/>
              </w:rPr>
              <w:t>基本工资</w:t>
            </w:r>
          </w:p>
        </w:tc>
        <w:tc>
          <w:tcPr>
            <w:tcW w:w="2551" w:type="dxa"/>
            <w:vAlign w:val="center"/>
          </w:tcPr>
          <w:p>
            <w:pPr>
              <w:pStyle w:val="12"/>
            </w:pPr>
            <w:r>
              <w:t>84.75</w:t>
            </w:r>
          </w:p>
        </w:tc>
        <w:tc>
          <w:tcPr>
            <w:tcW w:w="2551" w:type="dxa"/>
            <w:vAlign w:val="center"/>
          </w:tcPr>
          <w:p>
            <w:pPr>
              <w:pStyle w:val="12"/>
            </w:pPr>
            <w:r>
              <w:t>84.75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rPr>
                <w:rFonts w:cs="Times New Roman"/>
              </w:rPr>
            </w:pPr>
            <w:r>
              <w:rPr>
                <w:rFonts w:hint="eastAsia"/>
              </w:rPr>
              <w:t>津贴补贴</w:t>
            </w:r>
          </w:p>
        </w:tc>
        <w:tc>
          <w:tcPr>
            <w:tcW w:w="2551" w:type="dxa"/>
            <w:vAlign w:val="center"/>
          </w:tcPr>
          <w:p>
            <w:pPr>
              <w:pStyle w:val="12"/>
            </w:pPr>
            <w:r>
              <w:t>29.95</w:t>
            </w:r>
          </w:p>
        </w:tc>
        <w:tc>
          <w:tcPr>
            <w:tcW w:w="2551" w:type="dxa"/>
            <w:vAlign w:val="center"/>
          </w:tcPr>
          <w:p>
            <w:pPr>
              <w:pStyle w:val="12"/>
            </w:pPr>
            <w:r>
              <w:t>29.95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rPr>
                <w:rFonts w:cs="Times New Roman"/>
              </w:rPr>
            </w:pPr>
            <w:r>
              <w:rPr>
                <w:rFonts w:hint="eastAsia"/>
              </w:rPr>
              <w:t>奖金</w:t>
            </w:r>
          </w:p>
        </w:tc>
        <w:tc>
          <w:tcPr>
            <w:tcW w:w="2551" w:type="dxa"/>
            <w:vAlign w:val="center"/>
          </w:tcPr>
          <w:p>
            <w:pPr>
              <w:pStyle w:val="12"/>
            </w:pPr>
            <w:r>
              <w:t>5.42</w:t>
            </w:r>
          </w:p>
        </w:tc>
        <w:tc>
          <w:tcPr>
            <w:tcW w:w="2551" w:type="dxa"/>
            <w:vAlign w:val="center"/>
          </w:tcPr>
          <w:p>
            <w:pPr>
              <w:pStyle w:val="12"/>
            </w:pPr>
            <w:r>
              <w:t>5.42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rPr>
                <w:rFonts w:cs="Times New Roman"/>
              </w:rPr>
            </w:pPr>
            <w:r>
              <w:rPr>
                <w:rFonts w:hint="eastAsia"/>
              </w:rPr>
              <w:t>绩效工资</w:t>
            </w:r>
          </w:p>
        </w:tc>
        <w:tc>
          <w:tcPr>
            <w:tcW w:w="2551" w:type="dxa"/>
            <w:vAlign w:val="center"/>
          </w:tcPr>
          <w:p>
            <w:pPr>
              <w:pStyle w:val="12"/>
            </w:pPr>
            <w:r>
              <w:t>59.97</w:t>
            </w:r>
          </w:p>
        </w:tc>
        <w:tc>
          <w:tcPr>
            <w:tcW w:w="2551" w:type="dxa"/>
            <w:vAlign w:val="center"/>
          </w:tcPr>
          <w:p>
            <w:pPr>
              <w:pStyle w:val="12"/>
            </w:pPr>
            <w:r>
              <w:t>59.97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rPr>
                <w:rFonts w:cs="Times New Roman"/>
              </w:rPr>
            </w:pPr>
            <w:r>
              <w:rPr>
                <w:rFonts w:hint="eastAsia"/>
              </w:rPr>
              <w:t>机关事业单位基本养老保险缴费</w:t>
            </w:r>
          </w:p>
        </w:tc>
        <w:tc>
          <w:tcPr>
            <w:tcW w:w="2551" w:type="dxa"/>
            <w:vAlign w:val="center"/>
          </w:tcPr>
          <w:p>
            <w:pPr>
              <w:pStyle w:val="12"/>
            </w:pPr>
            <w:r>
              <w:t>26.15</w:t>
            </w:r>
          </w:p>
        </w:tc>
        <w:tc>
          <w:tcPr>
            <w:tcW w:w="2551" w:type="dxa"/>
            <w:vAlign w:val="center"/>
          </w:tcPr>
          <w:p>
            <w:pPr>
              <w:pStyle w:val="12"/>
            </w:pPr>
            <w:r>
              <w:t>26.15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rPr>
                <w:rFonts w:cs="Times New Roman"/>
              </w:rPr>
            </w:pPr>
            <w:r>
              <w:rPr>
                <w:rFonts w:hint="eastAsia"/>
              </w:rPr>
              <w:t>职工基本医疗保险缴费</w:t>
            </w:r>
          </w:p>
        </w:tc>
        <w:tc>
          <w:tcPr>
            <w:tcW w:w="2551" w:type="dxa"/>
            <w:vAlign w:val="center"/>
          </w:tcPr>
          <w:p>
            <w:pPr>
              <w:pStyle w:val="12"/>
            </w:pPr>
            <w:r>
              <w:t>11.17</w:t>
            </w:r>
          </w:p>
        </w:tc>
        <w:tc>
          <w:tcPr>
            <w:tcW w:w="2551" w:type="dxa"/>
            <w:vAlign w:val="center"/>
          </w:tcPr>
          <w:p>
            <w:pPr>
              <w:pStyle w:val="12"/>
            </w:pPr>
            <w:r>
              <w:t>11.17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rPr>
                <w:rFonts w:cs="Times New Roman"/>
              </w:rPr>
            </w:pPr>
            <w:r>
              <w:rPr>
                <w:rFonts w:hint="eastAsia"/>
              </w:rPr>
              <w:t>公务员医疗补助缴费</w:t>
            </w:r>
          </w:p>
        </w:tc>
        <w:tc>
          <w:tcPr>
            <w:tcW w:w="2551" w:type="dxa"/>
            <w:vAlign w:val="center"/>
          </w:tcPr>
          <w:p>
            <w:pPr>
              <w:pStyle w:val="12"/>
            </w:pPr>
            <w:r>
              <w:t>3.53</w:t>
            </w:r>
          </w:p>
        </w:tc>
        <w:tc>
          <w:tcPr>
            <w:tcW w:w="2551" w:type="dxa"/>
            <w:vAlign w:val="center"/>
          </w:tcPr>
          <w:p>
            <w:pPr>
              <w:pStyle w:val="12"/>
            </w:pPr>
            <w:r>
              <w:t>3.53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rPr>
                <w:rFonts w:cs="Times New Roman"/>
              </w:rPr>
            </w:pPr>
            <w:r>
              <w:rPr>
                <w:rFonts w:hint="eastAsia"/>
              </w:rPr>
              <w:t>其他社会保障缴费</w:t>
            </w:r>
          </w:p>
        </w:tc>
        <w:tc>
          <w:tcPr>
            <w:tcW w:w="2551" w:type="dxa"/>
            <w:vAlign w:val="center"/>
          </w:tcPr>
          <w:p>
            <w:pPr>
              <w:pStyle w:val="12"/>
            </w:pPr>
            <w:r>
              <w:t>1.62</w:t>
            </w:r>
          </w:p>
        </w:tc>
        <w:tc>
          <w:tcPr>
            <w:tcW w:w="2551" w:type="dxa"/>
            <w:vAlign w:val="center"/>
          </w:tcPr>
          <w:p>
            <w:pPr>
              <w:pStyle w:val="12"/>
            </w:pPr>
            <w:r>
              <w:t>1.62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rPr>
                <w:rFonts w:cs="Times New Roman"/>
              </w:rPr>
            </w:pPr>
            <w:r>
              <w:rPr>
                <w:rFonts w:hint="eastAsia"/>
              </w:rPr>
              <w:t>住房公积金</w:t>
            </w:r>
          </w:p>
        </w:tc>
        <w:tc>
          <w:tcPr>
            <w:tcW w:w="2551" w:type="dxa"/>
            <w:vAlign w:val="center"/>
          </w:tcPr>
          <w:p>
            <w:pPr>
              <w:pStyle w:val="12"/>
            </w:pPr>
            <w:r>
              <w:t>20.11</w:t>
            </w:r>
          </w:p>
        </w:tc>
        <w:tc>
          <w:tcPr>
            <w:tcW w:w="2551" w:type="dxa"/>
            <w:vAlign w:val="center"/>
          </w:tcPr>
          <w:p>
            <w:pPr>
              <w:pStyle w:val="12"/>
            </w:pPr>
            <w:r>
              <w:t>20.11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rPr>
                <w:rFonts w:cs="Times New Roman"/>
              </w:rPr>
            </w:pPr>
            <w:r>
              <w:rPr>
                <w:rFonts w:hint="eastAsia"/>
              </w:rPr>
              <w:t>商品和服务支出</w:t>
            </w:r>
          </w:p>
        </w:tc>
        <w:tc>
          <w:tcPr>
            <w:tcW w:w="2551" w:type="dxa"/>
            <w:vAlign w:val="center"/>
          </w:tcPr>
          <w:p>
            <w:pPr>
              <w:pStyle w:val="12"/>
            </w:pPr>
            <w:r>
              <w:t>14.37</w:t>
            </w:r>
          </w:p>
        </w:tc>
        <w:tc>
          <w:tcPr>
            <w:tcW w:w="2551" w:type="dxa"/>
            <w:vAlign w:val="center"/>
          </w:tcPr>
          <w:p>
            <w:pPr>
              <w:pStyle w:val="12"/>
            </w:pPr>
          </w:p>
        </w:tc>
        <w:tc>
          <w:tcPr>
            <w:tcW w:w="2551" w:type="dxa"/>
            <w:vAlign w:val="center"/>
          </w:tcPr>
          <w:p>
            <w:pPr>
              <w:pStyle w:val="12"/>
            </w:pPr>
            <w:r>
              <w:t>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rPr>
                <w:rFonts w:cs="Times New Roman"/>
              </w:rPr>
            </w:pPr>
            <w:r>
              <w:rPr>
                <w:rFonts w:hint="eastAsia"/>
              </w:rPr>
              <w:t>办公费</w:t>
            </w:r>
          </w:p>
        </w:tc>
        <w:tc>
          <w:tcPr>
            <w:tcW w:w="2551" w:type="dxa"/>
            <w:vAlign w:val="center"/>
          </w:tcPr>
          <w:p>
            <w:pPr>
              <w:pStyle w:val="12"/>
            </w:pPr>
            <w:r>
              <w:t>3.73</w:t>
            </w:r>
          </w:p>
        </w:tc>
        <w:tc>
          <w:tcPr>
            <w:tcW w:w="2551" w:type="dxa"/>
            <w:vAlign w:val="center"/>
          </w:tcPr>
          <w:p>
            <w:pPr>
              <w:pStyle w:val="12"/>
            </w:pPr>
          </w:p>
        </w:tc>
        <w:tc>
          <w:tcPr>
            <w:tcW w:w="2551" w:type="dxa"/>
            <w:vAlign w:val="center"/>
          </w:tcPr>
          <w:p>
            <w:pPr>
              <w:pStyle w:val="12"/>
            </w:pPr>
            <w:r>
              <w:t>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rPr>
                <w:rFonts w:cs="Times New Roman"/>
              </w:rPr>
            </w:pPr>
            <w:r>
              <w:rPr>
                <w:rFonts w:hint="eastAsia"/>
              </w:rPr>
              <w:t>邮电费</w:t>
            </w:r>
          </w:p>
        </w:tc>
        <w:tc>
          <w:tcPr>
            <w:tcW w:w="2551" w:type="dxa"/>
            <w:vAlign w:val="center"/>
          </w:tcPr>
          <w:p>
            <w:pPr>
              <w:pStyle w:val="12"/>
            </w:pPr>
            <w:r>
              <w:t>0.37</w:t>
            </w:r>
          </w:p>
        </w:tc>
        <w:tc>
          <w:tcPr>
            <w:tcW w:w="2551" w:type="dxa"/>
            <w:vAlign w:val="center"/>
          </w:tcPr>
          <w:p>
            <w:pPr>
              <w:pStyle w:val="12"/>
            </w:pPr>
          </w:p>
        </w:tc>
        <w:tc>
          <w:tcPr>
            <w:tcW w:w="2551" w:type="dxa"/>
            <w:vAlign w:val="center"/>
          </w:tcPr>
          <w:p>
            <w:pPr>
              <w:pStyle w:val="12"/>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rPr>
                <w:rFonts w:cs="Times New Roman"/>
              </w:rPr>
            </w:pPr>
            <w:r>
              <w:rPr>
                <w:rFonts w:hint="eastAsia"/>
              </w:rPr>
              <w:t>差旅费</w:t>
            </w:r>
          </w:p>
        </w:tc>
        <w:tc>
          <w:tcPr>
            <w:tcW w:w="2551" w:type="dxa"/>
            <w:vAlign w:val="center"/>
          </w:tcPr>
          <w:p>
            <w:pPr>
              <w:pStyle w:val="12"/>
            </w:pPr>
            <w:r>
              <w:t>0.25</w:t>
            </w:r>
          </w:p>
        </w:tc>
        <w:tc>
          <w:tcPr>
            <w:tcW w:w="2551" w:type="dxa"/>
            <w:vAlign w:val="center"/>
          </w:tcPr>
          <w:p>
            <w:pPr>
              <w:pStyle w:val="12"/>
            </w:pPr>
          </w:p>
        </w:tc>
        <w:tc>
          <w:tcPr>
            <w:tcW w:w="2551" w:type="dxa"/>
            <w:vAlign w:val="center"/>
          </w:tcPr>
          <w:p>
            <w:pPr>
              <w:pStyle w:val="12"/>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30213</w:t>
            </w:r>
          </w:p>
        </w:tc>
        <w:tc>
          <w:tcPr>
            <w:tcW w:w="4535" w:type="dxa"/>
            <w:vAlign w:val="center"/>
          </w:tcPr>
          <w:p>
            <w:pPr>
              <w:pStyle w:val="13"/>
              <w:rPr>
                <w:rFonts w:cs="Times New Roman"/>
              </w:rPr>
            </w:pPr>
            <w:r>
              <w:rPr>
                <w:rFonts w:hint="eastAsia"/>
              </w:rPr>
              <w:t>维修</w:t>
            </w:r>
            <w:r>
              <w:t>(</w:t>
            </w:r>
            <w:r>
              <w:rPr>
                <w:rFonts w:hint="eastAsia"/>
              </w:rPr>
              <w:t>护</w:t>
            </w:r>
            <w:r>
              <w:t>)</w:t>
            </w:r>
            <w:r>
              <w:rPr>
                <w:rFonts w:hint="eastAsia"/>
              </w:rPr>
              <w:t>费</w:t>
            </w:r>
          </w:p>
        </w:tc>
        <w:tc>
          <w:tcPr>
            <w:tcW w:w="2551" w:type="dxa"/>
            <w:vAlign w:val="center"/>
          </w:tcPr>
          <w:p>
            <w:pPr>
              <w:pStyle w:val="12"/>
            </w:pPr>
            <w:r>
              <w:t>0.45</w:t>
            </w:r>
          </w:p>
        </w:tc>
        <w:tc>
          <w:tcPr>
            <w:tcW w:w="2551" w:type="dxa"/>
            <w:vAlign w:val="center"/>
          </w:tcPr>
          <w:p>
            <w:pPr>
              <w:pStyle w:val="12"/>
            </w:pPr>
          </w:p>
        </w:tc>
        <w:tc>
          <w:tcPr>
            <w:tcW w:w="2551" w:type="dxa"/>
            <w:vAlign w:val="center"/>
          </w:tcPr>
          <w:p>
            <w:pPr>
              <w:pStyle w:val="12"/>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30216</w:t>
            </w:r>
          </w:p>
        </w:tc>
        <w:tc>
          <w:tcPr>
            <w:tcW w:w="4535" w:type="dxa"/>
            <w:vAlign w:val="center"/>
          </w:tcPr>
          <w:p>
            <w:pPr>
              <w:pStyle w:val="13"/>
              <w:rPr>
                <w:rFonts w:cs="Times New Roman"/>
              </w:rPr>
            </w:pPr>
            <w:r>
              <w:rPr>
                <w:rFonts w:hint="eastAsia"/>
              </w:rPr>
              <w:t>培训费</w:t>
            </w:r>
          </w:p>
        </w:tc>
        <w:tc>
          <w:tcPr>
            <w:tcW w:w="2551" w:type="dxa"/>
            <w:vAlign w:val="center"/>
          </w:tcPr>
          <w:p>
            <w:pPr>
              <w:pStyle w:val="12"/>
            </w:pPr>
            <w:r>
              <w:t>0.18</w:t>
            </w:r>
          </w:p>
        </w:tc>
        <w:tc>
          <w:tcPr>
            <w:tcW w:w="2551" w:type="dxa"/>
            <w:vAlign w:val="center"/>
          </w:tcPr>
          <w:p>
            <w:pPr>
              <w:pStyle w:val="12"/>
            </w:pPr>
          </w:p>
        </w:tc>
        <w:tc>
          <w:tcPr>
            <w:tcW w:w="2551" w:type="dxa"/>
            <w:vAlign w:val="center"/>
          </w:tcPr>
          <w:p>
            <w:pPr>
              <w:pStyle w:val="12"/>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rPr>
                <w:rFonts w:cs="Times New Roman"/>
              </w:rPr>
            </w:pPr>
            <w:r>
              <w:rPr>
                <w:rFonts w:hint="eastAsia"/>
              </w:rPr>
              <w:t>公务接待费</w:t>
            </w:r>
          </w:p>
        </w:tc>
        <w:tc>
          <w:tcPr>
            <w:tcW w:w="2551" w:type="dxa"/>
            <w:vAlign w:val="center"/>
          </w:tcPr>
          <w:p>
            <w:pPr>
              <w:pStyle w:val="12"/>
            </w:pPr>
            <w:r>
              <w:t>0.07</w:t>
            </w:r>
          </w:p>
        </w:tc>
        <w:tc>
          <w:tcPr>
            <w:tcW w:w="2551" w:type="dxa"/>
            <w:vAlign w:val="center"/>
          </w:tcPr>
          <w:p>
            <w:pPr>
              <w:pStyle w:val="12"/>
            </w:pPr>
          </w:p>
        </w:tc>
        <w:tc>
          <w:tcPr>
            <w:tcW w:w="2551" w:type="dxa"/>
            <w:vAlign w:val="center"/>
          </w:tcPr>
          <w:p>
            <w:pPr>
              <w:pStyle w:val="12"/>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rPr>
                <w:rFonts w:cs="Times New Roman"/>
              </w:rPr>
            </w:pPr>
            <w:r>
              <w:rPr>
                <w:rFonts w:hint="eastAsia"/>
              </w:rPr>
              <w:t>工会经费</w:t>
            </w:r>
          </w:p>
        </w:tc>
        <w:tc>
          <w:tcPr>
            <w:tcW w:w="2551" w:type="dxa"/>
            <w:vAlign w:val="center"/>
          </w:tcPr>
          <w:p>
            <w:pPr>
              <w:pStyle w:val="12"/>
            </w:pPr>
            <w:r>
              <w:t>3.08</w:t>
            </w:r>
          </w:p>
        </w:tc>
        <w:tc>
          <w:tcPr>
            <w:tcW w:w="2551" w:type="dxa"/>
            <w:vAlign w:val="center"/>
          </w:tcPr>
          <w:p>
            <w:pPr>
              <w:pStyle w:val="12"/>
            </w:pPr>
          </w:p>
        </w:tc>
        <w:tc>
          <w:tcPr>
            <w:tcW w:w="2551" w:type="dxa"/>
            <w:vAlign w:val="center"/>
          </w:tcPr>
          <w:p>
            <w:pPr>
              <w:pStyle w:val="12"/>
            </w:pPr>
            <w:r>
              <w:t>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rPr>
                <w:rFonts w:cs="Times New Roman"/>
              </w:rPr>
            </w:pPr>
            <w:r>
              <w:rPr>
                <w:rFonts w:hint="eastAsia"/>
              </w:rPr>
              <w:t>福利费</w:t>
            </w:r>
          </w:p>
        </w:tc>
        <w:tc>
          <w:tcPr>
            <w:tcW w:w="2551" w:type="dxa"/>
            <w:vAlign w:val="center"/>
          </w:tcPr>
          <w:p>
            <w:pPr>
              <w:pStyle w:val="12"/>
            </w:pPr>
            <w:r>
              <w:t>2.12</w:t>
            </w:r>
          </w:p>
        </w:tc>
        <w:tc>
          <w:tcPr>
            <w:tcW w:w="2551" w:type="dxa"/>
            <w:vAlign w:val="center"/>
          </w:tcPr>
          <w:p>
            <w:pPr>
              <w:pStyle w:val="12"/>
            </w:pPr>
          </w:p>
        </w:tc>
        <w:tc>
          <w:tcPr>
            <w:tcW w:w="2551" w:type="dxa"/>
            <w:vAlign w:val="center"/>
          </w:tcPr>
          <w:p>
            <w:pPr>
              <w:pStyle w:val="12"/>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rPr>
                <w:rFonts w:cs="Times New Roman"/>
              </w:rPr>
            </w:pPr>
            <w:r>
              <w:rPr>
                <w:rFonts w:hint="eastAsia"/>
              </w:rPr>
              <w:t>其他交通费用</w:t>
            </w:r>
          </w:p>
        </w:tc>
        <w:tc>
          <w:tcPr>
            <w:tcW w:w="2551" w:type="dxa"/>
            <w:vAlign w:val="center"/>
          </w:tcPr>
          <w:p>
            <w:pPr>
              <w:pStyle w:val="12"/>
            </w:pPr>
            <w:r>
              <w:t>3.60</w:t>
            </w:r>
          </w:p>
        </w:tc>
        <w:tc>
          <w:tcPr>
            <w:tcW w:w="2551" w:type="dxa"/>
            <w:vAlign w:val="center"/>
          </w:tcPr>
          <w:p>
            <w:pPr>
              <w:pStyle w:val="12"/>
            </w:pPr>
          </w:p>
        </w:tc>
        <w:tc>
          <w:tcPr>
            <w:tcW w:w="2551" w:type="dxa"/>
            <w:vAlign w:val="center"/>
          </w:tcPr>
          <w:p>
            <w:pPr>
              <w:pStyle w:val="12"/>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rPr>
                <w:rFonts w:cs="Times New Roman"/>
              </w:rPr>
            </w:pPr>
            <w:r>
              <w:rPr>
                <w:rFonts w:hint="eastAsia"/>
              </w:rPr>
              <w:t>其他商品和服务支出</w:t>
            </w:r>
          </w:p>
        </w:tc>
        <w:tc>
          <w:tcPr>
            <w:tcW w:w="2551" w:type="dxa"/>
            <w:vAlign w:val="center"/>
          </w:tcPr>
          <w:p>
            <w:pPr>
              <w:pStyle w:val="12"/>
            </w:pPr>
            <w:r>
              <w:t>0.52</w:t>
            </w:r>
          </w:p>
        </w:tc>
        <w:tc>
          <w:tcPr>
            <w:tcW w:w="2551" w:type="dxa"/>
            <w:vAlign w:val="center"/>
          </w:tcPr>
          <w:p>
            <w:pPr>
              <w:pStyle w:val="12"/>
            </w:pPr>
          </w:p>
        </w:tc>
        <w:tc>
          <w:tcPr>
            <w:tcW w:w="2551" w:type="dxa"/>
            <w:vAlign w:val="center"/>
          </w:tcPr>
          <w:p>
            <w:pPr>
              <w:pStyle w:val="12"/>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rPr>
                <w:rFonts w:cs="Times New Roman"/>
              </w:rPr>
            </w:pPr>
            <w:r>
              <w:rPr>
                <w:rFonts w:hint="eastAsia"/>
              </w:rPr>
              <w:t>对个人和家庭的补助</w:t>
            </w:r>
          </w:p>
        </w:tc>
        <w:tc>
          <w:tcPr>
            <w:tcW w:w="2551" w:type="dxa"/>
            <w:vAlign w:val="center"/>
          </w:tcPr>
          <w:p>
            <w:pPr>
              <w:pStyle w:val="12"/>
            </w:pPr>
            <w:r>
              <w:t>3.04</w:t>
            </w:r>
          </w:p>
        </w:tc>
        <w:tc>
          <w:tcPr>
            <w:tcW w:w="2551" w:type="dxa"/>
            <w:vAlign w:val="center"/>
          </w:tcPr>
          <w:p>
            <w:pPr>
              <w:pStyle w:val="12"/>
            </w:pPr>
            <w:r>
              <w:t>3.04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rPr>
                <w:rFonts w:cs="Times New Roman"/>
              </w:rPr>
            </w:pPr>
            <w:r>
              <w:rPr>
                <w:rFonts w:hint="eastAsia"/>
              </w:rPr>
              <w:t>退休费</w:t>
            </w:r>
          </w:p>
        </w:tc>
        <w:tc>
          <w:tcPr>
            <w:tcW w:w="2551" w:type="dxa"/>
            <w:vAlign w:val="center"/>
          </w:tcPr>
          <w:p>
            <w:pPr>
              <w:pStyle w:val="12"/>
            </w:pPr>
            <w:r>
              <w:t>2.54</w:t>
            </w:r>
          </w:p>
        </w:tc>
        <w:tc>
          <w:tcPr>
            <w:tcW w:w="2551" w:type="dxa"/>
            <w:vAlign w:val="center"/>
          </w:tcPr>
          <w:p>
            <w:pPr>
              <w:pStyle w:val="12"/>
            </w:pPr>
            <w:r>
              <w:t>2.54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30309</w:t>
            </w:r>
          </w:p>
        </w:tc>
        <w:tc>
          <w:tcPr>
            <w:tcW w:w="4535" w:type="dxa"/>
            <w:vAlign w:val="center"/>
          </w:tcPr>
          <w:p>
            <w:pPr>
              <w:pStyle w:val="13"/>
              <w:rPr>
                <w:rFonts w:cs="Times New Roman"/>
              </w:rPr>
            </w:pPr>
            <w:r>
              <w:rPr>
                <w:rFonts w:hint="eastAsia"/>
              </w:rPr>
              <w:t>奖励金</w:t>
            </w:r>
          </w:p>
        </w:tc>
        <w:tc>
          <w:tcPr>
            <w:tcW w:w="2551" w:type="dxa"/>
            <w:vAlign w:val="center"/>
          </w:tcPr>
          <w:p>
            <w:pPr>
              <w:pStyle w:val="12"/>
            </w:pPr>
            <w:r>
              <w:t>0.07</w:t>
            </w:r>
          </w:p>
        </w:tc>
        <w:tc>
          <w:tcPr>
            <w:tcW w:w="2551" w:type="dxa"/>
            <w:vAlign w:val="center"/>
          </w:tcPr>
          <w:p>
            <w:pPr>
              <w:pStyle w:val="12"/>
            </w:pPr>
            <w:r>
              <w:t>0.07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30399</w:t>
            </w:r>
          </w:p>
        </w:tc>
        <w:tc>
          <w:tcPr>
            <w:tcW w:w="4535" w:type="dxa"/>
            <w:vAlign w:val="center"/>
          </w:tcPr>
          <w:p>
            <w:pPr>
              <w:pStyle w:val="13"/>
              <w:rPr>
                <w:rFonts w:cs="Times New Roman"/>
              </w:rPr>
            </w:pPr>
            <w:r>
              <w:rPr>
                <w:rFonts w:hint="eastAsia"/>
              </w:rPr>
              <w:t>其他对个人和家庭的补助</w:t>
            </w:r>
          </w:p>
        </w:tc>
        <w:tc>
          <w:tcPr>
            <w:tcW w:w="2551" w:type="dxa"/>
            <w:vAlign w:val="center"/>
          </w:tcPr>
          <w:p>
            <w:pPr>
              <w:pStyle w:val="12"/>
            </w:pPr>
            <w:r>
              <w:t>0.43</w:t>
            </w:r>
          </w:p>
        </w:tc>
        <w:tc>
          <w:tcPr>
            <w:tcW w:w="2551" w:type="dxa"/>
            <w:vAlign w:val="center"/>
          </w:tcPr>
          <w:p>
            <w:pPr>
              <w:pStyle w:val="12"/>
            </w:pPr>
            <w:r>
              <w:t>0.43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szCs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cs="Times New Roman"/>
              </w:rPr>
            </w:pPr>
            <w:r>
              <w:t>450</w:t>
            </w:r>
            <w:r>
              <w:rPr>
                <w:rFonts w:hint="eastAsia"/>
              </w:rPr>
              <w:t>医保部门</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cs="Times New Roman"/>
              </w:rPr>
            </w:pPr>
            <w:r>
              <w:rPr>
                <w:rFonts w:hint="eastAsia"/>
              </w:rPr>
              <w:t>序号</w:t>
            </w:r>
          </w:p>
        </w:tc>
        <w:tc>
          <w:tcPr>
            <w:tcW w:w="5726" w:type="dxa"/>
            <w:gridSpan w:val="2"/>
            <w:vAlign w:val="center"/>
          </w:tcPr>
          <w:p>
            <w:pPr>
              <w:pStyle w:val="11"/>
              <w:rPr>
                <w:rFonts w:cs="Times New Roman"/>
              </w:rPr>
            </w:pPr>
            <w:r>
              <w:rPr>
                <w:rFonts w:hint="eastAsia"/>
              </w:rPr>
              <w:t>功能分类科目</w:t>
            </w:r>
          </w:p>
        </w:tc>
        <w:tc>
          <w:tcPr>
            <w:tcW w:w="2551" w:type="dxa"/>
            <w:vMerge w:val="restart"/>
            <w:vAlign w:val="center"/>
          </w:tcPr>
          <w:p>
            <w:pPr>
              <w:pStyle w:val="11"/>
              <w:rPr>
                <w:rFonts w:cs="Times New Roman"/>
              </w:rPr>
            </w:pPr>
            <w:r>
              <w:rPr>
                <w:rFonts w:hint="eastAsia"/>
              </w:rPr>
              <w:t>合计</w:t>
            </w:r>
          </w:p>
        </w:tc>
        <w:tc>
          <w:tcPr>
            <w:tcW w:w="2551" w:type="dxa"/>
            <w:vMerge w:val="restart"/>
            <w:vAlign w:val="center"/>
          </w:tcPr>
          <w:p>
            <w:pPr>
              <w:pStyle w:val="11"/>
              <w:rPr>
                <w:rFonts w:cs="Times New Roman"/>
              </w:rPr>
            </w:pPr>
            <w:r>
              <w:rPr>
                <w:rFonts w:hint="eastAsia"/>
              </w:rPr>
              <w:t>基本支出</w:t>
            </w:r>
          </w:p>
        </w:tc>
        <w:tc>
          <w:tcPr>
            <w:tcW w:w="2551" w:type="dxa"/>
            <w:vMerge w:val="restart"/>
            <w:vAlign w:val="center"/>
          </w:tcPr>
          <w:p>
            <w:pPr>
              <w:pStyle w:val="11"/>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rPr>
                <w:rFonts w:cs="Times New Roman"/>
              </w:rPr>
            </w:pPr>
            <w:r>
              <w:rPr>
                <w:rFonts w:hint="eastAsia"/>
              </w:rPr>
              <w:t>科目编码</w:t>
            </w:r>
          </w:p>
        </w:tc>
        <w:tc>
          <w:tcPr>
            <w:tcW w:w="4535" w:type="dxa"/>
            <w:vAlign w:val="center"/>
          </w:tcPr>
          <w:p>
            <w:pPr>
              <w:pStyle w:val="11"/>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cs="Times New Roman"/>
              </w:rPr>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cs="Times New Roman"/>
              </w:rPr>
            </w:pPr>
          </w:p>
        </w:tc>
        <w:tc>
          <w:tcPr>
            <w:tcW w:w="1191" w:type="dxa"/>
            <w:vAlign w:val="center"/>
          </w:tcPr>
          <w:p>
            <w:pPr>
              <w:pStyle w:val="13"/>
              <w:rPr>
                <w:rFonts w:cs="Times New Roman"/>
              </w:rPr>
            </w:pPr>
          </w:p>
        </w:tc>
        <w:tc>
          <w:tcPr>
            <w:tcW w:w="4535" w:type="dxa"/>
            <w:vAlign w:val="center"/>
          </w:tcPr>
          <w:p>
            <w:pPr>
              <w:pStyle w:val="13"/>
              <w:rPr>
                <w:rFonts w:cs="Times New Roman"/>
              </w:rPr>
            </w:pPr>
          </w:p>
        </w:tc>
        <w:tc>
          <w:tcPr>
            <w:tcW w:w="2551" w:type="dxa"/>
            <w:vAlign w:val="center"/>
          </w:tcPr>
          <w:p>
            <w:pPr>
              <w:pStyle w:val="12"/>
              <w:rPr>
                <w:rFonts w:cs="Times New Roman"/>
              </w:rPr>
            </w:pPr>
          </w:p>
        </w:tc>
        <w:tc>
          <w:tcPr>
            <w:tcW w:w="2551" w:type="dxa"/>
            <w:vAlign w:val="center"/>
          </w:tcPr>
          <w:p>
            <w:pPr>
              <w:pStyle w:val="12"/>
              <w:rPr>
                <w:rFonts w:cs="Times New Roman"/>
              </w:rPr>
            </w:pPr>
          </w:p>
        </w:tc>
        <w:tc>
          <w:tcPr>
            <w:tcW w:w="2551" w:type="dxa"/>
            <w:vAlign w:val="center"/>
          </w:tcPr>
          <w:p>
            <w:pPr>
              <w:pStyle w:val="12"/>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szCs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cs="Times New Roman"/>
              </w:rPr>
            </w:pPr>
            <w:r>
              <w:t>450</w:t>
            </w:r>
            <w:r>
              <w:rPr>
                <w:rFonts w:hint="eastAsia"/>
              </w:rPr>
              <w:t>医保部门</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cs="Times New Roman"/>
              </w:rPr>
            </w:pPr>
            <w:r>
              <w:rPr>
                <w:rFonts w:hint="eastAsia"/>
              </w:rPr>
              <w:t>序号</w:t>
            </w:r>
          </w:p>
        </w:tc>
        <w:tc>
          <w:tcPr>
            <w:tcW w:w="5726" w:type="dxa"/>
            <w:gridSpan w:val="2"/>
            <w:vAlign w:val="center"/>
          </w:tcPr>
          <w:p>
            <w:pPr>
              <w:pStyle w:val="11"/>
              <w:rPr>
                <w:rFonts w:cs="Times New Roman"/>
              </w:rPr>
            </w:pPr>
            <w:r>
              <w:rPr>
                <w:rFonts w:hint="eastAsia"/>
              </w:rPr>
              <w:t>功能分类科目</w:t>
            </w:r>
          </w:p>
        </w:tc>
        <w:tc>
          <w:tcPr>
            <w:tcW w:w="2551" w:type="dxa"/>
            <w:vMerge w:val="restart"/>
            <w:vAlign w:val="center"/>
          </w:tcPr>
          <w:p>
            <w:pPr>
              <w:pStyle w:val="11"/>
              <w:rPr>
                <w:rFonts w:cs="Times New Roman"/>
              </w:rPr>
            </w:pPr>
            <w:r>
              <w:rPr>
                <w:rFonts w:hint="eastAsia"/>
              </w:rPr>
              <w:t>合计</w:t>
            </w:r>
          </w:p>
        </w:tc>
        <w:tc>
          <w:tcPr>
            <w:tcW w:w="2551" w:type="dxa"/>
            <w:vMerge w:val="restart"/>
            <w:vAlign w:val="center"/>
          </w:tcPr>
          <w:p>
            <w:pPr>
              <w:pStyle w:val="11"/>
              <w:rPr>
                <w:rFonts w:cs="Times New Roman"/>
              </w:rPr>
            </w:pPr>
            <w:r>
              <w:rPr>
                <w:rFonts w:hint="eastAsia"/>
              </w:rPr>
              <w:t>基本支出</w:t>
            </w:r>
          </w:p>
        </w:tc>
        <w:tc>
          <w:tcPr>
            <w:tcW w:w="2551" w:type="dxa"/>
            <w:vMerge w:val="restart"/>
            <w:vAlign w:val="center"/>
          </w:tcPr>
          <w:p>
            <w:pPr>
              <w:pStyle w:val="11"/>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rPr>
                <w:rFonts w:cs="Times New Roman"/>
              </w:rPr>
            </w:pPr>
            <w:r>
              <w:rPr>
                <w:rFonts w:hint="eastAsia"/>
              </w:rPr>
              <w:t>科目编码</w:t>
            </w:r>
          </w:p>
        </w:tc>
        <w:tc>
          <w:tcPr>
            <w:tcW w:w="4535" w:type="dxa"/>
            <w:vAlign w:val="center"/>
          </w:tcPr>
          <w:p>
            <w:pPr>
              <w:pStyle w:val="11"/>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cs="Times New Roman"/>
              </w:rPr>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cs="Times New Roman"/>
              </w:rPr>
            </w:pPr>
          </w:p>
        </w:tc>
        <w:tc>
          <w:tcPr>
            <w:tcW w:w="1191" w:type="dxa"/>
            <w:vAlign w:val="center"/>
          </w:tcPr>
          <w:p>
            <w:pPr>
              <w:pStyle w:val="13"/>
              <w:rPr>
                <w:rFonts w:cs="Times New Roman"/>
              </w:rPr>
            </w:pPr>
          </w:p>
        </w:tc>
        <w:tc>
          <w:tcPr>
            <w:tcW w:w="4535" w:type="dxa"/>
            <w:vAlign w:val="center"/>
          </w:tcPr>
          <w:p>
            <w:pPr>
              <w:pStyle w:val="13"/>
              <w:rPr>
                <w:rFonts w:cs="Times New Roman"/>
              </w:rPr>
            </w:pPr>
          </w:p>
        </w:tc>
        <w:tc>
          <w:tcPr>
            <w:tcW w:w="2551" w:type="dxa"/>
            <w:vAlign w:val="center"/>
          </w:tcPr>
          <w:p>
            <w:pPr>
              <w:pStyle w:val="12"/>
              <w:rPr>
                <w:rFonts w:cs="Times New Roman"/>
              </w:rPr>
            </w:pPr>
          </w:p>
        </w:tc>
        <w:tc>
          <w:tcPr>
            <w:tcW w:w="2551" w:type="dxa"/>
            <w:vAlign w:val="center"/>
          </w:tcPr>
          <w:p>
            <w:pPr>
              <w:pStyle w:val="12"/>
              <w:rPr>
                <w:rFonts w:cs="Times New Roman"/>
              </w:rPr>
            </w:pPr>
          </w:p>
        </w:tc>
        <w:tc>
          <w:tcPr>
            <w:tcW w:w="2551" w:type="dxa"/>
            <w:vAlign w:val="center"/>
          </w:tcPr>
          <w:p>
            <w:pPr>
              <w:pStyle w:val="12"/>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szCs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rPr>
                <w:rFonts w:cs="Times New Roman"/>
              </w:rPr>
            </w:pPr>
            <w:r>
              <w:t>450</w:t>
            </w:r>
            <w:r>
              <w:rPr>
                <w:rFonts w:hint="eastAsia"/>
              </w:rPr>
              <w:t>医保部门</w:t>
            </w:r>
          </w:p>
        </w:tc>
        <w:tc>
          <w:tcPr>
            <w:tcW w:w="238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cs="Times New Roman"/>
              </w:rPr>
            </w:pPr>
            <w:r>
              <w:rPr>
                <w:rFonts w:hint="eastAsia"/>
              </w:rPr>
              <w:t>序号</w:t>
            </w:r>
          </w:p>
        </w:tc>
        <w:tc>
          <w:tcPr>
            <w:tcW w:w="3798" w:type="dxa"/>
            <w:vMerge w:val="restart"/>
            <w:vAlign w:val="center"/>
          </w:tcPr>
          <w:p>
            <w:pPr>
              <w:pStyle w:val="11"/>
              <w:rPr>
                <w:rFonts w:cs="Times New Roman"/>
              </w:rPr>
            </w:pPr>
            <w:r>
              <w:rPr>
                <w:rFonts w:hint="eastAsia"/>
              </w:rPr>
              <w:t>项</w:t>
            </w:r>
            <w:r>
              <w:t xml:space="preserve">  </w:t>
            </w:r>
            <w:r>
              <w:rPr>
                <w:rFonts w:hint="eastAsia"/>
              </w:rPr>
              <w:t>目</w:t>
            </w:r>
          </w:p>
        </w:tc>
        <w:tc>
          <w:tcPr>
            <w:tcW w:w="9524" w:type="dxa"/>
            <w:gridSpan w:val="4"/>
            <w:vAlign w:val="center"/>
          </w:tcPr>
          <w:p>
            <w:pPr>
              <w:pStyle w:val="11"/>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rPr>
                <w:rFonts w:cs="Times New Roman"/>
              </w:rPr>
            </w:pPr>
            <w:r>
              <w:rPr>
                <w:rFonts w:hint="eastAsia"/>
              </w:rPr>
              <w:t>合计</w:t>
            </w:r>
          </w:p>
        </w:tc>
        <w:tc>
          <w:tcPr>
            <w:tcW w:w="2381" w:type="dxa"/>
            <w:vAlign w:val="center"/>
          </w:tcPr>
          <w:p>
            <w:pPr>
              <w:pStyle w:val="11"/>
              <w:rPr>
                <w:rFonts w:cs="Times New Roman"/>
              </w:rPr>
            </w:pPr>
            <w:r>
              <w:rPr>
                <w:rFonts w:hint="eastAsia"/>
              </w:rPr>
              <w:t>一般公共预算</w:t>
            </w:r>
            <w:r>
              <w:t xml:space="preserve">              </w:t>
            </w:r>
            <w:r>
              <w:rPr>
                <w:rFonts w:hint="eastAsia"/>
              </w:rPr>
              <w:t>财政拨款</w:t>
            </w:r>
          </w:p>
        </w:tc>
        <w:tc>
          <w:tcPr>
            <w:tcW w:w="2381" w:type="dxa"/>
            <w:vAlign w:val="center"/>
          </w:tcPr>
          <w:p>
            <w:pPr>
              <w:pStyle w:val="11"/>
              <w:rPr>
                <w:rFonts w:cs="Times New Roman"/>
              </w:rPr>
            </w:pPr>
            <w:r>
              <w:rPr>
                <w:rFonts w:hint="eastAsia"/>
              </w:rPr>
              <w:t>政府性基金</w:t>
            </w:r>
            <w:r>
              <w:t xml:space="preserve">                  </w:t>
            </w:r>
            <w:r>
              <w:rPr>
                <w:rFonts w:hint="eastAsia"/>
              </w:rPr>
              <w:t>预算拨款</w:t>
            </w:r>
          </w:p>
        </w:tc>
        <w:tc>
          <w:tcPr>
            <w:tcW w:w="2381" w:type="dxa"/>
            <w:vAlign w:val="center"/>
          </w:tcPr>
          <w:p>
            <w:pPr>
              <w:pStyle w:val="11"/>
              <w:rPr>
                <w:rFonts w:cs="Times New Roman"/>
              </w:rPr>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rPr>
                <w:rFonts w:cs="Times New Roman"/>
              </w:rPr>
            </w:pPr>
            <w:r>
              <w:rPr>
                <w:rFonts w:hint="eastAsia"/>
              </w:rP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rPr>
                <w:rFonts w:cs="Times New Roman"/>
              </w:rPr>
            </w:pPr>
            <w:r>
              <w:rPr>
                <w:rFonts w:hint="eastAsia"/>
              </w:rPr>
              <w:t>合计</w:t>
            </w:r>
          </w:p>
        </w:tc>
        <w:tc>
          <w:tcPr>
            <w:tcW w:w="2381" w:type="dxa"/>
            <w:vAlign w:val="center"/>
          </w:tcPr>
          <w:p>
            <w:pPr>
              <w:pStyle w:val="16"/>
            </w:pPr>
            <w:r>
              <w:t>0.25</w:t>
            </w:r>
          </w:p>
        </w:tc>
        <w:tc>
          <w:tcPr>
            <w:tcW w:w="2381" w:type="dxa"/>
            <w:vAlign w:val="center"/>
          </w:tcPr>
          <w:p>
            <w:pPr>
              <w:pStyle w:val="16"/>
            </w:pPr>
            <w:r>
              <w:t>0.25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rPr>
                <w:rFonts w:cs="Times New Roman"/>
              </w:rPr>
            </w:pPr>
            <w:r>
              <w:rPr>
                <w:rFonts w:hint="eastAsia"/>
              </w:rPr>
              <w:t>“三公”经费小计</w:t>
            </w:r>
          </w:p>
        </w:tc>
        <w:tc>
          <w:tcPr>
            <w:tcW w:w="2381" w:type="dxa"/>
            <w:vAlign w:val="center"/>
          </w:tcPr>
          <w:p>
            <w:pPr>
              <w:pStyle w:val="12"/>
            </w:pPr>
            <w:r>
              <w:t>0.07</w:t>
            </w:r>
          </w:p>
        </w:tc>
        <w:tc>
          <w:tcPr>
            <w:tcW w:w="2381" w:type="dxa"/>
            <w:vAlign w:val="center"/>
          </w:tcPr>
          <w:p>
            <w:pPr>
              <w:pStyle w:val="12"/>
            </w:pPr>
            <w:r>
              <w:t>0.07</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rPr>
                <w:rFonts w:cs="Times New Roman"/>
              </w:rPr>
            </w:pPr>
            <w:r>
              <w:rPr>
                <w:rFonts w:hint="eastAsia"/>
              </w:rPr>
              <w:t>一、因公出国（境）费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rPr>
                <w:rFonts w:cs="Times New Roman"/>
              </w:rPr>
            </w:pPr>
            <w:r>
              <w:t xml:space="preserve">    </w:t>
            </w:r>
            <w:r>
              <w:rPr>
                <w:rFonts w:hint="eastAsia"/>
              </w:rPr>
              <w:t>其中：教学科研人员因公出国（境）费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rPr>
                <w:rFonts w:cs="Times New Roman"/>
              </w:rPr>
            </w:pPr>
            <w:r>
              <w:t xml:space="preserve">          </w:t>
            </w:r>
            <w:r>
              <w:rPr>
                <w:rFonts w:hint="eastAsia"/>
              </w:rPr>
              <w:t>其他因公出国（境）费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rPr>
                <w:rFonts w:cs="Times New Roman"/>
              </w:rPr>
            </w:pPr>
            <w:r>
              <w:rPr>
                <w:rFonts w:hint="eastAsia"/>
              </w:rPr>
              <w:t>二、公务用车购置及运维费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rPr>
                <w:rFonts w:cs="Times New Roman"/>
              </w:rPr>
            </w:pPr>
            <w:r>
              <w:t xml:space="preserve">    </w:t>
            </w:r>
            <w:r>
              <w:rPr>
                <w:rFonts w:hint="eastAsia"/>
              </w:rPr>
              <w:t>其中：公务用车购置费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rPr>
                <w:rFonts w:cs="Times New Roman"/>
              </w:rPr>
            </w:pPr>
            <w:r>
              <w:t xml:space="preserve">          </w:t>
            </w:r>
            <w:r>
              <w:rPr>
                <w:rFonts w:hint="eastAsia"/>
              </w:rPr>
              <w:t>公务用车运行维护费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rPr>
                <w:rFonts w:cs="Times New Roman"/>
              </w:rPr>
            </w:pPr>
            <w:r>
              <w:rPr>
                <w:rFonts w:hint="eastAsia"/>
              </w:rPr>
              <w:t>三、公务接待费</w:t>
            </w:r>
          </w:p>
        </w:tc>
        <w:tc>
          <w:tcPr>
            <w:tcW w:w="2381" w:type="dxa"/>
            <w:vAlign w:val="center"/>
          </w:tcPr>
          <w:p>
            <w:pPr>
              <w:pStyle w:val="12"/>
            </w:pPr>
            <w:r>
              <w:t>0.07</w:t>
            </w:r>
          </w:p>
        </w:tc>
        <w:tc>
          <w:tcPr>
            <w:tcW w:w="2381" w:type="dxa"/>
            <w:vAlign w:val="center"/>
          </w:tcPr>
          <w:p>
            <w:pPr>
              <w:pStyle w:val="12"/>
            </w:pPr>
            <w:r>
              <w:t>0.07</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rPr>
                <w:rFonts w:cs="Times New Roman"/>
              </w:rPr>
            </w:pPr>
            <w:r>
              <w:rPr>
                <w:rFonts w:hint="eastAsia"/>
              </w:rPr>
              <w:t>四、会议费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rPr>
                <w:rFonts w:cs="Times New Roman"/>
              </w:rPr>
            </w:pPr>
            <w:r>
              <w:t xml:space="preserve">    </w:t>
            </w:r>
            <w:r>
              <w:rPr>
                <w:rFonts w:hint="eastAsia"/>
              </w:rPr>
              <w:t>其中：省属高校业务性会议费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rPr>
                <w:rFonts w:cs="Times New Roman"/>
              </w:rPr>
            </w:pPr>
            <w:r>
              <w:t xml:space="preserve">          </w:t>
            </w:r>
            <w:r>
              <w:rPr>
                <w:rFonts w:hint="eastAsia"/>
              </w:rPr>
              <w:t>其他会议费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rPr>
                <w:rFonts w:cs="Times New Roman"/>
              </w:rPr>
            </w:pPr>
            <w:r>
              <w:rPr>
                <w:rFonts w:hint="eastAsia"/>
              </w:rPr>
              <w:t>五、培训费</w:t>
            </w:r>
          </w:p>
        </w:tc>
        <w:tc>
          <w:tcPr>
            <w:tcW w:w="2381" w:type="dxa"/>
            <w:vAlign w:val="center"/>
          </w:tcPr>
          <w:p>
            <w:pPr>
              <w:pStyle w:val="12"/>
            </w:pPr>
            <w:r>
              <w:t>0.18</w:t>
            </w:r>
          </w:p>
        </w:tc>
        <w:tc>
          <w:tcPr>
            <w:tcW w:w="2381" w:type="dxa"/>
            <w:vAlign w:val="center"/>
          </w:tcPr>
          <w:p>
            <w:pPr>
              <w:pStyle w:val="12"/>
            </w:pPr>
            <w:r>
              <w:t>0.18</w:t>
            </w: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szCs w:val="21"/>
        </w:rPr>
        <w:t>第一部分</w:t>
      </w:r>
      <w:r>
        <w:rPr>
          <w:rFonts w:ascii="方正书宋_GBK" w:hAnsi="方正书宋_GBK" w:eastAsia="方正书宋_GBK" w:cs="方正书宋_GBK"/>
          <w:color w:val="FFFFFF"/>
          <w:sz w:val="21"/>
          <w:szCs w:val="21"/>
        </w:rPr>
        <w:t xml:space="preserve">  </w:t>
      </w:r>
      <w:r>
        <w:rPr>
          <w:rFonts w:hint="eastAsia" w:ascii="方正书宋_GBK" w:hAnsi="方正书宋_GBK" w:eastAsia="方正书宋_GBK" w:cs="方正书宋_GBK"/>
          <w:color w:val="FFFFFF"/>
          <w:sz w:val="21"/>
          <w:szCs w:val="21"/>
        </w:rPr>
        <w:t>医保部门</w:t>
      </w:r>
      <w:r>
        <w:rPr>
          <w:rFonts w:ascii="方正书宋_GBK" w:hAnsi="方正书宋_GBK" w:eastAsia="方正书宋_GBK" w:cs="方正书宋_GBK"/>
          <w:color w:val="FFFFFF"/>
          <w:sz w:val="21"/>
          <w:szCs w:val="21"/>
        </w:rPr>
        <w:t>2024</w:t>
      </w:r>
      <w:r>
        <w:rPr>
          <w:rFonts w:hint="eastAsia" w:ascii="方正书宋_GBK" w:hAnsi="方正书宋_GBK" w:eastAsia="方正书宋_GBK" w:cs="方正书宋_GBK"/>
          <w:color w:val="FFFFFF"/>
          <w:sz w:val="21"/>
          <w:szCs w:val="21"/>
        </w:rPr>
        <w:t>年部门预算信息公开情况说明</w:t>
      </w:r>
    </w:p>
    <w:p>
      <w:pPr>
        <w:jc w:val="center"/>
      </w:pPr>
      <w:r>
        <w:rPr>
          <w:rFonts w:hint="eastAsia" w:ascii="方正小标宋_GBK" w:hAnsi="方正小标宋_GBK" w:eastAsia="方正小标宋_GBK" w:cs="方正小标宋_GBK"/>
          <w:color w:val="000000"/>
          <w:sz w:val="44"/>
          <w:szCs w:val="44"/>
        </w:rPr>
        <w:t>医保部门</w:t>
      </w:r>
      <w:r>
        <w:rPr>
          <w:rFonts w:ascii="方正小标宋_GBK" w:hAnsi="方正小标宋_GBK" w:eastAsia="方正小标宋_GBK" w:cs="方正小标宋_GBK"/>
          <w:color w:val="000000"/>
          <w:sz w:val="44"/>
          <w:szCs w:val="44"/>
        </w:rPr>
        <w:t>2024</w:t>
      </w:r>
      <w:r>
        <w:rPr>
          <w:rFonts w:hint="eastAsia" w:ascii="方正小标宋_GBK" w:hAnsi="方正小标宋_GBK" w:eastAsia="方正小标宋_GBK" w:cs="方正小标宋_GBK"/>
          <w:color w:val="000000"/>
          <w:sz w:val="44"/>
          <w:szCs w:val="44"/>
        </w:rPr>
        <w:t>年部门预算信息公开情况说明</w:t>
      </w:r>
    </w:p>
    <w:p>
      <w:pPr>
        <w:spacing w:line="500" w:lineRule="exact"/>
        <w:ind w:firstLine="560"/>
      </w:pPr>
      <w:r>
        <w:rPr>
          <w:rFonts w:hint="eastAsia" w:eastAsia="方正仿宋_GBK" w:cs="方正仿宋_GBK"/>
          <w:color w:val="000000"/>
          <w:sz w:val="28"/>
          <w:szCs w:val="28"/>
        </w:rPr>
        <w:t>按照《中华人民共和国预算法》、《地方预决算公开操作规程》和《关于进一步推进预算公开工作的实施意见》规定，现将医保部门</w:t>
      </w:r>
      <w:r>
        <w:rPr>
          <w:rFonts w:eastAsia="方正仿宋_GBK"/>
          <w:color w:val="000000"/>
          <w:sz w:val="28"/>
          <w:szCs w:val="28"/>
        </w:rPr>
        <w:t>2024</w:t>
      </w:r>
      <w:r>
        <w:rPr>
          <w:rFonts w:hint="eastAsia" w:eastAsia="方正仿宋_GBK" w:cs="方正仿宋_GBK"/>
          <w:color w:val="000000"/>
          <w:sz w:val="28"/>
          <w:szCs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szCs w:val="32"/>
        </w:rPr>
        <w:t>一、部门职责及机构设置情况</w:t>
      </w:r>
      <w:bookmarkEnd w:id="9"/>
    </w:p>
    <w:p>
      <w:pPr>
        <w:ind w:firstLine="640"/>
      </w:pPr>
      <w:r>
        <w:rPr>
          <w:rFonts w:hint="eastAsia" w:ascii="方正楷体_GBK" w:hAnsi="方正楷体_GBK" w:eastAsia="方正楷体_GBK" w:cs="方正楷体_GBK"/>
          <w:b/>
          <w:bCs/>
          <w:color w:val="000000"/>
          <w:sz w:val="32"/>
          <w:szCs w:val="32"/>
        </w:rPr>
        <w:t>部门职责：</w:t>
      </w:r>
    </w:p>
    <w:p>
      <w:pPr>
        <w:pStyle w:val="18"/>
      </w:pPr>
    </w:p>
    <w:p>
      <w:pPr>
        <w:ind w:firstLine="640"/>
      </w:pPr>
      <w:r>
        <w:rPr>
          <w:rFonts w:hint="eastAsia" w:ascii="方正楷体_GBK" w:hAnsi="方正楷体_GBK" w:eastAsia="方正楷体_GBK" w:cs="方正楷体_GBK"/>
          <w:b/>
          <w:bCs/>
          <w:color w:val="000000"/>
          <w:sz w:val="32"/>
          <w:szCs w:val="32"/>
        </w:rPr>
        <w:t>机构设置：</w:t>
      </w:r>
    </w:p>
    <w:p>
      <w:pPr>
        <w:jc w:val="center"/>
      </w:pPr>
      <w:r>
        <w:rPr>
          <w:rFonts w:hint="eastAsia" w:ascii="方正小标宋_GBK" w:hAnsi="方正小标宋_GBK" w:eastAsia="方正小标宋_GBK" w:cs="方正小标宋_GBK"/>
          <w:color w:val="000000"/>
          <w:sz w:val="32"/>
          <w:szCs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rPr>
                <w:rFonts w:cs="Times New Roman"/>
              </w:rPr>
            </w:pPr>
            <w:r>
              <w:rPr>
                <w:rFonts w:hint="eastAsia"/>
              </w:rPr>
              <w:t>单位名称</w:t>
            </w:r>
          </w:p>
        </w:tc>
        <w:tc>
          <w:tcPr>
            <w:tcW w:w="1843" w:type="dxa"/>
            <w:vAlign w:val="center"/>
          </w:tcPr>
          <w:p>
            <w:pPr>
              <w:pStyle w:val="11"/>
              <w:rPr>
                <w:rFonts w:cs="Times New Roman"/>
              </w:rPr>
            </w:pPr>
            <w:r>
              <w:rPr>
                <w:rFonts w:hint="eastAsia"/>
              </w:rPr>
              <w:t>单位性质</w:t>
            </w:r>
          </w:p>
        </w:tc>
        <w:tc>
          <w:tcPr>
            <w:tcW w:w="2126" w:type="dxa"/>
            <w:vAlign w:val="center"/>
          </w:tcPr>
          <w:p>
            <w:pPr>
              <w:pStyle w:val="11"/>
              <w:rPr>
                <w:rFonts w:cs="Times New Roman"/>
              </w:rPr>
            </w:pPr>
            <w:r>
              <w:rPr>
                <w:rFonts w:hint="eastAsia"/>
              </w:rPr>
              <w:t>单位规格</w:t>
            </w:r>
          </w:p>
        </w:tc>
        <w:tc>
          <w:tcPr>
            <w:tcW w:w="3827" w:type="dxa"/>
            <w:vAlign w:val="center"/>
          </w:tcPr>
          <w:p>
            <w:pPr>
              <w:pStyle w:val="11"/>
              <w:rPr>
                <w:rFonts w:cs="Times New Roman"/>
              </w:rPr>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rFonts w:cs="Times New Roman"/>
              </w:rPr>
            </w:pPr>
            <w:r>
              <w:rPr>
                <w:rFonts w:hint="eastAsia"/>
              </w:rPr>
              <w:t>医保部门秦皇岛市山海关区医疗保障局本级</w:t>
            </w:r>
          </w:p>
        </w:tc>
        <w:tc>
          <w:tcPr>
            <w:tcW w:w="1843" w:type="dxa"/>
            <w:vAlign w:val="center"/>
          </w:tcPr>
          <w:p>
            <w:pPr>
              <w:pStyle w:val="14"/>
              <w:rPr>
                <w:rFonts w:cs="Times New Roman"/>
              </w:rPr>
            </w:pPr>
            <w:r>
              <w:rPr>
                <w:rFonts w:hint="eastAsia"/>
              </w:rPr>
              <w:t>行政</w:t>
            </w:r>
          </w:p>
        </w:tc>
        <w:tc>
          <w:tcPr>
            <w:tcW w:w="2126" w:type="dxa"/>
            <w:vAlign w:val="center"/>
          </w:tcPr>
          <w:p>
            <w:pPr>
              <w:pStyle w:val="14"/>
              <w:rPr>
                <w:rFonts w:cs="Times New Roman"/>
              </w:rPr>
            </w:pPr>
            <w:r>
              <w:rPr>
                <w:rFonts w:hint="eastAsia"/>
              </w:rPr>
              <w:t>正科级</w:t>
            </w:r>
          </w:p>
        </w:tc>
        <w:tc>
          <w:tcPr>
            <w:tcW w:w="3827" w:type="dxa"/>
            <w:vAlign w:val="center"/>
          </w:tcPr>
          <w:p>
            <w:pPr>
              <w:pStyle w:val="14"/>
              <w:rPr>
                <w:rFonts w:cs="Times New Roman"/>
              </w:rPr>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szCs w:val="32"/>
        </w:rPr>
        <w:t>二、部门预算安排的总体情况</w:t>
      </w:r>
      <w:bookmarkEnd w:id="10"/>
    </w:p>
    <w:p>
      <w:pPr>
        <w:pStyle w:val="19"/>
      </w:pPr>
      <w:r>
        <w:rPr>
          <w:rFonts w:hint="eastAsia" w:cs="方正仿宋_GBK"/>
        </w:rPr>
        <w:t>按照预算管理有关规定，目前部门预算的编制实行综合预算管理，即全部收入和支出都反映在预算中。医保部门机关及所属事业单位的收支包含在部门预算中。</w:t>
      </w:r>
    </w:p>
    <w:p>
      <w:pPr>
        <w:pStyle w:val="19"/>
      </w:pPr>
      <w:r>
        <w:t>1</w:t>
      </w:r>
      <w:r>
        <w:rPr>
          <w:rFonts w:hint="eastAsia" w:cs="方正仿宋_GBK"/>
        </w:rPr>
        <w:t>、收入说明</w:t>
      </w:r>
    </w:p>
    <w:p>
      <w:pPr>
        <w:pStyle w:val="19"/>
      </w:pPr>
      <w:r>
        <w:rPr>
          <w:rFonts w:hint="eastAsia" w:cs="方正仿宋_GBK"/>
        </w:rPr>
        <w:t>反映本部门当年全部收入。</w:t>
      </w:r>
      <w:r>
        <w:t>2024</w:t>
      </w:r>
      <w:r>
        <w:rPr>
          <w:rFonts w:hint="eastAsia" w:cs="方正仿宋_GBK"/>
        </w:rPr>
        <w:t>年预算收入</w:t>
      </w:r>
      <w:r>
        <w:t>436.66</w:t>
      </w:r>
      <w:r>
        <w:rPr>
          <w:rFonts w:hint="eastAsia" w:cs="方正仿宋_GBK"/>
        </w:rPr>
        <w:t>万元，其中：一般公共预算收入</w:t>
      </w:r>
      <w:r>
        <w:t>436.66</w:t>
      </w:r>
      <w:r>
        <w:rPr>
          <w:rFonts w:hint="eastAsia" w:cs="方正仿宋_GBK"/>
        </w:rPr>
        <w:t>万元，基金预算收入</w:t>
      </w:r>
      <w:r>
        <w:t>0.00</w:t>
      </w:r>
      <w:r>
        <w:rPr>
          <w:rFonts w:hint="eastAsia" w:cs="方正仿宋_GBK"/>
        </w:rPr>
        <w:t>万元，国有资本经营预算收入</w:t>
      </w:r>
      <w:r>
        <w:t>0.00</w:t>
      </w:r>
      <w:r>
        <w:rPr>
          <w:rFonts w:hint="eastAsia" w:cs="方正仿宋_GBK"/>
        </w:rPr>
        <w:t>万元，财政专户核拨收入</w:t>
      </w:r>
      <w:r>
        <w:t>0.00</w:t>
      </w:r>
      <w:r>
        <w:rPr>
          <w:rFonts w:hint="eastAsia" w:cs="方正仿宋_GBK"/>
        </w:rPr>
        <w:t>万元，单位资金收入</w:t>
      </w:r>
      <w:r>
        <w:t>0.00</w:t>
      </w:r>
      <w:r>
        <w:rPr>
          <w:rFonts w:hint="eastAsia" w:cs="方正仿宋_GBK"/>
        </w:rPr>
        <w:t>万元，上年结转结余</w:t>
      </w:r>
      <w:r>
        <w:t>0.00</w:t>
      </w:r>
      <w:r>
        <w:rPr>
          <w:rFonts w:hint="eastAsia" w:cs="方正仿宋_GBK"/>
        </w:rPr>
        <w:t>万元。</w:t>
      </w:r>
    </w:p>
    <w:p>
      <w:pPr>
        <w:pStyle w:val="19"/>
      </w:pPr>
      <w:r>
        <w:t>2</w:t>
      </w:r>
      <w:r>
        <w:rPr>
          <w:rFonts w:hint="eastAsia" w:cs="方正仿宋_GBK"/>
        </w:rPr>
        <w:t>、支出说明</w:t>
      </w:r>
    </w:p>
    <w:p>
      <w:pPr>
        <w:pStyle w:val="19"/>
      </w:pPr>
      <w:r>
        <w:rPr>
          <w:rFonts w:hint="eastAsia" w:cs="方正仿宋_GBK"/>
        </w:rPr>
        <w:t>收支预算总表支出栏、基本支出表、项目支出表按经济分类和支出功能分类科目编制，反映医保部门年度部门预算中支出预算的总体情况。</w:t>
      </w:r>
      <w:r>
        <w:t>2024</w:t>
      </w:r>
      <w:r>
        <w:rPr>
          <w:rFonts w:hint="eastAsia" w:cs="方正仿宋_GBK"/>
        </w:rPr>
        <w:t>年支出预算</w:t>
      </w:r>
      <w:r>
        <w:t>436.66</w:t>
      </w:r>
      <w:r>
        <w:rPr>
          <w:rFonts w:hint="eastAsia" w:cs="方正仿宋_GBK"/>
        </w:rPr>
        <w:t>万元，其中基本支出</w:t>
      </w:r>
      <w:r>
        <w:t>260.06</w:t>
      </w:r>
      <w:r>
        <w:rPr>
          <w:rFonts w:hint="eastAsia" w:cs="方正仿宋_GBK"/>
        </w:rPr>
        <w:t>万元，包括人员经费</w:t>
      </w:r>
      <w:r>
        <w:t>245.69</w:t>
      </w:r>
      <w:r>
        <w:rPr>
          <w:rFonts w:hint="eastAsia" w:cs="方正仿宋_GBK"/>
        </w:rPr>
        <w:t>万元和日常公用经费</w:t>
      </w:r>
      <w:r>
        <w:t>14.37</w:t>
      </w:r>
      <w:r>
        <w:rPr>
          <w:rFonts w:hint="eastAsia" w:cs="方正仿宋_GBK"/>
        </w:rPr>
        <w:t>万元；项目支出</w:t>
      </w:r>
      <w:r>
        <w:t>176.60</w:t>
      </w:r>
      <w:r>
        <w:rPr>
          <w:rFonts w:hint="eastAsia" w:cs="方正仿宋_GBK"/>
        </w:rPr>
        <w:t>万元，主要为卫生健康支出</w:t>
      </w:r>
      <w:r>
        <w:t>176.6</w:t>
      </w:r>
      <w:r>
        <w:rPr>
          <w:rFonts w:hint="eastAsia" w:cs="方正仿宋_GBK"/>
        </w:rPr>
        <w:t>万元。</w:t>
      </w:r>
    </w:p>
    <w:p>
      <w:pPr>
        <w:pStyle w:val="19"/>
      </w:pPr>
      <w:r>
        <w:t>3</w:t>
      </w:r>
      <w:r>
        <w:rPr>
          <w:rFonts w:hint="eastAsia" w:cs="方正仿宋_GBK"/>
        </w:rPr>
        <w:t>、比上年增减情况</w:t>
      </w:r>
    </w:p>
    <w:p>
      <w:pPr>
        <w:pStyle w:val="19"/>
      </w:pPr>
      <w:r>
        <w:t>2024</w:t>
      </w:r>
      <w:r>
        <w:rPr>
          <w:rFonts w:hint="eastAsia" w:cs="方正仿宋_GBK"/>
        </w:rPr>
        <w:t>年预算收支安排</w:t>
      </w:r>
      <w:r>
        <w:t>436.66</w:t>
      </w:r>
      <w:r>
        <w:rPr>
          <w:rFonts w:hint="eastAsia" w:cs="方正仿宋_GBK"/>
        </w:rPr>
        <w:t>万元，较</w:t>
      </w:r>
      <w:r>
        <w:t>2023</w:t>
      </w:r>
      <w:r>
        <w:rPr>
          <w:rFonts w:hint="eastAsia" w:cs="方正仿宋_GBK"/>
        </w:rPr>
        <w:t>年预算增加</w:t>
      </w:r>
      <w:r>
        <w:t>3.18</w:t>
      </w:r>
      <w:r>
        <w:rPr>
          <w:rFonts w:hint="eastAsia" w:cs="方正仿宋_GBK"/>
        </w:rPr>
        <w:t>万元，其中：基本支出减少</w:t>
      </w:r>
      <w:r>
        <w:t>7.42</w:t>
      </w:r>
      <w:r>
        <w:rPr>
          <w:rFonts w:hint="eastAsia" w:cs="方正仿宋_GBK"/>
        </w:rPr>
        <w:t>万元，主要为单位压减支出。项目支出增加</w:t>
      </w:r>
      <w:r>
        <w:t>10.60</w:t>
      </w:r>
      <w:r>
        <w:rPr>
          <w:rFonts w:hint="eastAsia" w:cs="方正仿宋_GBK"/>
        </w:rPr>
        <w:t>万元，主要为新增保险核查费项目。</w:t>
      </w:r>
    </w:p>
    <w:p>
      <w:pPr>
        <w:spacing w:before="10" w:after="10" w:line="360" w:lineRule="auto"/>
        <w:ind w:firstLine="640"/>
        <w:outlineLvl w:val="2"/>
      </w:pPr>
      <w:bookmarkStart w:id="11" w:name="_Toc_3_3_0000000012"/>
      <w:r>
        <w:rPr>
          <w:rFonts w:hint="eastAsia" w:ascii="黑体" w:hAnsi="黑体" w:eastAsia="黑体" w:cs="黑体"/>
          <w:color w:val="000000"/>
          <w:sz w:val="32"/>
          <w:szCs w:val="32"/>
        </w:rPr>
        <w:t>三、机关运行经费安排情况</w:t>
      </w:r>
      <w:bookmarkEnd w:id="11"/>
    </w:p>
    <w:p>
      <w:pPr>
        <w:pStyle w:val="20"/>
      </w:pPr>
      <w:r>
        <w:t>2024</w:t>
      </w:r>
      <w:r>
        <w:rPr>
          <w:rFonts w:hint="eastAsia" w:cs="方正仿宋_GBK"/>
        </w:rPr>
        <w:t>年，我部门机关运行经费共计安排</w:t>
      </w:r>
      <w:r>
        <w:rPr>
          <w:rFonts w:hint="eastAsia"/>
          <w:lang w:val="en-US" w:eastAsia="zh-CN"/>
        </w:rPr>
        <w:t>14.37</w:t>
      </w:r>
      <w:r>
        <w:rPr>
          <w:rFonts w:hint="eastAsia" w:cs="方正仿宋_GBK"/>
        </w:rPr>
        <w:t>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szCs w:val="32"/>
        </w:rPr>
        <w:t>四、财政拨款“三公”经费预算情况及增减变化原因</w:t>
      </w:r>
      <w:bookmarkEnd w:id="12"/>
    </w:p>
    <w:p>
      <w:pPr>
        <w:pStyle w:val="21"/>
      </w:pPr>
      <w:r>
        <w:t>2024</w:t>
      </w:r>
      <w:r>
        <w:rPr>
          <w:rFonts w:hint="eastAsia" w:cs="方正仿宋_GBK"/>
        </w:rPr>
        <w:t>年，我部门财政拨款</w:t>
      </w:r>
      <w:r>
        <w:t>“</w:t>
      </w:r>
      <w:r>
        <w:rPr>
          <w:rFonts w:hint="eastAsia" w:cs="方正仿宋_GBK"/>
        </w:rPr>
        <w:t>三公</w:t>
      </w:r>
      <w:r>
        <w:t>”</w:t>
      </w:r>
      <w:r>
        <w:rPr>
          <w:rFonts w:hint="eastAsia" w:cs="方正仿宋_GBK"/>
        </w:rPr>
        <w:t>经费预算安排</w:t>
      </w:r>
      <w:r>
        <w:t>0.0</w:t>
      </w:r>
      <w:r>
        <w:rPr>
          <w:rFonts w:hint="eastAsia"/>
          <w:lang w:val="en-US" w:eastAsia="zh-CN"/>
        </w:rPr>
        <w:t>7</w:t>
      </w:r>
      <w:r>
        <w:rPr>
          <w:rFonts w:hint="eastAsia" w:cs="方正仿宋_GBK"/>
        </w:rPr>
        <w:t>万元，其中因公出国（境）费</w:t>
      </w:r>
      <w:r>
        <w:t>0.00</w:t>
      </w:r>
      <w:r>
        <w:rPr>
          <w:rFonts w:hint="eastAsia" w:cs="方正仿宋_GBK"/>
        </w:rPr>
        <w:t>万元；公务用车购置及运维费</w:t>
      </w:r>
      <w:r>
        <w:t>0.00</w:t>
      </w:r>
      <w:r>
        <w:rPr>
          <w:rFonts w:hint="eastAsia" w:cs="方正仿宋_GBK"/>
        </w:rPr>
        <w:t>万元（其中：公务用车购置费为</w:t>
      </w:r>
      <w:r>
        <w:t>0.00</w:t>
      </w:r>
      <w:r>
        <w:rPr>
          <w:rFonts w:hint="eastAsia" w:cs="方正仿宋_GBK"/>
        </w:rPr>
        <w:t>万元，公务用车运维费</w:t>
      </w:r>
      <w:r>
        <w:t>0.00</w:t>
      </w:r>
      <w:r>
        <w:rPr>
          <w:rFonts w:hint="eastAsia" w:cs="方正仿宋_GBK"/>
        </w:rPr>
        <w:t>万元</w:t>
      </w:r>
      <w:r>
        <w:t>)</w:t>
      </w:r>
      <w:r>
        <w:rPr>
          <w:rFonts w:hint="eastAsia" w:cs="方正仿宋_GBK"/>
        </w:rPr>
        <w:t>；公务接待费</w:t>
      </w:r>
      <w:r>
        <w:t>0.0</w:t>
      </w:r>
      <w:r>
        <w:rPr>
          <w:rFonts w:hint="eastAsia"/>
          <w:lang w:val="en-US" w:eastAsia="zh-CN"/>
        </w:rPr>
        <w:t>7</w:t>
      </w:r>
      <w:r>
        <w:rPr>
          <w:rFonts w:hint="eastAsia" w:cs="方正仿宋_GBK"/>
        </w:rPr>
        <w:t>万元。与</w:t>
      </w:r>
      <w:r>
        <w:t>2023</w:t>
      </w:r>
      <w:r>
        <w:rPr>
          <w:rFonts w:hint="eastAsia" w:cs="方正仿宋_GBK"/>
        </w:rPr>
        <w:t>年相比增加</w:t>
      </w:r>
      <w:r>
        <w:t>0.00</w:t>
      </w:r>
      <w:r>
        <w:rPr>
          <w:rFonts w:hint="eastAsia" w:cs="方正仿宋_GBK"/>
        </w:rPr>
        <w:t>万元，增减变化的主要原因是严格按照三公经费预算要求，切实落实勤俭节约各项规定，严格控制支出。</w:t>
      </w:r>
    </w:p>
    <w:p>
      <w:pPr>
        <w:spacing w:before="10" w:after="10" w:line="360" w:lineRule="auto"/>
        <w:ind w:firstLine="640"/>
        <w:outlineLvl w:val="2"/>
      </w:pPr>
      <w:bookmarkStart w:id="13" w:name="_Toc_3_3_0000000014"/>
      <w:r>
        <w:rPr>
          <w:rFonts w:hint="eastAsia" w:ascii="黑体" w:hAnsi="黑体" w:eastAsia="黑体" w:cs="黑体"/>
          <w:color w:val="000000"/>
          <w:sz w:val="32"/>
          <w:szCs w:val="32"/>
        </w:rPr>
        <w:t>五、部门整体绩效目标</w:t>
      </w:r>
      <w:bookmarkEnd w:id="13"/>
    </w:p>
    <w:p>
      <w:pPr>
        <w:spacing w:line="500" w:lineRule="exact"/>
        <w:ind w:firstLine="560"/>
      </w:pPr>
      <w:r>
        <w:rPr>
          <w:rFonts w:hint="eastAsia" w:eastAsia="方正仿宋_GBK" w:cs="方正仿宋_GBK"/>
          <w:color w:val="000000"/>
          <w:sz w:val="28"/>
          <w:szCs w:val="28"/>
        </w:rPr>
        <w:t>（一）总体绩效目标</w:t>
      </w:r>
    </w:p>
    <w:p>
      <w:pPr>
        <w:pStyle w:val="22"/>
      </w:pPr>
      <w:r>
        <w:rPr>
          <w:rFonts w:hint="eastAsia" w:cs="方正仿宋_GBK"/>
        </w:rPr>
        <w:t>我局以担当、负责、尽责的工作实际，认真贯彻落实习近平总书记对医保工作重要指示精神，推动党中央以及省市区委关于医保工作的决策部署落地落实，持续提高医疗保障水平。</w:t>
      </w:r>
    </w:p>
    <w:p>
      <w:pPr>
        <w:pStyle w:val="22"/>
      </w:pPr>
      <w:r>
        <w:rPr>
          <w:rFonts w:hint="eastAsia" w:cs="方正仿宋_GBK"/>
        </w:rPr>
        <w:t>一是落实城乡居民基本医保和大病保险制度，提升管理水平和运行质量，确保实现</w:t>
      </w:r>
      <w:r>
        <w:t>“</w:t>
      </w:r>
      <w:r>
        <w:rPr>
          <w:rFonts w:hint="eastAsia" w:cs="方正仿宋_GBK"/>
        </w:rPr>
        <w:t>六统一</w:t>
      </w:r>
      <w:r>
        <w:t>”</w:t>
      </w:r>
      <w:r>
        <w:rPr>
          <w:rFonts w:hint="eastAsia" w:cs="方正仿宋_GBK"/>
        </w:rPr>
        <w:t>。</w:t>
      </w:r>
      <w:r>
        <w:t xml:space="preserve"> </w:t>
      </w:r>
    </w:p>
    <w:p>
      <w:pPr>
        <w:pStyle w:val="22"/>
      </w:pPr>
      <w:r>
        <w:rPr>
          <w:rFonts w:hint="eastAsia" w:cs="方正仿宋_GBK"/>
        </w:rPr>
        <w:t>二是按照市局统一部署，全面推开生育保险和职工基本医保合并实施工作，确保两险合并在我区平稳实施。</w:t>
      </w:r>
    </w:p>
    <w:p>
      <w:pPr>
        <w:pStyle w:val="22"/>
      </w:pPr>
      <w:r>
        <w:rPr>
          <w:rFonts w:hint="eastAsia" w:cs="方正仿宋_GBK"/>
        </w:rPr>
        <w:t>三是联合区税务部门做好医保基金征缴，确保应缴尽缴，应收尽收，使基金运行始终保持持续平稳状态。</w:t>
      </w:r>
    </w:p>
    <w:p>
      <w:pPr>
        <w:pStyle w:val="22"/>
      </w:pPr>
      <w:r>
        <w:rPr>
          <w:rFonts w:hint="eastAsia" w:cs="方正仿宋_GBK"/>
        </w:rPr>
        <w:t>四是严把医保基金支付关，严格执行规定的基本医疗保险药品目录、医疗服务项目目录、医疗服务设施标准范围，加强医疗费用审核、结算、支付管理，凡不符合规定的费用，坚决不予报销，从源头控制和避免医保基金的浪费，遏制基金的不合理支出，切实保障医保基金安全运行。</w:t>
      </w:r>
    </w:p>
    <w:p>
      <w:pPr>
        <w:pStyle w:val="22"/>
      </w:pPr>
      <w:r>
        <w:rPr>
          <w:rFonts w:hint="eastAsia" w:cs="方正仿宋_GBK"/>
        </w:rPr>
        <w:t>五是持续开展防范化解医疗保障基金支付风险工作。按照源头治理、多重监管、联合惩戒</w:t>
      </w:r>
      <w:r>
        <w:t>“</w:t>
      </w:r>
      <w:r>
        <w:rPr>
          <w:rFonts w:hint="eastAsia" w:cs="方正仿宋_GBK"/>
        </w:rPr>
        <w:t>三位一体</w:t>
      </w:r>
      <w:r>
        <w:t>”</w:t>
      </w:r>
      <w:r>
        <w:rPr>
          <w:rFonts w:hint="eastAsia" w:cs="方正仿宋_GBK"/>
        </w:rPr>
        <w:t>的基金监管模式，细化监管任务，分解工作责任，拧紧责任链条，全面排查隐患，集中开展整治，健全防控机制。对定点医药机构进行随机抽查检查，坚决做到对违反医保政策和协议的</w:t>
      </w:r>
      <w:r>
        <w:t>“</w:t>
      </w:r>
      <w:r>
        <w:rPr>
          <w:rFonts w:hint="eastAsia" w:cs="方正仿宋_GBK"/>
        </w:rPr>
        <w:t>零容忍</w:t>
      </w:r>
      <w:r>
        <w:t>”</w:t>
      </w:r>
      <w:r>
        <w:rPr>
          <w:rFonts w:hint="eastAsia" w:cs="方正仿宋_GBK"/>
        </w:rPr>
        <w:t>，确保医保基金安全稳健运行。</w:t>
      </w:r>
    </w:p>
    <w:p>
      <w:pPr>
        <w:pStyle w:val="22"/>
      </w:pPr>
      <w:r>
        <w:rPr>
          <w:rFonts w:hint="eastAsia" w:cs="方正仿宋_GBK"/>
        </w:rPr>
        <w:t>六是加快推进标准化和信息化建设。按照市局统一部署，结合我区实际，一是稳步推进医疗保险基金智能化监管系统。二是做好与全省统一医保信息管理系统的对接工作。</w:t>
      </w:r>
    </w:p>
    <w:p>
      <w:pPr>
        <w:pStyle w:val="22"/>
      </w:pPr>
      <w:r>
        <w:rPr>
          <w:rFonts w:hint="eastAsia" w:cs="方正仿宋_GBK"/>
        </w:rPr>
        <w:t>七是健全医疗救助工作机制，切实减轻困难群众医疗费用负担。制定完善具体的医疗救助办法，做好救助对象的核对和信息对接，不断加大重特大疾病医疗救助力度，切实提高医疗救助资金保障能力。</w:t>
      </w:r>
    </w:p>
    <w:p>
      <w:pPr>
        <w:pStyle w:val="22"/>
      </w:pPr>
      <w:r>
        <w:rPr>
          <w:rFonts w:hint="eastAsia" w:cs="方正仿宋_GBK"/>
        </w:rPr>
        <w:t>八是探索实施</w:t>
      </w:r>
      <w:r>
        <w:t>“</w:t>
      </w:r>
      <w:r>
        <w:rPr>
          <w:rFonts w:hint="eastAsia" w:cs="方正仿宋_GBK"/>
        </w:rPr>
        <w:t>医联体</w:t>
      </w:r>
      <w:r>
        <w:t>”</w:t>
      </w:r>
      <w:r>
        <w:rPr>
          <w:rFonts w:hint="eastAsia" w:cs="方正仿宋_GBK"/>
        </w:rPr>
        <w:t>药品招采模式。充分借助我区医联体</w:t>
      </w:r>
      <w:r>
        <w:t>“</w:t>
      </w:r>
      <w:r>
        <w:rPr>
          <w:rFonts w:hint="eastAsia" w:cs="方正仿宋_GBK"/>
        </w:rPr>
        <w:t>上下联动、分工协作、防治结合</w:t>
      </w:r>
      <w:r>
        <w:t>”</w:t>
      </w:r>
      <w:r>
        <w:rPr>
          <w:rFonts w:hint="eastAsia" w:cs="方正仿宋_GBK"/>
        </w:rPr>
        <w:t>的医疗资源优势，探索建立由牵头医院统招统发统付的药品招采模式，推动实现药品在医联体医院间的流通和共享，促进我区定点医疗机构药品招采体系的逐步形成。</w:t>
      </w:r>
    </w:p>
    <w:p>
      <w:pPr>
        <w:spacing w:line="500" w:lineRule="exact"/>
        <w:ind w:firstLine="560"/>
      </w:pPr>
      <w:r>
        <w:rPr>
          <w:rFonts w:hint="eastAsia" w:eastAsia="方正仿宋_GBK" w:cs="方正仿宋_GBK"/>
          <w:color w:val="000000"/>
          <w:sz w:val="28"/>
          <w:szCs w:val="28"/>
        </w:rPr>
        <w:t>（二）分项绩效目标</w:t>
      </w:r>
    </w:p>
    <w:p>
      <w:pPr>
        <w:pStyle w:val="23"/>
      </w:pPr>
      <w:r>
        <w:t>1</w:t>
      </w:r>
      <w:r>
        <w:rPr>
          <w:rFonts w:hint="eastAsia" w:cs="方正仿宋_GBK"/>
        </w:rPr>
        <w:t>、医保政务管理。贯彻执行国家颁布的医疗保障政策法规、基本标准和省、市颁布的地方性标准及实施办法。拟定全区城镇职工和城乡居民医疗保险、生育保险、医疗救助等医疗保障发展规划及公务员补助政策、制度。完成区委、区政府交办的其他任务。绩效目标包括：按照省、市、区文件精神抓好政策落实工作；抓好医疗保障政策宣传及党务、政务公开；做好工会和后勤保障工作。绩效指标包括：后勤保障工作完成率。</w:t>
      </w:r>
      <w:r>
        <w:t>90%</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及以下完成指标为差。党务、政务信息主动公开率。</w:t>
      </w:r>
      <w:r>
        <w:t>90%</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及以下完成指标为差。按照省、市、区文件精神，做好各项政策的宣传落实率。</w:t>
      </w:r>
      <w:r>
        <w:t>90%</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w:t>
      </w:r>
    </w:p>
    <w:p>
      <w:pPr>
        <w:pStyle w:val="23"/>
      </w:pPr>
      <w:r>
        <w:t>2</w:t>
      </w:r>
      <w:r>
        <w:rPr>
          <w:rFonts w:hint="eastAsia" w:cs="方正仿宋_GBK"/>
        </w:rPr>
        <w:t>、医药服务管理。组织推进医保支付方式改革。绩效指标包括：全区定点医疗机构申请合格率。；</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w:t>
      </w:r>
    </w:p>
    <w:p>
      <w:pPr>
        <w:pStyle w:val="23"/>
      </w:pPr>
      <w:r>
        <w:rPr>
          <w:rFonts w:hint="eastAsia" w:cs="方正仿宋_GBK"/>
        </w:rPr>
        <w:t>全区药店申请定点合格率；</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及以下完成指标为差。全区申请定点医药机构监督工作；</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w:t>
      </w:r>
    </w:p>
    <w:p>
      <w:pPr>
        <w:pStyle w:val="23"/>
      </w:pPr>
      <w:r>
        <w:t>3</w:t>
      </w:r>
      <w:r>
        <w:rPr>
          <w:rFonts w:hint="eastAsia" w:cs="方正仿宋_GBK"/>
        </w:rPr>
        <w:t>、医药价格和招标采购。绩组织实施区级药品、医用耗材招标采购工作。推进招标采购平台建设。效指标包括：全区定点医疗机构采购药品完成率。</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及以下完成指标为差。按市授权管理区级医院和城市基层卫生医疗机构医疗服务价格工作。</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及以下完成指标为差。全区定点药店采购药品完成率。</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w:t>
      </w:r>
    </w:p>
    <w:p>
      <w:pPr>
        <w:pStyle w:val="23"/>
      </w:pPr>
      <w:r>
        <w:t>4</w:t>
      </w:r>
      <w:r>
        <w:rPr>
          <w:rFonts w:hint="eastAsia" w:cs="方正仿宋_GBK"/>
        </w:rPr>
        <w:t>、基金监管。监督管理纳入医保支付范围的医疗服务行为和医疗费用，规范医保经办业务，依法查处医疗保障领域违法违规行为。绩效指标包括：监督管理全区定点医药机构纳入医保支付范围的医疗服务行为和医疗费用。；</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及以下完成指标为差。全区定点药店合格率；</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及以下完成指标为差。全区定点医疗机构合格率；</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w:t>
      </w:r>
    </w:p>
    <w:p>
      <w:pPr>
        <w:pStyle w:val="23"/>
      </w:pPr>
      <w:r>
        <w:t>5</w:t>
      </w:r>
      <w:r>
        <w:rPr>
          <w:rFonts w:hint="eastAsia" w:cs="方正仿宋_GBK"/>
        </w:rPr>
        <w:t>、待遇保障。按照省、市、区文件精神抓好政医疗保障政策落实工作；做好医疗政策宣传工作；做好医疗救助的宣传及政策落实工作。绩效目标一：推进城乡医疗保险待遇的工作。绩效指标包括：城乡居民医疗保险的到账率；</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及以下完成指标为差。受益对象满意度</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及以下完成指标为差。享受待遇的人数；</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绩效目标二：确保及时准确做好每月的基本医疗保险、生育保险、公务员补助保险的到账，及时地按照业务科室送交的单据进行各种待遇的发放工作。绩效指标包括：基本医疗保险、生育保险、公务员补助保险的到账率</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及以下完成指标为差。基本医疗保险、生育保险、公务员补助保险的待遇支付率</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及以下完成指标为差。受益对象满意度</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绩效目标三：接收个人异地医疗保险金的转移及转移医保金的到账；按照业务送交的个人账户返还结算单及时发放个人账户待遇。绩效指标包括：提高劳动监察结案率；提高劳动监察两网化覆盖率；完成各项专项检查活动。绩效指标包括：个人账户返还待遇的发放率</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及以下完成指标为差。接收个人异地医疗保险金的转移率</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及以下完成指标为差。转移医保金的到账率</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及以下完成指标为差。绩效目标四</w:t>
      </w:r>
      <w:r>
        <w:t xml:space="preserve">: </w:t>
      </w:r>
      <w:r>
        <w:rPr>
          <w:rFonts w:hint="eastAsia" w:cs="方正仿宋_GBK"/>
        </w:rPr>
        <w:t>按文件规定发放护理费用，及时了解享受护理保险的人员生活中存在的困难尽力帮助解决。绩效指标包括：护理费用的发放率（</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及以下完成指标为差。享受待遇的人数。</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及以下完成指标为差。受益对象满意度</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及以下完成指标为差。绩效目标五：按文件规定，及时发放符合救助条件的救助对象的享受待遇。绩效目标包括：受益对象满意度</w:t>
      </w:r>
      <w:r>
        <w:t>(%)</w:t>
      </w:r>
      <w:r>
        <w:rPr>
          <w:rFonts w:hint="eastAsia" w:cs="方正仿宋_GBK"/>
        </w:rPr>
        <w:t>。绩效指标包括：按照省、市、区文件精神，做好各项政策的宣传落实率；</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及以下完成指标为差。补助金发放率</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及以下完成指标为差。补助个人（家庭）数量（人</w:t>
      </w:r>
      <w:r>
        <w:t>/</w:t>
      </w:r>
      <w:r>
        <w:rPr>
          <w:rFonts w:hint="eastAsia" w:cs="方正仿宋_GBK"/>
        </w:rPr>
        <w:t>户）。</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w:t>
      </w:r>
      <w:r>
        <w:t xml:space="preserve">   </w:t>
      </w:r>
    </w:p>
    <w:p>
      <w:pPr>
        <w:spacing w:line="500" w:lineRule="exact"/>
        <w:ind w:firstLine="560"/>
      </w:pPr>
      <w:r>
        <w:rPr>
          <w:rFonts w:hint="eastAsia" w:eastAsia="方正仿宋_GBK" w:cs="方正仿宋_GBK"/>
          <w:color w:val="000000"/>
          <w:sz w:val="28"/>
          <w:szCs w:val="28"/>
        </w:rPr>
        <w:t>（三）工作保障措施</w:t>
      </w:r>
    </w:p>
    <w:p>
      <w:pPr>
        <w:pStyle w:val="24"/>
      </w:pPr>
      <w:r>
        <w:rPr>
          <w:rFonts w:hint="eastAsia" w:cs="方正仿宋_GBK"/>
        </w:rPr>
        <w:t>一、加大宣传力度。突出门诊慢性病评审、药品招采、基金监管、医疗救助等民生领域的政策宣传，及时通过区电视台、区政府官网、官方微信平台等媒体进行公开，为医疗保障事业发展营造良好的社会舆论氛围。</w:t>
      </w:r>
    </w:p>
    <w:p>
      <w:pPr>
        <w:pStyle w:val="24"/>
      </w:pPr>
      <w:r>
        <w:rPr>
          <w:rFonts w:hint="eastAsia" w:cs="方正仿宋_GBK"/>
        </w:rPr>
        <w:t>二、加强规范管理。加快推进医疗保障工作法治化、规范化建设，坚持用制度管事、管权、管人。规范行政许可审批程序，简化审批手续。抓好普法教育，促进干部职工依法行政，树立医疗保障部门公开、公平、公正的良好形象。</w:t>
      </w:r>
    </w:p>
    <w:p>
      <w:pPr>
        <w:pStyle w:val="24"/>
      </w:pPr>
      <w:r>
        <w:rPr>
          <w:rFonts w:hint="eastAsia" w:cs="方正仿宋_GBK"/>
        </w:rPr>
        <w:t>三、坚持民生为本。着眼于方便服务群众，完善服务大厅窗口设置和制度建设，公开办事程序及服务标准，业务上会作为、敢作为、能作为，努力实现窗口服务环境规范化、服务理念人性化和服务程序最优化。</w:t>
      </w:r>
    </w:p>
    <w:p>
      <w:pPr>
        <w:pStyle w:val="24"/>
        <w:sectPr>
          <w:pgSz w:w="16840" w:h="11900" w:orient="landscape"/>
          <w:pgMar w:top="1361" w:right="1020" w:bottom="1361" w:left="1020" w:header="720" w:footer="720" w:gutter="0"/>
          <w:cols w:space="720" w:num="1"/>
        </w:sectPr>
      </w:pPr>
      <w:r>
        <w:rPr>
          <w:rFonts w:hint="eastAsia" w:cs="方正仿宋_GBK"/>
        </w:rPr>
        <w:t>四、优化作风建设。落实</w:t>
      </w:r>
      <w:r>
        <w:t>“</w:t>
      </w:r>
      <w:r>
        <w:rPr>
          <w:rFonts w:hint="eastAsia" w:cs="方正仿宋_GBK"/>
        </w:rPr>
        <w:t>五到四从四多</w:t>
      </w:r>
      <w:r>
        <w:t>”</w:t>
      </w:r>
      <w:r>
        <w:rPr>
          <w:rFonts w:hint="eastAsia" w:cs="方正仿宋_GBK"/>
        </w:rPr>
        <w:t>工作法，积极推行首问负责制、服务承诺制等制度，确保办事过程流畅、规范、便捷。严格执行中央八项规定，准确运用监督执纪</w:t>
      </w:r>
      <w:r>
        <w:t>“</w:t>
      </w:r>
      <w:r>
        <w:rPr>
          <w:rFonts w:hint="eastAsia" w:cs="方正仿宋_GBK"/>
        </w:rPr>
        <w:t>四种形态</w:t>
      </w:r>
      <w:r>
        <w:t>”</w:t>
      </w:r>
      <w:r>
        <w:rPr>
          <w:rFonts w:hint="eastAsia" w:cs="方正仿宋_GBK"/>
        </w:rPr>
        <w:t>，全面开启从严治党新征程。通过设立监督台和意见箱等方式，广泛征求意见建议，赢得群众的理解和支持。</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hint="eastAsia" w:ascii="黑体" w:hAnsi="黑体" w:eastAsia="黑体" w:cs="黑体"/>
          <w:color w:val="000000"/>
          <w:sz w:val="32"/>
          <w:szCs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szCs w:val="32"/>
        </w:rPr>
        <w:t>七、部门项目预算安排情况及绩效目标</w:t>
      </w:r>
      <w:bookmarkEnd w:id="15"/>
    </w:p>
    <w:p>
      <w:pPr>
        <w:ind w:firstLine="560"/>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、基金专项审计及业务费绩效目标表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13030324P000001101934</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基金专项审计及业务费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8.00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8.00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用于保障单位正常运转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4.00</w:t>
            </w:r>
          </w:p>
        </w:tc>
        <w:tc>
          <w:tcPr>
            <w:tcW w:w="2551" w:type="dxa"/>
            <w:vAlign w:val="center"/>
          </w:tcPr>
          <w:p>
            <w:pPr>
              <w:pStyle w:val="14"/>
            </w:pPr>
            <w:r>
              <w:t xml:space="preserve"> </w:t>
            </w:r>
          </w:p>
        </w:tc>
        <w:tc>
          <w:tcPr>
            <w:tcW w:w="3543" w:type="dxa"/>
            <w:gridSpan w:val="2"/>
            <w:vAlign w:val="center"/>
          </w:tcPr>
          <w:p>
            <w:pPr>
              <w:pStyle w:val="14"/>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按时支付基金专项审计及业务费用</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完成率</w:t>
            </w:r>
          </w:p>
        </w:tc>
        <w:tc>
          <w:tcPr>
            <w:tcW w:w="5386" w:type="dxa"/>
            <w:vAlign w:val="center"/>
          </w:tcPr>
          <w:p>
            <w:pPr>
              <w:pStyle w:val="13"/>
              <w:rPr>
                <w:rFonts w:cs="Times New Roman"/>
              </w:rPr>
            </w:pPr>
            <w:r>
              <w:rPr>
                <w:rFonts w:hint="eastAsia"/>
              </w:rPr>
              <w:t>按时缴纳费用</w:t>
            </w:r>
          </w:p>
        </w:tc>
        <w:tc>
          <w:tcPr>
            <w:tcW w:w="2268" w:type="dxa"/>
            <w:vAlign w:val="center"/>
          </w:tcPr>
          <w:p>
            <w:pPr>
              <w:pStyle w:val="13"/>
              <w:rPr>
                <w:rFonts w:cs="Times New Roman"/>
              </w:rPr>
            </w:pPr>
            <w:r>
              <w:rPr>
                <w:rFonts w:hint="eastAsia"/>
              </w:rPr>
              <w:t>按时支付费用</w:t>
            </w:r>
          </w:p>
        </w:tc>
        <w:tc>
          <w:tcPr>
            <w:tcW w:w="1276" w:type="dxa"/>
            <w:vAlign w:val="center"/>
          </w:tcPr>
          <w:p>
            <w:pPr>
              <w:pStyle w:val="13"/>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完成质量</w:t>
            </w:r>
          </w:p>
        </w:tc>
        <w:tc>
          <w:tcPr>
            <w:tcW w:w="5386" w:type="dxa"/>
            <w:vAlign w:val="center"/>
          </w:tcPr>
          <w:p>
            <w:pPr>
              <w:pStyle w:val="13"/>
              <w:rPr>
                <w:rFonts w:cs="Times New Roman"/>
              </w:rPr>
            </w:pPr>
            <w:r>
              <w:rPr>
                <w:rFonts w:hint="eastAsia"/>
              </w:rPr>
              <w:t>足额缴纳</w:t>
            </w:r>
          </w:p>
        </w:tc>
        <w:tc>
          <w:tcPr>
            <w:tcW w:w="2268" w:type="dxa"/>
            <w:vAlign w:val="center"/>
          </w:tcPr>
          <w:p>
            <w:pPr>
              <w:pStyle w:val="13"/>
              <w:rPr>
                <w:rFonts w:cs="Times New Roman"/>
              </w:rPr>
            </w:pPr>
            <w:r>
              <w:rPr>
                <w:rFonts w:hint="eastAsia"/>
              </w:rPr>
              <w:t>足额支付费用</w:t>
            </w:r>
          </w:p>
        </w:tc>
        <w:tc>
          <w:tcPr>
            <w:tcW w:w="1276" w:type="dxa"/>
            <w:vAlign w:val="center"/>
          </w:tcPr>
          <w:p>
            <w:pPr>
              <w:pStyle w:val="13"/>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资金支付及时率</w:t>
            </w:r>
          </w:p>
        </w:tc>
        <w:tc>
          <w:tcPr>
            <w:tcW w:w="5386" w:type="dxa"/>
            <w:vAlign w:val="center"/>
          </w:tcPr>
          <w:p>
            <w:pPr>
              <w:pStyle w:val="13"/>
              <w:rPr>
                <w:rFonts w:cs="Times New Roman"/>
              </w:rPr>
            </w:pPr>
            <w:r>
              <w:rPr>
                <w:rFonts w:hint="eastAsia"/>
              </w:rPr>
              <w:t>资金支付及时率</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控制在预算资金内</w:t>
            </w:r>
          </w:p>
        </w:tc>
        <w:tc>
          <w:tcPr>
            <w:tcW w:w="5386" w:type="dxa"/>
            <w:vAlign w:val="center"/>
          </w:tcPr>
          <w:p>
            <w:pPr>
              <w:pStyle w:val="13"/>
              <w:rPr>
                <w:rFonts w:cs="Times New Roman"/>
              </w:rPr>
            </w:pPr>
            <w:r>
              <w:rPr>
                <w:rFonts w:hint="eastAsia"/>
              </w:rPr>
              <w:t>控制在预算资金内</w:t>
            </w:r>
          </w:p>
        </w:tc>
        <w:tc>
          <w:tcPr>
            <w:tcW w:w="2268" w:type="dxa"/>
            <w:vAlign w:val="center"/>
          </w:tcPr>
          <w:p>
            <w:pPr>
              <w:pStyle w:val="13"/>
              <w:rPr>
                <w:rFonts w:cs="Times New Roman"/>
              </w:rPr>
            </w:pPr>
            <w:r>
              <w:rPr>
                <w:rFonts w:hint="eastAsia"/>
              </w:rPr>
              <w:t>按要求控制在预算内</w:t>
            </w:r>
          </w:p>
        </w:tc>
        <w:tc>
          <w:tcPr>
            <w:tcW w:w="1276" w:type="dxa"/>
            <w:vAlign w:val="center"/>
          </w:tcPr>
          <w:p>
            <w:pPr>
              <w:pStyle w:val="13"/>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经济效益指标</w:t>
            </w:r>
          </w:p>
        </w:tc>
        <w:tc>
          <w:tcPr>
            <w:tcW w:w="2835" w:type="dxa"/>
            <w:vAlign w:val="center"/>
          </w:tcPr>
          <w:p>
            <w:pPr>
              <w:pStyle w:val="13"/>
              <w:rPr>
                <w:rFonts w:cs="Times New Roman"/>
              </w:rPr>
            </w:pPr>
            <w:r>
              <w:rPr>
                <w:rFonts w:hint="eastAsia"/>
              </w:rPr>
              <w:t>保障工作完成</w:t>
            </w:r>
          </w:p>
        </w:tc>
        <w:tc>
          <w:tcPr>
            <w:tcW w:w="5386" w:type="dxa"/>
            <w:vAlign w:val="center"/>
          </w:tcPr>
          <w:p>
            <w:pPr>
              <w:pStyle w:val="13"/>
              <w:rPr>
                <w:rFonts w:cs="Times New Roman"/>
              </w:rPr>
            </w:pPr>
            <w:r>
              <w:rPr>
                <w:rFonts w:hint="eastAsia"/>
              </w:rPr>
              <w:t>保障工作顺利完成</w:t>
            </w:r>
          </w:p>
        </w:tc>
        <w:tc>
          <w:tcPr>
            <w:tcW w:w="2268" w:type="dxa"/>
            <w:vAlign w:val="center"/>
          </w:tcPr>
          <w:p>
            <w:pPr>
              <w:pStyle w:val="13"/>
              <w:rPr>
                <w:rFonts w:cs="Times New Roman"/>
              </w:rPr>
            </w:pPr>
            <w:r>
              <w:rPr>
                <w:rFonts w:hint="eastAsia"/>
              </w:rPr>
              <w:t>进一步保障</w:t>
            </w:r>
          </w:p>
        </w:tc>
        <w:tc>
          <w:tcPr>
            <w:tcW w:w="1276" w:type="dxa"/>
            <w:vAlign w:val="center"/>
          </w:tcPr>
          <w:p>
            <w:pPr>
              <w:pStyle w:val="13"/>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职工满意度</w:t>
            </w:r>
          </w:p>
        </w:tc>
        <w:tc>
          <w:tcPr>
            <w:tcW w:w="5386" w:type="dxa"/>
            <w:vAlign w:val="center"/>
          </w:tcPr>
          <w:p>
            <w:pPr>
              <w:pStyle w:val="13"/>
              <w:rPr>
                <w:rFonts w:cs="Times New Roman"/>
              </w:rPr>
            </w:pPr>
            <w:r>
              <w:rPr>
                <w:rFonts w:hint="eastAsia"/>
              </w:rPr>
              <w:t>资金支出情况</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t>、全民参保业务经费绩效目标表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13030324P00000110194P</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全民参保业务经费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3.00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3.00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用于支付全民参保经费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2.00</w:t>
            </w:r>
          </w:p>
        </w:tc>
        <w:tc>
          <w:tcPr>
            <w:tcW w:w="2551" w:type="dxa"/>
            <w:vAlign w:val="center"/>
          </w:tcPr>
          <w:p>
            <w:pPr>
              <w:pStyle w:val="14"/>
            </w:pPr>
            <w:r>
              <w:t>3.00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按时支付全民参保经费</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城乡居民政策宣传单数量</w:t>
            </w:r>
          </w:p>
        </w:tc>
        <w:tc>
          <w:tcPr>
            <w:tcW w:w="5386" w:type="dxa"/>
            <w:vAlign w:val="center"/>
          </w:tcPr>
          <w:p>
            <w:pPr>
              <w:pStyle w:val="13"/>
              <w:rPr>
                <w:rFonts w:cs="Times New Roman"/>
              </w:rPr>
            </w:pPr>
            <w:r>
              <w:rPr>
                <w:rFonts w:hint="eastAsia"/>
              </w:rPr>
              <w:t>缴期政策变化宣传资料印刷数量</w:t>
            </w:r>
          </w:p>
        </w:tc>
        <w:tc>
          <w:tcPr>
            <w:tcW w:w="2268" w:type="dxa"/>
            <w:vAlign w:val="center"/>
          </w:tcPr>
          <w:p>
            <w:pPr>
              <w:pStyle w:val="13"/>
              <w:rPr>
                <w:rFonts w:cs="Times New Roman"/>
              </w:rPr>
            </w:pPr>
            <w:r>
              <w:rPr>
                <w:rFonts w:hint="eastAsia"/>
              </w:rPr>
              <w:t>印刷数量</w:t>
            </w:r>
          </w:p>
        </w:tc>
        <w:tc>
          <w:tcPr>
            <w:tcW w:w="1276" w:type="dxa"/>
            <w:vAlign w:val="center"/>
          </w:tcPr>
          <w:p>
            <w:pPr>
              <w:pStyle w:val="13"/>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慢性病复核</w:t>
            </w:r>
          </w:p>
        </w:tc>
        <w:tc>
          <w:tcPr>
            <w:tcW w:w="5386" w:type="dxa"/>
            <w:vAlign w:val="center"/>
          </w:tcPr>
          <w:p>
            <w:pPr>
              <w:pStyle w:val="13"/>
              <w:rPr>
                <w:rFonts w:cs="Times New Roman"/>
              </w:rPr>
            </w:pPr>
            <w:r>
              <w:rPr>
                <w:rFonts w:hint="eastAsia"/>
              </w:rPr>
              <w:t>定点医疗机构核查慢性病审批材料次数</w:t>
            </w:r>
          </w:p>
        </w:tc>
        <w:tc>
          <w:tcPr>
            <w:tcW w:w="2268" w:type="dxa"/>
            <w:vAlign w:val="center"/>
          </w:tcPr>
          <w:p>
            <w:pPr>
              <w:pStyle w:val="13"/>
              <w:rPr>
                <w:rFonts w:cs="Times New Roman"/>
              </w:rPr>
            </w:pPr>
            <w:r>
              <w:rPr>
                <w:rFonts w:hint="eastAsia"/>
              </w:rPr>
              <w:t>审批材料次数</w:t>
            </w:r>
          </w:p>
        </w:tc>
        <w:tc>
          <w:tcPr>
            <w:tcW w:w="1276" w:type="dxa"/>
            <w:vAlign w:val="center"/>
          </w:tcPr>
          <w:p>
            <w:pPr>
              <w:pStyle w:val="13"/>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参保率</w:t>
            </w:r>
          </w:p>
        </w:tc>
        <w:tc>
          <w:tcPr>
            <w:tcW w:w="5386" w:type="dxa"/>
            <w:vAlign w:val="center"/>
          </w:tcPr>
          <w:p>
            <w:pPr>
              <w:pStyle w:val="13"/>
              <w:rPr>
                <w:rFonts w:cs="Times New Roman"/>
              </w:rPr>
            </w:pPr>
            <w:r>
              <w:rPr>
                <w:rFonts w:hint="eastAsia"/>
              </w:rPr>
              <w:t>城乡居民参保率</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控制在预算资金内</w:t>
            </w:r>
          </w:p>
        </w:tc>
        <w:tc>
          <w:tcPr>
            <w:tcW w:w="5386" w:type="dxa"/>
            <w:vAlign w:val="center"/>
          </w:tcPr>
          <w:p>
            <w:pPr>
              <w:pStyle w:val="13"/>
              <w:rPr>
                <w:rFonts w:cs="Times New Roman"/>
              </w:rPr>
            </w:pPr>
            <w:r>
              <w:rPr>
                <w:rFonts w:hint="eastAsia"/>
              </w:rPr>
              <w:t>控制在预算资金内</w:t>
            </w:r>
          </w:p>
        </w:tc>
        <w:tc>
          <w:tcPr>
            <w:tcW w:w="2268" w:type="dxa"/>
            <w:vAlign w:val="center"/>
          </w:tcPr>
          <w:p>
            <w:pPr>
              <w:pStyle w:val="13"/>
              <w:rPr>
                <w:rFonts w:cs="Times New Roman"/>
              </w:rPr>
            </w:pPr>
            <w:r>
              <w:rPr>
                <w:rFonts w:hint="eastAsia"/>
              </w:rPr>
              <w:t>按要求控制在预算内</w:t>
            </w:r>
          </w:p>
        </w:tc>
        <w:tc>
          <w:tcPr>
            <w:tcW w:w="1276" w:type="dxa"/>
            <w:vAlign w:val="center"/>
          </w:tcPr>
          <w:p>
            <w:pPr>
              <w:pStyle w:val="13"/>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社会效益指标</w:t>
            </w:r>
          </w:p>
        </w:tc>
        <w:tc>
          <w:tcPr>
            <w:tcW w:w="2835" w:type="dxa"/>
            <w:vAlign w:val="center"/>
          </w:tcPr>
          <w:p>
            <w:pPr>
              <w:pStyle w:val="13"/>
              <w:rPr>
                <w:rFonts w:cs="Times New Roman"/>
              </w:rPr>
            </w:pPr>
            <w:r>
              <w:rPr>
                <w:rFonts w:hint="eastAsia"/>
              </w:rPr>
              <w:t>运行时间</w:t>
            </w:r>
          </w:p>
        </w:tc>
        <w:tc>
          <w:tcPr>
            <w:tcW w:w="5386" w:type="dxa"/>
            <w:vAlign w:val="center"/>
          </w:tcPr>
          <w:p>
            <w:pPr>
              <w:pStyle w:val="13"/>
              <w:rPr>
                <w:rFonts w:cs="Times New Roman"/>
              </w:rPr>
            </w:pPr>
            <w:r>
              <w:rPr>
                <w:rFonts w:hint="eastAsia"/>
              </w:rPr>
              <w:t>保证系统正常运行时间</w:t>
            </w:r>
          </w:p>
        </w:tc>
        <w:tc>
          <w:tcPr>
            <w:tcW w:w="2268" w:type="dxa"/>
            <w:vAlign w:val="center"/>
          </w:tcPr>
          <w:p>
            <w:pPr>
              <w:pStyle w:val="13"/>
              <w:rPr>
                <w:rFonts w:cs="Times New Roman"/>
              </w:rPr>
            </w:pPr>
            <w:r>
              <w:rPr>
                <w:rFonts w:hint="eastAsia"/>
              </w:rPr>
              <w:t>进一步保障</w:t>
            </w:r>
          </w:p>
        </w:tc>
        <w:tc>
          <w:tcPr>
            <w:tcW w:w="1276" w:type="dxa"/>
            <w:vAlign w:val="center"/>
          </w:tcPr>
          <w:p>
            <w:pPr>
              <w:pStyle w:val="13"/>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满意率</w:t>
            </w:r>
          </w:p>
        </w:tc>
        <w:tc>
          <w:tcPr>
            <w:tcW w:w="5386" w:type="dxa"/>
            <w:vAlign w:val="center"/>
          </w:tcPr>
          <w:p>
            <w:pPr>
              <w:pStyle w:val="13"/>
              <w:rPr>
                <w:rFonts w:cs="Times New Roman"/>
              </w:rPr>
            </w:pPr>
            <w:r>
              <w:rPr>
                <w:rFonts w:hint="eastAsia"/>
              </w:rPr>
              <w:t>满意率</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、人事代理专项补助绩效目标表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13030324P000001101909</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21.10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21.10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用于支付专项补贴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3"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确保职工工作正常开展</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支付工资及保险人员数量</w:t>
            </w:r>
          </w:p>
        </w:tc>
        <w:tc>
          <w:tcPr>
            <w:tcW w:w="5386" w:type="dxa"/>
            <w:vAlign w:val="center"/>
          </w:tcPr>
          <w:p>
            <w:pPr>
              <w:pStyle w:val="13"/>
              <w:rPr>
                <w:rFonts w:cs="Times New Roman"/>
              </w:rPr>
            </w:pPr>
            <w:r>
              <w:rPr>
                <w:rFonts w:hint="eastAsia"/>
              </w:rPr>
              <w:t>是否支付所有人</w:t>
            </w:r>
          </w:p>
        </w:tc>
        <w:tc>
          <w:tcPr>
            <w:tcW w:w="2268" w:type="dxa"/>
            <w:vAlign w:val="center"/>
          </w:tcPr>
          <w:p>
            <w:pPr>
              <w:pStyle w:val="13"/>
            </w:pPr>
            <w:r>
              <w:t>100%</w:t>
            </w:r>
          </w:p>
        </w:tc>
        <w:tc>
          <w:tcPr>
            <w:tcW w:w="1276" w:type="dxa"/>
            <w:vAlign w:val="center"/>
          </w:tcPr>
          <w:p>
            <w:pPr>
              <w:pStyle w:val="13"/>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工资及保险发放准确率</w:t>
            </w:r>
          </w:p>
        </w:tc>
        <w:tc>
          <w:tcPr>
            <w:tcW w:w="5386" w:type="dxa"/>
            <w:vAlign w:val="center"/>
          </w:tcPr>
          <w:p>
            <w:pPr>
              <w:pStyle w:val="13"/>
              <w:rPr>
                <w:rFonts w:cs="Times New Roman"/>
              </w:rPr>
            </w:pPr>
            <w:r>
              <w:rPr>
                <w:rFonts w:hint="eastAsia"/>
              </w:rPr>
              <w:t>发放准确率</w:t>
            </w:r>
          </w:p>
        </w:tc>
        <w:tc>
          <w:tcPr>
            <w:tcW w:w="2268" w:type="dxa"/>
            <w:vAlign w:val="center"/>
          </w:tcPr>
          <w:p>
            <w:pPr>
              <w:pStyle w:val="13"/>
            </w:pPr>
            <w:r>
              <w:t>100%</w:t>
            </w:r>
          </w:p>
        </w:tc>
        <w:tc>
          <w:tcPr>
            <w:tcW w:w="1276" w:type="dxa"/>
            <w:vAlign w:val="center"/>
          </w:tcPr>
          <w:p>
            <w:pPr>
              <w:pStyle w:val="13"/>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资金支付及时率</w:t>
            </w:r>
          </w:p>
        </w:tc>
        <w:tc>
          <w:tcPr>
            <w:tcW w:w="5386" w:type="dxa"/>
            <w:vAlign w:val="center"/>
          </w:tcPr>
          <w:p>
            <w:pPr>
              <w:pStyle w:val="13"/>
              <w:rPr>
                <w:rFonts w:cs="Times New Roman"/>
              </w:rPr>
            </w:pPr>
            <w:r>
              <w:rPr>
                <w:rFonts w:hint="eastAsia"/>
              </w:rPr>
              <w:t>资金支付及时率</w:t>
            </w:r>
          </w:p>
        </w:tc>
        <w:tc>
          <w:tcPr>
            <w:tcW w:w="2268" w:type="dxa"/>
            <w:vAlign w:val="center"/>
          </w:tcPr>
          <w:p>
            <w:pPr>
              <w:pStyle w:val="13"/>
            </w:pPr>
            <w:r>
              <w:t>100%</w:t>
            </w:r>
          </w:p>
        </w:tc>
        <w:tc>
          <w:tcPr>
            <w:tcW w:w="1276" w:type="dxa"/>
            <w:vAlign w:val="center"/>
          </w:tcPr>
          <w:p>
            <w:pPr>
              <w:pStyle w:val="13"/>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控制在预算资金内</w:t>
            </w:r>
          </w:p>
        </w:tc>
        <w:tc>
          <w:tcPr>
            <w:tcW w:w="5386" w:type="dxa"/>
            <w:vAlign w:val="center"/>
          </w:tcPr>
          <w:p>
            <w:pPr>
              <w:pStyle w:val="13"/>
              <w:rPr>
                <w:rFonts w:cs="Times New Roman"/>
              </w:rPr>
            </w:pPr>
            <w:r>
              <w:rPr>
                <w:rFonts w:hint="eastAsia"/>
              </w:rPr>
              <w:t>控制在预算资金内</w:t>
            </w:r>
          </w:p>
        </w:tc>
        <w:tc>
          <w:tcPr>
            <w:tcW w:w="2268" w:type="dxa"/>
            <w:vAlign w:val="center"/>
          </w:tcPr>
          <w:p>
            <w:pPr>
              <w:pStyle w:val="13"/>
              <w:rPr>
                <w:rFonts w:cs="Times New Roman"/>
              </w:rPr>
            </w:pPr>
            <w:r>
              <w:rPr>
                <w:rFonts w:hint="eastAsia"/>
              </w:rPr>
              <w:t>控制在预算资金内</w:t>
            </w:r>
          </w:p>
        </w:tc>
        <w:tc>
          <w:tcPr>
            <w:tcW w:w="1276" w:type="dxa"/>
            <w:vAlign w:val="center"/>
          </w:tcPr>
          <w:p>
            <w:pPr>
              <w:pStyle w:val="13"/>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经济效益指标</w:t>
            </w:r>
          </w:p>
        </w:tc>
        <w:tc>
          <w:tcPr>
            <w:tcW w:w="2835" w:type="dxa"/>
            <w:vAlign w:val="center"/>
          </w:tcPr>
          <w:p>
            <w:pPr>
              <w:pStyle w:val="13"/>
              <w:rPr>
                <w:rFonts w:cs="Times New Roman"/>
              </w:rPr>
            </w:pPr>
            <w:r>
              <w:rPr>
                <w:rFonts w:hint="eastAsia"/>
              </w:rPr>
              <w:t>资金使用效益</w:t>
            </w:r>
          </w:p>
        </w:tc>
        <w:tc>
          <w:tcPr>
            <w:tcW w:w="5386" w:type="dxa"/>
            <w:vAlign w:val="center"/>
          </w:tcPr>
          <w:p>
            <w:pPr>
              <w:pStyle w:val="13"/>
              <w:rPr>
                <w:rFonts w:cs="Times New Roman"/>
              </w:rPr>
            </w:pPr>
            <w:r>
              <w:rPr>
                <w:rFonts w:hint="eastAsia"/>
              </w:rPr>
              <w:t>保障工作顺利完成</w:t>
            </w:r>
          </w:p>
        </w:tc>
        <w:tc>
          <w:tcPr>
            <w:tcW w:w="2268" w:type="dxa"/>
            <w:vAlign w:val="center"/>
          </w:tcPr>
          <w:p>
            <w:pPr>
              <w:pStyle w:val="13"/>
              <w:rPr>
                <w:rFonts w:cs="Times New Roman"/>
              </w:rPr>
            </w:pPr>
            <w:r>
              <w:rPr>
                <w:rFonts w:hint="eastAsia"/>
              </w:rPr>
              <w:t>提高工作效率</w:t>
            </w:r>
          </w:p>
        </w:tc>
        <w:tc>
          <w:tcPr>
            <w:tcW w:w="1276" w:type="dxa"/>
            <w:vAlign w:val="center"/>
          </w:tcPr>
          <w:p>
            <w:pPr>
              <w:pStyle w:val="13"/>
              <w:rPr>
                <w:rFonts w:cs="Times New Roman"/>
              </w:rPr>
            </w:pPr>
            <w:r>
              <w:rPr>
                <w:rFonts w:hint="eastAsia"/>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职工满意度</w:t>
            </w:r>
          </w:p>
        </w:tc>
        <w:tc>
          <w:tcPr>
            <w:tcW w:w="5386" w:type="dxa"/>
            <w:vAlign w:val="center"/>
          </w:tcPr>
          <w:p>
            <w:pPr>
              <w:pStyle w:val="13"/>
              <w:rPr>
                <w:rFonts w:cs="Times New Roman"/>
              </w:rPr>
            </w:pPr>
            <w:r>
              <w:rPr>
                <w:rFonts w:hint="eastAsia"/>
              </w:rPr>
              <w:t>保障工作顺利完成</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劳动合同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szCs w:val="28"/>
        </w:rPr>
        <w:t>4</w:t>
      </w:r>
      <w:r>
        <w:rPr>
          <w:rFonts w:hint="eastAsia" w:ascii="方正仿宋_GBK" w:hAnsi="方正仿宋_GBK" w:eastAsia="方正仿宋_GBK" w:cs="方正仿宋_GBK"/>
          <w:color w:val="000000"/>
          <w:sz w:val="28"/>
          <w:szCs w:val="28"/>
        </w:rPr>
        <w:t>、医保业务经费绩效目标表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13030324P00000110192G</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医保业务经费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32.00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32.00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确保单位工作正常开展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4.00</w:t>
            </w:r>
          </w:p>
        </w:tc>
        <w:tc>
          <w:tcPr>
            <w:tcW w:w="2835" w:type="dxa"/>
            <w:vAlign w:val="center"/>
          </w:tcPr>
          <w:p>
            <w:pPr>
              <w:pStyle w:val="14"/>
            </w:pPr>
            <w:r>
              <w:t>8.00</w:t>
            </w:r>
          </w:p>
        </w:tc>
        <w:tc>
          <w:tcPr>
            <w:tcW w:w="2551" w:type="dxa"/>
            <w:vAlign w:val="center"/>
          </w:tcPr>
          <w:p>
            <w:pPr>
              <w:pStyle w:val="14"/>
            </w:pPr>
            <w:r>
              <w:t>16.00</w:t>
            </w:r>
          </w:p>
        </w:tc>
        <w:tc>
          <w:tcPr>
            <w:tcW w:w="3543" w:type="dxa"/>
            <w:gridSpan w:val="2"/>
            <w:vAlign w:val="center"/>
          </w:tcPr>
          <w:p>
            <w:pPr>
              <w:pStyle w:val="14"/>
            </w:pPr>
            <w:r>
              <w:t>32.00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确保本单位日常工作正常开展</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完成率</w:t>
            </w:r>
          </w:p>
        </w:tc>
        <w:tc>
          <w:tcPr>
            <w:tcW w:w="5386" w:type="dxa"/>
            <w:vAlign w:val="center"/>
          </w:tcPr>
          <w:p>
            <w:pPr>
              <w:pStyle w:val="13"/>
              <w:rPr>
                <w:rFonts w:cs="Times New Roman"/>
              </w:rPr>
            </w:pPr>
            <w:r>
              <w:rPr>
                <w:rFonts w:hint="eastAsia"/>
              </w:rPr>
              <w:t>是否保障医保平台正常运转</w:t>
            </w:r>
          </w:p>
        </w:tc>
        <w:tc>
          <w:tcPr>
            <w:tcW w:w="2268" w:type="dxa"/>
            <w:vAlign w:val="center"/>
          </w:tcPr>
          <w:p>
            <w:pPr>
              <w:pStyle w:val="13"/>
              <w:rPr>
                <w:rFonts w:cs="Times New Roman"/>
              </w:rPr>
            </w:pPr>
            <w:r>
              <w:rPr>
                <w:rFonts w:hint="eastAsia"/>
              </w:rPr>
              <w:t>保障平台运转能力</w:t>
            </w:r>
          </w:p>
        </w:tc>
        <w:tc>
          <w:tcPr>
            <w:tcW w:w="1276" w:type="dxa"/>
            <w:vAlign w:val="center"/>
          </w:tcPr>
          <w:p>
            <w:pPr>
              <w:pStyle w:val="13"/>
              <w:rPr>
                <w:rFonts w:cs="Times New Roman"/>
              </w:rPr>
            </w:pPr>
            <w:r>
              <w:rPr>
                <w:rFonts w:hint="eastAsia"/>
              </w:rPr>
              <w:t>河北省医疗保障基金使用监督管理行政处罚裁量基准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办公设备运行情况</w:t>
            </w:r>
          </w:p>
        </w:tc>
        <w:tc>
          <w:tcPr>
            <w:tcW w:w="5386" w:type="dxa"/>
            <w:vAlign w:val="center"/>
          </w:tcPr>
          <w:p>
            <w:pPr>
              <w:pStyle w:val="13"/>
              <w:rPr>
                <w:rFonts w:cs="Times New Roman"/>
              </w:rPr>
            </w:pPr>
            <w:r>
              <w:rPr>
                <w:rFonts w:hint="eastAsia"/>
              </w:rPr>
              <w:t>办公设备正常运行</w:t>
            </w:r>
          </w:p>
        </w:tc>
        <w:tc>
          <w:tcPr>
            <w:tcW w:w="2268" w:type="dxa"/>
            <w:vAlign w:val="center"/>
          </w:tcPr>
          <w:p>
            <w:pPr>
              <w:pStyle w:val="13"/>
              <w:rPr>
                <w:rFonts w:cs="Times New Roman"/>
              </w:rPr>
            </w:pPr>
            <w:r>
              <w:rPr>
                <w:rFonts w:hint="eastAsia"/>
              </w:rPr>
              <w:t>保障设备运行情况</w:t>
            </w:r>
          </w:p>
        </w:tc>
        <w:tc>
          <w:tcPr>
            <w:tcW w:w="1276" w:type="dxa"/>
            <w:vAlign w:val="center"/>
          </w:tcPr>
          <w:p>
            <w:pPr>
              <w:pStyle w:val="13"/>
              <w:rPr>
                <w:rFonts w:cs="Times New Roman"/>
              </w:rPr>
            </w:pPr>
            <w:r>
              <w:rPr>
                <w:rFonts w:hint="eastAsia"/>
              </w:rPr>
              <w:t>河北省医疗保障基金使用监督管理行政处罚裁量基准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参保率</w:t>
            </w:r>
          </w:p>
        </w:tc>
        <w:tc>
          <w:tcPr>
            <w:tcW w:w="5386" w:type="dxa"/>
            <w:vAlign w:val="center"/>
          </w:tcPr>
          <w:p>
            <w:pPr>
              <w:pStyle w:val="13"/>
              <w:rPr>
                <w:rFonts w:cs="Times New Roman"/>
              </w:rPr>
            </w:pPr>
            <w:r>
              <w:rPr>
                <w:rFonts w:hint="eastAsia"/>
              </w:rPr>
              <w:t>城乡居民参保率</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河北省医疗保障基金使用监督管理行政处罚裁量基准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项目控制预算数</w:t>
            </w:r>
          </w:p>
        </w:tc>
        <w:tc>
          <w:tcPr>
            <w:tcW w:w="5386" w:type="dxa"/>
            <w:vAlign w:val="center"/>
          </w:tcPr>
          <w:p>
            <w:pPr>
              <w:pStyle w:val="13"/>
              <w:rPr>
                <w:rFonts w:cs="Times New Roman"/>
              </w:rPr>
            </w:pPr>
            <w:r>
              <w:rPr>
                <w:rFonts w:hint="eastAsia"/>
              </w:rPr>
              <w:t>不超过财政支持经费</w:t>
            </w:r>
          </w:p>
        </w:tc>
        <w:tc>
          <w:tcPr>
            <w:tcW w:w="2268" w:type="dxa"/>
            <w:vAlign w:val="center"/>
          </w:tcPr>
          <w:p>
            <w:pPr>
              <w:pStyle w:val="13"/>
              <w:rPr>
                <w:rFonts w:cs="Times New Roman"/>
              </w:rPr>
            </w:pPr>
            <w:r>
              <w:rPr>
                <w:rFonts w:hint="eastAsia"/>
              </w:rPr>
              <w:t>控制在预算内</w:t>
            </w:r>
          </w:p>
        </w:tc>
        <w:tc>
          <w:tcPr>
            <w:tcW w:w="1276" w:type="dxa"/>
            <w:vAlign w:val="center"/>
          </w:tcPr>
          <w:p>
            <w:pPr>
              <w:pStyle w:val="13"/>
              <w:rPr>
                <w:rFonts w:cs="Times New Roman"/>
              </w:rPr>
            </w:pPr>
            <w:r>
              <w:rPr>
                <w:rFonts w:hint="eastAsia"/>
              </w:rPr>
              <w:t>河北省医疗保障基金使用监督管理行政处罚裁量基准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经济效益指标</w:t>
            </w:r>
          </w:p>
        </w:tc>
        <w:tc>
          <w:tcPr>
            <w:tcW w:w="2835" w:type="dxa"/>
            <w:vAlign w:val="center"/>
          </w:tcPr>
          <w:p>
            <w:pPr>
              <w:pStyle w:val="13"/>
              <w:rPr>
                <w:rFonts w:cs="Times New Roman"/>
              </w:rPr>
            </w:pPr>
            <w:r>
              <w:rPr>
                <w:rFonts w:hint="eastAsia"/>
              </w:rPr>
              <w:t>长期使用性</w:t>
            </w:r>
          </w:p>
        </w:tc>
        <w:tc>
          <w:tcPr>
            <w:tcW w:w="5386" w:type="dxa"/>
            <w:vAlign w:val="center"/>
          </w:tcPr>
          <w:p>
            <w:pPr>
              <w:pStyle w:val="13"/>
              <w:rPr>
                <w:rFonts w:cs="Times New Roman"/>
              </w:rPr>
            </w:pPr>
            <w:r>
              <w:rPr>
                <w:rFonts w:hint="eastAsia"/>
              </w:rPr>
              <w:t>长期使用性</w:t>
            </w:r>
          </w:p>
        </w:tc>
        <w:tc>
          <w:tcPr>
            <w:tcW w:w="2268" w:type="dxa"/>
            <w:vAlign w:val="center"/>
          </w:tcPr>
          <w:p>
            <w:pPr>
              <w:pStyle w:val="13"/>
              <w:rPr>
                <w:rFonts w:cs="Times New Roman"/>
              </w:rPr>
            </w:pPr>
            <w:r>
              <w:rPr>
                <w:rFonts w:hint="eastAsia"/>
              </w:rPr>
              <w:t>有效提高</w:t>
            </w:r>
          </w:p>
        </w:tc>
        <w:tc>
          <w:tcPr>
            <w:tcW w:w="1276" w:type="dxa"/>
            <w:vAlign w:val="center"/>
          </w:tcPr>
          <w:p>
            <w:pPr>
              <w:pStyle w:val="13"/>
              <w:rPr>
                <w:rFonts w:cs="Times New Roman"/>
              </w:rPr>
            </w:pPr>
            <w:r>
              <w:rPr>
                <w:rFonts w:hint="eastAsia"/>
              </w:rPr>
              <w:t>河北省医疗保障基金使用监督管理行政处罚裁量基准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工作人员满意度</w:t>
            </w:r>
          </w:p>
        </w:tc>
        <w:tc>
          <w:tcPr>
            <w:tcW w:w="5386" w:type="dxa"/>
            <w:vAlign w:val="center"/>
          </w:tcPr>
          <w:p>
            <w:pPr>
              <w:pStyle w:val="13"/>
              <w:rPr>
                <w:rFonts w:cs="Times New Roman"/>
              </w:rPr>
            </w:pPr>
            <w:r>
              <w:rPr>
                <w:rFonts w:hint="eastAsia"/>
              </w:rPr>
              <w:t>工作人员满意度</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河北省医疗保障基金使用监督管理行政处罚裁量基准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szCs w:val="28"/>
        </w:rPr>
        <w:t>5</w:t>
      </w:r>
      <w:r>
        <w:rPr>
          <w:rFonts w:hint="eastAsia" w:ascii="方正仿宋_GBK" w:hAnsi="方正仿宋_GBK" w:eastAsia="方正仿宋_GBK" w:cs="方正仿宋_GBK"/>
          <w:color w:val="000000"/>
          <w:sz w:val="28"/>
          <w:szCs w:val="28"/>
        </w:rPr>
        <w:t>、意外伤害险核查费绩效目标表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13030324P00000110196Y</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意外伤害险核查费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10.00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10.00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用于支付三方核查费用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5.00</w:t>
            </w:r>
          </w:p>
        </w:tc>
        <w:tc>
          <w:tcPr>
            <w:tcW w:w="2551" w:type="dxa"/>
            <w:vAlign w:val="center"/>
          </w:tcPr>
          <w:p>
            <w:pPr>
              <w:pStyle w:val="14"/>
            </w:pPr>
            <w:r>
              <w:t>10.00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按时支付意外伤害险核查费</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检查次数</w:t>
            </w:r>
          </w:p>
        </w:tc>
        <w:tc>
          <w:tcPr>
            <w:tcW w:w="5386" w:type="dxa"/>
            <w:vAlign w:val="center"/>
          </w:tcPr>
          <w:p>
            <w:pPr>
              <w:pStyle w:val="13"/>
              <w:rPr>
                <w:rFonts w:cs="Times New Roman"/>
              </w:rPr>
            </w:pPr>
            <w:r>
              <w:rPr>
                <w:rFonts w:hint="eastAsia"/>
              </w:rPr>
              <w:t>定点医疗机构、药店检查次数</w:t>
            </w:r>
          </w:p>
        </w:tc>
        <w:tc>
          <w:tcPr>
            <w:tcW w:w="2268" w:type="dxa"/>
            <w:vAlign w:val="center"/>
          </w:tcPr>
          <w:p>
            <w:pPr>
              <w:pStyle w:val="13"/>
              <w:rPr>
                <w:rFonts w:cs="Times New Roman"/>
              </w:rPr>
            </w:pPr>
            <w:r>
              <w:rPr>
                <w:rFonts w:hint="eastAsia"/>
              </w:rPr>
              <w:t>检查次数</w:t>
            </w:r>
            <w:r>
              <w:t>/</w:t>
            </w:r>
            <w:r>
              <w:rPr>
                <w:rFonts w:hint="eastAsia"/>
              </w:rPr>
              <w:t>月</w:t>
            </w:r>
          </w:p>
        </w:tc>
        <w:tc>
          <w:tcPr>
            <w:tcW w:w="1276" w:type="dxa"/>
            <w:vAlign w:val="center"/>
          </w:tcPr>
          <w:p>
            <w:pPr>
              <w:pStyle w:val="13"/>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印刷资料份数</w:t>
            </w:r>
          </w:p>
        </w:tc>
        <w:tc>
          <w:tcPr>
            <w:tcW w:w="5386" w:type="dxa"/>
            <w:vAlign w:val="center"/>
          </w:tcPr>
          <w:p>
            <w:pPr>
              <w:pStyle w:val="13"/>
              <w:rPr>
                <w:rFonts w:cs="Times New Roman"/>
              </w:rPr>
            </w:pPr>
            <w:r>
              <w:rPr>
                <w:rFonts w:hint="eastAsia"/>
              </w:rPr>
              <w:t>印刷打击欺诈骗保宣传资料、医疗保障系统价格文件汇编等资料份数</w:t>
            </w:r>
          </w:p>
        </w:tc>
        <w:tc>
          <w:tcPr>
            <w:tcW w:w="2268" w:type="dxa"/>
            <w:vAlign w:val="center"/>
          </w:tcPr>
          <w:p>
            <w:pPr>
              <w:pStyle w:val="13"/>
              <w:rPr>
                <w:rFonts w:cs="Times New Roman"/>
              </w:rPr>
            </w:pPr>
            <w:r>
              <w:rPr>
                <w:rFonts w:hint="eastAsia"/>
              </w:rPr>
              <w:t>印刷资料分数不小于五万份</w:t>
            </w:r>
          </w:p>
        </w:tc>
        <w:tc>
          <w:tcPr>
            <w:tcW w:w="1276" w:type="dxa"/>
            <w:vAlign w:val="center"/>
          </w:tcPr>
          <w:p>
            <w:pPr>
              <w:pStyle w:val="13"/>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业务处理及时率</w:t>
            </w:r>
          </w:p>
        </w:tc>
        <w:tc>
          <w:tcPr>
            <w:tcW w:w="5386" w:type="dxa"/>
            <w:vAlign w:val="center"/>
          </w:tcPr>
          <w:p>
            <w:pPr>
              <w:pStyle w:val="13"/>
              <w:rPr>
                <w:rFonts w:cs="Times New Roman"/>
              </w:rPr>
            </w:pPr>
            <w:r>
              <w:rPr>
                <w:rFonts w:hint="eastAsia"/>
              </w:rPr>
              <w:t>及时处理业务应占业务应处理数的比率</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控制在预算资金内</w:t>
            </w:r>
          </w:p>
        </w:tc>
        <w:tc>
          <w:tcPr>
            <w:tcW w:w="5386" w:type="dxa"/>
            <w:vAlign w:val="center"/>
          </w:tcPr>
          <w:p>
            <w:pPr>
              <w:pStyle w:val="13"/>
              <w:rPr>
                <w:rFonts w:cs="Times New Roman"/>
              </w:rPr>
            </w:pPr>
            <w:r>
              <w:rPr>
                <w:rFonts w:hint="eastAsia"/>
              </w:rPr>
              <w:t>控制在预算资金内</w:t>
            </w:r>
          </w:p>
        </w:tc>
        <w:tc>
          <w:tcPr>
            <w:tcW w:w="2268" w:type="dxa"/>
            <w:vAlign w:val="center"/>
          </w:tcPr>
          <w:p>
            <w:pPr>
              <w:pStyle w:val="13"/>
              <w:rPr>
                <w:rFonts w:cs="Times New Roman"/>
              </w:rPr>
            </w:pPr>
            <w:r>
              <w:rPr>
                <w:rFonts w:hint="eastAsia"/>
              </w:rPr>
              <w:t>按要求控制在预算内</w:t>
            </w:r>
          </w:p>
        </w:tc>
        <w:tc>
          <w:tcPr>
            <w:tcW w:w="1276" w:type="dxa"/>
            <w:vAlign w:val="center"/>
          </w:tcPr>
          <w:p>
            <w:pPr>
              <w:pStyle w:val="13"/>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经济效益指标</w:t>
            </w:r>
          </w:p>
        </w:tc>
        <w:tc>
          <w:tcPr>
            <w:tcW w:w="2835" w:type="dxa"/>
            <w:vAlign w:val="center"/>
          </w:tcPr>
          <w:p>
            <w:pPr>
              <w:pStyle w:val="13"/>
              <w:rPr>
                <w:rFonts w:cs="Times New Roman"/>
              </w:rPr>
            </w:pPr>
            <w:r>
              <w:rPr>
                <w:rFonts w:hint="eastAsia"/>
              </w:rPr>
              <w:t>保障工作完成</w:t>
            </w:r>
          </w:p>
        </w:tc>
        <w:tc>
          <w:tcPr>
            <w:tcW w:w="5386" w:type="dxa"/>
            <w:vAlign w:val="center"/>
          </w:tcPr>
          <w:p>
            <w:pPr>
              <w:pStyle w:val="13"/>
              <w:rPr>
                <w:rFonts w:cs="Times New Roman"/>
              </w:rPr>
            </w:pPr>
            <w:r>
              <w:rPr>
                <w:rFonts w:hint="eastAsia"/>
              </w:rPr>
              <w:t>保障工作顺利完成</w:t>
            </w:r>
          </w:p>
        </w:tc>
        <w:tc>
          <w:tcPr>
            <w:tcW w:w="2268" w:type="dxa"/>
            <w:vAlign w:val="center"/>
          </w:tcPr>
          <w:p>
            <w:pPr>
              <w:pStyle w:val="13"/>
              <w:rPr>
                <w:rFonts w:cs="Times New Roman"/>
              </w:rPr>
            </w:pPr>
            <w:r>
              <w:rPr>
                <w:rFonts w:hint="eastAsia"/>
              </w:rPr>
              <w:t>进一步保障</w:t>
            </w:r>
          </w:p>
        </w:tc>
        <w:tc>
          <w:tcPr>
            <w:tcW w:w="1276" w:type="dxa"/>
            <w:vAlign w:val="center"/>
          </w:tcPr>
          <w:p>
            <w:pPr>
              <w:pStyle w:val="13"/>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保障社会发展</w:t>
            </w:r>
          </w:p>
        </w:tc>
        <w:tc>
          <w:tcPr>
            <w:tcW w:w="5386" w:type="dxa"/>
            <w:vAlign w:val="center"/>
          </w:tcPr>
          <w:p>
            <w:pPr>
              <w:pStyle w:val="13"/>
              <w:rPr>
                <w:rFonts w:cs="Times New Roman"/>
              </w:rPr>
            </w:pPr>
            <w:r>
              <w:rPr>
                <w:rFonts w:hint="eastAsia"/>
              </w:rPr>
              <w:t>保障社会发展有效提供后勤保障</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、专项补助绩效目标表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2" w:type="dxa"/>
            <w:gridSpan w:val="2"/>
            <w:vAlign w:val="center"/>
          </w:tcPr>
          <w:p>
            <w:pPr>
              <w:pStyle w:val="13"/>
            </w:pPr>
            <w:r>
              <w:t>13030324P00000110191W</w:t>
            </w:r>
          </w:p>
        </w:tc>
        <w:tc>
          <w:tcPr>
            <w:tcW w:w="2835" w:type="dxa"/>
            <w:vAlign w:val="center"/>
          </w:tcPr>
          <w:p>
            <w:pPr>
              <w:pStyle w:val="11"/>
              <w:rPr>
                <w:rFonts w:cs="Times New Roman"/>
              </w:rPr>
            </w:pPr>
            <w:r>
              <w:rPr>
                <w:rFonts w:hint="eastAsia"/>
              </w:rPr>
              <w:t>项目名称</w:t>
            </w:r>
          </w:p>
        </w:tc>
        <w:tc>
          <w:tcPr>
            <w:tcW w:w="6094" w:type="dxa"/>
            <w:gridSpan w:val="3"/>
            <w:vAlign w:val="center"/>
          </w:tcPr>
          <w:p>
            <w:pPr>
              <w:pStyle w:val="13"/>
              <w:rPr>
                <w:rFonts w:cs="Times New Roman"/>
              </w:rPr>
            </w:pPr>
            <w:r>
              <w:rPr>
                <w:rFonts w:hint="eastAsia"/>
              </w:rP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102.50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102.50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cs="Times New Roman"/>
              </w:rPr>
            </w:pPr>
            <w:r>
              <w:rPr>
                <w:rFonts w:hint="eastAsia"/>
              </w:rPr>
              <w:t>用于发放专项补贴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2"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3" w:type="dxa"/>
            <w:gridSpan w:val="2"/>
            <w:vAlign w:val="center"/>
          </w:tcPr>
          <w:p>
            <w:pPr>
              <w:pStyle w:val="11"/>
              <w:rPr>
                <w:rFonts w:cs="Times New Roman"/>
              </w:rPr>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28.00</w:t>
            </w:r>
          </w:p>
        </w:tc>
        <w:tc>
          <w:tcPr>
            <w:tcW w:w="2835" w:type="dxa"/>
            <w:vAlign w:val="center"/>
          </w:tcPr>
          <w:p>
            <w:pPr>
              <w:pStyle w:val="14"/>
            </w:pPr>
            <w:r>
              <w:t>56.00</w:t>
            </w:r>
          </w:p>
        </w:tc>
        <w:tc>
          <w:tcPr>
            <w:tcW w:w="2551" w:type="dxa"/>
            <w:vAlign w:val="center"/>
          </w:tcPr>
          <w:p>
            <w:pPr>
              <w:pStyle w:val="14"/>
            </w:pPr>
            <w:r>
              <w:t>84.00</w:t>
            </w:r>
          </w:p>
        </w:tc>
        <w:tc>
          <w:tcPr>
            <w:tcW w:w="3543" w:type="dxa"/>
            <w:gridSpan w:val="2"/>
            <w:vAlign w:val="center"/>
          </w:tcPr>
          <w:p>
            <w:pPr>
              <w:pStyle w:val="14"/>
            </w:pPr>
            <w:r>
              <w:t>112.00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1" w:type="dxa"/>
            <w:gridSpan w:val="6"/>
            <w:tcBorders>
              <w:bottom w:val="single" w:color="FFFFFF" w:sz="6" w:space="0"/>
            </w:tcBorders>
            <w:vAlign w:val="center"/>
          </w:tcPr>
          <w:p>
            <w:pPr>
              <w:pStyle w:val="13"/>
              <w:rPr>
                <w:rFonts w:cs="Times New Roman"/>
              </w:rPr>
            </w:pPr>
            <w:r>
              <w:t>1.</w:t>
            </w:r>
            <w:r>
              <w:rPr>
                <w:rFonts w:hint="eastAsia"/>
              </w:rPr>
              <w:t>按时发放专项补贴</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支付工资及保险人员数量</w:t>
            </w:r>
          </w:p>
        </w:tc>
        <w:tc>
          <w:tcPr>
            <w:tcW w:w="5386" w:type="dxa"/>
            <w:vAlign w:val="center"/>
          </w:tcPr>
          <w:p>
            <w:pPr>
              <w:pStyle w:val="13"/>
              <w:rPr>
                <w:rFonts w:cs="Times New Roman"/>
              </w:rPr>
            </w:pPr>
            <w:r>
              <w:rPr>
                <w:rFonts w:hint="eastAsia"/>
              </w:rPr>
              <w:t>按时支付所有人</w:t>
            </w:r>
          </w:p>
        </w:tc>
        <w:tc>
          <w:tcPr>
            <w:tcW w:w="2268" w:type="dxa"/>
            <w:vAlign w:val="center"/>
          </w:tcPr>
          <w:p>
            <w:pPr>
              <w:pStyle w:val="13"/>
            </w:pPr>
            <w:r>
              <w:t>100%</w:t>
            </w:r>
          </w:p>
        </w:tc>
        <w:tc>
          <w:tcPr>
            <w:tcW w:w="1276" w:type="dxa"/>
            <w:vAlign w:val="center"/>
          </w:tcPr>
          <w:p>
            <w:pPr>
              <w:pStyle w:val="13"/>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工资及保险发放准确率</w:t>
            </w:r>
          </w:p>
        </w:tc>
        <w:tc>
          <w:tcPr>
            <w:tcW w:w="5386" w:type="dxa"/>
            <w:vAlign w:val="center"/>
          </w:tcPr>
          <w:p>
            <w:pPr>
              <w:pStyle w:val="13"/>
              <w:rPr>
                <w:rFonts w:cs="Times New Roman"/>
              </w:rPr>
            </w:pPr>
            <w:r>
              <w:rPr>
                <w:rFonts w:hint="eastAsia"/>
              </w:rPr>
              <w:t>发放准确率</w:t>
            </w:r>
          </w:p>
        </w:tc>
        <w:tc>
          <w:tcPr>
            <w:tcW w:w="2268" w:type="dxa"/>
            <w:vAlign w:val="center"/>
          </w:tcPr>
          <w:p>
            <w:pPr>
              <w:pStyle w:val="13"/>
            </w:pPr>
            <w:r>
              <w:t>100%</w:t>
            </w:r>
          </w:p>
        </w:tc>
        <w:tc>
          <w:tcPr>
            <w:tcW w:w="1276" w:type="dxa"/>
            <w:vAlign w:val="center"/>
          </w:tcPr>
          <w:p>
            <w:pPr>
              <w:pStyle w:val="13"/>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资金支付及时率</w:t>
            </w:r>
          </w:p>
        </w:tc>
        <w:tc>
          <w:tcPr>
            <w:tcW w:w="5386" w:type="dxa"/>
            <w:vAlign w:val="center"/>
          </w:tcPr>
          <w:p>
            <w:pPr>
              <w:pStyle w:val="13"/>
              <w:rPr>
                <w:rFonts w:cs="Times New Roman"/>
              </w:rPr>
            </w:pPr>
            <w:r>
              <w:rPr>
                <w:rFonts w:hint="eastAsia"/>
              </w:rPr>
              <w:t>资金支付及时率</w:t>
            </w:r>
          </w:p>
        </w:tc>
        <w:tc>
          <w:tcPr>
            <w:tcW w:w="2268" w:type="dxa"/>
            <w:vAlign w:val="center"/>
          </w:tcPr>
          <w:p>
            <w:pPr>
              <w:pStyle w:val="13"/>
            </w:pPr>
            <w:r>
              <w:t>100%</w:t>
            </w:r>
          </w:p>
        </w:tc>
        <w:tc>
          <w:tcPr>
            <w:tcW w:w="1276" w:type="dxa"/>
            <w:vAlign w:val="center"/>
          </w:tcPr>
          <w:p>
            <w:pPr>
              <w:pStyle w:val="13"/>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控制在预算资金内</w:t>
            </w:r>
          </w:p>
        </w:tc>
        <w:tc>
          <w:tcPr>
            <w:tcW w:w="5386" w:type="dxa"/>
            <w:vAlign w:val="center"/>
          </w:tcPr>
          <w:p>
            <w:pPr>
              <w:pStyle w:val="13"/>
              <w:rPr>
                <w:rFonts w:cs="Times New Roman"/>
              </w:rPr>
            </w:pPr>
            <w:r>
              <w:rPr>
                <w:rFonts w:hint="eastAsia"/>
              </w:rPr>
              <w:t>控制在预算资金内</w:t>
            </w:r>
          </w:p>
        </w:tc>
        <w:tc>
          <w:tcPr>
            <w:tcW w:w="2268" w:type="dxa"/>
            <w:vAlign w:val="center"/>
          </w:tcPr>
          <w:p>
            <w:pPr>
              <w:pStyle w:val="13"/>
              <w:rPr>
                <w:rFonts w:cs="Times New Roman"/>
              </w:rPr>
            </w:pPr>
            <w:r>
              <w:rPr>
                <w:rFonts w:hint="eastAsia"/>
              </w:rPr>
              <w:t>控制在预算资金内</w:t>
            </w:r>
          </w:p>
        </w:tc>
        <w:tc>
          <w:tcPr>
            <w:tcW w:w="1276" w:type="dxa"/>
            <w:vAlign w:val="center"/>
          </w:tcPr>
          <w:p>
            <w:pPr>
              <w:pStyle w:val="13"/>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经济效益指标</w:t>
            </w:r>
          </w:p>
        </w:tc>
        <w:tc>
          <w:tcPr>
            <w:tcW w:w="2835" w:type="dxa"/>
            <w:vAlign w:val="center"/>
          </w:tcPr>
          <w:p>
            <w:pPr>
              <w:pStyle w:val="13"/>
              <w:rPr>
                <w:rFonts w:cs="Times New Roman"/>
              </w:rPr>
            </w:pPr>
            <w:r>
              <w:rPr>
                <w:rFonts w:hint="eastAsia"/>
              </w:rPr>
              <w:t>资金使用效益</w:t>
            </w:r>
          </w:p>
        </w:tc>
        <w:tc>
          <w:tcPr>
            <w:tcW w:w="5386" w:type="dxa"/>
            <w:vAlign w:val="center"/>
          </w:tcPr>
          <w:p>
            <w:pPr>
              <w:pStyle w:val="13"/>
              <w:rPr>
                <w:rFonts w:cs="Times New Roman"/>
              </w:rPr>
            </w:pPr>
            <w:r>
              <w:rPr>
                <w:rFonts w:hint="eastAsia"/>
              </w:rPr>
              <w:t>保障工作顺利完成</w:t>
            </w:r>
          </w:p>
        </w:tc>
        <w:tc>
          <w:tcPr>
            <w:tcW w:w="2268" w:type="dxa"/>
            <w:vAlign w:val="center"/>
          </w:tcPr>
          <w:p>
            <w:pPr>
              <w:pStyle w:val="13"/>
              <w:rPr>
                <w:rFonts w:cs="Times New Roman"/>
              </w:rPr>
            </w:pPr>
            <w:r>
              <w:rPr>
                <w:rFonts w:hint="eastAsia"/>
              </w:rPr>
              <w:t>按要求支出</w:t>
            </w:r>
          </w:p>
        </w:tc>
        <w:tc>
          <w:tcPr>
            <w:tcW w:w="1276" w:type="dxa"/>
            <w:vAlign w:val="center"/>
          </w:tcPr>
          <w:p>
            <w:pPr>
              <w:pStyle w:val="13"/>
              <w:rPr>
                <w:rFonts w:cs="Times New Roman"/>
              </w:rPr>
            </w:pPr>
            <w:r>
              <w:rPr>
                <w:rFonts w:hint="eastAsia"/>
              </w:rPr>
              <w:t>常纪【</w:t>
            </w:r>
            <w:r>
              <w:t>2011</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职工满意度</w:t>
            </w:r>
          </w:p>
        </w:tc>
        <w:tc>
          <w:tcPr>
            <w:tcW w:w="5386" w:type="dxa"/>
            <w:vAlign w:val="center"/>
          </w:tcPr>
          <w:p>
            <w:pPr>
              <w:pStyle w:val="13"/>
              <w:rPr>
                <w:rFonts w:cs="Times New Roman"/>
              </w:rPr>
            </w:pPr>
            <w:r>
              <w:rPr>
                <w:rFonts w:hint="eastAsia"/>
              </w:rPr>
              <w:t>保障工作顺利完成</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常纪【</w:t>
            </w:r>
            <w:r>
              <w:t>2011</w:t>
            </w:r>
            <w:r>
              <w:rPr>
                <w:rFonts w:hint="eastAsia"/>
              </w:rPr>
              <w:t>】</w:t>
            </w:r>
            <w:r>
              <w:t>4</w:t>
            </w:r>
            <w:r>
              <w:rPr>
                <w:rFonts w:hint="eastAsia"/>
              </w:rPr>
              <w:t>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hint="eastAsia" w:ascii="黑体" w:hAnsi="黑体" w:eastAsia="黑体" w:cs="黑体"/>
          <w:color w:val="000000"/>
          <w:sz w:val="32"/>
          <w:szCs w:val="32"/>
        </w:rPr>
        <w:t>八、政府采购预算情况</w:t>
      </w:r>
      <w:bookmarkEnd w:id="16"/>
    </w:p>
    <w:p>
      <w:pPr>
        <w:jc w:val="center"/>
      </w:pPr>
      <w:r>
        <w:rPr>
          <w:rFonts w:hint="eastAsia" w:ascii="方正小标宋_GBK" w:hAnsi="方正小标宋_GBK" w:eastAsia="方正小标宋_GBK" w:cs="方正小标宋_GBK"/>
          <w:color w:val="000000"/>
          <w:sz w:val="36"/>
          <w:szCs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rPr>
                <w:rFonts w:cs="Times New Roman"/>
              </w:rPr>
            </w:pPr>
            <w:r>
              <w:t>450</w:t>
            </w:r>
            <w:r>
              <w:rPr>
                <w:rFonts w:hint="eastAsia"/>
              </w:rPr>
              <w:t>医保部门</w:t>
            </w:r>
          </w:p>
        </w:tc>
        <w:tc>
          <w:tcPr>
            <w:tcW w:w="7710" w:type="dxa"/>
            <w:gridSpan w:val="8"/>
            <w:tcBorders>
              <w:top w:val="single" w:color="FFFFFF" w:sz="6" w:space="0"/>
              <w:left w:val="single" w:color="FFFFFF" w:sz="6" w:space="0"/>
              <w:right w:val="single" w:color="FFFFFF" w:sz="6" w:space="0"/>
            </w:tcBorders>
            <w:vAlign w:val="center"/>
          </w:tcPr>
          <w:p>
            <w:pPr>
              <w:pStyle w:val="25"/>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rPr>
                <w:rFonts w:cs="Times New Roman"/>
              </w:rPr>
            </w:pPr>
            <w:r>
              <w:rPr>
                <w:rFonts w:hint="eastAsia"/>
              </w:rPr>
              <w:t>政府采购项目来源</w:t>
            </w:r>
          </w:p>
        </w:tc>
        <w:tc>
          <w:tcPr>
            <w:tcW w:w="1134" w:type="dxa"/>
            <w:vMerge w:val="restart"/>
            <w:vAlign w:val="center"/>
          </w:tcPr>
          <w:p>
            <w:pPr>
              <w:pStyle w:val="11"/>
              <w:rPr>
                <w:rFonts w:cs="Times New Roman"/>
              </w:rPr>
            </w:pPr>
            <w:r>
              <w:rPr>
                <w:rFonts w:hint="eastAsia"/>
              </w:rPr>
              <w:t>采购物品名称</w:t>
            </w:r>
          </w:p>
        </w:tc>
        <w:tc>
          <w:tcPr>
            <w:tcW w:w="1134" w:type="dxa"/>
            <w:vMerge w:val="restart"/>
            <w:vAlign w:val="center"/>
          </w:tcPr>
          <w:p>
            <w:pPr>
              <w:pStyle w:val="11"/>
              <w:rPr>
                <w:rFonts w:cs="Times New Roman"/>
              </w:rPr>
            </w:pPr>
            <w:r>
              <w:rPr>
                <w:rFonts w:hint="eastAsia"/>
              </w:rPr>
              <w:t>政府采购目录序号</w:t>
            </w:r>
          </w:p>
        </w:tc>
        <w:tc>
          <w:tcPr>
            <w:tcW w:w="709" w:type="dxa"/>
            <w:vMerge w:val="restart"/>
            <w:vAlign w:val="center"/>
          </w:tcPr>
          <w:p>
            <w:pPr>
              <w:pStyle w:val="11"/>
              <w:rPr>
                <w:rFonts w:cs="Times New Roman"/>
              </w:rPr>
            </w:pPr>
            <w:r>
              <w:rPr>
                <w:rFonts w:hint="eastAsia"/>
              </w:rPr>
              <w:t>计量</w:t>
            </w:r>
            <w:r>
              <w:t xml:space="preserve">  </w:t>
            </w:r>
            <w:r>
              <w:rPr>
                <w:rFonts w:hint="eastAsia"/>
              </w:rPr>
              <w:t>单位</w:t>
            </w:r>
          </w:p>
        </w:tc>
        <w:tc>
          <w:tcPr>
            <w:tcW w:w="850" w:type="dxa"/>
            <w:vMerge w:val="restart"/>
            <w:vAlign w:val="center"/>
          </w:tcPr>
          <w:p>
            <w:pPr>
              <w:pStyle w:val="11"/>
              <w:rPr>
                <w:rFonts w:cs="Times New Roman"/>
              </w:rPr>
            </w:pPr>
            <w:r>
              <w:rPr>
                <w:rFonts w:hint="eastAsia"/>
              </w:rPr>
              <w:t>数量</w:t>
            </w:r>
          </w:p>
        </w:tc>
        <w:tc>
          <w:tcPr>
            <w:tcW w:w="850" w:type="dxa"/>
            <w:vMerge w:val="restart"/>
            <w:vAlign w:val="center"/>
          </w:tcPr>
          <w:p>
            <w:pPr>
              <w:pStyle w:val="11"/>
              <w:rPr>
                <w:rFonts w:cs="Times New Roman"/>
              </w:rPr>
            </w:pPr>
            <w:r>
              <w:rPr>
                <w:rFonts w:hint="eastAsia"/>
              </w:rPr>
              <w:t>单价</w:t>
            </w:r>
          </w:p>
        </w:tc>
        <w:tc>
          <w:tcPr>
            <w:tcW w:w="6746" w:type="dxa"/>
            <w:gridSpan w:val="7"/>
            <w:vAlign w:val="center"/>
          </w:tcPr>
          <w:p>
            <w:pPr>
              <w:pStyle w:val="11"/>
              <w:rPr>
                <w:rFonts w:cs="Times New Roman"/>
              </w:rPr>
            </w:pPr>
            <w:r>
              <w:rPr>
                <w:rFonts w:hint="eastAsia"/>
              </w:rPr>
              <w:t>政府采购金额（当年部门预算安排资金）</w:t>
            </w:r>
          </w:p>
        </w:tc>
        <w:tc>
          <w:tcPr>
            <w:tcW w:w="964" w:type="dxa"/>
            <w:vMerge w:val="restart"/>
            <w:vAlign w:val="center"/>
          </w:tcPr>
          <w:p>
            <w:pPr>
              <w:pStyle w:val="11"/>
              <w:rPr>
                <w:rFonts w:cs="Times New Roman"/>
              </w:rPr>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rPr>
                <w:rFonts w:cs="Times New Roman"/>
              </w:rPr>
            </w:pPr>
            <w:r>
              <w:rPr>
                <w:rFonts w:hint="eastAsia"/>
              </w:rPr>
              <w:t>项目名称</w:t>
            </w:r>
          </w:p>
        </w:tc>
        <w:tc>
          <w:tcPr>
            <w:tcW w:w="964" w:type="dxa"/>
            <w:vAlign w:val="center"/>
          </w:tcPr>
          <w:p>
            <w:pPr>
              <w:pStyle w:val="11"/>
              <w:rPr>
                <w:rFonts w:cs="Times New Roman"/>
              </w:rPr>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rPr>
                <w:rFonts w:cs="Times New Roman"/>
              </w:rPr>
            </w:pPr>
            <w:r>
              <w:rPr>
                <w:rFonts w:hint="eastAsia"/>
              </w:rPr>
              <w:t>合计</w:t>
            </w:r>
          </w:p>
        </w:tc>
        <w:tc>
          <w:tcPr>
            <w:tcW w:w="964" w:type="dxa"/>
            <w:vAlign w:val="center"/>
          </w:tcPr>
          <w:p>
            <w:pPr>
              <w:pStyle w:val="11"/>
              <w:rPr>
                <w:rFonts w:cs="Times New Roman"/>
              </w:rPr>
            </w:pPr>
            <w:r>
              <w:rPr>
                <w:rFonts w:hint="eastAsia"/>
              </w:rPr>
              <w:t>一般公共预算拨款</w:t>
            </w:r>
          </w:p>
        </w:tc>
        <w:tc>
          <w:tcPr>
            <w:tcW w:w="964" w:type="dxa"/>
            <w:vAlign w:val="center"/>
          </w:tcPr>
          <w:p>
            <w:pPr>
              <w:pStyle w:val="11"/>
              <w:rPr>
                <w:rFonts w:cs="Times New Roman"/>
              </w:rPr>
            </w:pPr>
            <w:r>
              <w:rPr>
                <w:rFonts w:hint="eastAsia"/>
              </w:rPr>
              <w:t>基金预算拨款</w:t>
            </w:r>
          </w:p>
        </w:tc>
        <w:tc>
          <w:tcPr>
            <w:tcW w:w="964" w:type="dxa"/>
            <w:vAlign w:val="center"/>
          </w:tcPr>
          <w:p>
            <w:pPr>
              <w:pStyle w:val="11"/>
              <w:rPr>
                <w:rFonts w:cs="Times New Roman"/>
              </w:rPr>
            </w:pPr>
            <w:r>
              <w:rPr>
                <w:rFonts w:hint="eastAsia"/>
              </w:rPr>
              <w:t>国有资本经营预算拨款</w:t>
            </w:r>
          </w:p>
        </w:tc>
        <w:tc>
          <w:tcPr>
            <w:tcW w:w="964" w:type="dxa"/>
            <w:vAlign w:val="center"/>
          </w:tcPr>
          <w:p>
            <w:pPr>
              <w:pStyle w:val="11"/>
              <w:rPr>
                <w:rFonts w:cs="Times New Roman"/>
              </w:rPr>
            </w:pPr>
            <w:r>
              <w:rPr>
                <w:rFonts w:hint="eastAsia"/>
              </w:rPr>
              <w:t>财政专户核拨</w:t>
            </w:r>
          </w:p>
        </w:tc>
        <w:tc>
          <w:tcPr>
            <w:tcW w:w="964" w:type="dxa"/>
            <w:vAlign w:val="center"/>
          </w:tcPr>
          <w:p>
            <w:pPr>
              <w:pStyle w:val="11"/>
              <w:rPr>
                <w:rFonts w:cs="Times New Roman"/>
              </w:rPr>
            </w:pPr>
            <w:r>
              <w:rPr>
                <w:rFonts w:hint="eastAsia"/>
              </w:rPr>
              <w:t>单位</w:t>
            </w:r>
            <w:r>
              <w:t xml:space="preserve">    </w:t>
            </w:r>
            <w:r>
              <w:rPr>
                <w:rFonts w:hint="eastAsia"/>
              </w:rPr>
              <w:t>资金</w:t>
            </w:r>
          </w:p>
        </w:tc>
        <w:tc>
          <w:tcPr>
            <w:tcW w:w="964" w:type="dxa"/>
            <w:vAlign w:val="center"/>
          </w:tcPr>
          <w:p>
            <w:pPr>
              <w:pStyle w:val="11"/>
              <w:rPr>
                <w:rFonts w:cs="Times New Roman"/>
              </w:rPr>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rPr>
                <w:rFonts w:cs="Times New Roman"/>
              </w:rPr>
            </w:pPr>
            <w:r>
              <w:rPr>
                <w:rFonts w:hint="eastAsia"/>
              </w:rPr>
              <w:t>合</w:t>
            </w:r>
            <w:r>
              <w:t xml:space="preserve">  </w:t>
            </w:r>
            <w:r>
              <w:rPr>
                <w:rFonts w:hint="eastAsia"/>
              </w:rPr>
              <w:t>计</w:t>
            </w:r>
          </w:p>
        </w:tc>
        <w:tc>
          <w:tcPr>
            <w:tcW w:w="964" w:type="dxa"/>
            <w:vAlign w:val="center"/>
          </w:tcPr>
          <w:p>
            <w:pPr>
              <w:pStyle w:val="16"/>
              <w:rPr>
                <w:rFonts w:cs="Times New Roman"/>
              </w:rPr>
            </w:pPr>
          </w:p>
        </w:tc>
        <w:tc>
          <w:tcPr>
            <w:tcW w:w="1134" w:type="dxa"/>
            <w:vAlign w:val="center"/>
          </w:tcPr>
          <w:p>
            <w:pPr>
              <w:pStyle w:val="17"/>
              <w:rPr>
                <w:rFonts w:cs="Times New Roman"/>
              </w:rPr>
            </w:pPr>
          </w:p>
        </w:tc>
        <w:tc>
          <w:tcPr>
            <w:tcW w:w="1134" w:type="dxa"/>
            <w:vAlign w:val="center"/>
          </w:tcPr>
          <w:p>
            <w:pPr>
              <w:pStyle w:val="17"/>
              <w:rPr>
                <w:rFonts w:cs="Times New Roman"/>
              </w:rPr>
            </w:pPr>
          </w:p>
        </w:tc>
        <w:tc>
          <w:tcPr>
            <w:tcW w:w="709" w:type="dxa"/>
            <w:vAlign w:val="center"/>
          </w:tcPr>
          <w:p>
            <w:pPr>
              <w:pStyle w:val="15"/>
              <w:rPr>
                <w:rFonts w:cs="Times New Roman"/>
              </w:rPr>
            </w:pPr>
          </w:p>
        </w:tc>
        <w:tc>
          <w:tcPr>
            <w:tcW w:w="850" w:type="dxa"/>
            <w:vAlign w:val="center"/>
          </w:tcPr>
          <w:p>
            <w:pPr>
              <w:pStyle w:val="16"/>
              <w:rPr>
                <w:rFonts w:cs="Times New Roman"/>
              </w:rPr>
            </w:pPr>
          </w:p>
        </w:tc>
        <w:tc>
          <w:tcPr>
            <w:tcW w:w="850" w:type="dxa"/>
            <w:vAlign w:val="center"/>
          </w:tcPr>
          <w:p>
            <w:pPr>
              <w:pStyle w:val="16"/>
              <w:rPr>
                <w:rFonts w:cs="Times New Roman"/>
              </w:rPr>
            </w:pPr>
          </w:p>
        </w:tc>
        <w:tc>
          <w:tcPr>
            <w:tcW w:w="964" w:type="dxa"/>
            <w:vAlign w:val="center"/>
          </w:tcPr>
          <w:p>
            <w:pPr>
              <w:pStyle w:val="16"/>
            </w:pPr>
            <w:r>
              <w:t>3.29</w:t>
            </w:r>
          </w:p>
        </w:tc>
        <w:tc>
          <w:tcPr>
            <w:tcW w:w="964" w:type="dxa"/>
            <w:vAlign w:val="center"/>
          </w:tcPr>
          <w:p>
            <w:pPr>
              <w:pStyle w:val="16"/>
            </w:pPr>
            <w:r>
              <w:t>3.29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rPr>
                <w:rFonts w:cs="Times New Roman"/>
              </w:rPr>
            </w:pPr>
            <w:r>
              <w:rPr>
                <w:rFonts w:hint="eastAsia"/>
              </w:rPr>
              <w:t>医保部门秦皇岛市山海关区医疗保障局本级小计</w:t>
            </w:r>
          </w:p>
        </w:tc>
        <w:tc>
          <w:tcPr>
            <w:tcW w:w="964" w:type="dxa"/>
            <w:vAlign w:val="center"/>
          </w:tcPr>
          <w:p>
            <w:pPr>
              <w:pStyle w:val="16"/>
              <w:rPr>
                <w:rFonts w:cs="Times New Roman"/>
              </w:rPr>
            </w:pPr>
          </w:p>
        </w:tc>
        <w:tc>
          <w:tcPr>
            <w:tcW w:w="1134" w:type="dxa"/>
            <w:vAlign w:val="center"/>
          </w:tcPr>
          <w:p>
            <w:pPr>
              <w:pStyle w:val="17"/>
              <w:rPr>
                <w:rFonts w:cs="Times New Roman"/>
              </w:rPr>
            </w:pPr>
          </w:p>
        </w:tc>
        <w:tc>
          <w:tcPr>
            <w:tcW w:w="1134" w:type="dxa"/>
            <w:vAlign w:val="center"/>
          </w:tcPr>
          <w:p>
            <w:pPr>
              <w:pStyle w:val="17"/>
              <w:rPr>
                <w:rFonts w:cs="Times New Roman"/>
              </w:rPr>
            </w:pPr>
          </w:p>
        </w:tc>
        <w:tc>
          <w:tcPr>
            <w:tcW w:w="709" w:type="dxa"/>
            <w:vAlign w:val="center"/>
          </w:tcPr>
          <w:p>
            <w:pPr>
              <w:pStyle w:val="15"/>
              <w:rPr>
                <w:rFonts w:cs="Times New Roman"/>
              </w:rPr>
            </w:pPr>
          </w:p>
        </w:tc>
        <w:tc>
          <w:tcPr>
            <w:tcW w:w="850" w:type="dxa"/>
            <w:vAlign w:val="center"/>
          </w:tcPr>
          <w:p>
            <w:pPr>
              <w:pStyle w:val="16"/>
              <w:rPr>
                <w:rFonts w:cs="Times New Roman"/>
              </w:rPr>
            </w:pPr>
          </w:p>
        </w:tc>
        <w:tc>
          <w:tcPr>
            <w:tcW w:w="850" w:type="dxa"/>
            <w:vAlign w:val="center"/>
          </w:tcPr>
          <w:p>
            <w:pPr>
              <w:pStyle w:val="16"/>
              <w:rPr>
                <w:rFonts w:cs="Times New Roman"/>
              </w:rPr>
            </w:pPr>
          </w:p>
        </w:tc>
        <w:tc>
          <w:tcPr>
            <w:tcW w:w="964" w:type="dxa"/>
            <w:vAlign w:val="center"/>
          </w:tcPr>
          <w:p>
            <w:pPr>
              <w:pStyle w:val="16"/>
            </w:pPr>
            <w:r>
              <w:t>3.29</w:t>
            </w:r>
          </w:p>
        </w:tc>
        <w:tc>
          <w:tcPr>
            <w:tcW w:w="964" w:type="dxa"/>
            <w:vAlign w:val="center"/>
          </w:tcPr>
          <w:p>
            <w:pPr>
              <w:pStyle w:val="16"/>
            </w:pPr>
            <w:r>
              <w:t>3.29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cs="Times New Roman"/>
              </w:rPr>
            </w:pPr>
            <w:r>
              <w:t>2024</w:t>
            </w:r>
            <w:r>
              <w:rPr>
                <w:rFonts w:hint="eastAsia"/>
              </w:rPr>
              <w:t>年运转类公用经费项目（一）</w:t>
            </w:r>
          </w:p>
        </w:tc>
        <w:tc>
          <w:tcPr>
            <w:tcW w:w="964" w:type="dxa"/>
            <w:vAlign w:val="center"/>
          </w:tcPr>
          <w:p>
            <w:pPr>
              <w:pStyle w:val="12"/>
            </w:pPr>
            <w:r>
              <w:t>10.77</w:t>
            </w:r>
          </w:p>
        </w:tc>
        <w:tc>
          <w:tcPr>
            <w:tcW w:w="1134" w:type="dxa"/>
            <w:vAlign w:val="center"/>
          </w:tcPr>
          <w:p>
            <w:pPr>
              <w:pStyle w:val="13"/>
              <w:rPr>
                <w:rFonts w:cs="Times New Roman"/>
              </w:rPr>
            </w:pPr>
            <w:r>
              <w:rPr>
                <w:rFonts w:hint="eastAsia"/>
              </w:rPr>
              <w:t>复印纸</w:t>
            </w:r>
          </w:p>
        </w:tc>
        <w:tc>
          <w:tcPr>
            <w:tcW w:w="1134" w:type="dxa"/>
            <w:vAlign w:val="center"/>
          </w:tcPr>
          <w:p>
            <w:pPr>
              <w:pStyle w:val="13"/>
            </w:pPr>
            <w:r>
              <w:t>A05040101</w:t>
            </w:r>
          </w:p>
        </w:tc>
        <w:tc>
          <w:tcPr>
            <w:tcW w:w="709" w:type="dxa"/>
            <w:vAlign w:val="center"/>
          </w:tcPr>
          <w:p>
            <w:pPr>
              <w:pStyle w:val="14"/>
              <w:rPr>
                <w:rFonts w:cs="Times New Roman"/>
              </w:rPr>
            </w:pPr>
            <w:r>
              <w:rPr>
                <w:rFonts w:hint="eastAsia"/>
              </w:rPr>
              <w:t>万元</w:t>
            </w:r>
          </w:p>
        </w:tc>
        <w:tc>
          <w:tcPr>
            <w:tcW w:w="850" w:type="dxa"/>
            <w:vAlign w:val="center"/>
          </w:tcPr>
          <w:p>
            <w:pPr>
              <w:pStyle w:val="12"/>
            </w:pPr>
            <w:r>
              <w:t>96</w:t>
            </w:r>
          </w:p>
        </w:tc>
        <w:tc>
          <w:tcPr>
            <w:tcW w:w="850" w:type="dxa"/>
            <w:vAlign w:val="center"/>
          </w:tcPr>
          <w:p>
            <w:pPr>
              <w:pStyle w:val="12"/>
            </w:pPr>
            <w:r>
              <w:t>0.02</w:t>
            </w:r>
          </w:p>
        </w:tc>
        <w:tc>
          <w:tcPr>
            <w:tcW w:w="964" w:type="dxa"/>
            <w:vAlign w:val="center"/>
          </w:tcPr>
          <w:p>
            <w:pPr>
              <w:pStyle w:val="12"/>
            </w:pPr>
            <w:r>
              <w:t>1.44</w:t>
            </w:r>
          </w:p>
        </w:tc>
        <w:tc>
          <w:tcPr>
            <w:tcW w:w="964" w:type="dxa"/>
            <w:vAlign w:val="center"/>
          </w:tcPr>
          <w:p>
            <w:pPr>
              <w:pStyle w:val="12"/>
            </w:pPr>
            <w:r>
              <w:t>1.44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cs="Times New Roman"/>
              </w:rPr>
            </w:pPr>
            <w:r>
              <w:t>2024</w:t>
            </w:r>
            <w:r>
              <w:rPr>
                <w:rFonts w:hint="eastAsia"/>
              </w:rPr>
              <w:t>年运转类公用经费项目（一）</w:t>
            </w:r>
          </w:p>
        </w:tc>
        <w:tc>
          <w:tcPr>
            <w:tcW w:w="964" w:type="dxa"/>
            <w:vAlign w:val="center"/>
          </w:tcPr>
          <w:p>
            <w:pPr>
              <w:pStyle w:val="12"/>
            </w:pPr>
            <w:r>
              <w:t>10.77</w:t>
            </w:r>
          </w:p>
        </w:tc>
        <w:tc>
          <w:tcPr>
            <w:tcW w:w="1134" w:type="dxa"/>
            <w:vAlign w:val="center"/>
          </w:tcPr>
          <w:p>
            <w:pPr>
              <w:pStyle w:val="13"/>
              <w:rPr>
                <w:rFonts w:cs="Times New Roman"/>
              </w:rPr>
            </w:pPr>
            <w:r>
              <w:rPr>
                <w:rFonts w:hint="eastAsia"/>
              </w:rPr>
              <w:t>软件运维服务</w:t>
            </w:r>
          </w:p>
        </w:tc>
        <w:tc>
          <w:tcPr>
            <w:tcW w:w="1134" w:type="dxa"/>
            <w:vAlign w:val="center"/>
          </w:tcPr>
          <w:p>
            <w:pPr>
              <w:pStyle w:val="13"/>
            </w:pPr>
            <w:r>
              <w:t>C16070300</w:t>
            </w:r>
          </w:p>
        </w:tc>
        <w:tc>
          <w:tcPr>
            <w:tcW w:w="709" w:type="dxa"/>
            <w:vAlign w:val="center"/>
          </w:tcPr>
          <w:p>
            <w:pPr>
              <w:pStyle w:val="14"/>
              <w:rPr>
                <w:rFonts w:cs="Times New Roman"/>
              </w:rPr>
            </w:pPr>
            <w:r>
              <w:rPr>
                <w:rFonts w:hint="eastAsia"/>
              </w:rPr>
              <w:t>万元</w:t>
            </w:r>
          </w:p>
        </w:tc>
        <w:tc>
          <w:tcPr>
            <w:tcW w:w="850" w:type="dxa"/>
            <w:vAlign w:val="center"/>
          </w:tcPr>
          <w:p>
            <w:pPr>
              <w:pStyle w:val="12"/>
            </w:pPr>
            <w:r>
              <w:t>1</w:t>
            </w:r>
          </w:p>
        </w:tc>
        <w:tc>
          <w:tcPr>
            <w:tcW w:w="850" w:type="dxa"/>
            <w:vAlign w:val="center"/>
          </w:tcPr>
          <w:p>
            <w:pPr>
              <w:pStyle w:val="12"/>
            </w:pPr>
            <w:r>
              <w:t>0.15</w:t>
            </w:r>
          </w:p>
        </w:tc>
        <w:tc>
          <w:tcPr>
            <w:tcW w:w="964" w:type="dxa"/>
            <w:vAlign w:val="center"/>
          </w:tcPr>
          <w:p>
            <w:pPr>
              <w:pStyle w:val="12"/>
            </w:pPr>
            <w:r>
              <w:t>0.15</w:t>
            </w:r>
          </w:p>
        </w:tc>
        <w:tc>
          <w:tcPr>
            <w:tcW w:w="964" w:type="dxa"/>
            <w:vAlign w:val="center"/>
          </w:tcPr>
          <w:p>
            <w:pPr>
              <w:pStyle w:val="12"/>
            </w:pPr>
            <w:r>
              <w:t>0.15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cs="Times New Roman"/>
              </w:rPr>
            </w:pPr>
            <w:r>
              <w:t>2024</w:t>
            </w:r>
            <w:r>
              <w:rPr>
                <w:rFonts w:hint="eastAsia"/>
              </w:rPr>
              <w:t>年运转类公用经费项目（一）</w:t>
            </w:r>
          </w:p>
        </w:tc>
        <w:tc>
          <w:tcPr>
            <w:tcW w:w="964" w:type="dxa"/>
            <w:vAlign w:val="center"/>
          </w:tcPr>
          <w:p>
            <w:pPr>
              <w:pStyle w:val="12"/>
            </w:pPr>
            <w:r>
              <w:t>10.77</w:t>
            </w:r>
          </w:p>
        </w:tc>
        <w:tc>
          <w:tcPr>
            <w:tcW w:w="1134" w:type="dxa"/>
            <w:vAlign w:val="center"/>
          </w:tcPr>
          <w:p>
            <w:pPr>
              <w:pStyle w:val="13"/>
              <w:rPr>
                <w:rFonts w:cs="Times New Roman"/>
              </w:rPr>
            </w:pPr>
            <w:r>
              <w:rPr>
                <w:rFonts w:hint="eastAsia"/>
              </w:rPr>
              <w:t>其他运行维护服务</w:t>
            </w:r>
          </w:p>
        </w:tc>
        <w:tc>
          <w:tcPr>
            <w:tcW w:w="1134" w:type="dxa"/>
            <w:vAlign w:val="center"/>
          </w:tcPr>
          <w:p>
            <w:pPr>
              <w:pStyle w:val="13"/>
            </w:pPr>
            <w:r>
              <w:t>C16079900</w:t>
            </w:r>
          </w:p>
        </w:tc>
        <w:tc>
          <w:tcPr>
            <w:tcW w:w="709" w:type="dxa"/>
            <w:vAlign w:val="center"/>
          </w:tcPr>
          <w:p>
            <w:pPr>
              <w:pStyle w:val="14"/>
              <w:rPr>
                <w:rFonts w:cs="Times New Roman"/>
              </w:rPr>
            </w:pPr>
            <w:r>
              <w:rPr>
                <w:rFonts w:hint="eastAsia"/>
              </w:rPr>
              <w:t>万元</w:t>
            </w:r>
          </w:p>
        </w:tc>
        <w:tc>
          <w:tcPr>
            <w:tcW w:w="850"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cs="Times New Roman"/>
              </w:rPr>
            </w:pPr>
            <w:r>
              <w:rPr>
                <w:rFonts w:hint="eastAsia"/>
              </w:rPr>
              <w:t>基金专项审计及业务费</w:t>
            </w:r>
          </w:p>
        </w:tc>
        <w:tc>
          <w:tcPr>
            <w:tcW w:w="964" w:type="dxa"/>
            <w:vAlign w:val="center"/>
          </w:tcPr>
          <w:p>
            <w:pPr>
              <w:pStyle w:val="12"/>
            </w:pPr>
            <w:r>
              <w:t>8.00</w:t>
            </w:r>
          </w:p>
        </w:tc>
        <w:tc>
          <w:tcPr>
            <w:tcW w:w="1134" w:type="dxa"/>
            <w:vAlign w:val="center"/>
          </w:tcPr>
          <w:p>
            <w:pPr>
              <w:pStyle w:val="13"/>
              <w:rPr>
                <w:rFonts w:cs="Times New Roman"/>
              </w:rPr>
            </w:pPr>
            <w:r>
              <w:rPr>
                <w:rFonts w:hint="eastAsia"/>
              </w:rPr>
              <w:t>其他印刷服务</w:t>
            </w:r>
          </w:p>
        </w:tc>
        <w:tc>
          <w:tcPr>
            <w:tcW w:w="1134" w:type="dxa"/>
            <w:vAlign w:val="center"/>
          </w:tcPr>
          <w:p>
            <w:pPr>
              <w:pStyle w:val="13"/>
            </w:pPr>
            <w:r>
              <w:t>C23090199</w:t>
            </w:r>
          </w:p>
        </w:tc>
        <w:tc>
          <w:tcPr>
            <w:tcW w:w="709" w:type="dxa"/>
            <w:vAlign w:val="center"/>
          </w:tcPr>
          <w:p>
            <w:pPr>
              <w:pStyle w:val="14"/>
              <w:rPr>
                <w:rFonts w:cs="Times New Roman"/>
              </w:rPr>
            </w:pPr>
            <w:r>
              <w:rPr>
                <w:rFonts w:hint="eastAsia"/>
              </w:rPr>
              <w:t>张</w:t>
            </w:r>
          </w:p>
        </w:tc>
        <w:tc>
          <w:tcPr>
            <w:tcW w:w="850" w:type="dxa"/>
            <w:vAlign w:val="center"/>
          </w:tcPr>
          <w:p>
            <w:pPr>
              <w:pStyle w:val="12"/>
            </w:pPr>
            <w:r>
              <w:t>40000</w:t>
            </w:r>
          </w:p>
        </w:tc>
        <w:tc>
          <w:tcPr>
            <w:tcW w:w="850" w:type="dxa"/>
            <w:vAlign w:val="center"/>
          </w:tcPr>
          <w:p>
            <w:pPr>
              <w:pStyle w:val="12"/>
            </w:pPr>
            <w:r>
              <w:t>0.00</w:t>
            </w:r>
          </w:p>
        </w:tc>
        <w:tc>
          <w:tcPr>
            <w:tcW w:w="964" w:type="dxa"/>
            <w:vAlign w:val="center"/>
          </w:tcPr>
          <w:p>
            <w:pPr>
              <w:pStyle w:val="12"/>
            </w:pPr>
            <w:r>
              <w:t>1.40</w:t>
            </w:r>
          </w:p>
        </w:tc>
        <w:tc>
          <w:tcPr>
            <w:tcW w:w="964" w:type="dxa"/>
            <w:vAlign w:val="center"/>
          </w:tcPr>
          <w:p>
            <w:pPr>
              <w:pStyle w:val="12"/>
            </w:pPr>
            <w:r>
              <w:t>1.40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1.40</w:t>
            </w:r>
          </w:p>
        </w:tc>
      </w:tr>
    </w:tbl>
    <w:p>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pPr>
        <w:ind w:firstLine="640"/>
      </w:pPr>
      <w:r>
        <w:rPr>
          <w:rFonts w:eastAsia="方正仿宋_GBK"/>
          <w:color w:val="000000"/>
          <w:sz w:val="32"/>
          <w:szCs w:val="32"/>
        </w:rPr>
        <w:t xml:space="preserve"> </w:t>
      </w:r>
    </w:p>
    <w:p>
      <w:pPr>
        <w:spacing w:before="10" w:after="10"/>
        <w:ind w:firstLine="640"/>
        <w:outlineLvl w:val="2"/>
      </w:pPr>
      <w:bookmarkStart w:id="17" w:name="_Toc_3_3_0000000018"/>
      <w:r>
        <w:rPr>
          <w:rFonts w:hint="eastAsia" w:ascii="黑体" w:hAnsi="黑体" w:eastAsia="黑体" w:cs="黑体"/>
          <w:color w:val="000000"/>
          <w:sz w:val="32"/>
          <w:szCs w:val="32"/>
        </w:rPr>
        <w:t>九、国有资产信息</w:t>
      </w:r>
      <w:bookmarkEnd w:id="17"/>
    </w:p>
    <w:p>
      <w:pPr>
        <w:spacing w:line="500" w:lineRule="exact"/>
        <w:ind w:firstLine="560"/>
      </w:pPr>
      <w:r>
        <w:rPr>
          <w:rFonts w:hint="eastAsia" w:eastAsia="方正仿宋_GBK" w:cs="方正仿宋_GBK"/>
          <w:color w:val="000000"/>
          <w:sz w:val="28"/>
          <w:szCs w:val="28"/>
        </w:rPr>
        <w:t>医保部门（含所属单位）上年末固定资产金额为</w:t>
      </w:r>
      <w:r>
        <w:rPr>
          <w:rFonts w:eastAsia="方正仿宋_GBK"/>
          <w:color w:val="000000"/>
          <w:sz w:val="28"/>
          <w:szCs w:val="28"/>
        </w:rPr>
        <w:t>0.00</w:t>
      </w:r>
      <w:r>
        <w:rPr>
          <w:rFonts w:hint="eastAsia" w:eastAsia="方正仿宋_GBK" w:cs="方正仿宋_GBK"/>
          <w:color w:val="000000"/>
          <w:sz w:val="28"/>
          <w:szCs w:val="28"/>
        </w:rPr>
        <w:t>万元（详见下表）。本年度拟购置固定资产总额为</w:t>
      </w:r>
      <w:r>
        <w:rPr>
          <w:rFonts w:eastAsia="方正仿宋_GBK"/>
          <w:color w:val="000000"/>
          <w:sz w:val="28"/>
          <w:szCs w:val="28"/>
        </w:rPr>
        <w:t>0.00</w:t>
      </w:r>
      <w:r>
        <w:rPr>
          <w:rFonts w:hint="eastAsia" w:eastAsia="方正仿宋_GBK" w:cs="方正仿宋_GBK"/>
          <w:color w:val="000000"/>
          <w:sz w:val="28"/>
          <w:szCs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szCs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0"/>
              <w:rPr>
                <w:rFonts w:cs="Times New Roman"/>
              </w:rPr>
            </w:pPr>
            <w:r>
              <w:t>450</w:t>
            </w:r>
            <w:r>
              <w:rPr>
                <w:rFonts w:hint="eastAsia"/>
              </w:rPr>
              <w:t>医保部门</w:t>
            </w:r>
          </w:p>
        </w:tc>
        <w:tc>
          <w:tcPr>
            <w:tcW w:w="5669" w:type="dxa"/>
            <w:gridSpan w:val="2"/>
            <w:tcBorders>
              <w:top w:val="single" w:color="FFFFFF" w:sz="6" w:space="0"/>
              <w:left w:val="single" w:color="FFFFFF" w:sz="6" w:space="0"/>
              <w:right w:val="single" w:color="FFFFFF" w:sz="6" w:space="0"/>
            </w:tcBorders>
            <w:vAlign w:val="center"/>
          </w:tcPr>
          <w:p>
            <w:pPr>
              <w:pStyle w:val="8"/>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rPr>
                <w:rFonts w:cs="Times New Roman"/>
              </w:rPr>
            </w:pPr>
            <w:r>
              <w:rPr>
                <w:rFonts w:hint="eastAsia"/>
              </w:rPr>
              <w:t>项</w:t>
            </w:r>
            <w:r>
              <w:t xml:space="preserve">   </w:t>
            </w:r>
            <w:r>
              <w:rPr>
                <w:rFonts w:hint="eastAsia"/>
              </w:rPr>
              <w:t>目</w:t>
            </w:r>
          </w:p>
        </w:tc>
        <w:tc>
          <w:tcPr>
            <w:tcW w:w="2835" w:type="dxa"/>
            <w:vAlign w:val="center"/>
          </w:tcPr>
          <w:p>
            <w:pPr>
              <w:pStyle w:val="11"/>
              <w:rPr>
                <w:rFonts w:cs="Times New Roman"/>
              </w:rPr>
            </w:pPr>
            <w:r>
              <w:rPr>
                <w:rFonts w:hint="eastAsia"/>
              </w:rPr>
              <w:t>数量</w:t>
            </w:r>
          </w:p>
        </w:tc>
        <w:tc>
          <w:tcPr>
            <w:tcW w:w="2835" w:type="dxa"/>
            <w:vAlign w:val="center"/>
          </w:tcPr>
          <w:p>
            <w:pPr>
              <w:pStyle w:val="11"/>
              <w:rPr>
                <w:rFonts w:cs="Times New Roman"/>
              </w:rPr>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cs="Times New Roman"/>
              </w:rPr>
            </w:pPr>
          </w:p>
        </w:tc>
        <w:tc>
          <w:tcPr>
            <w:tcW w:w="2835" w:type="dxa"/>
            <w:vAlign w:val="center"/>
          </w:tcPr>
          <w:p>
            <w:pPr>
              <w:pStyle w:val="14"/>
              <w:rPr>
                <w:rFonts w:cs="Times New Roman"/>
              </w:rPr>
            </w:pPr>
          </w:p>
        </w:tc>
        <w:tc>
          <w:tcPr>
            <w:tcW w:w="2835" w:type="dxa"/>
            <w:vAlign w:val="center"/>
          </w:tcPr>
          <w:p>
            <w:pPr>
              <w:pStyle w:val="12"/>
              <w:rPr>
                <w:rFonts w:cs="Times New Roman"/>
              </w:rPr>
            </w:pPr>
          </w:p>
        </w:tc>
      </w:tr>
    </w:tbl>
    <w:p>
      <w:pPr>
        <w:ind w:firstLine="420"/>
      </w:pPr>
      <w:r>
        <w:rPr>
          <w:rFonts w:hint="eastAsia" w:ascii="方正书宋_GBK" w:hAnsi="方正书宋_GBK" w:eastAsia="方正书宋_GBK" w:cs="方正书宋_GBK"/>
          <w:color w:val="000000"/>
          <w:sz w:val="21"/>
          <w:szCs w:val="21"/>
        </w:rPr>
        <w:t>注：无固定资产占用情况，空表列示。</w:t>
      </w:r>
    </w:p>
    <w:p>
      <w:pPr>
        <w:ind w:firstLine="640"/>
      </w:pPr>
      <w:r>
        <w:rPr>
          <w:rFonts w:eastAsia="方正仿宋_GBK"/>
          <w:color w:val="000000"/>
          <w:sz w:val="32"/>
          <w:szCs w:val="32"/>
        </w:rPr>
        <w:t xml:space="preserve"> </w:t>
      </w:r>
    </w:p>
    <w:p>
      <w:pPr>
        <w:spacing w:before="10" w:after="10"/>
        <w:ind w:firstLine="640"/>
        <w:outlineLvl w:val="2"/>
      </w:pPr>
      <w:bookmarkStart w:id="18" w:name="_Toc_3_3_0000000019"/>
      <w:r>
        <w:rPr>
          <w:rFonts w:hint="eastAsia" w:ascii="黑体" w:hAnsi="黑体" w:eastAsia="黑体" w:cs="黑体"/>
          <w:color w:val="000000"/>
          <w:sz w:val="32"/>
          <w:szCs w:val="32"/>
        </w:rPr>
        <w:t>十、名词解释</w:t>
      </w:r>
      <w:bookmarkEnd w:id="18"/>
    </w:p>
    <w:p>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财政拨款收入：</w:t>
      </w:r>
      <w:r>
        <w:rPr>
          <w:rFonts w:hint="eastAsia" w:eastAsia="方正仿宋_GBK" w:cs="方正仿宋_GBK"/>
          <w:color w:val="000000"/>
          <w:sz w:val="28"/>
          <w:szCs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财政专户管理资金收入：</w:t>
      </w:r>
      <w:r>
        <w:rPr>
          <w:rFonts w:hint="eastAsia" w:eastAsia="方正仿宋_GBK" w:cs="方正仿宋_GBK"/>
          <w:color w:val="000000"/>
          <w:sz w:val="28"/>
          <w:szCs w:val="28"/>
        </w:rPr>
        <w:t>缴入财政专户、实行专项管理的教育收费收入。</w:t>
      </w:r>
    </w:p>
    <w:p>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单位资金收入：</w:t>
      </w:r>
      <w:r>
        <w:rPr>
          <w:rFonts w:hint="eastAsia" w:eastAsia="方正仿宋_GBK" w:cs="方正仿宋_GBK"/>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事业单位经营收入：</w:t>
      </w:r>
      <w:r>
        <w:rPr>
          <w:rFonts w:hint="eastAsia" w:eastAsia="方正仿宋_GBK" w:cs="方正仿宋_GBK"/>
          <w:color w:val="000000"/>
          <w:sz w:val="28"/>
          <w:szCs w:val="28"/>
        </w:rPr>
        <w:t>指事业单位在专业业务活动及其辅助活动之外开展非独立核算经营活动取得的收入。</w:t>
      </w:r>
    </w:p>
    <w:p>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指以前年度安排、结转到本年仍按原规定用途继续使用的资金。</w:t>
      </w:r>
    </w:p>
    <w:p>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hint="eastAsia" w:eastAsia="方正仿宋_GBK" w:cs="方正仿宋_GBK"/>
          <w:b/>
          <w:bCs/>
          <w:color w:val="000000"/>
          <w:sz w:val="28"/>
          <w:szCs w:val="28"/>
        </w:rPr>
        <w:t>部门预算支出：</w:t>
      </w:r>
      <w:r>
        <w:rPr>
          <w:rFonts w:hint="eastAsia" w:eastAsia="方正仿宋_GBK" w:cs="方正仿宋_GBK"/>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机关运行经费：</w:t>
      </w:r>
      <w:r>
        <w:rPr>
          <w:rFonts w:hint="eastAsia" w:eastAsia="方正仿宋_GBK" w:cs="方正仿宋_GBK"/>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hint="eastAsia" w:ascii="黑体" w:hAnsi="黑体" w:eastAsia="黑体" w:cs="黑体"/>
          <w:color w:val="000000"/>
          <w:sz w:val="32"/>
          <w:szCs w:val="32"/>
        </w:rPr>
        <w:t>十一、其他需要说明的事项</w:t>
      </w:r>
      <w:bookmarkEnd w:id="19"/>
    </w:p>
    <w:p>
      <w:pPr>
        <w:spacing w:line="500" w:lineRule="exact"/>
        <w:ind w:firstLine="560"/>
      </w:pPr>
      <w:r>
        <w:rPr>
          <w:rFonts w:hint="eastAsia" w:eastAsia="方正仿宋_GBK" w:cs="方正仿宋_GBK"/>
          <w:color w:val="000000"/>
          <w:sz w:val="28"/>
          <w:szCs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20"/>
  <w:doNotHyphenateCaps/>
  <w:evenAndOddHeaders w:val="1"/>
  <w:characterSpacingControl w:val="doNotCompress"/>
  <w:noLineBreaksAfter w:lang="zh-CN" w:val="$([{£¥·‘“〈《「『【〔〖〝﹙﹛﹝＄（．［｛￡￥"/>
  <w:noLineBreaksBefore w:lang="zh-CN" w:val="!%),.:;&gt;?]}¢¨°·ˇˉ―‖’”…‰′″›℃∶、。〃〉》」』】〕〗〞︶︺︾﹀﹄﹚﹜﹞！＂％＇），．：；？］｀｜｝～￠"/>
  <w:doNotValidateAgainstSchema/>
  <w:doNotDemarcateInvalidXml/>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xZGU1NzcyODk1N2EwMzc1ODg4YTdiOGU3Y2M3Y2YifQ=="/>
  </w:docVars>
  <w:rsids>
    <w:rsidRoot w:val="00EC7EE7"/>
    <w:rsid w:val="00236F30"/>
    <w:rsid w:val="007114E1"/>
    <w:rsid w:val="00C04850"/>
    <w:rsid w:val="00EA7702"/>
    <w:rsid w:val="00EC7EE7"/>
    <w:rsid w:val="080979CC"/>
    <w:rsid w:val="24293D5F"/>
    <w:rsid w:val="5138718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qFormat/>
    <w:uiPriority w:val="99"/>
    <w:pPr>
      <w:ind w:left="480"/>
    </w:pPr>
  </w:style>
  <w:style w:type="paragraph" w:styleId="3">
    <w:name w:val="toc 1"/>
    <w:basedOn w:val="1"/>
    <w:next w:val="1"/>
    <w:semiHidden/>
    <w:qFormat/>
    <w:uiPriority w:val="99"/>
    <w:pPr>
      <w:spacing w:before="120"/>
      <w:ind w:firstLine="560"/>
    </w:pPr>
    <w:rPr>
      <w:rFonts w:eastAsia="方正仿宋_GBK"/>
      <w:color w:val="000000"/>
      <w:sz w:val="28"/>
      <w:szCs w:val="28"/>
    </w:rPr>
  </w:style>
  <w:style w:type="paragraph" w:styleId="4">
    <w:name w:val="toc 2"/>
    <w:basedOn w:val="1"/>
    <w:next w:val="1"/>
    <w:semiHidden/>
    <w:qFormat/>
    <w:uiPriority w:val="99"/>
    <w:pPr>
      <w:ind w:left="240"/>
    </w:p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99"/>
    <w:pPr>
      <w:jc w:val="right"/>
    </w:pPr>
    <w:rPr>
      <w:rFonts w:ascii="方正小标宋_GBK" w:hAnsi="方正小标宋_GBK" w:eastAsia="方正小标宋_GBK" w:cs="方正小标宋_GBK"/>
    </w:rPr>
  </w:style>
  <w:style w:type="paragraph" w:customStyle="1" w:styleId="9">
    <w:name w:val="单元格样式21"/>
    <w:basedOn w:val="1"/>
    <w:qFormat/>
    <w:uiPriority w:val="99"/>
    <w:pPr>
      <w:jc w:val="center"/>
    </w:pPr>
    <w:rPr>
      <w:rFonts w:ascii="方正小标宋_GBK" w:hAnsi="方正小标宋_GBK" w:eastAsia="方正小标宋_GBK" w:cs="方正小标宋_GBK"/>
    </w:rPr>
  </w:style>
  <w:style w:type="paragraph" w:customStyle="1" w:styleId="10">
    <w:name w:val="单元格样式20"/>
    <w:basedOn w:val="1"/>
    <w:qFormat/>
    <w:uiPriority w:val="99"/>
    <w:rPr>
      <w:rFonts w:ascii="方正小标宋_GBK" w:hAnsi="方正小标宋_GBK" w:eastAsia="方正小标宋_GBK" w:cs="方正小标宋_GBK"/>
    </w:rPr>
  </w:style>
  <w:style w:type="paragraph" w:customStyle="1" w:styleId="11">
    <w:name w:val="单元格样式1"/>
    <w:basedOn w:val="1"/>
    <w:qFormat/>
    <w:uiPriority w:val="99"/>
    <w:pPr>
      <w:jc w:val="center"/>
    </w:pPr>
    <w:rPr>
      <w:rFonts w:ascii="方正书宋_GBK" w:hAnsi="方正书宋_GBK" w:eastAsia="方正书宋_GBK" w:cs="方正书宋_GBK"/>
      <w:b/>
      <w:bCs/>
      <w:sz w:val="21"/>
      <w:szCs w:val="21"/>
    </w:rPr>
  </w:style>
  <w:style w:type="paragraph" w:customStyle="1" w:styleId="12">
    <w:name w:val="单元格样式4"/>
    <w:basedOn w:val="1"/>
    <w:qFormat/>
    <w:uiPriority w:val="99"/>
    <w:pPr>
      <w:jc w:val="right"/>
    </w:pPr>
    <w:rPr>
      <w:rFonts w:ascii="方正书宋_GBK" w:hAnsi="方正书宋_GBK" w:eastAsia="方正书宋_GBK" w:cs="方正书宋_GBK"/>
      <w:sz w:val="21"/>
      <w:szCs w:val="21"/>
    </w:rPr>
  </w:style>
  <w:style w:type="paragraph" w:customStyle="1" w:styleId="13">
    <w:name w:val="单元格样式2"/>
    <w:basedOn w:val="1"/>
    <w:qFormat/>
    <w:uiPriority w:val="99"/>
    <w:rPr>
      <w:rFonts w:ascii="方正书宋_GBK" w:hAnsi="方正书宋_GBK" w:eastAsia="方正书宋_GBK" w:cs="方正书宋_GBK"/>
      <w:sz w:val="21"/>
      <w:szCs w:val="21"/>
    </w:rPr>
  </w:style>
  <w:style w:type="paragraph" w:customStyle="1" w:styleId="14">
    <w:name w:val="单元格样式3"/>
    <w:basedOn w:val="1"/>
    <w:qFormat/>
    <w:uiPriority w:val="99"/>
    <w:pPr>
      <w:jc w:val="center"/>
    </w:pPr>
    <w:rPr>
      <w:rFonts w:ascii="方正书宋_GBK" w:hAnsi="方正书宋_GBK" w:eastAsia="方正书宋_GBK" w:cs="方正书宋_GBK"/>
      <w:sz w:val="21"/>
      <w:szCs w:val="21"/>
    </w:rPr>
  </w:style>
  <w:style w:type="paragraph" w:customStyle="1" w:styleId="15">
    <w:name w:val="单元格样式6"/>
    <w:basedOn w:val="1"/>
    <w:qFormat/>
    <w:uiPriority w:val="99"/>
    <w:pPr>
      <w:jc w:val="center"/>
    </w:pPr>
    <w:rPr>
      <w:rFonts w:ascii="方正书宋_GBK" w:hAnsi="方正书宋_GBK" w:eastAsia="方正书宋_GBK" w:cs="方正书宋_GBK"/>
      <w:b/>
      <w:bCs/>
      <w:sz w:val="21"/>
      <w:szCs w:val="21"/>
    </w:rPr>
  </w:style>
  <w:style w:type="paragraph" w:customStyle="1" w:styleId="16">
    <w:name w:val="单元格样式7"/>
    <w:basedOn w:val="1"/>
    <w:qFormat/>
    <w:uiPriority w:val="99"/>
    <w:pPr>
      <w:jc w:val="right"/>
    </w:pPr>
    <w:rPr>
      <w:rFonts w:ascii="方正书宋_GBK" w:hAnsi="方正书宋_GBK" w:eastAsia="方正书宋_GBK" w:cs="方正书宋_GBK"/>
      <w:b/>
      <w:bCs/>
      <w:sz w:val="21"/>
      <w:szCs w:val="21"/>
    </w:rPr>
  </w:style>
  <w:style w:type="paragraph" w:customStyle="1" w:styleId="17">
    <w:name w:val="单元格样式5"/>
    <w:basedOn w:val="1"/>
    <w:qFormat/>
    <w:uiPriority w:val="99"/>
    <w:rPr>
      <w:rFonts w:ascii="方正书宋_GBK" w:hAnsi="方正书宋_GBK" w:eastAsia="方正书宋_GBK" w:cs="方正书宋_GBK"/>
      <w:b/>
      <w:bCs/>
      <w:sz w:val="21"/>
      <w:szCs w:val="21"/>
    </w:rPr>
  </w:style>
  <w:style w:type="paragraph" w:customStyle="1" w:styleId="18">
    <w:name w:val="插入文本样式-插入预算公开部门职责文件"/>
    <w:basedOn w:val="1"/>
    <w:qFormat/>
    <w:uiPriority w:val="99"/>
    <w:pPr>
      <w:spacing w:line="500" w:lineRule="exact"/>
      <w:ind w:firstLine="560"/>
    </w:pPr>
    <w:rPr>
      <w:rFonts w:eastAsia="方正仿宋_GBK"/>
      <w:sz w:val="28"/>
      <w:szCs w:val="28"/>
    </w:rPr>
  </w:style>
  <w:style w:type="paragraph" w:customStyle="1" w:styleId="19">
    <w:name w:val="插入文本样式-插入预算公开部门预算安排的总体情况文件"/>
    <w:basedOn w:val="1"/>
    <w:qFormat/>
    <w:uiPriority w:val="99"/>
    <w:pPr>
      <w:spacing w:line="500" w:lineRule="exact"/>
      <w:ind w:firstLine="560"/>
    </w:pPr>
    <w:rPr>
      <w:rFonts w:eastAsia="方正仿宋_GBK"/>
      <w:sz w:val="28"/>
      <w:szCs w:val="28"/>
    </w:rPr>
  </w:style>
  <w:style w:type="paragraph" w:customStyle="1" w:styleId="20">
    <w:name w:val="插入文本样式-插入预算公开部门机关运行经费安排情况文件"/>
    <w:basedOn w:val="1"/>
    <w:qFormat/>
    <w:uiPriority w:val="99"/>
    <w:pPr>
      <w:spacing w:line="500" w:lineRule="exact"/>
      <w:ind w:firstLine="560"/>
    </w:pPr>
    <w:rPr>
      <w:rFonts w:eastAsia="方正仿宋_GBK"/>
      <w:sz w:val="28"/>
      <w:szCs w:val="28"/>
    </w:rPr>
  </w:style>
  <w:style w:type="paragraph" w:customStyle="1" w:styleId="21">
    <w:name w:val="插入文本样式-插入预算公开部门财政拨款三公经费预算情况及增减变化原因文件"/>
    <w:basedOn w:val="1"/>
    <w:qFormat/>
    <w:uiPriority w:val="99"/>
    <w:pPr>
      <w:spacing w:line="500" w:lineRule="exact"/>
      <w:ind w:firstLine="560"/>
    </w:pPr>
    <w:rPr>
      <w:rFonts w:eastAsia="方正仿宋_GBK"/>
      <w:sz w:val="28"/>
      <w:szCs w:val="28"/>
    </w:rPr>
  </w:style>
  <w:style w:type="paragraph" w:customStyle="1" w:styleId="22">
    <w:name w:val="插入文本样式-插入总体目标文件"/>
    <w:basedOn w:val="1"/>
    <w:uiPriority w:val="99"/>
    <w:pPr>
      <w:spacing w:line="500" w:lineRule="exact"/>
      <w:ind w:firstLine="560"/>
    </w:pPr>
    <w:rPr>
      <w:rFonts w:eastAsia="方正仿宋_GBK"/>
      <w:sz w:val="28"/>
      <w:szCs w:val="28"/>
    </w:rPr>
  </w:style>
  <w:style w:type="paragraph" w:customStyle="1" w:styleId="23">
    <w:name w:val="插入文本样式-插入职责分类绩效目标文件"/>
    <w:basedOn w:val="1"/>
    <w:uiPriority w:val="99"/>
    <w:pPr>
      <w:spacing w:line="500" w:lineRule="exact"/>
      <w:ind w:firstLine="560"/>
    </w:pPr>
    <w:rPr>
      <w:rFonts w:eastAsia="方正仿宋_GBK"/>
      <w:sz w:val="28"/>
      <w:szCs w:val="28"/>
    </w:rPr>
  </w:style>
  <w:style w:type="paragraph" w:customStyle="1" w:styleId="24">
    <w:name w:val="插入文本样式-插入实现年度发展规划目标的保障措施文件"/>
    <w:basedOn w:val="1"/>
    <w:qFormat/>
    <w:uiPriority w:val="99"/>
    <w:pPr>
      <w:spacing w:line="500" w:lineRule="exact"/>
      <w:ind w:firstLine="560"/>
    </w:pPr>
    <w:rPr>
      <w:rFonts w:eastAsia="方正仿宋_GBK"/>
      <w:sz w:val="28"/>
      <w:szCs w:val="28"/>
    </w:rPr>
  </w:style>
  <w:style w:type="paragraph" w:customStyle="1" w:styleId="25">
    <w:name w:val="单元格样式23"/>
    <w:basedOn w:val="1"/>
    <w:qFormat/>
    <w:uiPriority w:val="99"/>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41</Pages>
  <Words>11065</Words>
  <Characters>13325</Characters>
  <Lines>0</Lines>
  <Paragraphs>0</Paragraphs>
  <TotalTime>16</TotalTime>
  <ScaleCrop>false</ScaleCrop>
  <LinksUpToDate>false</LinksUpToDate>
  <CharactersWithSpaces>13540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2024-03-18T01:27:00Z</dcterms:created>
  <dc:creator>Microsoft</dc:creator>
  <cp:lastModifiedBy>胖子</cp:lastModifiedBy>
  <dcterms:modified xsi:type="dcterms:W3CDTF">2025-01-20T08:35:33Z</dcterms:modified>
  <dc:title>  2024年部门预算信息公开目录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9A28CF16967E4AA498A02FBC1B470445_12</vt:lpwstr>
  </property>
</Properties>
</file>