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13"/>
          <w:sz w:val="32"/>
          <w:szCs w:val="32"/>
        </w:rPr>
        <w:t>1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ascii="Times New Roman" w:hAnsi="Times New Roman" w:eastAsia="黑体" w:cs="黑体"/>
          <w:b/>
          <w:bCs/>
          <w:spacing w:val="-10"/>
          <w:sz w:val="42"/>
          <w:szCs w:val="42"/>
        </w:rPr>
      </w:pPr>
    </w:p>
    <w:p>
      <w:pPr>
        <w:pStyle w:val="5"/>
        <w:shd w:val="clear" w:color="auto" w:fill="FFFFFF"/>
        <w:kinsoku/>
        <w:autoSpaceDE w:val="0"/>
        <w:autoSpaceDN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小标宋" w:hAnsi="Times New Roman" w:eastAsia="小标宋"/>
          <w:snapToGrid/>
          <w:sz w:val="44"/>
          <w:szCs w:val="44"/>
          <w:lang w:eastAsia="zh-CN"/>
        </w:rPr>
      </w:pPr>
      <w:bookmarkStart w:id="0" w:name="_GoBack"/>
      <w:r>
        <w:rPr>
          <w:rFonts w:hint="eastAsia" w:ascii="小标宋" w:hAnsi="Times New Roman" w:eastAsia="小标宋"/>
          <w:snapToGrid/>
          <w:sz w:val="44"/>
          <w:szCs w:val="44"/>
          <w:lang w:eastAsia="zh-CN"/>
        </w:rPr>
        <w:t>药品安全突发事件分级标准和响应规定</w:t>
      </w:r>
    </w:p>
    <w:bookmarkEnd w:id="0"/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rPr>
          <w:rFonts w:ascii="Times New Roman" w:hAnsi="Times New Roman"/>
        </w:rPr>
      </w:pPr>
    </w:p>
    <w:tbl>
      <w:tblPr>
        <w:tblStyle w:val="7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28"/>
        <w:gridCol w:w="566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类别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标准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相应级别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0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171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特别重大药品安全突发事件</w:t>
            </w:r>
            <w:r>
              <w:rPr>
                <w:rFonts w:hint="eastAsia" w:ascii="Times New Roman" w:hAnsi="Times New Roman"/>
                <w:lang w:eastAsia="zh-CN"/>
              </w:rPr>
              <w:t>（Ⅰ</w:t>
            </w:r>
            <w:r>
              <w:rPr>
                <w:rFonts w:ascii="Times New Roman" w:hAnsi="Times New Roman"/>
              </w:rPr>
              <w:t>级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9"/>
                <w:sz w:val="20"/>
                <w:szCs w:val="20"/>
              </w:rPr>
              <w:t>药品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1.在相对集中的时间和区域内，批号相对集中的同一药品引起临床表现相</w:t>
            </w:r>
            <w:r>
              <w:rPr>
                <w:rFonts w:ascii="Times New Roman" w:hAnsi="Times New Roman"/>
              </w:rPr>
              <w:t>似的，且罕见的或非预期的不良事件的人数超过</w:t>
            </w:r>
            <w:r>
              <w:rPr>
                <w:rFonts w:ascii="Times New Roman" w:hAnsi="Times New Roman"/>
                <w:spacing w:val="-1"/>
              </w:rPr>
              <w:t>50人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;或者引起</w:t>
            </w:r>
            <w:r>
              <w:rPr>
                <w:rFonts w:ascii="Times New Roman" w:hAnsi="Times New Roman"/>
                <w:spacing w:val="-8"/>
              </w:rPr>
              <w:t>特别严重不良事件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（</w:t>
            </w:r>
            <w:r>
              <w:rPr>
                <w:rFonts w:ascii="Times New Roman" w:hAnsi="Times New Roman"/>
                <w:spacing w:val="-8"/>
              </w:rPr>
              <w:t>可能对人体造成永久性伤残，对器官功能造成永久性</w:t>
            </w:r>
            <w:r>
              <w:rPr>
                <w:rFonts w:ascii="Times New Roman" w:hAnsi="Times New Roman"/>
              </w:rPr>
              <w:t>损伤或危及生命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的人数超过药品10人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2.同一批号药品短期内引起5例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以上患者死亡。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pacing w:val="-7"/>
              </w:rPr>
              <w:t>3.短期内2个以上省</w:t>
            </w:r>
            <w:r>
              <w:rPr>
                <w:rFonts w:hint="eastAsia" w:ascii="Times New Roman" w:hAnsi="Times New Roman"/>
                <w:spacing w:val="-7"/>
                <w:lang w:eastAsia="zh-CN"/>
              </w:rPr>
              <w:t>（</w:t>
            </w:r>
            <w:r>
              <w:rPr>
                <w:rFonts w:ascii="Times New Roman" w:hAnsi="Times New Roman"/>
                <w:spacing w:val="-7"/>
              </w:rPr>
              <w:t>区、市，包含我省</w:t>
            </w:r>
            <w:r>
              <w:rPr>
                <w:rFonts w:hint="eastAsia" w:ascii="Times New Roman" w:hAnsi="Times New Roman"/>
                <w:spacing w:val="-7"/>
                <w:lang w:eastAsia="zh-CN"/>
              </w:rPr>
              <w:t>）</w:t>
            </w:r>
            <w:r>
              <w:rPr>
                <w:rFonts w:ascii="Times New Roman" w:hAnsi="Times New Roman"/>
                <w:spacing w:val="-7"/>
              </w:rPr>
              <w:t>因同一药品发生Ⅱ级药品质</w:t>
            </w:r>
            <w:r>
              <w:rPr>
                <w:rFonts w:ascii="Times New Roman" w:hAnsi="Times New Roman"/>
                <w:spacing w:val="-8"/>
              </w:rPr>
              <w:t>量安</w:t>
            </w:r>
            <w:r>
              <w:rPr>
                <w:rFonts w:ascii="Times New Roman" w:hAnsi="Times New Roman"/>
                <w:spacing w:val="-2"/>
              </w:rPr>
              <w:t>全事件</w:t>
            </w:r>
            <w:r>
              <w:rPr>
                <w:rFonts w:hint="eastAsia" w:ascii="Times New Roman" w:hAnsi="Times New Roman"/>
                <w:spacing w:val="-2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4.其他危害特别严重的药品质量安全事件。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省政府启动I级响应，同时在国务院</w:t>
            </w:r>
            <w:r>
              <w:rPr>
                <w:rFonts w:ascii="Times New Roman" w:hAnsi="Times New Roman"/>
                <w:spacing w:val="-2"/>
              </w:rPr>
              <w:t>或相关指挥机构领导或</w:t>
            </w:r>
            <w:r>
              <w:rPr>
                <w:rFonts w:ascii="Times New Roman" w:hAnsi="Times New Roman"/>
                <w:spacing w:val="2"/>
              </w:rPr>
              <w:t>指导协调下</w:t>
            </w:r>
            <w:r>
              <w:rPr>
                <w:rFonts w:ascii="Times New Roman" w:hAnsi="Times New Roman"/>
                <w:spacing w:val="-2"/>
              </w:rPr>
              <w:t>开展处置工</w:t>
            </w:r>
            <w:r>
              <w:rPr>
                <w:rFonts w:ascii="Times New Roman" w:hAnsi="Times New Roman"/>
              </w:rPr>
              <w:t>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疫苗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1.在相对集中的时间和区域内，批号相对集中的同一疫苗引起临床表现相</w:t>
            </w:r>
            <w:r>
              <w:rPr>
                <w:rFonts w:ascii="Times New Roman" w:hAnsi="Times New Roman"/>
                <w:spacing w:val="-8"/>
              </w:rPr>
              <w:t>似的，且罕见或非预期的不良事件的人数超过20人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（</w:t>
            </w:r>
            <w:r>
              <w:rPr>
                <w:rFonts w:ascii="Times New Roman" w:hAnsi="Times New Roman"/>
                <w:spacing w:val="-8"/>
              </w:rPr>
              <w:t>合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）</w:t>
            </w:r>
            <w:r>
              <w:rPr>
                <w:rFonts w:ascii="Times New Roman" w:hAnsi="Times New Roman"/>
                <w:spacing w:val="-8"/>
              </w:rPr>
              <w:t>;或者引起特别严</w:t>
            </w:r>
            <w:r>
              <w:rPr>
                <w:rFonts w:ascii="Times New Roman" w:hAnsi="Times New Roman"/>
                <w:spacing w:val="1"/>
              </w:rPr>
              <w:t>重不良事件超过5人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（</w:t>
            </w:r>
            <w:r>
              <w:rPr>
                <w:rFonts w:ascii="Times New Roman" w:hAnsi="Times New Roman"/>
                <w:spacing w:val="1"/>
              </w:rPr>
              <w:t>含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），</w:t>
            </w:r>
            <w:r>
              <w:rPr>
                <w:rFonts w:ascii="Times New Roman" w:hAnsi="Times New Roman"/>
                <w:spacing w:val="1"/>
              </w:rPr>
              <w:t>疑似与质量相关的事件。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2.同一批号疫苗短期内引起5例</w:t>
            </w:r>
            <w:r>
              <w:rPr>
                <w:rFonts w:hint="eastAsia" w:ascii="Times New Roman" w:hAnsi="Times New Roman"/>
                <w:spacing w:val="-2"/>
                <w:lang w:eastAsia="zh-CN"/>
              </w:rPr>
              <w:t>（</w:t>
            </w:r>
            <w:r>
              <w:rPr>
                <w:rFonts w:ascii="Times New Roman" w:hAnsi="Times New Roman"/>
                <w:spacing w:val="-2"/>
              </w:rPr>
              <w:t>含</w:t>
            </w:r>
            <w:r>
              <w:rPr>
                <w:rFonts w:hint="eastAsia" w:ascii="Times New Roman" w:hAnsi="Times New Roman"/>
                <w:spacing w:val="-2"/>
                <w:lang w:eastAsia="zh-CN"/>
              </w:rPr>
              <w:t>）</w:t>
            </w:r>
            <w:r>
              <w:rPr>
                <w:rFonts w:ascii="Times New Roman" w:hAnsi="Times New Roman"/>
                <w:spacing w:val="-2"/>
              </w:rPr>
              <w:t>以上患者死亡，疑似与质量相关的</w:t>
            </w:r>
            <w:r>
              <w:rPr>
                <w:rFonts w:ascii="Times New Roman" w:hAnsi="Times New Roman"/>
                <w:spacing w:val="-1"/>
              </w:rPr>
              <w:t>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3.其他危害特别严重且引发社会影响的疫苗质量安全突发事件。</w:t>
            </w: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07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医疗器械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1.在相对集中的时间和区城内，批号相对集中的同一品种引起特别严重不</w:t>
            </w:r>
            <w:r>
              <w:rPr>
                <w:rFonts w:ascii="Times New Roman" w:hAnsi="Times New Roman"/>
                <w:spacing w:val="-8"/>
              </w:rPr>
              <w:t>良事件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（</w:t>
            </w:r>
            <w:r>
              <w:rPr>
                <w:rFonts w:ascii="Times New Roman" w:hAnsi="Times New Roman"/>
                <w:spacing w:val="-8"/>
              </w:rPr>
              <w:t>可能对人体造成永久性伤残、对器官功能造成永久性损</w:t>
            </w:r>
            <w:r>
              <w:rPr>
                <w:rFonts w:ascii="Times New Roman" w:hAnsi="Times New Roman"/>
                <w:spacing w:val="-9"/>
              </w:rPr>
              <w:t>伤或危及</w:t>
            </w:r>
            <w:r>
              <w:rPr>
                <w:rFonts w:ascii="Times New Roman" w:hAnsi="Times New Roman"/>
                <w:spacing w:val="1"/>
              </w:rPr>
              <w:t>生命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）</w:t>
            </w:r>
            <w:r>
              <w:rPr>
                <w:rFonts w:ascii="Times New Roman" w:hAnsi="Times New Roman"/>
                <w:spacing w:val="1"/>
              </w:rPr>
              <w:t>的人数超过10人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（</w:t>
            </w:r>
            <w:r>
              <w:rPr>
                <w:rFonts w:ascii="Times New Roman" w:hAnsi="Times New Roman"/>
                <w:spacing w:val="1"/>
              </w:rPr>
              <w:t>含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）</w:t>
            </w:r>
            <w:r>
              <w:rPr>
                <w:rFonts w:ascii="Times New Roman" w:hAnsi="Times New Roman"/>
                <w:spacing w:val="1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2.同一批号产品短期内引起3例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以上患者死亡。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3.短期内2个以上省</w:t>
            </w:r>
            <w:r>
              <w:rPr>
                <w:rFonts w:hint="eastAsia" w:ascii="Times New Roman" w:hAnsi="Times New Roman"/>
                <w:spacing w:val="-7"/>
                <w:lang w:eastAsia="zh-CN"/>
              </w:rPr>
              <w:t>（</w:t>
            </w:r>
            <w:r>
              <w:rPr>
                <w:rFonts w:ascii="Times New Roman" w:hAnsi="Times New Roman"/>
                <w:spacing w:val="-7"/>
              </w:rPr>
              <w:t>区、市，包含我省</w:t>
            </w:r>
            <w:r>
              <w:rPr>
                <w:rFonts w:hint="eastAsia" w:ascii="Times New Roman" w:hAnsi="Times New Roman"/>
                <w:spacing w:val="-7"/>
                <w:lang w:eastAsia="zh-CN"/>
              </w:rPr>
              <w:t>）</w:t>
            </w:r>
            <w:r>
              <w:rPr>
                <w:rFonts w:ascii="Times New Roman" w:hAnsi="Times New Roman"/>
                <w:spacing w:val="-7"/>
              </w:rPr>
              <w:t>因同一产品发生Ⅱ级医疗器</w:t>
            </w:r>
            <w:r>
              <w:rPr>
                <w:rFonts w:ascii="Times New Roman" w:hAnsi="Times New Roman"/>
                <w:spacing w:val="-8"/>
              </w:rPr>
              <w:t>械安</w:t>
            </w:r>
            <w:r>
              <w:rPr>
                <w:rFonts w:ascii="Times New Roman" w:hAnsi="Times New Roman"/>
                <w:spacing w:val="-1"/>
              </w:rPr>
              <w:t>全突发事件。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4.其他危害特别严重的医疗器械安全突发事件。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0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重大药品安全突发事件</w:t>
            </w:r>
            <w:r>
              <w:rPr>
                <w:rFonts w:hint="eastAsia" w:ascii="Times New Roman" w:hAnsi="Times New Roman"/>
                <w:lang w:eastAsia="zh-CN"/>
              </w:rPr>
              <w:t>（Ⅱ</w:t>
            </w:r>
            <w:r>
              <w:rPr>
                <w:rFonts w:ascii="Times New Roman" w:hAnsi="Times New Roman"/>
              </w:rPr>
              <w:t>级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9"/>
                <w:sz w:val="20"/>
                <w:szCs w:val="20"/>
              </w:rPr>
              <w:t>药品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1.在相对集中的时间和区域内，批号相对集中的同一药品</w:t>
            </w:r>
            <w:r>
              <w:rPr>
                <w:rFonts w:ascii="Times New Roman" w:hAnsi="Times New Roman"/>
                <w:spacing w:val="-12"/>
              </w:rPr>
              <w:t>引起临床表现相</w:t>
            </w:r>
            <w:r>
              <w:rPr>
                <w:rFonts w:ascii="Times New Roman" w:hAnsi="Times New Roman"/>
                <w:spacing w:val="-1"/>
              </w:rPr>
              <w:t>似的，且罕见的或非预期的不良事件的人数超过30人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），</w:t>
            </w:r>
            <w:r>
              <w:rPr>
                <w:rFonts w:ascii="Times New Roman" w:hAnsi="Times New Roman"/>
                <w:spacing w:val="-1"/>
              </w:rPr>
              <w:t>少于50</w:t>
            </w:r>
            <w:r>
              <w:rPr>
                <w:rFonts w:ascii="Times New Roman" w:hAnsi="Times New Roman"/>
                <w:spacing w:val="-8"/>
              </w:rPr>
              <w:t>人；或者引起特别严重不良事件</w:t>
            </w:r>
            <w:r>
              <w:rPr>
                <w:rFonts w:hint="eastAsia" w:ascii="Times New Roman" w:hAnsi="Times New Roman"/>
                <w:spacing w:val="-8"/>
                <w:lang w:eastAsia="zh-CN"/>
              </w:rPr>
              <w:t>（</w:t>
            </w:r>
            <w:r>
              <w:rPr>
                <w:rFonts w:ascii="Times New Roman" w:hAnsi="Times New Roman"/>
                <w:spacing w:val="-8"/>
              </w:rPr>
              <w:t>可能对人体造成永久性伤残、对器官功</w:t>
            </w:r>
            <w:r>
              <w:rPr>
                <w:rFonts w:ascii="Times New Roman" w:hAnsi="Times New Roman"/>
                <w:spacing w:val="-1"/>
              </w:rPr>
              <w:t>能造成永久性损伤或危及生命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的人数超过药品5人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45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2.同一批号药品短期内引起3例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至5例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以上患者死亡，且在同一区域内同时出现其他类似病例。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341" w:firstLine="0" w:firstLineChars="0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3.短期内我省2个以上市因同一药品发生J级药品质量安全事</w:t>
            </w:r>
            <w:r>
              <w:rPr>
                <w:rFonts w:ascii="Times New Roman" w:hAnsi="Times New Roman"/>
                <w:spacing w:val="-1"/>
              </w:rPr>
              <w:t>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341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4.其他危害严重的重大药品质量安全事件。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117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省政府启动Ⅱ级响应，同</w:t>
            </w:r>
            <w:r>
              <w:rPr>
                <w:rFonts w:ascii="Times New Roman" w:hAnsi="Times New Roman"/>
                <w:spacing w:val="1"/>
              </w:rPr>
              <w:t>时在国家药品监管局领导或指导协</w:t>
            </w:r>
            <w:r>
              <w:rPr>
                <w:rFonts w:ascii="Times New Roman" w:hAnsi="Times New Roman"/>
                <w:spacing w:val="-2"/>
              </w:rPr>
              <w:t>调下开展处置工作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07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疫苗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1.在相对集中的时间和区域内，批号相对集中的同一疫苗引起临床表现相</w:t>
            </w:r>
            <w:r>
              <w:rPr>
                <w:rFonts w:ascii="Times New Roman" w:hAnsi="Times New Roman"/>
                <w:spacing w:val="-5"/>
              </w:rPr>
              <w:t>似的，且罕见或非预期的不良事件的人数超过10人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（</w:t>
            </w:r>
            <w:r>
              <w:rPr>
                <w:rFonts w:ascii="Times New Roman" w:hAnsi="Times New Roman"/>
                <w:spacing w:val="-5"/>
              </w:rPr>
              <w:t>合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）</w:t>
            </w:r>
            <w:r>
              <w:rPr>
                <w:rFonts w:ascii="Times New Roman" w:hAnsi="Times New Roman"/>
                <w:spacing w:val="-5"/>
              </w:rPr>
              <w:t>、少于20人；或者引起特别严重不良事件超过3人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（</w:t>
            </w:r>
            <w:r>
              <w:rPr>
                <w:rFonts w:ascii="Times New Roman" w:hAnsi="Times New Roman"/>
                <w:spacing w:val="-5"/>
              </w:rPr>
              <w:t>含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）</w:t>
            </w:r>
            <w:r>
              <w:rPr>
                <w:rFonts w:ascii="Times New Roman" w:hAnsi="Times New Roman"/>
                <w:spacing w:val="-5"/>
              </w:rPr>
              <w:t>、少于5人，疑似与质量相关的事</w:t>
            </w:r>
            <w:r>
              <w:rPr>
                <w:rFonts w:ascii="Times New Roman" w:hAnsi="Times New Roman"/>
                <w:spacing w:val="24"/>
              </w:rPr>
              <w:t>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2.同一批号疫苗短期内引起2例</w:t>
            </w:r>
            <w:r>
              <w:rPr>
                <w:rFonts w:hint="eastAsia" w:ascii="Times New Roman" w:hAnsi="Times New Roman"/>
                <w:spacing w:val="-3"/>
                <w:lang w:eastAsia="zh-CN"/>
              </w:rPr>
              <w:t>（</w:t>
            </w:r>
            <w:r>
              <w:rPr>
                <w:rFonts w:ascii="Times New Roman" w:hAnsi="Times New Roman"/>
                <w:spacing w:val="-3"/>
              </w:rPr>
              <w:t>含</w:t>
            </w:r>
            <w:r>
              <w:rPr>
                <w:rFonts w:hint="eastAsia" w:ascii="Times New Roman" w:hAnsi="Times New Roman"/>
                <w:spacing w:val="-3"/>
                <w:lang w:eastAsia="zh-CN"/>
              </w:rPr>
              <w:t>）</w:t>
            </w:r>
            <w:r>
              <w:rPr>
                <w:rFonts w:ascii="Times New Roman" w:hAnsi="Times New Roman"/>
                <w:spacing w:val="-3"/>
              </w:rPr>
              <w:t>以上患者死亡、5</w:t>
            </w:r>
            <w:r>
              <w:rPr>
                <w:rFonts w:ascii="Times New Roman" w:hAnsi="Times New Roman"/>
                <w:spacing w:val="-4"/>
              </w:rPr>
              <w:t>例以下患者死亡</w:t>
            </w:r>
            <w:r>
              <w:rPr>
                <w:rFonts w:hint="eastAsia" w:ascii="Times New Roman" w:hAnsi="Times New Roman"/>
                <w:spacing w:val="-4"/>
                <w:lang w:eastAsia="zh-CN"/>
              </w:rPr>
              <w:t>，</w:t>
            </w:r>
            <w:r>
              <w:rPr>
                <w:rFonts w:ascii="Times New Roman" w:hAnsi="Times New Roman"/>
              </w:rPr>
              <w:t>疑似与质量相关的事件。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3.确认出现质量问题，涉及2个以上省份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包括我省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4.其他危害严重且引发社会影响的疫苗质量安全突发事件。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75" w:tblpY="544"/>
        <w:tblOverlap w:val="never"/>
        <w:tblW w:w="88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48"/>
        <w:gridCol w:w="5582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医疗器械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1.在相对集中的时间和区城内，批号相对集中的同一品种引起特别严重不</w:t>
            </w:r>
            <w:r>
              <w:rPr>
                <w:rFonts w:ascii="Times New Roman" w:hAnsi="Times New Roman"/>
                <w:spacing w:val="-4"/>
              </w:rPr>
              <w:t>良事件</w:t>
            </w:r>
            <w:r>
              <w:rPr>
                <w:rFonts w:hint="eastAsia" w:ascii="Times New Roman" w:hAnsi="Times New Roman"/>
                <w:spacing w:val="-4"/>
                <w:lang w:val="en-US" w:eastAsia="zh-CN"/>
              </w:rPr>
              <w:t>（</w:t>
            </w:r>
            <w:r>
              <w:rPr>
                <w:rFonts w:ascii="Times New Roman" w:hAnsi="Times New Roman"/>
                <w:spacing w:val="-4"/>
              </w:rPr>
              <w:t>可能对人体造成永久性伤残、对器官功</w:t>
            </w:r>
            <w:r>
              <w:rPr>
                <w:rFonts w:ascii="Times New Roman" w:hAnsi="Times New Roman"/>
                <w:spacing w:val="-5"/>
              </w:rPr>
              <w:t>能造成永久性损伤或危及</w:t>
            </w:r>
            <w:r>
              <w:rPr>
                <w:rFonts w:ascii="Times New Roman" w:hAnsi="Times New Roman"/>
                <w:spacing w:val="1"/>
              </w:rPr>
              <w:t>生命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）</w:t>
            </w:r>
            <w:r>
              <w:rPr>
                <w:rFonts w:ascii="Times New Roman" w:hAnsi="Times New Roman"/>
                <w:spacing w:val="1"/>
              </w:rPr>
              <w:t>的人数超过5人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（</w:t>
            </w:r>
            <w:r>
              <w:rPr>
                <w:rFonts w:ascii="Times New Roman" w:hAnsi="Times New Roman"/>
                <w:spacing w:val="1"/>
              </w:rPr>
              <w:t>含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），</w:t>
            </w:r>
            <w:r>
              <w:rPr>
                <w:rFonts w:ascii="Times New Roman" w:hAnsi="Times New Roman"/>
                <w:spacing w:val="1"/>
              </w:rPr>
              <w:t>少于10人。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2.同一批号产品短期内引起1-2例患者死亡，且在同一区域内同时出现类</w:t>
            </w:r>
            <w:r>
              <w:rPr>
                <w:rFonts w:ascii="Times New Roman" w:hAnsi="Times New Roman"/>
                <w:spacing w:val="-1"/>
              </w:rPr>
              <w:t>似事件。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2"/>
              </w:rPr>
              <w:t>3.短期内我省2个以上市因同一产品发生</w:t>
            </w:r>
            <w:r>
              <w:rPr>
                <w:rFonts w:ascii="Times New Roman" w:hAnsi="Times New Roman"/>
                <w:spacing w:val="-3"/>
              </w:rPr>
              <w:t>Ⅲ级医疗器械安全突发事件。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4.其他危害严重的医疗器械安全突发事件。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10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pacing w:val="4"/>
              </w:rPr>
              <w:t>较大药品</w:t>
            </w:r>
            <w:r>
              <w:rPr>
                <w:rFonts w:ascii="Times New Roman" w:hAnsi="Times New Roman"/>
                <w:spacing w:val="-2"/>
              </w:rPr>
              <w:t>安全突发</w:t>
            </w:r>
            <w:r>
              <w:rPr>
                <w:rFonts w:ascii="Times New Roman" w:hAnsi="Times New Roman"/>
                <w:spacing w:val="-14"/>
              </w:rPr>
              <w:t>事件</w:t>
            </w:r>
            <w:r>
              <w:rPr>
                <w:rFonts w:hint="eastAsia" w:ascii="Times New Roman" w:hAnsi="Times New Roman"/>
                <w:spacing w:val="-1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pacing w:val="-14"/>
                <w:lang w:eastAsia="zh-CN"/>
              </w:rPr>
              <w:t>（</w:t>
            </w:r>
            <w:r>
              <w:rPr>
                <w:rFonts w:hint="eastAsia" w:ascii="Times New Roman" w:hAnsi="Times New Roman"/>
                <w:spacing w:val="-9"/>
                <w:lang w:eastAsia="zh-CN"/>
              </w:rPr>
              <w:t>Ⅲ</w:t>
            </w:r>
            <w:r>
              <w:rPr>
                <w:rFonts w:ascii="Times New Roman" w:hAnsi="Times New Roman"/>
                <w:spacing w:val="-5"/>
              </w:rPr>
              <w:t>级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</w:rPr>
              <w:t>药品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1.在相对集中的时问和区域内，批号相对集中的同一药品引起临床表现相</w:t>
            </w:r>
            <w:r>
              <w:rPr>
                <w:rFonts w:ascii="Times New Roman" w:hAnsi="Times New Roman"/>
                <w:spacing w:val="-1"/>
              </w:rPr>
              <w:t>似的，且罕见的或非预期的不良事件的人数超过20人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），</w:t>
            </w:r>
            <w:r>
              <w:rPr>
                <w:rFonts w:ascii="Times New Roman" w:hAnsi="Times New Roman"/>
                <w:spacing w:val="-1"/>
              </w:rPr>
              <w:t>少于30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人；或者引起特别严重不良事件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（</w:t>
            </w:r>
            <w:r>
              <w:rPr>
                <w:rFonts w:ascii="Times New Roman" w:hAnsi="Times New Roman"/>
                <w:spacing w:val="-5"/>
              </w:rPr>
              <w:t>可能对人体造成</w:t>
            </w:r>
            <w:r>
              <w:rPr>
                <w:rFonts w:ascii="Times New Roman" w:hAnsi="Times New Roman"/>
                <w:spacing w:val="-6"/>
              </w:rPr>
              <w:t>永久性伤残、对器官功</w:t>
            </w:r>
            <w:r>
              <w:rPr>
                <w:rFonts w:ascii="Times New Roman" w:hAnsi="Times New Roman"/>
                <w:spacing w:val="-1"/>
              </w:rPr>
              <w:t>能造成永久性损伤或危及生命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的人数超过药品3人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2.同一批号药品短期内引起2例以下忠者死亡，且在同一区域</w:t>
            </w:r>
            <w:r>
              <w:rPr>
                <w:rFonts w:ascii="Times New Roman" w:hAnsi="Times New Roman"/>
                <w:spacing w:val="-6"/>
              </w:rPr>
              <w:t>内同时出现</w:t>
            </w:r>
            <w:r>
              <w:rPr>
                <w:rFonts w:ascii="Times New Roman" w:hAnsi="Times New Roman"/>
                <w:spacing w:val="-1"/>
              </w:rPr>
              <w:t>其他类似病例。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101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3.短期内1个市内2个以上县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市、区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因同一药品发生IV级药品质量安全事件。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4.其他危害较大的药品质量安全事件。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212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市政府启动</w:t>
            </w:r>
            <w:r>
              <w:rPr>
                <w:rFonts w:hint="eastAsia" w:ascii="Times New Roman" w:hAnsi="Times New Roman"/>
                <w:spacing w:val="-9"/>
                <w:lang w:eastAsia="zh-CN"/>
              </w:rPr>
              <w:t>Ⅲ</w:t>
            </w:r>
            <w:r>
              <w:rPr>
                <w:rFonts w:ascii="Times New Roman" w:hAnsi="Times New Roman"/>
                <w:spacing w:val="-9"/>
              </w:rPr>
              <w:t>级响应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疫苗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1.在相对集中的时间和区域内，批号相对集中的同一疫苗引</w:t>
            </w:r>
            <w:r>
              <w:rPr>
                <w:rFonts w:ascii="Times New Roman" w:hAnsi="Times New Roman"/>
                <w:spacing w:val="-9"/>
              </w:rPr>
              <w:t>起临床表现相</w:t>
            </w:r>
            <w:r>
              <w:rPr>
                <w:rFonts w:ascii="Times New Roman" w:hAnsi="Times New Roman"/>
                <w:spacing w:val="2"/>
              </w:rPr>
              <w:t>似的，且罕见或非预期的不良事件的人数超过5</w:t>
            </w:r>
            <w:r>
              <w:rPr>
                <w:rFonts w:ascii="Times New Roman" w:hAnsi="Times New Roman"/>
                <w:spacing w:val="1"/>
              </w:rPr>
              <w:t>人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（</w:t>
            </w:r>
            <w:r>
              <w:rPr>
                <w:rFonts w:ascii="Times New Roman" w:hAnsi="Times New Roman"/>
                <w:spacing w:val="1"/>
              </w:rPr>
              <w:t>含</w:t>
            </w:r>
            <w:r>
              <w:rPr>
                <w:rFonts w:hint="eastAsia" w:ascii="Times New Roman" w:hAnsi="Times New Roman"/>
                <w:spacing w:val="1"/>
                <w:lang w:eastAsia="zh-CN"/>
              </w:rPr>
              <w:t>）</w:t>
            </w:r>
            <w:r>
              <w:rPr>
                <w:rFonts w:ascii="Times New Roman" w:hAnsi="Times New Roman"/>
                <w:spacing w:val="1"/>
              </w:rPr>
              <w:t>、少于10人；</w:t>
            </w:r>
            <w:r>
              <w:rPr>
                <w:rFonts w:ascii="Times New Roman" w:hAnsi="Times New Roman"/>
              </w:rPr>
              <w:t>或者引起特别严重不良事件超过2人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，</w:t>
            </w:r>
            <w:r>
              <w:rPr>
                <w:rFonts w:ascii="Times New Roman" w:hAnsi="Times New Roman"/>
                <w:spacing w:val="-1"/>
              </w:rPr>
              <w:t>疑似与质量相关的事件。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191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2.同一批号疫苗短期内引起1例思者死亡，疑似与质量相关的事件。3.确认出现质量问题，且只涉及我省的。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4.其他危害较大且引发社会影响局限于我省的疫苗质量安</w:t>
            </w:r>
            <w:r>
              <w:rPr>
                <w:rFonts w:ascii="Times New Roman" w:hAnsi="Times New Roman"/>
                <w:spacing w:val="-3"/>
              </w:rPr>
              <w:t>全突发事件。</w:t>
            </w: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0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医疗器械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1.在相对集中的时间和区城内，批号相对集中的同一品种引起特别严重不</w:t>
            </w:r>
            <w:r>
              <w:rPr>
                <w:rFonts w:ascii="Times New Roman" w:hAnsi="Times New Roman"/>
                <w:spacing w:val="-5"/>
              </w:rPr>
              <w:t>良事件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（</w:t>
            </w:r>
            <w:r>
              <w:rPr>
                <w:rFonts w:ascii="Times New Roman" w:hAnsi="Times New Roman"/>
                <w:spacing w:val="-5"/>
              </w:rPr>
              <w:t>可能对人体造成永久性伤残、对器官功能</w:t>
            </w:r>
            <w:r>
              <w:rPr>
                <w:rFonts w:ascii="Times New Roman" w:hAnsi="Times New Roman"/>
                <w:spacing w:val="-6"/>
              </w:rPr>
              <w:t>造成永久性损伤或危及</w:t>
            </w:r>
            <w:r>
              <w:rPr>
                <w:rFonts w:ascii="Times New Roman" w:hAnsi="Times New Roman"/>
                <w:spacing w:val="-1"/>
              </w:rPr>
              <w:t>生命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的人数超过3人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），</w:t>
            </w:r>
            <w:r>
              <w:rPr>
                <w:rFonts w:ascii="Times New Roman" w:hAnsi="Times New Roman"/>
                <w:spacing w:val="-1"/>
              </w:rPr>
              <w:t>少于5人。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101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2.在短期内1个以上市2个以上县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市、区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因同</w:t>
            </w:r>
            <w:r>
              <w:rPr>
                <w:rFonts w:ascii="Times New Roman" w:hAnsi="Times New Roman"/>
                <w:spacing w:val="-1"/>
              </w:rPr>
              <w:t>一产品发生IV级医疗器械安全突发事件。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3.其他危害严重的医疗器械安全突发事件。</w:t>
            </w: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0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pacing w:val="4"/>
              </w:rPr>
              <w:t>一般药品</w:t>
            </w:r>
            <w:r>
              <w:rPr>
                <w:rFonts w:ascii="Times New Roman" w:hAnsi="Times New Roman"/>
                <w:spacing w:val="-2"/>
              </w:rPr>
              <w:t>安全突发</w:t>
            </w:r>
            <w:r>
              <w:rPr>
                <w:rFonts w:ascii="Times New Roman" w:hAnsi="Times New Roman"/>
                <w:spacing w:val="-14"/>
              </w:rPr>
              <w:t>事件</w:t>
            </w:r>
            <w:r>
              <w:rPr>
                <w:rFonts w:hint="eastAsia" w:ascii="Times New Roman" w:hAnsi="Times New Roman"/>
                <w:spacing w:val="-14"/>
                <w:lang w:eastAsia="zh-CN"/>
              </w:rPr>
              <w:t>（Ⅳ</w:t>
            </w:r>
            <w:r>
              <w:rPr>
                <w:rFonts w:ascii="Times New Roman" w:hAnsi="Times New Roman"/>
                <w:spacing w:val="-5"/>
              </w:rPr>
              <w:t>级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</w:rPr>
              <w:t>药品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Chars="0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  <w:r>
              <w:rPr>
                <w:rFonts w:hint="eastAsia" w:ascii="Times New Roman" w:hAnsi="Times New Roman"/>
                <w:spacing w:val="-9"/>
                <w:lang w:val="en-US" w:eastAsia="zh-CN"/>
              </w:rPr>
              <w:t>1.</w:t>
            </w:r>
            <w:r>
              <w:rPr>
                <w:rFonts w:ascii="Times New Roman" w:hAnsi="Times New Roman"/>
                <w:spacing w:val="-9"/>
              </w:rPr>
              <w:t>在相对集中的时间和区域内，批号相对集中的同一药品引起临床表</w:t>
            </w:r>
            <w:r>
              <w:rPr>
                <w:rFonts w:ascii="Times New Roman" w:hAnsi="Times New Roman"/>
                <w:spacing w:val="-10"/>
              </w:rPr>
              <w:t>现相</w:t>
            </w:r>
            <w:r>
              <w:rPr>
                <w:rFonts w:ascii="Times New Roman" w:hAnsi="Times New Roman"/>
                <w:spacing w:val="-1"/>
              </w:rPr>
              <w:t>似的，且罕见的或非预期的不良事件的人数超过10人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），</w:t>
            </w:r>
            <w:r>
              <w:rPr>
                <w:rFonts w:ascii="Times New Roman" w:hAnsi="Times New Roman"/>
                <w:spacing w:val="-1"/>
              </w:rPr>
              <w:t>少于20</w:t>
            </w:r>
            <w:r>
              <w:rPr>
                <w:rFonts w:ascii="Times New Roman" w:hAnsi="Times New Roman"/>
                <w:spacing w:val="-6"/>
              </w:rPr>
              <w:t>人</w:t>
            </w:r>
            <w:r>
              <w:rPr>
                <w:rFonts w:hint="eastAsia" w:ascii="Times New Roman" w:hAnsi="Times New Roman"/>
                <w:spacing w:val="-6"/>
                <w:lang w:eastAsia="zh-CN"/>
              </w:rPr>
              <w:t>；</w:t>
            </w:r>
            <w:r>
              <w:rPr>
                <w:rFonts w:ascii="Times New Roman" w:hAnsi="Times New Roman"/>
                <w:spacing w:val="-6"/>
              </w:rPr>
              <w:t>或者引起特别严重不良事件</w:t>
            </w:r>
            <w:r>
              <w:rPr>
                <w:rFonts w:hint="eastAsia" w:ascii="Times New Roman" w:hAnsi="Times New Roman"/>
                <w:spacing w:val="-6"/>
                <w:lang w:eastAsia="zh-CN"/>
              </w:rPr>
              <w:t>（</w:t>
            </w:r>
            <w:r>
              <w:rPr>
                <w:rFonts w:ascii="Times New Roman" w:hAnsi="Times New Roman"/>
                <w:spacing w:val="-6"/>
              </w:rPr>
              <w:t>可能对人体造成永久</w:t>
            </w:r>
            <w:r>
              <w:rPr>
                <w:rFonts w:ascii="Times New Roman" w:hAnsi="Times New Roman"/>
                <w:spacing w:val="-7"/>
              </w:rPr>
              <w:t>性伤残、对器官功</w:t>
            </w:r>
            <w:r>
              <w:rPr>
                <w:rFonts w:ascii="Times New Roman" w:hAnsi="Times New Roman"/>
              </w:rPr>
              <w:t>能造成永久性损伤或危及生命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的人数超过药品2人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2.其他一般药品质量安全事件。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right="212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区政府启动</w:t>
            </w:r>
            <w:r>
              <w:rPr>
                <w:rFonts w:hint="eastAsia" w:ascii="Times New Roman" w:hAnsi="Times New Roman"/>
                <w:lang w:eastAsia="zh-CN"/>
              </w:rPr>
              <w:t>Ⅳ</w:t>
            </w:r>
            <w:r>
              <w:rPr>
                <w:rFonts w:ascii="Times New Roman" w:hAnsi="Times New Roman"/>
                <w:spacing w:val="2"/>
              </w:rPr>
              <w:t>级响应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疫苗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1.在相对集中的时问和区域内，批号相对集中的同一疫苗引起临床表现相</w:t>
            </w:r>
            <w:r>
              <w:rPr>
                <w:rFonts w:ascii="Times New Roman" w:hAnsi="Times New Roman"/>
                <w:spacing w:val="-3"/>
              </w:rPr>
              <w:t>似的，且罕见或非预期的不良事件的人数超过3人</w:t>
            </w:r>
            <w:r>
              <w:rPr>
                <w:rFonts w:hint="eastAsia" w:ascii="Times New Roman" w:hAnsi="Times New Roman"/>
                <w:spacing w:val="-3"/>
                <w:lang w:eastAsia="zh-CN"/>
              </w:rPr>
              <w:t>（</w:t>
            </w:r>
            <w:r>
              <w:rPr>
                <w:rFonts w:ascii="Times New Roman" w:hAnsi="Times New Roman"/>
                <w:spacing w:val="-3"/>
              </w:rPr>
              <w:t>含</w:t>
            </w:r>
            <w:r>
              <w:rPr>
                <w:rFonts w:hint="eastAsia" w:ascii="Times New Roman" w:hAnsi="Times New Roman"/>
                <w:spacing w:val="-3"/>
                <w:lang w:eastAsia="zh-CN"/>
              </w:rPr>
              <w:t>）</w:t>
            </w:r>
            <w:r>
              <w:rPr>
                <w:rFonts w:ascii="Times New Roman" w:hAnsi="Times New Roman"/>
                <w:spacing w:val="-3"/>
              </w:rPr>
              <w:t>、少于5人；或者</w:t>
            </w:r>
            <w:r>
              <w:rPr>
                <w:rFonts w:ascii="Times New Roman" w:hAnsi="Times New Roman"/>
                <w:spacing w:val="-1"/>
              </w:rPr>
              <w:t>引起特别严重不良事件超过1人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），</w:t>
            </w:r>
            <w:r>
              <w:rPr>
                <w:rFonts w:ascii="Times New Roman" w:hAnsi="Times New Roman"/>
                <w:spacing w:val="-1"/>
              </w:rPr>
              <w:t>疑似与质量相关的事件。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2.其他一般疫苗质量安全事件。</w:t>
            </w: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0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医疗器械</w:t>
            </w:r>
          </w:p>
        </w:tc>
        <w:tc>
          <w:tcPr>
            <w:tcW w:w="55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1.在相对集中的时间和区城内，批号相对集中的同一品种引起特别严重不</w:t>
            </w:r>
            <w:r>
              <w:rPr>
                <w:rFonts w:ascii="Times New Roman" w:hAnsi="Times New Roman"/>
                <w:spacing w:val="-5"/>
              </w:rPr>
              <w:t>良事件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（</w:t>
            </w:r>
            <w:r>
              <w:rPr>
                <w:rFonts w:ascii="Times New Roman" w:hAnsi="Times New Roman"/>
                <w:spacing w:val="-5"/>
              </w:rPr>
              <w:t>可能对人体造成永久性伤残、对器官功能</w:t>
            </w:r>
            <w:r>
              <w:rPr>
                <w:rFonts w:ascii="Times New Roman" w:hAnsi="Times New Roman"/>
                <w:spacing w:val="-6"/>
              </w:rPr>
              <w:t>造成永久性损伤或危及</w:t>
            </w:r>
            <w:r>
              <w:rPr>
                <w:rFonts w:ascii="Times New Roman" w:hAnsi="Times New Roman"/>
                <w:spacing w:val="-1"/>
              </w:rPr>
              <w:t>生命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的人数超过2人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（</w:t>
            </w:r>
            <w:r>
              <w:rPr>
                <w:rFonts w:ascii="Times New Roman" w:hAnsi="Times New Roman"/>
                <w:spacing w:val="-1"/>
              </w:rPr>
              <w:t>含</w:t>
            </w:r>
            <w:r>
              <w:rPr>
                <w:rFonts w:hint="eastAsia" w:ascii="Times New Roman" w:hAnsi="Times New Roman"/>
                <w:spacing w:val="-1"/>
                <w:lang w:eastAsia="zh-CN"/>
              </w:rPr>
              <w:t>）</w:t>
            </w:r>
            <w:r>
              <w:rPr>
                <w:rFonts w:ascii="Times New Roman" w:hAnsi="Times New Roman"/>
                <w:spacing w:val="-1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2.其他一般医疗器械安全突发事件。</w:t>
            </w: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3880"/>
    <w:rsid w:val="4B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2024-12-26T06:11:00Z</dcterms:created>
  <dc:creator>_</dc:creator>
  <cp:lastModifiedBy>_</cp:lastModifiedBy>
  <dcterms:modified xsi:type="dcterms:W3CDTF">2024-12-26T06:12:04Z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