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rPr>
        <w:t>秦皇岛市山海关区档案馆2023年部门预算信息公开</w:t>
      </w:r>
      <w:r>
        <w:rPr>
          <w:rFonts w:hint="eastAsia" w:ascii="黑体" w:hAnsi="黑体" w:eastAsia="黑体" w:cs="黑体"/>
          <w:b/>
          <w:color w:val="000000"/>
          <w:sz w:val="44"/>
          <w:lang w:eastAsia="zh-CN"/>
        </w:rPr>
        <w:t>目录</w:t>
      </w:r>
    </w:p>
    <w:p>
      <w:pPr>
        <w:jc w:val="center"/>
      </w:pPr>
    </w:p>
    <w:p>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241档案馆</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105.68</w:t>
            </w:r>
          </w:p>
        </w:tc>
        <w:tc>
          <w:tcPr>
            <w:tcW w:w="4535" w:type="dxa"/>
            <w:vAlign w:val="center"/>
          </w:tcPr>
          <w:p>
            <w:pPr>
              <w:pStyle w:val="10"/>
            </w:pPr>
            <w:r>
              <w:t>一、一般公共服务支出</w:t>
            </w:r>
          </w:p>
        </w:tc>
        <w:tc>
          <w:tcPr>
            <w:tcW w:w="2126" w:type="dxa"/>
            <w:vAlign w:val="center"/>
          </w:tcPr>
          <w:p>
            <w:pPr>
              <w:pStyle w:val="11"/>
            </w:pPr>
            <w:r>
              <w:t>77.92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12.79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105.68</w:t>
            </w:r>
          </w:p>
        </w:tc>
        <w:tc>
          <w:tcPr>
            <w:tcW w:w="4535" w:type="dxa"/>
            <w:vAlign w:val="center"/>
          </w:tcPr>
          <w:p>
            <w:pPr>
              <w:pStyle w:val="12"/>
            </w:pPr>
            <w:r>
              <w:t>本年支出合计</w:t>
            </w:r>
          </w:p>
        </w:tc>
        <w:tc>
          <w:tcPr>
            <w:tcW w:w="2126" w:type="dxa"/>
            <w:vAlign w:val="center"/>
          </w:tcPr>
          <w:p>
            <w:pPr>
              <w:pStyle w:val="13"/>
            </w:pPr>
            <w:r>
              <w:t>105.68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105.68</w:t>
            </w:r>
          </w:p>
        </w:tc>
        <w:tc>
          <w:tcPr>
            <w:tcW w:w="4535" w:type="dxa"/>
            <w:vAlign w:val="center"/>
          </w:tcPr>
          <w:p>
            <w:pPr>
              <w:pStyle w:val="12"/>
            </w:pPr>
            <w:r>
              <w:t>支出总计</w:t>
            </w:r>
          </w:p>
        </w:tc>
        <w:tc>
          <w:tcPr>
            <w:tcW w:w="2126" w:type="dxa"/>
            <w:vAlign w:val="center"/>
          </w:tcPr>
          <w:p>
            <w:pPr>
              <w:pStyle w:val="13"/>
            </w:pPr>
            <w:r>
              <w:t>105.68</w:t>
            </w:r>
          </w:p>
        </w:tc>
      </w:tr>
    </w:tbl>
    <w:p>
      <w:pPr>
        <w:sectPr>
          <w:footerReference r:id="rId3" w:type="default"/>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241档案馆</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105.68</w:t>
            </w:r>
          </w:p>
        </w:tc>
        <w:tc>
          <w:tcPr>
            <w:tcW w:w="1134" w:type="dxa"/>
            <w:vAlign w:val="center"/>
          </w:tcPr>
          <w:p>
            <w:pPr>
              <w:pStyle w:val="13"/>
            </w:pPr>
            <w:r>
              <w:t>105.68</w:t>
            </w:r>
          </w:p>
        </w:tc>
        <w:tc>
          <w:tcPr>
            <w:tcW w:w="1134" w:type="dxa"/>
            <w:vAlign w:val="center"/>
          </w:tcPr>
          <w:p>
            <w:pPr>
              <w:pStyle w:val="13"/>
            </w:pPr>
            <w:r>
              <w:t>105.68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77.92</w:t>
            </w:r>
          </w:p>
        </w:tc>
        <w:tc>
          <w:tcPr>
            <w:tcW w:w="1134" w:type="dxa"/>
            <w:vAlign w:val="center"/>
          </w:tcPr>
          <w:p>
            <w:pPr>
              <w:pStyle w:val="11"/>
            </w:pPr>
            <w:r>
              <w:t>77.92</w:t>
            </w:r>
          </w:p>
        </w:tc>
        <w:tc>
          <w:tcPr>
            <w:tcW w:w="1134" w:type="dxa"/>
            <w:vAlign w:val="center"/>
          </w:tcPr>
          <w:p>
            <w:pPr>
              <w:pStyle w:val="11"/>
            </w:pPr>
            <w:r>
              <w:t>77.92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20126</w:t>
            </w:r>
          </w:p>
        </w:tc>
        <w:tc>
          <w:tcPr>
            <w:tcW w:w="1559" w:type="dxa"/>
            <w:vAlign w:val="center"/>
          </w:tcPr>
          <w:p>
            <w:pPr>
              <w:pStyle w:val="10"/>
            </w:pPr>
            <w:r>
              <w:t>档案事务</w:t>
            </w:r>
          </w:p>
        </w:tc>
        <w:tc>
          <w:tcPr>
            <w:tcW w:w="1134" w:type="dxa"/>
            <w:vAlign w:val="center"/>
          </w:tcPr>
          <w:p>
            <w:pPr>
              <w:pStyle w:val="11"/>
            </w:pPr>
            <w:r>
              <w:t>77.92</w:t>
            </w:r>
          </w:p>
        </w:tc>
        <w:tc>
          <w:tcPr>
            <w:tcW w:w="1134" w:type="dxa"/>
            <w:vAlign w:val="center"/>
          </w:tcPr>
          <w:p>
            <w:pPr>
              <w:pStyle w:val="11"/>
            </w:pPr>
            <w:r>
              <w:t>77.92</w:t>
            </w:r>
          </w:p>
        </w:tc>
        <w:tc>
          <w:tcPr>
            <w:tcW w:w="1134" w:type="dxa"/>
            <w:vAlign w:val="center"/>
          </w:tcPr>
          <w:p>
            <w:pPr>
              <w:pStyle w:val="11"/>
            </w:pPr>
            <w:r>
              <w:t>77.92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2012601</w:t>
            </w:r>
          </w:p>
        </w:tc>
        <w:tc>
          <w:tcPr>
            <w:tcW w:w="1559" w:type="dxa"/>
            <w:vAlign w:val="center"/>
          </w:tcPr>
          <w:p>
            <w:pPr>
              <w:pStyle w:val="10"/>
            </w:pPr>
            <w:r>
              <w:t>行政运行</w:t>
            </w:r>
          </w:p>
        </w:tc>
        <w:tc>
          <w:tcPr>
            <w:tcW w:w="1134" w:type="dxa"/>
            <w:vAlign w:val="center"/>
          </w:tcPr>
          <w:p>
            <w:pPr>
              <w:pStyle w:val="11"/>
            </w:pPr>
            <w:r>
              <w:t>61.92</w:t>
            </w:r>
          </w:p>
        </w:tc>
        <w:tc>
          <w:tcPr>
            <w:tcW w:w="1134" w:type="dxa"/>
            <w:vAlign w:val="center"/>
          </w:tcPr>
          <w:p>
            <w:pPr>
              <w:pStyle w:val="11"/>
            </w:pPr>
            <w:r>
              <w:t>61.92</w:t>
            </w:r>
          </w:p>
        </w:tc>
        <w:tc>
          <w:tcPr>
            <w:tcW w:w="1134" w:type="dxa"/>
            <w:vAlign w:val="center"/>
          </w:tcPr>
          <w:p>
            <w:pPr>
              <w:pStyle w:val="11"/>
            </w:pPr>
            <w:r>
              <w:t>61.92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2012604</w:t>
            </w:r>
          </w:p>
        </w:tc>
        <w:tc>
          <w:tcPr>
            <w:tcW w:w="1559" w:type="dxa"/>
            <w:vAlign w:val="center"/>
          </w:tcPr>
          <w:p>
            <w:pPr>
              <w:pStyle w:val="10"/>
            </w:pPr>
            <w:r>
              <w:t>档案馆</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2012699</w:t>
            </w:r>
          </w:p>
        </w:tc>
        <w:tc>
          <w:tcPr>
            <w:tcW w:w="1559" w:type="dxa"/>
            <w:vAlign w:val="center"/>
          </w:tcPr>
          <w:p>
            <w:pPr>
              <w:pStyle w:val="10"/>
            </w:pPr>
            <w:r>
              <w:t>其他档案事务支出</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12.79</w:t>
            </w:r>
          </w:p>
        </w:tc>
        <w:tc>
          <w:tcPr>
            <w:tcW w:w="1134" w:type="dxa"/>
            <w:vAlign w:val="center"/>
          </w:tcPr>
          <w:p>
            <w:pPr>
              <w:pStyle w:val="11"/>
            </w:pPr>
            <w:r>
              <w:t>12.79</w:t>
            </w:r>
          </w:p>
        </w:tc>
        <w:tc>
          <w:tcPr>
            <w:tcW w:w="1134" w:type="dxa"/>
            <w:vAlign w:val="center"/>
          </w:tcPr>
          <w:p>
            <w:pPr>
              <w:pStyle w:val="11"/>
            </w:pPr>
            <w:r>
              <w:t>12.79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12.79</w:t>
            </w:r>
          </w:p>
        </w:tc>
        <w:tc>
          <w:tcPr>
            <w:tcW w:w="1134" w:type="dxa"/>
            <w:vAlign w:val="center"/>
          </w:tcPr>
          <w:p>
            <w:pPr>
              <w:pStyle w:val="11"/>
            </w:pPr>
            <w:r>
              <w:t>12.79</w:t>
            </w:r>
          </w:p>
        </w:tc>
        <w:tc>
          <w:tcPr>
            <w:tcW w:w="1134" w:type="dxa"/>
            <w:vAlign w:val="center"/>
          </w:tcPr>
          <w:p>
            <w:pPr>
              <w:pStyle w:val="11"/>
            </w:pPr>
            <w:r>
              <w:t>12.79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11"/>
            </w:pPr>
            <w:r>
              <w:t>4.43</w:t>
            </w:r>
          </w:p>
        </w:tc>
        <w:tc>
          <w:tcPr>
            <w:tcW w:w="1134" w:type="dxa"/>
            <w:vAlign w:val="center"/>
          </w:tcPr>
          <w:p>
            <w:pPr>
              <w:pStyle w:val="11"/>
            </w:pPr>
            <w:r>
              <w:t>4.43</w:t>
            </w:r>
          </w:p>
        </w:tc>
        <w:tc>
          <w:tcPr>
            <w:tcW w:w="1134" w:type="dxa"/>
            <w:vAlign w:val="center"/>
          </w:tcPr>
          <w:p>
            <w:pPr>
              <w:pStyle w:val="11"/>
            </w:pPr>
            <w:r>
              <w:t>4.43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8.37</w:t>
            </w:r>
          </w:p>
        </w:tc>
        <w:tc>
          <w:tcPr>
            <w:tcW w:w="1134" w:type="dxa"/>
            <w:vAlign w:val="center"/>
          </w:tcPr>
          <w:p>
            <w:pPr>
              <w:pStyle w:val="11"/>
            </w:pPr>
            <w:r>
              <w:t>8.37</w:t>
            </w:r>
          </w:p>
        </w:tc>
        <w:tc>
          <w:tcPr>
            <w:tcW w:w="1134" w:type="dxa"/>
            <w:vAlign w:val="center"/>
          </w:tcPr>
          <w:p>
            <w:pPr>
              <w:pStyle w:val="11"/>
            </w:pPr>
            <w:r>
              <w:t>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11"/>
            </w:pPr>
            <w:r>
              <w:t>3.32</w:t>
            </w:r>
          </w:p>
        </w:tc>
        <w:tc>
          <w:tcPr>
            <w:tcW w:w="1134" w:type="dxa"/>
            <w:vAlign w:val="center"/>
          </w:tcPr>
          <w:p>
            <w:pPr>
              <w:pStyle w:val="11"/>
            </w:pPr>
            <w:r>
              <w:t>3.32</w:t>
            </w:r>
          </w:p>
        </w:tc>
        <w:tc>
          <w:tcPr>
            <w:tcW w:w="1134" w:type="dxa"/>
            <w:vAlign w:val="center"/>
          </w:tcPr>
          <w:p>
            <w:pPr>
              <w:pStyle w:val="11"/>
            </w:pPr>
            <w:r>
              <w:t>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11"/>
            </w:pPr>
            <w:r>
              <w:t>5.24</w:t>
            </w:r>
          </w:p>
        </w:tc>
        <w:tc>
          <w:tcPr>
            <w:tcW w:w="1134" w:type="dxa"/>
            <w:vAlign w:val="center"/>
          </w:tcPr>
          <w:p>
            <w:pPr>
              <w:pStyle w:val="11"/>
            </w:pPr>
            <w:r>
              <w:t>5.24</w:t>
            </w:r>
          </w:p>
        </w:tc>
        <w:tc>
          <w:tcPr>
            <w:tcW w:w="1134" w:type="dxa"/>
            <w:vAlign w:val="center"/>
          </w:tcPr>
          <w:p>
            <w:pPr>
              <w:pStyle w:val="11"/>
            </w:pPr>
            <w:r>
              <w:t>5.24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6.40</w:t>
            </w:r>
          </w:p>
        </w:tc>
        <w:tc>
          <w:tcPr>
            <w:tcW w:w="1134" w:type="dxa"/>
            <w:vAlign w:val="center"/>
          </w:tcPr>
          <w:p>
            <w:pPr>
              <w:pStyle w:val="11"/>
            </w:pPr>
            <w:r>
              <w:t>6.40</w:t>
            </w:r>
          </w:p>
        </w:tc>
        <w:tc>
          <w:tcPr>
            <w:tcW w:w="1134" w:type="dxa"/>
            <w:vAlign w:val="center"/>
          </w:tcPr>
          <w:p>
            <w:pPr>
              <w:pStyle w:val="11"/>
            </w:pPr>
            <w:r>
              <w:t>6.40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6.40</w:t>
            </w:r>
          </w:p>
        </w:tc>
        <w:tc>
          <w:tcPr>
            <w:tcW w:w="1134" w:type="dxa"/>
            <w:vAlign w:val="center"/>
          </w:tcPr>
          <w:p>
            <w:pPr>
              <w:pStyle w:val="11"/>
            </w:pPr>
            <w:r>
              <w:t>6.40</w:t>
            </w:r>
          </w:p>
        </w:tc>
        <w:tc>
          <w:tcPr>
            <w:tcW w:w="1134" w:type="dxa"/>
            <w:vAlign w:val="center"/>
          </w:tcPr>
          <w:p>
            <w:pPr>
              <w:pStyle w:val="11"/>
            </w:pPr>
            <w:r>
              <w:t>6.40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6.40</w:t>
            </w:r>
          </w:p>
        </w:tc>
        <w:tc>
          <w:tcPr>
            <w:tcW w:w="1134" w:type="dxa"/>
            <w:vAlign w:val="center"/>
          </w:tcPr>
          <w:p>
            <w:pPr>
              <w:pStyle w:val="11"/>
            </w:pPr>
            <w:r>
              <w:t>6.40</w:t>
            </w:r>
          </w:p>
        </w:tc>
        <w:tc>
          <w:tcPr>
            <w:tcW w:w="1134" w:type="dxa"/>
            <w:vAlign w:val="center"/>
          </w:tcPr>
          <w:p>
            <w:pPr>
              <w:pStyle w:val="11"/>
            </w:pPr>
            <w:r>
              <w:t>6.40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241档案馆</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105.68</w:t>
            </w:r>
          </w:p>
        </w:tc>
        <w:tc>
          <w:tcPr>
            <w:tcW w:w="1361" w:type="dxa"/>
            <w:vAlign w:val="center"/>
          </w:tcPr>
          <w:p>
            <w:pPr>
              <w:pStyle w:val="13"/>
            </w:pPr>
            <w:r>
              <w:t>89.68</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77.92</w:t>
            </w:r>
          </w:p>
        </w:tc>
        <w:tc>
          <w:tcPr>
            <w:tcW w:w="1361" w:type="dxa"/>
            <w:vAlign w:val="center"/>
          </w:tcPr>
          <w:p>
            <w:pPr>
              <w:pStyle w:val="11"/>
            </w:pPr>
            <w:r>
              <w:t>61.92</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20126</w:t>
            </w:r>
          </w:p>
        </w:tc>
        <w:tc>
          <w:tcPr>
            <w:tcW w:w="4535" w:type="dxa"/>
            <w:vAlign w:val="center"/>
          </w:tcPr>
          <w:p>
            <w:pPr>
              <w:pStyle w:val="10"/>
            </w:pPr>
            <w:r>
              <w:t>档案事务</w:t>
            </w:r>
          </w:p>
        </w:tc>
        <w:tc>
          <w:tcPr>
            <w:tcW w:w="1361" w:type="dxa"/>
            <w:vAlign w:val="center"/>
          </w:tcPr>
          <w:p>
            <w:pPr>
              <w:pStyle w:val="11"/>
            </w:pPr>
            <w:r>
              <w:t>77.92</w:t>
            </w:r>
          </w:p>
        </w:tc>
        <w:tc>
          <w:tcPr>
            <w:tcW w:w="1361" w:type="dxa"/>
            <w:vAlign w:val="center"/>
          </w:tcPr>
          <w:p>
            <w:pPr>
              <w:pStyle w:val="11"/>
            </w:pPr>
            <w:r>
              <w:t>61.92</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2012601</w:t>
            </w:r>
          </w:p>
        </w:tc>
        <w:tc>
          <w:tcPr>
            <w:tcW w:w="4535" w:type="dxa"/>
            <w:vAlign w:val="center"/>
          </w:tcPr>
          <w:p>
            <w:pPr>
              <w:pStyle w:val="10"/>
            </w:pPr>
            <w:r>
              <w:t>行政运行</w:t>
            </w:r>
          </w:p>
        </w:tc>
        <w:tc>
          <w:tcPr>
            <w:tcW w:w="1361" w:type="dxa"/>
            <w:vAlign w:val="center"/>
          </w:tcPr>
          <w:p>
            <w:pPr>
              <w:pStyle w:val="11"/>
            </w:pPr>
            <w:r>
              <w:t>61.92</w:t>
            </w:r>
          </w:p>
        </w:tc>
        <w:tc>
          <w:tcPr>
            <w:tcW w:w="1361" w:type="dxa"/>
            <w:vAlign w:val="center"/>
          </w:tcPr>
          <w:p>
            <w:pPr>
              <w:pStyle w:val="11"/>
            </w:pPr>
            <w:r>
              <w:t>61.92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2012604</w:t>
            </w:r>
          </w:p>
        </w:tc>
        <w:tc>
          <w:tcPr>
            <w:tcW w:w="4535" w:type="dxa"/>
            <w:vAlign w:val="center"/>
          </w:tcPr>
          <w:p>
            <w:pPr>
              <w:pStyle w:val="10"/>
            </w:pPr>
            <w:r>
              <w:t>档案馆</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2012699</w:t>
            </w:r>
          </w:p>
        </w:tc>
        <w:tc>
          <w:tcPr>
            <w:tcW w:w="4535" w:type="dxa"/>
            <w:vAlign w:val="center"/>
          </w:tcPr>
          <w:p>
            <w:pPr>
              <w:pStyle w:val="10"/>
            </w:pPr>
            <w:r>
              <w:t>其他档案事务支出</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12.79</w:t>
            </w:r>
          </w:p>
        </w:tc>
        <w:tc>
          <w:tcPr>
            <w:tcW w:w="1361" w:type="dxa"/>
            <w:vAlign w:val="center"/>
          </w:tcPr>
          <w:p>
            <w:pPr>
              <w:pStyle w:val="11"/>
            </w:pPr>
            <w:r>
              <w:t>12.79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12.79</w:t>
            </w:r>
          </w:p>
        </w:tc>
        <w:tc>
          <w:tcPr>
            <w:tcW w:w="1361" w:type="dxa"/>
            <w:vAlign w:val="center"/>
          </w:tcPr>
          <w:p>
            <w:pPr>
              <w:pStyle w:val="11"/>
            </w:pPr>
            <w:r>
              <w:t>12.79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11"/>
            </w:pPr>
            <w:r>
              <w:t>4.43</w:t>
            </w:r>
          </w:p>
        </w:tc>
        <w:tc>
          <w:tcPr>
            <w:tcW w:w="1361" w:type="dxa"/>
            <w:vAlign w:val="center"/>
          </w:tcPr>
          <w:p>
            <w:pPr>
              <w:pStyle w:val="11"/>
            </w:pPr>
            <w:r>
              <w:t>4.43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8.37</w:t>
            </w:r>
          </w:p>
        </w:tc>
        <w:tc>
          <w:tcPr>
            <w:tcW w:w="1361" w:type="dxa"/>
            <w:vAlign w:val="center"/>
          </w:tcPr>
          <w:p>
            <w:pPr>
              <w:pStyle w:val="11"/>
            </w:pPr>
            <w:r>
              <w:t>8.37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8.56</w:t>
            </w:r>
          </w:p>
        </w:tc>
        <w:tc>
          <w:tcPr>
            <w:tcW w:w="1361" w:type="dxa"/>
            <w:vAlign w:val="center"/>
          </w:tcPr>
          <w:p>
            <w:pPr>
              <w:pStyle w:val="11"/>
            </w:pPr>
            <w:r>
              <w:t>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8.56</w:t>
            </w:r>
          </w:p>
        </w:tc>
        <w:tc>
          <w:tcPr>
            <w:tcW w:w="1361" w:type="dxa"/>
            <w:vAlign w:val="center"/>
          </w:tcPr>
          <w:p>
            <w:pPr>
              <w:pStyle w:val="11"/>
            </w:pPr>
            <w:r>
              <w:t>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11"/>
            </w:pPr>
            <w:r>
              <w:t>3.32</w:t>
            </w:r>
          </w:p>
        </w:tc>
        <w:tc>
          <w:tcPr>
            <w:tcW w:w="1361" w:type="dxa"/>
            <w:vAlign w:val="center"/>
          </w:tcPr>
          <w:p>
            <w:pPr>
              <w:pStyle w:val="11"/>
            </w:pPr>
            <w:r>
              <w:t>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11"/>
            </w:pPr>
            <w:r>
              <w:t>5.24</w:t>
            </w:r>
          </w:p>
        </w:tc>
        <w:tc>
          <w:tcPr>
            <w:tcW w:w="1361" w:type="dxa"/>
            <w:vAlign w:val="center"/>
          </w:tcPr>
          <w:p>
            <w:pPr>
              <w:pStyle w:val="11"/>
            </w:pPr>
            <w:r>
              <w:t>5.24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6.40</w:t>
            </w:r>
          </w:p>
        </w:tc>
        <w:tc>
          <w:tcPr>
            <w:tcW w:w="1361" w:type="dxa"/>
            <w:vAlign w:val="center"/>
          </w:tcPr>
          <w:p>
            <w:pPr>
              <w:pStyle w:val="11"/>
            </w:pPr>
            <w:r>
              <w:t>6.40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6.40</w:t>
            </w:r>
          </w:p>
        </w:tc>
        <w:tc>
          <w:tcPr>
            <w:tcW w:w="1361" w:type="dxa"/>
            <w:vAlign w:val="center"/>
          </w:tcPr>
          <w:p>
            <w:pPr>
              <w:pStyle w:val="11"/>
            </w:pPr>
            <w:r>
              <w:t>6.40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6.40</w:t>
            </w:r>
          </w:p>
        </w:tc>
        <w:tc>
          <w:tcPr>
            <w:tcW w:w="1361" w:type="dxa"/>
            <w:vAlign w:val="center"/>
          </w:tcPr>
          <w:p>
            <w:pPr>
              <w:pStyle w:val="11"/>
            </w:pPr>
            <w:r>
              <w:t>6.40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241档案馆</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105.68</w:t>
            </w:r>
          </w:p>
        </w:tc>
        <w:tc>
          <w:tcPr>
            <w:tcW w:w="3402" w:type="dxa"/>
            <w:vAlign w:val="center"/>
          </w:tcPr>
          <w:p>
            <w:pPr>
              <w:pStyle w:val="10"/>
            </w:pPr>
            <w:r>
              <w:t>一、一般公共服务支出</w:t>
            </w:r>
          </w:p>
        </w:tc>
        <w:tc>
          <w:tcPr>
            <w:tcW w:w="1474" w:type="dxa"/>
            <w:vAlign w:val="center"/>
          </w:tcPr>
          <w:p>
            <w:pPr>
              <w:pStyle w:val="11"/>
            </w:pPr>
            <w:r>
              <w:t>77.92</w:t>
            </w:r>
          </w:p>
        </w:tc>
        <w:tc>
          <w:tcPr>
            <w:tcW w:w="1474" w:type="dxa"/>
            <w:vAlign w:val="center"/>
          </w:tcPr>
          <w:p>
            <w:pPr>
              <w:pStyle w:val="11"/>
            </w:pPr>
            <w:r>
              <w:t>77.92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12.79</w:t>
            </w:r>
          </w:p>
        </w:tc>
        <w:tc>
          <w:tcPr>
            <w:tcW w:w="1474" w:type="dxa"/>
            <w:vAlign w:val="center"/>
          </w:tcPr>
          <w:p>
            <w:pPr>
              <w:pStyle w:val="11"/>
            </w:pPr>
            <w:r>
              <w:t>12.79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8.56</w:t>
            </w:r>
          </w:p>
        </w:tc>
        <w:tc>
          <w:tcPr>
            <w:tcW w:w="1474" w:type="dxa"/>
            <w:vAlign w:val="center"/>
          </w:tcPr>
          <w:p>
            <w:pPr>
              <w:pStyle w:val="11"/>
            </w:pPr>
            <w:r>
              <w:t>8.56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6.40</w:t>
            </w:r>
          </w:p>
        </w:tc>
        <w:tc>
          <w:tcPr>
            <w:tcW w:w="1474" w:type="dxa"/>
            <w:vAlign w:val="center"/>
          </w:tcPr>
          <w:p>
            <w:pPr>
              <w:pStyle w:val="11"/>
            </w:pPr>
            <w:r>
              <w:t>6.40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105.68</w:t>
            </w:r>
          </w:p>
        </w:tc>
        <w:tc>
          <w:tcPr>
            <w:tcW w:w="3402" w:type="dxa"/>
            <w:vAlign w:val="center"/>
          </w:tcPr>
          <w:p>
            <w:pPr>
              <w:pStyle w:val="12"/>
            </w:pPr>
            <w:r>
              <w:t>本年支出合计</w:t>
            </w:r>
          </w:p>
        </w:tc>
        <w:tc>
          <w:tcPr>
            <w:tcW w:w="1474" w:type="dxa"/>
            <w:vAlign w:val="center"/>
          </w:tcPr>
          <w:p>
            <w:pPr>
              <w:pStyle w:val="13"/>
            </w:pPr>
            <w:r>
              <w:t>105.68</w:t>
            </w:r>
          </w:p>
        </w:tc>
        <w:tc>
          <w:tcPr>
            <w:tcW w:w="1474" w:type="dxa"/>
            <w:vAlign w:val="center"/>
          </w:tcPr>
          <w:p>
            <w:pPr>
              <w:pStyle w:val="13"/>
            </w:pPr>
            <w:r>
              <w:t>105.68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105.68</w:t>
            </w:r>
          </w:p>
        </w:tc>
        <w:tc>
          <w:tcPr>
            <w:tcW w:w="3402" w:type="dxa"/>
            <w:vAlign w:val="center"/>
          </w:tcPr>
          <w:p>
            <w:pPr>
              <w:pStyle w:val="12"/>
            </w:pPr>
            <w:r>
              <w:t>支出总计</w:t>
            </w:r>
          </w:p>
        </w:tc>
        <w:tc>
          <w:tcPr>
            <w:tcW w:w="1474" w:type="dxa"/>
            <w:vAlign w:val="center"/>
          </w:tcPr>
          <w:p>
            <w:pPr>
              <w:pStyle w:val="13"/>
            </w:pPr>
            <w:r>
              <w:t>105.68</w:t>
            </w:r>
          </w:p>
        </w:tc>
        <w:tc>
          <w:tcPr>
            <w:tcW w:w="1474" w:type="dxa"/>
            <w:vAlign w:val="center"/>
          </w:tcPr>
          <w:p>
            <w:pPr>
              <w:pStyle w:val="13"/>
            </w:pPr>
            <w:r>
              <w:t>105.68</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241档案馆</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105.68</w:t>
            </w:r>
          </w:p>
        </w:tc>
        <w:tc>
          <w:tcPr>
            <w:tcW w:w="2551" w:type="dxa"/>
            <w:vAlign w:val="center"/>
          </w:tcPr>
          <w:p>
            <w:pPr>
              <w:pStyle w:val="13"/>
            </w:pPr>
            <w:r>
              <w:t>89.68</w:t>
            </w:r>
          </w:p>
        </w:tc>
        <w:tc>
          <w:tcPr>
            <w:tcW w:w="2551"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77.92</w:t>
            </w:r>
          </w:p>
        </w:tc>
        <w:tc>
          <w:tcPr>
            <w:tcW w:w="2551" w:type="dxa"/>
            <w:vAlign w:val="center"/>
          </w:tcPr>
          <w:p>
            <w:pPr>
              <w:pStyle w:val="11"/>
            </w:pPr>
            <w:r>
              <w:t>61.92</w:t>
            </w: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20126</w:t>
            </w:r>
          </w:p>
        </w:tc>
        <w:tc>
          <w:tcPr>
            <w:tcW w:w="4535" w:type="dxa"/>
            <w:vAlign w:val="center"/>
          </w:tcPr>
          <w:p>
            <w:pPr>
              <w:pStyle w:val="10"/>
            </w:pPr>
            <w:r>
              <w:t>档案事务</w:t>
            </w:r>
          </w:p>
        </w:tc>
        <w:tc>
          <w:tcPr>
            <w:tcW w:w="2551" w:type="dxa"/>
            <w:vAlign w:val="center"/>
          </w:tcPr>
          <w:p>
            <w:pPr>
              <w:pStyle w:val="11"/>
            </w:pPr>
            <w:r>
              <w:t>77.92</w:t>
            </w:r>
          </w:p>
        </w:tc>
        <w:tc>
          <w:tcPr>
            <w:tcW w:w="2551" w:type="dxa"/>
            <w:vAlign w:val="center"/>
          </w:tcPr>
          <w:p>
            <w:pPr>
              <w:pStyle w:val="11"/>
            </w:pPr>
            <w:r>
              <w:t>61.92</w:t>
            </w: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2012601</w:t>
            </w:r>
          </w:p>
        </w:tc>
        <w:tc>
          <w:tcPr>
            <w:tcW w:w="4535" w:type="dxa"/>
            <w:vAlign w:val="center"/>
          </w:tcPr>
          <w:p>
            <w:pPr>
              <w:pStyle w:val="10"/>
            </w:pPr>
            <w:r>
              <w:t>行政运行</w:t>
            </w:r>
          </w:p>
        </w:tc>
        <w:tc>
          <w:tcPr>
            <w:tcW w:w="2551" w:type="dxa"/>
            <w:vAlign w:val="center"/>
          </w:tcPr>
          <w:p>
            <w:pPr>
              <w:pStyle w:val="11"/>
            </w:pPr>
            <w:r>
              <w:t>61.92</w:t>
            </w:r>
          </w:p>
        </w:tc>
        <w:tc>
          <w:tcPr>
            <w:tcW w:w="2551" w:type="dxa"/>
            <w:vAlign w:val="center"/>
          </w:tcPr>
          <w:p>
            <w:pPr>
              <w:pStyle w:val="11"/>
            </w:pPr>
            <w:r>
              <w:t>61.92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2012604</w:t>
            </w:r>
          </w:p>
        </w:tc>
        <w:tc>
          <w:tcPr>
            <w:tcW w:w="4535" w:type="dxa"/>
            <w:vAlign w:val="center"/>
          </w:tcPr>
          <w:p>
            <w:pPr>
              <w:pStyle w:val="10"/>
            </w:pPr>
            <w:r>
              <w:t>档案馆</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2012699</w:t>
            </w:r>
          </w:p>
        </w:tc>
        <w:tc>
          <w:tcPr>
            <w:tcW w:w="4535" w:type="dxa"/>
            <w:vAlign w:val="center"/>
          </w:tcPr>
          <w:p>
            <w:pPr>
              <w:pStyle w:val="10"/>
            </w:pPr>
            <w:r>
              <w:t>其他档案事务支出</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12.79</w:t>
            </w:r>
          </w:p>
        </w:tc>
        <w:tc>
          <w:tcPr>
            <w:tcW w:w="2551" w:type="dxa"/>
            <w:vAlign w:val="center"/>
          </w:tcPr>
          <w:p>
            <w:pPr>
              <w:pStyle w:val="11"/>
            </w:pPr>
            <w:r>
              <w:t>12.79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12.79</w:t>
            </w:r>
          </w:p>
        </w:tc>
        <w:tc>
          <w:tcPr>
            <w:tcW w:w="2551" w:type="dxa"/>
            <w:vAlign w:val="center"/>
          </w:tcPr>
          <w:p>
            <w:pPr>
              <w:pStyle w:val="11"/>
            </w:pPr>
            <w:r>
              <w:t>12.79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11"/>
            </w:pPr>
            <w:r>
              <w:t>4.43</w:t>
            </w:r>
          </w:p>
        </w:tc>
        <w:tc>
          <w:tcPr>
            <w:tcW w:w="2551" w:type="dxa"/>
            <w:vAlign w:val="center"/>
          </w:tcPr>
          <w:p>
            <w:pPr>
              <w:pStyle w:val="11"/>
            </w:pPr>
            <w:r>
              <w:t>4.43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8.37</w:t>
            </w:r>
          </w:p>
        </w:tc>
        <w:tc>
          <w:tcPr>
            <w:tcW w:w="2551" w:type="dxa"/>
            <w:vAlign w:val="center"/>
          </w:tcPr>
          <w:p>
            <w:pPr>
              <w:pStyle w:val="11"/>
            </w:pPr>
            <w:r>
              <w:t>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8.56</w:t>
            </w:r>
          </w:p>
        </w:tc>
        <w:tc>
          <w:tcPr>
            <w:tcW w:w="2551" w:type="dxa"/>
            <w:vAlign w:val="center"/>
          </w:tcPr>
          <w:p>
            <w:pPr>
              <w:pStyle w:val="11"/>
            </w:pPr>
            <w:r>
              <w:t>8.56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8.56</w:t>
            </w:r>
          </w:p>
        </w:tc>
        <w:tc>
          <w:tcPr>
            <w:tcW w:w="2551" w:type="dxa"/>
            <w:vAlign w:val="center"/>
          </w:tcPr>
          <w:p>
            <w:pPr>
              <w:pStyle w:val="11"/>
            </w:pPr>
            <w:r>
              <w:t>8.56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11"/>
            </w:pPr>
            <w:r>
              <w:t>3.32</w:t>
            </w:r>
          </w:p>
        </w:tc>
        <w:tc>
          <w:tcPr>
            <w:tcW w:w="2551" w:type="dxa"/>
            <w:vAlign w:val="center"/>
          </w:tcPr>
          <w:p>
            <w:pPr>
              <w:pStyle w:val="11"/>
            </w:pPr>
            <w:r>
              <w:t>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11"/>
            </w:pPr>
            <w:r>
              <w:t>5.24</w:t>
            </w:r>
          </w:p>
        </w:tc>
        <w:tc>
          <w:tcPr>
            <w:tcW w:w="2551" w:type="dxa"/>
            <w:vAlign w:val="center"/>
          </w:tcPr>
          <w:p>
            <w:pPr>
              <w:pStyle w:val="11"/>
            </w:pPr>
            <w:r>
              <w:t>5.24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6.40</w:t>
            </w:r>
          </w:p>
        </w:tc>
        <w:tc>
          <w:tcPr>
            <w:tcW w:w="2551" w:type="dxa"/>
            <w:vAlign w:val="center"/>
          </w:tcPr>
          <w:p>
            <w:pPr>
              <w:pStyle w:val="11"/>
            </w:pPr>
            <w:r>
              <w:t>6.40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6.40</w:t>
            </w:r>
          </w:p>
        </w:tc>
        <w:tc>
          <w:tcPr>
            <w:tcW w:w="2551" w:type="dxa"/>
            <w:vAlign w:val="center"/>
          </w:tcPr>
          <w:p>
            <w:pPr>
              <w:pStyle w:val="11"/>
            </w:pPr>
            <w:r>
              <w:t>6.40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6.40</w:t>
            </w:r>
          </w:p>
        </w:tc>
        <w:tc>
          <w:tcPr>
            <w:tcW w:w="2551" w:type="dxa"/>
            <w:vAlign w:val="center"/>
          </w:tcPr>
          <w:p>
            <w:pPr>
              <w:pStyle w:val="11"/>
            </w:pPr>
            <w:r>
              <w:t>6.40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241档案馆</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89.68</w:t>
            </w:r>
          </w:p>
        </w:tc>
        <w:tc>
          <w:tcPr>
            <w:tcW w:w="2551" w:type="dxa"/>
            <w:vAlign w:val="center"/>
          </w:tcPr>
          <w:p>
            <w:pPr>
              <w:pStyle w:val="13"/>
            </w:pPr>
            <w:r>
              <w:t>85.81</w:t>
            </w:r>
          </w:p>
        </w:tc>
        <w:tc>
          <w:tcPr>
            <w:tcW w:w="2551" w:type="dxa"/>
            <w:vAlign w:val="center"/>
          </w:tcPr>
          <w:p>
            <w:pPr>
              <w:pStyle w:val="13"/>
            </w:pPr>
            <w:r>
              <w:t>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81.64</w:t>
            </w:r>
          </w:p>
        </w:tc>
        <w:tc>
          <w:tcPr>
            <w:tcW w:w="2551" w:type="dxa"/>
            <w:vAlign w:val="center"/>
          </w:tcPr>
          <w:p>
            <w:pPr>
              <w:pStyle w:val="11"/>
            </w:pPr>
            <w:r>
              <w:t>81.64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27.65</w:t>
            </w:r>
          </w:p>
        </w:tc>
        <w:tc>
          <w:tcPr>
            <w:tcW w:w="2551" w:type="dxa"/>
            <w:vAlign w:val="center"/>
          </w:tcPr>
          <w:p>
            <w:pPr>
              <w:pStyle w:val="11"/>
            </w:pPr>
            <w:r>
              <w:t>27.65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4.37</w:t>
            </w:r>
          </w:p>
        </w:tc>
        <w:tc>
          <w:tcPr>
            <w:tcW w:w="2551" w:type="dxa"/>
            <w:vAlign w:val="center"/>
          </w:tcPr>
          <w:p>
            <w:pPr>
              <w:pStyle w:val="11"/>
            </w:pPr>
            <w:r>
              <w:t>4.37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4.19</w:t>
            </w:r>
          </w:p>
        </w:tc>
        <w:tc>
          <w:tcPr>
            <w:tcW w:w="2551" w:type="dxa"/>
            <w:vAlign w:val="center"/>
          </w:tcPr>
          <w:p>
            <w:pPr>
              <w:pStyle w:val="11"/>
            </w:pPr>
            <w:r>
              <w:t>4.19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21.50</w:t>
            </w:r>
          </w:p>
        </w:tc>
        <w:tc>
          <w:tcPr>
            <w:tcW w:w="2551" w:type="dxa"/>
            <w:vAlign w:val="center"/>
          </w:tcPr>
          <w:p>
            <w:pPr>
              <w:pStyle w:val="11"/>
            </w:pPr>
            <w:r>
              <w:t>21.50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8.37</w:t>
            </w:r>
          </w:p>
        </w:tc>
        <w:tc>
          <w:tcPr>
            <w:tcW w:w="2551" w:type="dxa"/>
            <w:vAlign w:val="center"/>
          </w:tcPr>
          <w:p>
            <w:pPr>
              <w:pStyle w:val="11"/>
            </w:pPr>
            <w:r>
              <w:t>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3.32</w:t>
            </w:r>
          </w:p>
        </w:tc>
        <w:tc>
          <w:tcPr>
            <w:tcW w:w="2551" w:type="dxa"/>
            <w:vAlign w:val="center"/>
          </w:tcPr>
          <w:p>
            <w:pPr>
              <w:pStyle w:val="11"/>
            </w:pPr>
            <w:r>
              <w:t>3.32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11"/>
            </w:pPr>
            <w:r>
              <w:t>5.24</w:t>
            </w:r>
          </w:p>
        </w:tc>
        <w:tc>
          <w:tcPr>
            <w:tcW w:w="2551" w:type="dxa"/>
            <w:vAlign w:val="center"/>
          </w:tcPr>
          <w:p>
            <w:pPr>
              <w:pStyle w:val="11"/>
            </w:pPr>
            <w:r>
              <w:t>5.24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0.59</w:t>
            </w:r>
          </w:p>
        </w:tc>
        <w:tc>
          <w:tcPr>
            <w:tcW w:w="2551" w:type="dxa"/>
            <w:vAlign w:val="center"/>
          </w:tcPr>
          <w:p>
            <w:pPr>
              <w:pStyle w:val="11"/>
            </w:pPr>
            <w:r>
              <w:t>0.59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6.40</w:t>
            </w:r>
          </w:p>
        </w:tc>
        <w:tc>
          <w:tcPr>
            <w:tcW w:w="2551" w:type="dxa"/>
            <w:vAlign w:val="center"/>
          </w:tcPr>
          <w:p>
            <w:pPr>
              <w:pStyle w:val="11"/>
            </w:pPr>
            <w:r>
              <w:t>6.40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3.78</w:t>
            </w:r>
          </w:p>
        </w:tc>
        <w:tc>
          <w:tcPr>
            <w:tcW w:w="2551" w:type="dxa"/>
            <w:vAlign w:val="center"/>
          </w:tcPr>
          <w:p>
            <w:pPr>
              <w:pStyle w:val="11"/>
            </w:pPr>
          </w:p>
        </w:tc>
        <w:tc>
          <w:tcPr>
            <w:tcW w:w="2551" w:type="dxa"/>
            <w:vAlign w:val="center"/>
          </w:tcPr>
          <w:p>
            <w:pPr>
              <w:pStyle w:val="11"/>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0.53</w:t>
            </w:r>
          </w:p>
        </w:tc>
        <w:tc>
          <w:tcPr>
            <w:tcW w:w="2551" w:type="dxa"/>
            <w:vAlign w:val="center"/>
          </w:tcPr>
          <w:p>
            <w:pPr>
              <w:pStyle w:val="11"/>
            </w:pPr>
          </w:p>
        </w:tc>
        <w:tc>
          <w:tcPr>
            <w:tcW w:w="2551" w:type="dxa"/>
            <w:vAlign w:val="center"/>
          </w:tcPr>
          <w:p>
            <w:pPr>
              <w:pStyle w:val="11"/>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0.05</w:t>
            </w:r>
          </w:p>
        </w:tc>
        <w:tc>
          <w:tcPr>
            <w:tcW w:w="2551" w:type="dxa"/>
            <w:vAlign w:val="center"/>
          </w:tcPr>
          <w:p>
            <w:pPr>
              <w:pStyle w:val="11"/>
            </w:pPr>
          </w:p>
        </w:tc>
        <w:tc>
          <w:tcPr>
            <w:tcW w:w="2551"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11"/>
            </w:pPr>
            <w:r>
              <w:t>0.35</w:t>
            </w:r>
          </w:p>
        </w:tc>
        <w:tc>
          <w:tcPr>
            <w:tcW w:w="2551" w:type="dxa"/>
            <w:vAlign w:val="center"/>
          </w:tcPr>
          <w:p>
            <w:pPr>
              <w:pStyle w:val="11"/>
            </w:pPr>
          </w:p>
        </w:tc>
        <w:tc>
          <w:tcPr>
            <w:tcW w:w="2551" w:type="dxa"/>
            <w:vAlign w:val="center"/>
          </w:tcPr>
          <w:p>
            <w:pPr>
              <w:pStyle w:val="11"/>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0.98</w:t>
            </w:r>
          </w:p>
        </w:tc>
        <w:tc>
          <w:tcPr>
            <w:tcW w:w="2551" w:type="dxa"/>
            <w:vAlign w:val="center"/>
          </w:tcPr>
          <w:p>
            <w:pPr>
              <w:pStyle w:val="11"/>
            </w:pPr>
          </w:p>
        </w:tc>
        <w:tc>
          <w:tcPr>
            <w:tcW w:w="2551" w:type="dxa"/>
            <w:vAlign w:val="center"/>
          </w:tcPr>
          <w:p>
            <w:pPr>
              <w:pStyle w:val="11"/>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0.69</w:t>
            </w:r>
          </w:p>
        </w:tc>
        <w:tc>
          <w:tcPr>
            <w:tcW w:w="2551" w:type="dxa"/>
            <w:vAlign w:val="center"/>
          </w:tcPr>
          <w:p>
            <w:pPr>
              <w:pStyle w:val="11"/>
            </w:pPr>
          </w:p>
        </w:tc>
        <w:tc>
          <w:tcPr>
            <w:tcW w:w="2551"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0.57</w:t>
            </w:r>
          </w:p>
        </w:tc>
        <w:tc>
          <w:tcPr>
            <w:tcW w:w="2551" w:type="dxa"/>
            <w:vAlign w:val="center"/>
          </w:tcPr>
          <w:p>
            <w:pPr>
              <w:pStyle w:val="11"/>
            </w:pPr>
          </w:p>
        </w:tc>
        <w:tc>
          <w:tcPr>
            <w:tcW w:w="2551" w:type="dxa"/>
            <w:vAlign w:val="center"/>
          </w:tcPr>
          <w:p>
            <w:pPr>
              <w:pStyle w:val="11"/>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4.17</w:t>
            </w:r>
          </w:p>
        </w:tc>
        <w:tc>
          <w:tcPr>
            <w:tcW w:w="2551" w:type="dxa"/>
            <w:vAlign w:val="center"/>
          </w:tcPr>
          <w:p>
            <w:pPr>
              <w:pStyle w:val="11"/>
            </w:pPr>
            <w:r>
              <w:t>4.17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3.93</w:t>
            </w:r>
          </w:p>
        </w:tc>
        <w:tc>
          <w:tcPr>
            <w:tcW w:w="2551" w:type="dxa"/>
            <w:vAlign w:val="center"/>
          </w:tcPr>
          <w:p>
            <w:pPr>
              <w:pStyle w:val="11"/>
            </w:pPr>
            <w:r>
              <w:t>3.93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30399</w:t>
            </w:r>
          </w:p>
        </w:tc>
        <w:tc>
          <w:tcPr>
            <w:tcW w:w="4535" w:type="dxa"/>
            <w:vAlign w:val="center"/>
          </w:tcPr>
          <w:p>
            <w:pPr>
              <w:pStyle w:val="10"/>
            </w:pPr>
            <w:r>
              <w:t>其他对个人和家庭的补助</w:t>
            </w:r>
          </w:p>
        </w:tc>
        <w:tc>
          <w:tcPr>
            <w:tcW w:w="2551" w:type="dxa"/>
            <w:vAlign w:val="center"/>
          </w:tcPr>
          <w:p>
            <w:pPr>
              <w:pStyle w:val="11"/>
            </w:pPr>
            <w:r>
              <w:t>0.22</w:t>
            </w:r>
          </w:p>
        </w:tc>
        <w:tc>
          <w:tcPr>
            <w:tcW w:w="2551" w:type="dxa"/>
            <w:vAlign w:val="center"/>
          </w:tcPr>
          <w:p>
            <w:pPr>
              <w:pStyle w:val="11"/>
            </w:pPr>
            <w:r>
              <w:t>0.22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11"/>
            </w:pPr>
            <w:r>
              <w:t>0.09</w:t>
            </w:r>
          </w:p>
        </w:tc>
        <w:tc>
          <w:tcPr>
            <w:tcW w:w="2551" w:type="dxa"/>
            <w:vAlign w:val="center"/>
          </w:tcPr>
          <w:p>
            <w:pPr>
              <w:pStyle w:val="11"/>
            </w:pPr>
          </w:p>
        </w:tc>
        <w:tc>
          <w:tcPr>
            <w:tcW w:w="2551" w:type="dxa"/>
            <w:vAlign w:val="center"/>
          </w:tcPr>
          <w:p>
            <w:pPr>
              <w:pStyle w:val="11"/>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11"/>
            </w:pPr>
            <w:r>
              <w:t>0.09</w:t>
            </w:r>
          </w:p>
        </w:tc>
        <w:tc>
          <w:tcPr>
            <w:tcW w:w="2551" w:type="dxa"/>
            <w:vAlign w:val="center"/>
          </w:tcPr>
          <w:p>
            <w:pPr>
              <w:pStyle w:val="11"/>
            </w:pPr>
          </w:p>
        </w:tc>
        <w:tc>
          <w:tcPr>
            <w:tcW w:w="2551" w:type="dxa"/>
            <w:vAlign w:val="center"/>
          </w:tcPr>
          <w:p>
            <w:pPr>
              <w:pStyle w:val="11"/>
            </w:pPr>
            <w:r>
              <w:t>0.09</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241档案馆</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241档案馆</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241档案馆</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档案馆2023年部门预算信息公开情况说明</w:t>
      </w:r>
    </w:p>
    <w:p>
      <w:pPr>
        <w:jc w:val="center"/>
      </w:pPr>
      <w:r>
        <w:rPr>
          <w:rFonts w:ascii="方正小标宋_GBK" w:hAnsi="方正小标宋_GBK" w:eastAsia="方正小标宋_GBK" w:cs="方正小标宋_GBK"/>
          <w:color w:val="000000"/>
          <w:sz w:val="44"/>
        </w:rPr>
        <w:t>档案馆2023年部门预算信息公开情况说明</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秦皇岛市山海关区</w:t>
      </w:r>
      <w:r>
        <w:rPr>
          <w:rFonts w:eastAsia="方正仿宋_GBK"/>
          <w:color w:val="000000"/>
          <w:sz w:val="28"/>
        </w:rPr>
        <w:t>档案馆2023年部门预算公开如下：</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outlineLvl w:val="2"/>
      </w:pPr>
      <w:bookmarkStart w:id="9" w:name="_Toc_3_3_0000000010"/>
      <w:r>
        <w:rPr>
          <w:rFonts w:ascii="黑体" w:hAnsi="黑体" w:eastAsia="黑体" w:cs="黑体"/>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textAlignment w:val="auto"/>
      </w:pPr>
      <w:r>
        <w:rPr>
          <w:rFonts w:ascii="方正楷体_GBK" w:hAnsi="方正楷体_GBK" w:eastAsia="方正楷体_GBK" w:cs="方正楷体_GBK"/>
          <w:b/>
          <w:color w:val="000000"/>
          <w:sz w:val="32"/>
        </w:rPr>
        <w:t>部门职责</w:t>
      </w:r>
      <w:bookmarkStart w:id="18" w:name="_GoBack"/>
      <w:bookmarkEnd w:id="18"/>
      <w:r>
        <w:rPr>
          <w:rFonts w:ascii="方正楷体_GBK" w:hAnsi="方正楷体_GBK" w:eastAsia="方正楷体_GBK" w:cs="方正楷体_GBK"/>
          <w:b/>
          <w:color w:val="000000"/>
          <w:sz w:val="32"/>
        </w:rPr>
        <w:t>：</w:t>
      </w: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山海关区档案馆部门职责说明：</w:t>
      </w: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（一）档案收集与整理</w:t>
      </w: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绩效指标及标准：文件级目录数据完成量，为利用打好基础；档案完成百分比，档案整理、移交、接收、管理、保存的比率。</w:t>
      </w: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（二）档案保管与抢救</w:t>
      </w: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绩效指标及标准：档案设施设备完好率，建立健全人防、物防、技防三位一体的档案安全防范体系；档案资料完好率，确保受损档案得到及时抢救，能有效提供利用。</w:t>
      </w: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（三）档案征集</w:t>
      </w: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绩效指标及标准：征集档案数量（件），征集重大活动和名人档案。</w:t>
      </w: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（四）档案科研</w:t>
      </w: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绩效指标及标准：馆藏磁带和录像数字化转换率，磁带和录像档案科学管理，方便利用。</w:t>
      </w: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（五）档案数字化</w:t>
      </w: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绩效指标及标准：数字化档案数 （页），加快存量档案数字化和增量档案电子化步伐。</w:t>
      </w: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（六）档案编研</w:t>
      </w: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绩效指标及标准：档案编研完成量（万字），满足社会利用的需要，为更好的认识、研究、开发和建设山海关提供直观而翔实的资料。</w:t>
      </w: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（七）档案利用</w:t>
      </w: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绩效指标及标准：调阅档案数量（卷、件）取得经济或社会效益，紧贴区委、政府的中心工作，强化档案服务经济、政治、文化、社会、生态文明建设和党的建设的功能；发挥档案馆资政惠民作用。</w:t>
      </w: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（八）档案接收</w:t>
      </w: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绩效指标及标准：接收数量（卷、件），丰富馆藏资源，确保馆藏能够真实、系统、全面地反映本地发展进程。</w:t>
      </w: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（九）综合事务管理</w:t>
      </w: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绩效指标及标准：安全率，保障机关工作正常高效运转。</w:t>
      </w: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（十）档案指导</w:t>
      </w: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绩效指标及标准：指导单位数量(个)，全区档案规范管理，严防档案流失。</w:t>
      </w: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p>
    <w:p>
      <w:pPr>
        <w:pStyle w:val="1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rPr>
                <w:rFonts w:hint="eastAsia" w:eastAsia="方正书宋_GBK"/>
                <w:lang w:eastAsia="zh-CN"/>
              </w:rPr>
            </w:pPr>
            <w:r>
              <w:rPr>
                <w:rFonts w:hint="eastAsia"/>
                <w:lang w:eastAsia="zh-CN"/>
              </w:rPr>
              <w:t>秦皇岛市山海关区档案馆</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outlineLvl w:val="2"/>
      </w:pPr>
      <w:bookmarkStart w:id="10" w:name="_Toc_3_3_0000000011"/>
      <w:r>
        <w:rPr>
          <w:rFonts w:ascii="黑体" w:hAnsi="黑体" w:eastAsia="黑体" w:cs="黑体"/>
          <w:color w:val="000000"/>
          <w:sz w:val="32"/>
        </w:rPr>
        <w:t>二、部门预算安排的总体情况</w:t>
      </w:r>
      <w:bookmarkEnd w:id="10"/>
    </w:p>
    <w:p>
      <w:pPr>
        <w:pStyle w:val="16"/>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按照预算管理有关规定，目前我区部门预算的编制实行综合预算制度，即全部收入和支出都反映在预算中。山海关区档案馆的收支包含在部门预算中。</w:t>
      </w:r>
    </w:p>
    <w:p>
      <w:pPr>
        <w:pStyle w:val="16"/>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1、收入说明</w:t>
      </w:r>
    </w:p>
    <w:p>
      <w:pPr>
        <w:pStyle w:val="16"/>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反映本部门当年全部收入。2023年预算收入为105.6</w:t>
      </w:r>
      <w:r>
        <w:rPr>
          <w:rFonts w:hint="eastAsia"/>
          <w:lang w:val="en-US" w:eastAsia="zh-CN"/>
        </w:rPr>
        <w:t>8</w:t>
      </w:r>
      <w:r>
        <w:t>万元，其中：一般公共预算收入105.</w:t>
      </w:r>
      <w:r>
        <w:rPr>
          <w:rFonts w:hint="eastAsia"/>
          <w:lang w:val="en-US" w:eastAsia="zh-CN"/>
        </w:rPr>
        <w:t>68</w:t>
      </w:r>
      <w:r>
        <w:t>万元，基金预算收入0万元，财政专户核拨收入0万元，其他来源收入0万元。</w:t>
      </w:r>
    </w:p>
    <w:p>
      <w:pPr>
        <w:pStyle w:val="16"/>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2、支出说明</w:t>
      </w:r>
    </w:p>
    <w:p>
      <w:pPr>
        <w:pStyle w:val="16"/>
        <w:keepNext w:val="0"/>
        <w:keepLines w:val="0"/>
        <w:pageBreakBefore w:val="0"/>
        <w:widowControl/>
        <w:kinsoku/>
        <w:wordWrap/>
        <w:overflowPunct/>
        <w:topLinePunct w:val="0"/>
        <w:autoSpaceDE/>
        <w:autoSpaceDN/>
        <w:bidi w:val="0"/>
        <w:adjustRightInd w:val="0"/>
        <w:snapToGrid w:val="0"/>
        <w:spacing w:after="0" w:line="500" w:lineRule="exact"/>
        <w:ind w:firstLine="562" w:firstLineChars="200"/>
        <w:textAlignment w:val="auto"/>
      </w:pPr>
      <w:r>
        <w:rPr>
          <w:rFonts w:hint="eastAsia"/>
          <w:b/>
          <w:bCs/>
        </w:rPr>
        <w:t>收支预算总表支出栏、基本支出表、项目支出表按经济分类和支出功能分类科目编制，反映山海关区档案馆年度部门预算中支出预算的总体情况。</w:t>
      </w:r>
      <w:r>
        <w:t>2023年预算支出为105.6</w:t>
      </w:r>
      <w:r>
        <w:rPr>
          <w:rFonts w:hint="eastAsia"/>
          <w:lang w:val="en-US" w:eastAsia="zh-CN"/>
        </w:rPr>
        <w:t>8</w:t>
      </w:r>
      <w:r>
        <w:t>万元，其中：基本支出89.6</w:t>
      </w:r>
      <w:r>
        <w:rPr>
          <w:rFonts w:hint="eastAsia"/>
          <w:lang w:val="en-US" w:eastAsia="zh-CN"/>
        </w:rPr>
        <w:t>8</w:t>
      </w:r>
      <w:r>
        <w:t>万元，主要是人员经费85.8</w:t>
      </w:r>
      <w:r>
        <w:rPr>
          <w:rFonts w:hint="eastAsia"/>
          <w:lang w:val="en-US" w:eastAsia="zh-CN"/>
        </w:rPr>
        <w:t>1</w:t>
      </w:r>
      <w:r>
        <w:t>万元和日常公用经费3.8</w:t>
      </w:r>
      <w:r>
        <w:rPr>
          <w:rFonts w:hint="eastAsia"/>
          <w:lang w:val="en-US" w:eastAsia="zh-CN"/>
        </w:rPr>
        <w:t>7</w:t>
      </w:r>
      <w:r>
        <w:t>万元；项目支出16万元，主要为人事代理专项补助支出11万元和日常管理维护费支出5万元。</w:t>
      </w:r>
    </w:p>
    <w:p>
      <w:pPr>
        <w:pStyle w:val="16"/>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3、比上年增减情况</w:t>
      </w:r>
    </w:p>
    <w:p>
      <w:pPr>
        <w:pStyle w:val="23"/>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t>2023年预算支出安排105.6</w:t>
      </w:r>
      <w:r>
        <w:rPr>
          <w:rFonts w:hint="eastAsia"/>
          <w:lang w:val="en-US" w:eastAsia="zh-CN"/>
        </w:rPr>
        <w:t>8</w:t>
      </w:r>
      <w:r>
        <w:t>万元，</w:t>
      </w:r>
      <w:r>
        <w:rPr>
          <w:rFonts w:ascii="Tahoma" w:hAnsi="Tahoma" w:eastAsia="方正仿宋_GBK" w:cstheme="minorBidi"/>
          <w:sz w:val="28"/>
          <w:szCs w:val="22"/>
          <w:lang w:val="en-US" w:eastAsia="zh-CN" w:bidi="ar-SA"/>
        </w:rPr>
        <w:t>较2022年预算增加</w:t>
      </w:r>
      <w:r>
        <w:rPr>
          <w:rFonts w:hint="eastAsia" w:ascii="Tahoma" w:hAnsi="Tahoma" w:eastAsia="方正仿宋_GBK" w:cstheme="minorBidi"/>
          <w:sz w:val="28"/>
          <w:szCs w:val="22"/>
          <w:lang w:val="en-US" w:eastAsia="zh-CN" w:bidi="ar-SA"/>
        </w:rPr>
        <w:t>25.42</w:t>
      </w:r>
      <w:r>
        <w:rPr>
          <w:rFonts w:ascii="Tahoma" w:hAnsi="Tahoma" w:eastAsia="方正仿宋_GBK" w:cstheme="minorBidi"/>
          <w:sz w:val="28"/>
          <w:szCs w:val="22"/>
          <w:lang w:val="en-US" w:eastAsia="zh-CN" w:bidi="ar-SA"/>
        </w:rPr>
        <w:t>万元，</w:t>
      </w:r>
      <w:r>
        <w:rPr>
          <w:rFonts w:hint="eastAsia" w:ascii="Tahoma" w:hAnsi="Tahoma" w:eastAsia="方正仿宋_GBK" w:cstheme="minorBidi"/>
          <w:sz w:val="28"/>
          <w:szCs w:val="22"/>
          <w:lang w:val="en-US" w:eastAsia="uk-UA" w:bidi="ar-SA"/>
        </w:rPr>
        <w:t>其中</w:t>
      </w:r>
      <w:r>
        <w:rPr>
          <w:rFonts w:hint="eastAsia" w:ascii="Tahoma" w:hAnsi="Tahoma" w:eastAsia="方正仿宋_GBK" w:cstheme="minorBidi"/>
          <w:sz w:val="28"/>
          <w:szCs w:val="22"/>
          <w:lang w:val="en-US" w:eastAsia="zh-CN" w:bidi="ar-SA"/>
        </w:rPr>
        <w:t>基本支出增加24.42万元，主要为人员经费增加23.68万元和日常公用经费增加0.74万元；</w:t>
      </w:r>
      <w:r>
        <w:rPr>
          <w:rFonts w:hint="eastAsia" w:ascii="Tahoma" w:hAnsi="Tahoma" w:eastAsia="方正仿宋_GBK" w:cstheme="minorBidi"/>
          <w:sz w:val="28"/>
          <w:szCs w:val="22"/>
          <w:lang w:val="en-US" w:eastAsia="uk-UA" w:bidi="ar-SA"/>
        </w:rPr>
        <w:t>项目支出增加人事代理专项补助支出1万元</w:t>
      </w:r>
      <w:r>
        <w:rPr>
          <w:rFonts w:hint="eastAsia" w:ascii="Tahoma" w:hAnsi="Tahoma" w:eastAsia="方正仿宋_GBK" w:cstheme="minorBidi"/>
          <w:sz w:val="28"/>
          <w:szCs w:val="22"/>
          <w:lang w:val="en-US" w:eastAsia="zh-CN" w:bidi="ar-SA"/>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outlineLvl w:val="2"/>
      </w:pPr>
      <w:bookmarkStart w:id="11" w:name="_Toc_3_3_0000000012"/>
      <w:r>
        <w:rPr>
          <w:rFonts w:ascii="黑体" w:hAnsi="黑体" w:eastAsia="黑体" w:cs="黑体"/>
          <w:color w:val="000000"/>
          <w:sz w:val="32"/>
        </w:rPr>
        <w:t>三、机关运行经费安排情况</w:t>
      </w:r>
      <w:bookmarkEnd w:id="11"/>
    </w:p>
    <w:p>
      <w:pPr>
        <w:pStyle w:val="17"/>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本部门年度机关运行经费预算安排3.87万元，主要用于办公费0.53万元、邮电费0.6</w:t>
      </w:r>
      <w:r>
        <w:rPr>
          <w:rFonts w:hint="eastAsia"/>
          <w:lang w:val="en-US" w:eastAsia="zh-CN"/>
        </w:rPr>
        <w:t>0</w:t>
      </w:r>
      <w:r>
        <w:t>万元、差旅费0.05万元、维修（护）费0.2</w:t>
      </w:r>
      <w:r>
        <w:rPr>
          <w:rFonts w:hint="eastAsia"/>
          <w:lang w:val="en-US" w:eastAsia="zh-CN"/>
        </w:rPr>
        <w:t>0</w:t>
      </w:r>
      <w:r>
        <w:t>万元、办公设备购置费0.06万元、印刷费0.03万元、工会经费0.98万元、福利费1.19万元、党建工作经费0.05万元、网络运行维护费0.15万元、不可预见费0.03万元</w:t>
      </w:r>
      <w:r>
        <w:rPr>
          <w:rFonts w:hint="eastAsia"/>
          <w:lang w:eastAsia="zh-CN"/>
        </w:rPr>
        <w:t>等日常运行支出</w:t>
      </w:r>
      <w:r>
        <w:t>。</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rPr>
          <w:rFonts w:hint="eastAsia"/>
          <w:lang w:val="en-US" w:eastAsia="zh-CN"/>
        </w:rPr>
        <w:t>2023年，</w:t>
      </w:r>
      <w:r>
        <w:t>我部门财政拨款“三公”经费预算安排0元，与上年持平，无增减变化。</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outlineLvl w:val="2"/>
      </w:pPr>
      <w:bookmarkStart w:id="13" w:name="_Toc_3_3_0000000014"/>
      <w:r>
        <w:rPr>
          <w:rFonts w:ascii="黑体" w:hAnsi="黑体" w:eastAsia="黑体" w:cs="黑体"/>
          <w:color w:val="000000"/>
          <w:sz w:val="32"/>
        </w:rPr>
        <w:t>五、预算绩效信息</w:t>
      </w:r>
      <w:bookmarkEnd w:id="13"/>
    </w:p>
    <w:p>
      <w:pPr>
        <w:keepNext w:val="0"/>
        <w:keepLines w:val="0"/>
        <w:pageBreakBefore w:val="0"/>
        <w:widowControl/>
        <w:kinsoku/>
        <w:wordWrap/>
        <w:overflowPunct/>
        <w:topLinePunct w:val="0"/>
        <w:autoSpaceDE/>
        <w:autoSpaceDN/>
        <w:bidi w:val="0"/>
        <w:adjustRightInd w:val="0"/>
        <w:snapToGrid w:val="0"/>
        <w:spacing w:after="0" w:line="500" w:lineRule="exact"/>
        <w:ind w:firstLine="643" w:firstLineChars="200"/>
        <w:textAlignment w:val="auto"/>
      </w:pPr>
      <w:r>
        <w:rPr>
          <w:rFonts w:ascii="方正楷体_GBK" w:hAnsi="方正楷体_GBK" w:eastAsia="方正楷体_GBK" w:cs="方正楷体_GBK"/>
          <w:b/>
          <w:color w:val="000000"/>
          <w:sz w:val="32"/>
        </w:rPr>
        <w:t>第一部分 部门整体绩效目标</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rPr>
          <w:rFonts w:eastAsia="方正仿宋_GBK"/>
          <w:color w:val="000000"/>
          <w:sz w:val="28"/>
        </w:rPr>
        <w:t>（一）总体绩效目标</w:t>
      </w:r>
    </w:p>
    <w:p>
      <w:pPr>
        <w:pStyle w:val="19"/>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山海关区档案馆年度发展规划目标</w:t>
      </w:r>
    </w:p>
    <w:p>
      <w:pPr>
        <w:pStyle w:val="19"/>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我单位负责档案指导、收集、接收、征集、抢救、保管与开发利用，主管全区档案事业，并对区内机关、团体、企事业单位和其他组织的档案工作实行监督和指导；推进机关团体企事业单位档案工作目标管理认定工作；做好档案资源建设和保管，优化馆藏，做好重点档案抢救、保护和信息化管理工作。提供档案查阅和利用，培育档案文化产业，发展档案科研工作，推进全区档案信息化工作。</w:t>
      </w:r>
    </w:p>
    <w:p>
      <w:pPr>
        <w:pStyle w:val="19"/>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将年度发展规划目标列如下：</w:t>
      </w:r>
    </w:p>
    <w:p>
      <w:pPr>
        <w:pStyle w:val="19"/>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（一）依据规定对档案进行接收和整理，对相关单位纸质、电子、专题档案进行收集、整理和保存。</w:t>
      </w:r>
    </w:p>
    <w:p>
      <w:pPr>
        <w:pStyle w:val="19"/>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二）加强档案库房管理，提高全区档案馆室建设水平,做好重点档案抢救和保护。落实《关于加强和改进新形势下全省档案工作的意见》中，国家综合档案馆日常管理费用每卷（件）档案每年不低于2元的标准，并严格按照国家有关政策落实从事有毒作业人员的相关待遇。</w:t>
      </w:r>
    </w:p>
    <w:p>
      <w:pPr>
        <w:pStyle w:val="19"/>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（三）依据规定征集社会上的重要档案资料及名人档案资料，将采集到的各类信息统一进行科学分类、整理和立卷。</w:t>
      </w:r>
    </w:p>
    <w:p>
      <w:pPr>
        <w:pStyle w:val="19"/>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（四）积极组织开展有助于档案事业发展的科研项目。</w:t>
      </w:r>
    </w:p>
    <w:p>
      <w:pPr>
        <w:pStyle w:val="19"/>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（五）加快数字档案馆建设，加强全区档案信息化，各类数据库建设，数字化加工、转换、备份，信息安全等级保护工作以及数字化设备和网络平台的维护。</w:t>
      </w:r>
    </w:p>
    <w:p>
      <w:pPr>
        <w:pStyle w:val="19"/>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（六）加强馆藏档案资源的深度发掘，内部或外部出版有价值的编研资料。</w:t>
      </w:r>
    </w:p>
    <w:p>
      <w:pPr>
        <w:pStyle w:val="19"/>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（七）树立“大服务”理念，免费提供档案查阅利用；做好档案资料及政府信息公开文件的咨询、利用和信息反馈工作。</w:t>
      </w:r>
    </w:p>
    <w:p>
      <w:pPr>
        <w:pStyle w:val="19"/>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（八）依法开展到期档案的接收。</w:t>
      </w:r>
    </w:p>
    <w:p>
      <w:pPr>
        <w:pStyle w:val="19"/>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（九）建立统一规范的业务指导工作流程，做好区直机关单位，社区、农村、企业等档案的指导工作；督导完成档案目标管理认定工作；对重点建设项目全程监管。</w:t>
      </w:r>
    </w:p>
    <w:p>
      <w:pPr>
        <w:pStyle w:val="19"/>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（十）维护档案馆库房设备以及机关设施，保障正常运转。</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rPr>
          <w:rFonts w:eastAsia="方正仿宋_GBK"/>
          <w:color w:val="000000"/>
          <w:sz w:val="28"/>
        </w:rPr>
        <w:t>（二）分项绩效目标</w:t>
      </w:r>
    </w:p>
    <w:p>
      <w:pPr>
        <w:pStyle w:val="20"/>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山海关区档案馆部门职责分类目标情况说明</w:t>
      </w:r>
    </w:p>
    <w:p>
      <w:pPr>
        <w:pStyle w:val="20"/>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本年度山海关区档案馆部门职责说明：</w:t>
      </w:r>
    </w:p>
    <w:p>
      <w:pPr>
        <w:pStyle w:val="20"/>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（一）档案收集与整理</w:t>
      </w:r>
    </w:p>
    <w:p>
      <w:pPr>
        <w:pStyle w:val="20"/>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绩效指标及标准：丰富馆藏内容，满足工作考察、历史研究、编史修志等方面的需求，提高档案利用价值。</w:t>
      </w:r>
    </w:p>
    <w:p>
      <w:pPr>
        <w:pStyle w:val="20"/>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（二）档案保管与抢救</w:t>
      </w:r>
    </w:p>
    <w:p>
      <w:pPr>
        <w:pStyle w:val="20"/>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定期调控和记录库房温室度，库房建设符合国家标准，分区合理，设备不出现故障，档案保管环境和保障条件进一步优化，维护档案状况，确保机关和档案绝对安全。按时更换防有害生物药物和灭火器，完善和配齐监控设备等档案基础设备。</w:t>
      </w:r>
    </w:p>
    <w:p>
      <w:pPr>
        <w:pStyle w:val="20"/>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（三）档案征集</w:t>
      </w:r>
    </w:p>
    <w:p>
      <w:pPr>
        <w:pStyle w:val="20"/>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绩效指标及标准：围绕重大活动、重要历史事件、本地历史文化和自然遗产、知名人士等领域开展特色档案征集。</w:t>
      </w:r>
    </w:p>
    <w:p>
      <w:pPr>
        <w:pStyle w:val="20"/>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（四）档案科研</w:t>
      </w:r>
    </w:p>
    <w:p>
      <w:pPr>
        <w:pStyle w:val="20"/>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绩效指标及标准：馆藏声像档案（磁带和录像）通过技术手段，实现数字化和光盘载体保管。</w:t>
      </w:r>
    </w:p>
    <w:p>
      <w:pPr>
        <w:pStyle w:val="20"/>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（五）档案数字化</w:t>
      </w:r>
    </w:p>
    <w:p>
      <w:pPr>
        <w:pStyle w:val="20"/>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绩效指标及标准：建成档案目录数据库、原文数据库、多媒体数据库及专题数据库，实现数字化档案代替原件提供利用。</w:t>
      </w:r>
    </w:p>
    <w:p>
      <w:pPr>
        <w:pStyle w:val="20"/>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（六）档案编研</w:t>
      </w:r>
    </w:p>
    <w:p>
      <w:pPr>
        <w:pStyle w:val="20"/>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绩效指标及标准：向社会提供编研成果，使利用者看到档案的价值。</w:t>
      </w:r>
    </w:p>
    <w:p>
      <w:pPr>
        <w:pStyle w:val="20"/>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（七）档案利用</w:t>
      </w:r>
    </w:p>
    <w:p>
      <w:pPr>
        <w:pStyle w:val="20"/>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绩效指标及标准：发挥档案利用中心、政府公开信息查阅中心的职能，简化利用手续，免除利用收费。</w:t>
      </w:r>
    </w:p>
    <w:p>
      <w:pPr>
        <w:pStyle w:val="20"/>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（八）档案接收</w:t>
      </w:r>
    </w:p>
    <w:p>
      <w:pPr>
        <w:pStyle w:val="20"/>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绩效指标及标准：结合民生档案优先入馆的原则，加大接收力度。</w:t>
      </w:r>
    </w:p>
    <w:p>
      <w:pPr>
        <w:pStyle w:val="20"/>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（九）综合事务管理</w:t>
      </w:r>
    </w:p>
    <w:p>
      <w:pPr>
        <w:pStyle w:val="20"/>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绩效指标及标准：保障机关工作正常高效运转。</w:t>
      </w:r>
    </w:p>
    <w:p>
      <w:pPr>
        <w:pStyle w:val="20"/>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（十）档案指导</w:t>
      </w:r>
    </w:p>
    <w:p>
      <w:pPr>
        <w:pStyle w:val="20"/>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绩效指标及标准：做好档案馆收集档案范围细则及各单位归档范围和保管期限表的编制。</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rPr>
          <w:rFonts w:eastAsia="方正仿宋_GBK"/>
          <w:color w:val="000000"/>
          <w:sz w:val="28"/>
        </w:rPr>
        <w:t>（三）工作保障措施</w:t>
      </w:r>
    </w:p>
    <w:p>
      <w:pPr>
        <w:pStyle w:val="21"/>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山海关区档案馆部门职责分类目标情况说明</w:t>
      </w:r>
    </w:p>
    <w:p>
      <w:pPr>
        <w:pStyle w:val="21"/>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本年度山海关区档案馆部门职责说明：</w:t>
      </w:r>
    </w:p>
    <w:p>
      <w:pPr>
        <w:pStyle w:val="21"/>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（一）档案收集与整理</w:t>
      </w:r>
    </w:p>
    <w:p>
      <w:pPr>
        <w:pStyle w:val="21"/>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绩效指标及标准：丰富馆藏内容，满足工作考察、历史研究、编史修志等方面的需求，提高档案利用价值。</w:t>
      </w:r>
    </w:p>
    <w:p>
      <w:pPr>
        <w:pStyle w:val="21"/>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（二）档案保管与抢救</w:t>
      </w:r>
    </w:p>
    <w:p>
      <w:pPr>
        <w:pStyle w:val="21"/>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绩效指标及标准：定期调控和记录库房温室度，库房山海关区档案馆实现本年度发展规划目标的保障措施</w:t>
      </w:r>
    </w:p>
    <w:p>
      <w:pPr>
        <w:pStyle w:val="21"/>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档案事业发展要树立创新、协调、绿色、开放、共享的发展理念，继续实施“以人为本、服务为先、安全第一”战略，深入推进“三个体系”建设，加快完善档案治理体系、提升档案治理能力。</w:t>
      </w:r>
    </w:p>
    <w:p>
      <w:pPr>
        <w:pStyle w:val="21"/>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明确了发展规划目标的保障措施：一是大力推进依法治档。严格执行档案法律规范，加强档案监督力度，提升全社会档案法治意识。二是加强档案基础设施建设，规范档案室基础设施建设。三是大力推进档案资源体系建设。进一步丰富和优化档案馆藏资源，规范机关、企事业单位档案资源建设，加强对项目档案的监督管理，积极推进农业农村档案工作，加强乡镇和城市社区档案工作。四是深化档案开放开发工作。做好档案依法开放工作，加强档案编研工作，做好国家重点档案开发利用工作，提升档案公共服务水平。新建的综合档案馆要有反映本地历史文化、体现馆藏档案特色的陈列展。五是加快档案信息化建设步伐。各级综合档案馆基本完成馆藏传统载体档案数字化，基本实现档案资源“存量数字化、增量电子化”，提高电子档案管理水平，积极推进数字档案馆（室）和档案信息网站建设。六是强化档案安全保障。强化档案安全体系建设，构筑人防、物防、技防相结合的“三位一体”防范体系，加强档案抢救保护、档案信息安全管理工作。七是切实加强档案队伍建设。强化档案干部培训，着力提高档案干部队伍素质，打造一支政治强、业务精、作风硬、纪律严的高素质档案干部队伍。</w:t>
      </w:r>
    </w:p>
    <w:p>
      <w:pPr>
        <w:pStyle w:val="21"/>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从加强组织领导、完善实施机制、落实经费保障、强化督促检查和加强宣传工作方面提出了保障措施。要求各地各部门把档案工作纳入本地区、本部门事业发展规划、年度工作计划以及绩效目标考核管理，把档案馆建设纳入基础设施建设项目，加大公共财政对档案事业发展投入力度，落实责任机制，明确工作任务，严格落实责任，分解目标，逐年推进。</w:t>
      </w:r>
    </w:p>
    <w:p>
      <w:pPr>
        <w:numPr>
          <w:ilvl w:val="0"/>
          <w:numId w:val="1"/>
        </w:numPr>
        <w:ind w:firstLine="640"/>
        <w:rPr>
          <w:rFonts w:hint="default" w:ascii="方正楷体_GBK" w:hAnsi="方正楷体_GBK" w:eastAsia="方正楷体_GBK" w:cs="方正楷体_GBK"/>
          <w:b/>
          <w:color w:val="000000"/>
          <w:sz w:val="32"/>
          <w:lang w:val="en-US" w:eastAsia="zh-CN"/>
        </w:rPr>
      </w:pPr>
      <w:r>
        <w:rPr>
          <w:rFonts w:ascii="方正楷体_GBK" w:hAnsi="方正楷体_GBK" w:eastAsia="方正楷体_GBK" w:cs="方正楷体_GBK"/>
          <w:b/>
          <w:color w:val="000000"/>
          <w:sz w:val="32"/>
        </w:rPr>
        <w:t xml:space="preserve"> 专项资金绩效目标</w:t>
      </w:r>
    </w:p>
    <w:p>
      <w:pPr>
        <w:numPr>
          <w:ilvl w:val="0"/>
          <w:numId w:val="0"/>
        </w:numPr>
        <w:adjustRightInd w:val="0"/>
        <w:snapToGrid w:val="0"/>
        <w:spacing w:after="200" w:line="240" w:lineRule="auto"/>
        <w:rPr>
          <w:rFonts w:ascii="方正楷体_GBK" w:hAnsi="方正楷体_GBK" w:eastAsia="方正楷体_GBK" w:cs="方正楷体_GBK"/>
          <w:b/>
          <w:color w:val="000000"/>
          <w:sz w:val="32"/>
        </w:rPr>
      </w:pPr>
    </w:p>
    <w:p>
      <w:pPr>
        <w:numPr>
          <w:ilvl w:val="0"/>
          <w:numId w:val="0"/>
        </w:numPr>
        <w:adjustRightInd w:val="0"/>
        <w:snapToGrid w:val="0"/>
        <w:spacing w:after="200" w:line="240" w:lineRule="auto"/>
        <w:rPr>
          <w:rFonts w:ascii="方正楷体_GBK" w:hAnsi="方正楷体_GBK" w:eastAsia="方正楷体_GBK" w:cs="方正楷体_GBK"/>
          <w:b/>
          <w:color w:val="000000"/>
          <w:sz w:val="32"/>
        </w:rPr>
      </w:pPr>
    </w:p>
    <w:p>
      <w:pPr>
        <w:numPr>
          <w:ilvl w:val="0"/>
          <w:numId w:val="0"/>
        </w:numPr>
        <w:adjustRightInd w:val="0"/>
        <w:snapToGrid w:val="0"/>
        <w:spacing w:after="200" w:line="240" w:lineRule="auto"/>
        <w:rPr>
          <w:rFonts w:ascii="方正楷体_GBK" w:hAnsi="方正楷体_GBK" w:eastAsia="方正楷体_GBK" w:cs="方正楷体_GBK"/>
          <w:b/>
          <w:color w:val="000000"/>
          <w:sz w:val="32"/>
        </w:rPr>
      </w:pPr>
    </w:p>
    <w:p>
      <w:pPr>
        <w:numPr>
          <w:ilvl w:val="0"/>
          <w:numId w:val="0"/>
        </w:numPr>
        <w:adjustRightInd w:val="0"/>
        <w:snapToGrid w:val="0"/>
        <w:spacing w:after="200" w:line="240" w:lineRule="auto"/>
        <w:rPr>
          <w:rFonts w:ascii="方正楷体_GBK" w:hAnsi="方正楷体_GBK" w:eastAsia="方正楷体_GBK" w:cs="方正楷体_GBK"/>
          <w:b/>
          <w:color w:val="000000"/>
          <w:sz w:val="32"/>
        </w:rPr>
      </w:pPr>
    </w:p>
    <w:p>
      <w:pPr>
        <w:numPr>
          <w:ilvl w:val="0"/>
          <w:numId w:val="0"/>
        </w:numPr>
        <w:adjustRightInd w:val="0"/>
        <w:snapToGrid w:val="0"/>
        <w:spacing w:after="200" w:line="240" w:lineRule="auto"/>
        <w:rPr>
          <w:rFonts w:hint="default" w:ascii="方正楷体_GBK" w:hAnsi="方正楷体_GBK" w:eastAsia="方正楷体_GBK" w:cs="方正楷体_GBK"/>
          <w:b/>
          <w:color w:val="000000"/>
          <w:sz w:val="32"/>
          <w:lang w:val="en-US" w:eastAsia="zh-CN"/>
        </w:rPr>
      </w:pPr>
    </w:p>
    <w:p>
      <w:pPr>
        <w:numPr>
          <w:ilvl w:val="0"/>
          <w:numId w:val="1"/>
        </w:numPr>
        <w:ind w:left="0" w:leftChars="0" w:firstLine="640" w:firstLineChars="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0"/>
        </w:numPr>
        <w:adjustRightInd w:val="0"/>
        <w:snapToGrid w:val="0"/>
        <w:spacing w:after="200" w:line="240" w:lineRule="auto"/>
        <w:rPr>
          <w:rFonts w:hint="default" w:ascii="方正楷体_GBK" w:hAnsi="方正楷体_GBK" w:eastAsia="方正楷体_GBK" w:cs="方正楷体_GBK"/>
          <w:b/>
          <w:color w:val="000000"/>
          <w:sz w:val="32"/>
          <w:lang w:val="en-US" w:eastAsia="zh-CN"/>
        </w:rPr>
      </w:pPr>
    </w:p>
    <w:p>
      <w:pPr>
        <w:numPr>
          <w:ilvl w:val="0"/>
          <w:numId w:val="0"/>
        </w:numPr>
        <w:adjustRightInd w:val="0"/>
        <w:snapToGrid w:val="0"/>
        <w:spacing w:after="200" w:line="240" w:lineRule="auto"/>
        <w:rPr>
          <w:rFonts w:hint="default" w:ascii="方正楷体_GBK" w:hAnsi="方正楷体_GBK" w:eastAsia="方正楷体_GBK" w:cs="方正楷体_GBK"/>
          <w:b/>
          <w:color w:val="000000"/>
          <w:sz w:val="32"/>
          <w:lang w:val="en-US" w:eastAsia="zh-CN"/>
        </w:r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1、日常管理维护费绩效目标表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1.保障单位正常运转</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支付公用经费人数</w:t>
            </w:r>
          </w:p>
        </w:tc>
        <w:tc>
          <w:tcPr>
            <w:tcW w:w="2835" w:type="dxa"/>
            <w:vAlign w:val="center"/>
          </w:tcPr>
          <w:p>
            <w:pPr>
              <w:pStyle w:val="10"/>
            </w:pPr>
            <w:r>
              <w:t>支付公用经费人数</w:t>
            </w:r>
          </w:p>
        </w:tc>
        <w:tc>
          <w:tcPr>
            <w:tcW w:w="2551" w:type="dxa"/>
            <w:vAlign w:val="center"/>
          </w:tcPr>
          <w:p>
            <w:pPr>
              <w:pStyle w:val="10"/>
            </w:pPr>
            <w:r>
              <w:t>是/否</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办公设备正常运行率</w:t>
            </w:r>
          </w:p>
        </w:tc>
        <w:tc>
          <w:tcPr>
            <w:tcW w:w="2835" w:type="dxa"/>
            <w:vAlign w:val="center"/>
          </w:tcPr>
          <w:p>
            <w:pPr>
              <w:pStyle w:val="10"/>
            </w:pPr>
            <w:r>
              <w:t>办公设备正常运行率</w:t>
            </w:r>
          </w:p>
        </w:tc>
        <w:tc>
          <w:tcPr>
            <w:tcW w:w="2551" w:type="dxa"/>
            <w:vAlign w:val="center"/>
          </w:tcPr>
          <w:p>
            <w:pPr>
              <w:pStyle w:val="10"/>
            </w:pPr>
            <w:r>
              <w:t>是/否</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按项目计划完成工作</w:t>
            </w:r>
          </w:p>
        </w:tc>
        <w:tc>
          <w:tcPr>
            <w:tcW w:w="2835" w:type="dxa"/>
            <w:vAlign w:val="center"/>
          </w:tcPr>
          <w:p>
            <w:pPr>
              <w:pStyle w:val="10"/>
            </w:pPr>
            <w:r>
              <w:t>按照工作要求按时完成预定计划</w:t>
            </w:r>
          </w:p>
        </w:tc>
        <w:tc>
          <w:tcPr>
            <w:tcW w:w="2551" w:type="dxa"/>
            <w:vAlign w:val="center"/>
          </w:tcPr>
          <w:p>
            <w:pPr>
              <w:pStyle w:val="10"/>
            </w:pPr>
            <w:r>
              <w:t>是/否</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项目控制预算数</w:t>
            </w:r>
          </w:p>
        </w:tc>
        <w:tc>
          <w:tcPr>
            <w:tcW w:w="2835" w:type="dxa"/>
            <w:vAlign w:val="center"/>
          </w:tcPr>
          <w:p>
            <w:pPr>
              <w:pStyle w:val="10"/>
            </w:pPr>
            <w:r>
              <w:t>不超过财政支持经费</w:t>
            </w:r>
          </w:p>
        </w:tc>
        <w:tc>
          <w:tcPr>
            <w:tcW w:w="2551" w:type="dxa"/>
            <w:vAlign w:val="center"/>
          </w:tcPr>
          <w:p>
            <w:pPr>
              <w:pStyle w:val="10"/>
            </w:pPr>
            <w:r>
              <w:t>是/否</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提高工作效率</w:t>
            </w:r>
          </w:p>
        </w:tc>
        <w:tc>
          <w:tcPr>
            <w:tcW w:w="2835" w:type="dxa"/>
            <w:vAlign w:val="center"/>
          </w:tcPr>
          <w:p>
            <w:pPr>
              <w:pStyle w:val="10"/>
            </w:pPr>
            <w:r>
              <w:t>是否能提高工作效率</w:t>
            </w:r>
          </w:p>
        </w:tc>
        <w:tc>
          <w:tcPr>
            <w:tcW w:w="2551" w:type="dxa"/>
            <w:vAlign w:val="center"/>
          </w:tcPr>
          <w:p>
            <w:pPr>
              <w:pStyle w:val="10"/>
            </w:pPr>
            <w:r>
              <w:t>是/否</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业务保障能力</w:t>
            </w:r>
          </w:p>
        </w:tc>
        <w:tc>
          <w:tcPr>
            <w:tcW w:w="2835" w:type="dxa"/>
            <w:vAlign w:val="center"/>
          </w:tcPr>
          <w:p>
            <w:pPr>
              <w:pStyle w:val="10"/>
            </w:pPr>
            <w:r>
              <w:t>保障相关业务、工作等开展的情况</w:t>
            </w:r>
          </w:p>
        </w:tc>
        <w:tc>
          <w:tcPr>
            <w:tcW w:w="2551" w:type="dxa"/>
            <w:vAlign w:val="center"/>
          </w:tcPr>
          <w:p>
            <w:pPr>
              <w:pStyle w:val="10"/>
            </w:pPr>
            <w:r>
              <w:t>是/否</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节约成本</w:t>
            </w:r>
          </w:p>
        </w:tc>
        <w:tc>
          <w:tcPr>
            <w:tcW w:w="2835" w:type="dxa"/>
            <w:vAlign w:val="center"/>
          </w:tcPr>
          <w:p>
            <w:pPr>
              <w:pStyle w:val="10"/>
            </w:pPr>
            <w:r>
              <w:t>节约资源，降低能耗，实现绿色办公</w:t>
            </w:r>
          </w:p>
        </w:tc>
        <w:tc>
          <w:tcPr>
            <w:tcW w:w="2551" w:type="dxa"/>
            <w:vAlign w:val="center"/>
          </w:tcPr>
          <w:p>
            <w:pPr>
              <w:pStyle w:val="10"/>
            </w:pPr>
            <w:r>
              <w:t>是/否</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能够长期较好地满足工作需求</w:t>
            </w:r>
          </w:p>
        </w:tc>
        <w:tc>
          <w:tcPr>
            <w:tcW w:w="2551" w:type="dxa"/>
            <w:vAlign w:val="center"/>
          </w:tcPr>
          <w:p>
            <w:pPr>
              <w:pStyle w:val="10"/>
            </w:pPr>
            <w:r>
              <w:t>是/否</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单位工作人员满意度</w:t>
            </w:r>
          </w:p>
        </w:tc>
        <w:tc>
          <w:tcPr>
            <w:tcW w:w="2835" w:type="dxa"/>
            <w:vAlign w:val="center"/>
          </w:tcPr>
          <w:p>
            <w:pPr>
              <w:pStyle w:val="10"/>
            </w:pPr>
            <w:r>
              <w:t>单位工作人员满意度</w:t>
            </w:r>
          </w:p>
        </w:tc>
        <w:tc>
          <w:tcPr>
            <w:tcW w:w="2551" w:type="dxa"/>
            <w:vAlign w:val="center"/>
          </w:tcPr>
          <w:p>
            <w:pPr>
              <w:pStyle w:val="10"/>
            </w:pPr>
            <w:r>
              <w:t>是/否</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2、人事代理专项补助绩效目标表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1.保障本单位1名人事代理工资及保险按时拨付</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支付工资及保险人员数量</w:t>
            </w:r>
          </w:p>
        </w:tc>
        <w:tc>
          <w:tcPr>
            <w:tcW w:w="2835" w:type="dxa"/>
            <w:vAlign w:val="center"/>
          </w:tcPr>
          <w:p>
            <w:pPr>
              <w:pStyle w:val="10"/>
            </w:pPr>
            <w:r>
              <w:t>支付工资及保险人员数量</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工资及保险发放准确率</w:t>
            </w:r>
          </w:p>
        </w:tc>
        <w:tc>
          <w:tcPr>
            <w:tcW w:w="2835" w:type="dxa"/>
            <w:vAlign w:val="center"/>
          </w:tcPr>
          <w:p>
            <w:pPr>
              <w:pStyle w:val="10"/>
            </w:pPr>
            <w:r>
              <w:t>工资及保险发放准确率</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资金支付及时率</w:t>
            </w:r>
          </w:p>
        </w:tc>
        <w:tc>
          <w:tcPr>
            <w:tcW w:w="2835" w:type="dxa"/>
            <w:vAlign w:val="center"/>
          </w:tcPr>
          <w:p>
            <w:pPr>
              <w:pStyle w:val="10"/>
            </w:pPr>
            <w:r>
              <w:t>资金支付及时率</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控制在预算资金内</w:t>
            </w:r>
          </w:p>
        </w:tc>
        <w:tc>
          <w:tcPr>
            <w:tcW w:w="2835" w:type="dxa"/>
            <w:vAlign w:val="center"/>
          </w:tcPr>
          <w:p>
            <w:pPr>
              <w:pStyle w:val="10"/>
            </w:pPr>
            <w:r>
              <w:t>控制在预算资金内</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资金支出情况</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业务工作稳定性</w:t>
            </w:r>
          </w:p>
        </w:tc>
        <w:tc>
          <w:tcPr>
            <w:tcW w:w="2835" w:type="dxa"/>
            <w:vAlign w:val="center"/>
          </w:tcPr>
          <w:p>
            <w:pPr>
              <w:pStyle w:val="10"/>
            </w:pPr>
            <w:r>
              <w:t>日常工作稳定运转</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保障社会发展</w:t>
            </w:r>
          </w:p>
        </w:tc>
        <w:tc>
          <w:tcPr>
            <w:tcW w:w="2835" w:type="dxa"/>
            <w:vAlign w:val="center"/>
          </w:tcPr>
          <w:p>
            <w:pPr>
              <w:pStyle w:val="10"/>
            </w:pPr>
            <w:r>
              <w:t>有效提供保障</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保障工作完成</w:t>
            </w:r>
          </w:p>
        </w:tc>
        <w:tc>
          <w:tcPr>
            <w:tcW w:w="2835" w:type="dxa"/>
            <w:vAlign w:val="center"/>
          </w:tcPr>
          <w:p>
            <w:pPr>
              <w:pStyle w:val="10"/>
            </w:pPr>
            <w:r>
              <w:t>保障工作顺利完成</w:t>
            </w:r>
          </w:p>
        </w:tc>
        <w:tc>
          <w:tcPr>
            <w:tcW w:w="2551" w:type="dxa"/>
            <w:vAlign w:val="center"/>
          </w:tcPr>
          <w:p>
            <w:pPr>
              <w:pStyle w:val="10"/>
            </w:pPr>
            <w:r>
              <w:t>100</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职工满意度</w:t>
            </w:r>
          </w:p>
        </w:tc>
        <w:tc>
          <w:tcPr>
            <w:tcW w:w="2835" w:type="dxa"/>
            <w:vAlign w:val="center"/>
          </w:tcPr>
          <w:p>
            <w:pPr>
              <w:pStyle w:val="10"/>
            </w:pPr>
            <w:r>
              <w:t>满意度人员占总职工人数</w:t>
            </w:r>
          </w:p>
        </w:tc>
        <w:tc>
          <w:tcPr>
            <w:tcW w:w="2551" w:type="dxa"/>
            <w:vAlign w:val="center"/>
          </w:tcPr>
          <w:p>
            <w:pPr>
              <w:pStyle w:val="10"/>
            </w:pPr>
            <w:r>
              <w:t>100</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2023年，档案馆安排政府采购预算0万元。具体内容见下表。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241档案馆</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档案馆上年末固定资产金额为</w:t>
      </w:r>
      <w:r>
        <w:rPr>
          <w:rFonts w:hint="eastAsia" w:eastAsia="方正仿宋_GBK"/>
          <w:color w:val="000000"/>
          <w:sz w:val="28"/>
          <w:lang w:val="en-US" w:eastAsia="zh-CN"/>
        </w:rPr>
        <w:t>56.14</w:t>
      </w:r>
      <w:r>
        <w:rPr>
          <w:rFonts w:eastAsia="方正仿宋_GBK"/>
          <w:color w:val="000000"/>
          <w:sz w:val="28"/>
        </w:rPr>
        <w:t>万元（详见下表）。</w:t>
      </w:r>
      <w:r>
        <w:rPr>
          <w:rFonts w:hint="eastAsia" w:ascii="Times New Roman" w:hAnsi="Times New Roman" w:eastAsia="方正仿宋_GBK" w:cs="Times New Roman"/>
          <w:sz w:val="28"/>
          <w:szCs w:val="24"/>
          <w:lang w:val="en-US" w:eastAsia="uk-UA" w:bidi="ar-SA"/>
        </w:rPr>
        <w:t>本年度无新增固定资产预算</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241档案馆</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rPr>
                <w:rFonts w:hint="default" w:eastAsia="方正书宋_GBK"/>
                <w:lang w:val="en-US" w:eastAsia="zh-CN"/>
              </w:rPr>
            </w:pPr>
            <w:r>
              <w:rPr>
                <w:rFonts w:hint="eastAsia"/>
                <w:lang w:val="en-US" w:eastAsia="zh-CN"/>
              </w:rPr>
              <w:t>78</w:t>
            </w:r>
          </w:p>
        </w:tc>
        <w:tc>
          <w:tcPr>
            <w:tcW w:w="2835" w:type="dxa"/>
            <w:vAlign w:val="center"/>
          </w:tcPr>
          <w:p>
            <w:pPr>
              <w:pStyle w:val="11"/>
              <w:rPr>
                <w:rFonts w:hint="default" w:eastAsia="方正书宋_GBK"/>
                <w:lang w:val="en-US" w:eastAsia="zh-CN"/>
              </w:rPr>
            </w:pPr>
            <w:r>
              <w:rPr>
                <w:rFonts w:hint="eastAsia"/>
                <w:lang w:val="en-US" w:eastAsia="zh-CN"/>
              </w:rPr>
              <w:t>56.14</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outlineLvl w:val="2"/>
      </w:pPr>
      <w:bookmarkStart w:id="16" w:name="_Toc_3_3_0000000017"/>
      <w:r>
        <w:rPr>
          <w:rFonts w:ascii="黑体" w:hAnsi="黑体" w:eastAsia="黑体" w:cs="黑体"/>
          <w:color w:val="000000"/>
          <w:sz w:val="32"/>
        </w:rPr>
        <w:t>八、名词解释</w:t>
      </w:r>
      <w:bookmarkEnd w:id="16"/>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outlineLvl w:val="2"/>
      </w:pPr>
      <w:bookmarkStart w:id="17" w:name="_Toc_3_3_0000000018"/>
      <w:r>
        <w:rPr>
          <w:rFonts w:ascii="黑体" w:hAnsi="黑体" w:eastAsia="黑体" w:cs="黑体"/>
          <w:color w:val="000000"/>
          <w:sz w:val="32"/>
        </w:rPr>
        <w:t>九、其他需要说明的事项</w:t>
      </w:r>
      <w:bookmarkEnd w:id="17"/>
    </w:p>
    <w:p>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eastAsia="zh-CN"/>
        </w:rPr>
        <w:t>。</w:t>
      </w:r>
    </w:p>
    <w:p>
      <w:pPr>
        <w:spacing w:line="220" w:lineRule="atLeast"/>
      </w:pPr>
    </w:p>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41D84"/>
    <w:multiLevelType w:val="singleLevel"/>
    <w:tmpl w:val="4D541D84"/>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112C0925"/>
    <w:rsid w:val="1D2500F5"/>
    <w:rsid w:val="2F052E1A"/>
    <w:rsid w:val="46A30CC9"/>
    <w:rsid w:val="54C83E49"/>
    <w:rsid w:val="553D429B"/>
    <w:rsid w:val="585A650B"/>
    <w:rsid w:val="60CC3EA2"/>
    <w:rsid w:val="63767F9A"/>
    <w:rsid w:val="65106243"/>
    <w:rsid w:val="6591613F"/>
    <w:rsid w:val="6F45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TOC 1"/>
    <w:basedOn w:val="1"/>
    <w:qFormat/>
    <w:uiPriority w:val="0"/>
    <w:pPr>
      <w:spacing w:before="120"/>
      <w:ind w:firstLine="560"/>
    </w:pPr>
    <w:rPr>
      <w:rFonts w:eastAsia="方正仿宋_GBK"/>
      <w:color w:val="000000"/>
      <w:sz w:val="28"/>
    </w:rPr>
  </w:style>
  <w:style w:type="paragraph" w:customStyle="1" w:styleId="5">
    <w:name w:val="单元格样式20"/>
    <w:basedOn w:val="1"/>
    <w:qFormat/>
    <w:uiPriority w:val="0"/>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预算公开单位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2023-02-09T07:32:00Z</cp:lastPrinted>
  <dcterms:modified xsi:type="dcterms:W3CDTF">2024-04-15T02:58:09Z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