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1"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w:t>
            </w:r>
            <w:r>
              <w:t xml:space="preserve">  </w:t>
            </w:r>
            <w:r>
              <w:rPr>
                <w:rFonts w:hint="eastAsia"/>
              </w:rPr>
              <w:t>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rPr>
                <w:rFonts w:hint="eastAsia"/>
              </w:rPr>
              <w:t>一、一般公共预算拨款收入</w:t>
            </w:r>
          </w:p>
        </w:tc>
        <w:tc>
          <w:tcPr>
            <w:tcW w:w="2126" w:type="dxa"/>
            <w:vAlign w:val="center"/>
          </w:tcPr>
          <w:p>
            <w:pPr>
              <w:pStyle w:val="14"/>
            </w:pPr>
            <w:r>
              <w:t>238.41</w:t>
            </w:r>
          </w:p>
        </w:tc>
        <w:tc>
          <w:tcPr>
            <w:tcW w:w="4535" w:type="dxa"/>
            <w:vAlign w:val="center"/>
          </w:tcPr>
          <w:p>
            <w:pPr>
              <w:pStyle w:val="15"/>
            </w:pPr>
            <w:r>
              <w:rPr>
                <w:rFonts w:hint="eastAsia"/>
              </w:rPr>
              <w:t>一、一般公共服务支出</w:t>
            </w:r>
          </w:p>
        </w:tc>
        <w:tc>
          <w:tcPr>
            <w:tcW w:w="2126" w:type="dxa"/>
            <w:vAlign w:val="center"/>
          </w:tcPr>
          <w:p>
            <w:pPr>
              <w:pStyle w:val="14"/>
            </w:pPr>
            <w:r>
              <w:t>183.72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rPr>
                <w:rFonts w:hint="eastAsia"/>
              </w:rPr>
              <w:t>五、单位资金</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r>
              <w:t>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r>
              <w:t>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rPr>
                <w:rFonts w:hint="eastAsia"/>
              </w:rPr>
              <w:t>本年收入合计</w:t>
            </w:r>
          </w:p>
        </w:tc>
        <w:tc>
          <w:tcPr>
            <w:tcW w:w="2126" w:type="dxa"/>
            <w:vAlign w:val="center"/>
          </w:tcPr>
          <w:p>
            <w:pPr>
              <w:pStyle w:val="18"/>
            </w:pPr>
            <w:r>
              <w:t>238.41</w:t>
            </w:r>
          </w:p>
        </w:tc>
        <w:tc>
          <w:tcPr>
            <w:tcW w:w="4535" w:type="dxa"/>
            <w:vAlign w:val="center"/>
          </w:tcPr>
          <w:p>
            <w:pPr>
              <w:pStyle w:val="17"/>
            </w:pPr>
            <w:r>
              <w:rPr>
                <w:rFonts w:hint="eastAsia"/>
              </w:rPr>
              <w:t>本年支出合计</w:t>
            </w:r>
          </w:p>
        </w:tc>
        <w:tc>
          <w:tcPr>
            <w:tcW w:w="2126" w:type="dxa"/>
            <w:vAlign w:val="center"/>
          </w:tcPr>
          <w:p>
            <w:pPr>
              <w:pStyle w:val="18"/>
            </w:pPr>
            <w:r>
              <w:t>238.41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rPr>
                <w:rFonts w:hint="eastAsia"/>
              </w:rPr>
              <w:t>上年结转结余</w:t>
            </w:r>
          </w:p>
        </w:tc>
        <w:tc>
          <w:tcPr>
            <w:tcW w:w="2126" w:type="dxa"/>
            <w:vAlign w:val="center"/>
          </w:tcPr>
          <w:p>
            <w:pPr>
              <w:pStyle w:val="14"/>
            </w:pP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rPr>
                <w:rFonts w:hint="eastAsia"/>
              </w:rPr>
              <w:t>收入总计</w:t>
            </w:r>
          </w:p>
        </w:tc>
        <w:tc>
          <w:tcPr>
            <w:tcW w:w="2126" w:type="dxa"/>
            <w:vAlign w:val="center"/>
          </w:tcPr>
          <w:p>
            <w:pPr>
              <w:pStyle w:val="18"/>
            </w:pPr>
            <w:r>
              <w:t>238.41</w:t>
            </w:r>
          </w:p>
        </w:tc>
        <w:tc>
          <w:tcPr>
            <w:tcW w:w="4535" w:type="dxa"/>
            <w:vAlign w:val="center"/>
          </w:tcPr>
          <w:p>
            <w:pPr>
              <w:pStyle w:val="17"/>
            </w:pPr>
            <w:r>
              <w:rPr>
                <w:rFonts w:hint="eastAsia"/>
              </w:rPr>
              <w:t>支出总计</w:t>
            </w:r>
          </w:p>
        </w:tc>
        <w:tc>
          <w:tcPr>
            <w:tcW w:w="2126" w:type="dxa"/>
            <w:vAlign w:val="center"/>
          </w:tcPr>
          <w:p>
            <w:pPr>
              <w:pStyle w:val="18"/>
            </w:pPr>
            <w:r>
              <w:t>238.41</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1"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w:t>
            </w:r>
            <w:r>
              <w:t xml:space="preserve">    </w:t>
            </w:r>
            <w:r>
              <w:rPr>
                <w:rFonts w:hint="eastAsia"/>
              </w:rPr>
              <w:t>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w:t>
            </w:r>
            <w:r>
              <w:t xml:space="preserve"> </w:t>
            </w:r>
            <w:r>
              <w:rPr>
                <w:rFonts w:hint="eastAsia"/>
              </w:rPr>
              <w:t>收入</w:t>
            </w:r>
          </w:p>
        </w:tc>
        <w:tc>
          <w:tcPr>
            <w:tcW w:w="1134" w:type="dxa"/>
            <w:vAlign w:val="center"/>
          </w:tcPr>
          <w:p>
            <w:pPr>
              <w:pStyle w:val="13"/>
            </w:pPr>
            <w:r>
              <w:rPr>
                <w:rFonts w:hint="eastAsia"/>
              </w:rPr>
              <w:t>财政专户</w:t>
            </w:r>
            <w:r>
              <w:t xml:space="preserve"> </w:t>
            </w:r>
            <w:r>
              <w:rPr>
                <w:rFonts w:hint="eastAsia"/>
              </w:rPr>
              <w:t>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238.41</w:t>
            </w:r>
          </w:p>
        </w:tc>
        <w:tc>
          <w:tcPr>
            <w:tcW w:w="1134" w:type="dxa"/>
            <w:vAlign w:val="center"/>
          </w:tcPr>
          <w:p>
            <w:pPr>
              <w:pStyle w:val="18"/>
            </w:pPr>
            <w:r>
              <w:t>238.41</w:t>
            </w:r>
          </w:p>
        </w:tc>
        <w:tc>
          <w:tcPr>
            <w:tcW w:w="1134" w:type="dxa"/>
            <w:vAlign w:val="center"/>
          </w:tcPr>
          <w:p>
            <w:pPr>
              <w:pStyle w:val="18"/>
            </w:pPr>
            <w:r>
              <w:t>238.41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rPr>
                <w:rFonts w:hint="eastAsia"/>
              </w:rPr>
              <w:t>一般公共服务支出</w:t>
            </w:r>
          </w:p>
        </w:tc>
        <w:tc>
          <w:tcPr>
            <w:tcW w:w="1134" w:type="dxa"/>
            <w:vAlign w:val="center"/>
          </w:tcPr>
          <w:p>
            <w:pPr>
              <w:pStyle w:val="14"/>
            </w:pPr>
            <w:r>
              <w:t>183.72</w:t>
            </w:r>
          </w:p>
        </w:tc>
        <w:tc>
          <w:tcPr>
            <w:tcW w:w="1134" w:type="dxa"/>
            <w:vAlign w:val="center"/>
          </w:tcPr>
          <w:p>
            <w:pPr>
              <w:pStyle w:val="14"/>
            </w:pPr>
            <w:r>
              <w:t>183.72</w:t>
            </w:r>
          </w:p>
        </w:tc>
        <w:tc>
          <w:tcPr>
            <w:tcW w:w="1134" w:type="dxa"/>
            <w:vAlign w:val="center"/>
          </w:tcPr>
          <w:p>
            <w:pPr>
              <w:pStyle w:val="14"/>
            </w:pPr>
            <w:r>
              <w:t>183.72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20132</w:t>
            </w:r>
          </w:p>
        </w:tc>
        <w:tc>
          <w:tcPr>
            <w:tcW w:w="1559" w:type="dxa"/>
            <w:vAlign w:val="center"/>
          </w:tcPr>
          <w:p>
            <w:pPr>
              <w:pStyle w:val="15"/>
            </w:pPr>
            <w:r>
              <w:rPr>
                <w:rFonts w:hint="eastAsia"/>
              </w:rPr>
              <w:t>组织事务</w:t>
            </w:r>
          </w:p>
        </w:tc>
        <w:tc>
          <w:tcPr>
            <w:tcW w:w="1134" w:type="dxa"/>
            <w:vAlign w:val="center"/>
          </w:tcPr>
          <w:p>
            <w:pPr>
              <w:pStyle w:val="14"/>
            </w:pPr>
            <w:r>
              <w:t>183.72</w:t>
            </w:r>
          </w:p>
        </w:tc>
        <w:tc>
          <w:tcPr>
            <w:tcW w:w="1134" w:type="dxa"/>
            <w:vAlign w:val="center"/>
          </w:tcPr>
          <w:p>
            <w:pPr>
              <w:pStyle w:val="14"/>
            </w:pPr>
            <w:r>
              <w:t>183.72</w:t>
            </w:r>
          </w:p>
        </w:tc>
        <w:tc>
          <w:tcPr>
            <w:tcW w:w="1134" w:type="dxa"/>
            <w:vAlign w:val="center"/>
          </w:tcPr>
          <w:p>
            <w:pPr>
              <w:pStyle w:val="14"/>
            </w:pPr>
            <w:r>
              <w:t>183.72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2013201</w:t>
            </w:r>
          </w:p>
        </w:tc>
        <w:tc>
          <w:tcPr>
            <w:tcW w:w="1559" w:type="dxa"/>
            <w:vAlign w:val="center"/>
          </w:tcPr>
          <w:p>
            <w:pPr>
              <w:pStyle w:val="15"/>
            </w:pPr>
            <w:r>
              <w:rPr>
                <w:rFonts w:hint="eastAsia"/>
              </w:rPr>
              <w:t>行政运行</w:t>
            </w:r>
          </w:p>
        </w:tc>
        <w:tc>
          <w:tcPr>
            <w:tcW w:w="1134" w:type="dxa"/>
            <w:vAlign w:val="center"/>
          </w:tcPr>
          <w:p>
            <w:pPr>
              <w:pStyle w:val="14"/>
            </w:pPr>
            <w:r>
              <w:t>175.72</w:t>
            </w:r>
          </w:p>
        </w:tc>
        <w:tc>
          <w:tcPr>
            <w:tcW w:w="1134" w:type="dxa"/>
            <w:vAlign w:val="center"/>
          </w:tcPr>
          <w:p>
            <w:pPr>
              <w:pStyle w:val="14"/>
            </w:pPr>
            <w:r>
              <w:t>175.72</w:t>
            </w:r>
          </w:p>
        </w:tc>
        <w:tc>
          <w:tcPr>
            <w:tcW w:w="1134" w:type="dxa"/>
            <w:vAlign w:val="center"/>
          </w:tcPr>
          <w:p>
            <w:pPr>
              <w:pStyle w:val="14"/>
            </w:pPr>
            <w:r>
              <w:t>175.72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2013202</w:t>
            </w:r>
          </w:p>
        </w:tc>
        <w:tc>
          <w:tcPr>
            <w:tcW w:w="1559" w:type="dxa"/>
            <w:vAlign w:val="center"/>
          </w:tcPr>
          <w:p>
            <w:pPr>
              <w:pStyle w:val="15"/>
            </w:pPr>
            <w:r>
              <w:rPr>
                <w:rFonts w:hint="eastAsia"/>
              </w:rPr>
              <w:t>一般行政管理事务</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rPr>
                <w:rFonts w:hint="eastAsia"/>
              </w:rPr>
              <w:t>社会保障和就业支出</w:t>
            </w:r>
          </w:p>
        </w:tc>
        <w:tc>
          <w:tcPr>
            <w:tcW w:w="1134" w:type="dxa"/>
            <w:vAlign w:val="center"/>
          </w:tcPr>
          <w:p>
            <w:pPr>
              <w:pStyle w:val="14"/>
            </w:pPr>
            <w:r>
              <w:t>24.31</w:t>
            </w:r>
          </w:p>
        </w:tc>
        <w:tc>
          <w:tcPr>
            <w:tcW w:w="1134" w:type="dxa"/>
            <w:vAlign w:val="center"/>
          </w:tcPr>
          <w:p>
            <w:pPr>
              <w:pStyle w:val="14"/>
            </w:pPr>
            <w:r>
              <w:t>24.31</w:t>
            </w:r>
          </w:p>
        </w:tc>
        <w:tc>
          <w:tcPr>
            <w:tcW w:w="1134" w:type="dxa"/>
            <w:vAlign w:val="center"/>
          </w:tcPr>
          <w:p>
            <w:pPr>
              <w:pStyle w:val="14"/>
            </w:pPr>
            <w:r>
              <w:t>24.31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rPr>
                <w:rFonts w:hint="eastAsia"/>
              </w:rPr>
              <w:t>行政事业单位养老支出</w:t>
            </w:r>
          </w:p>
        </w:tc>
        <w:tc>
          <w:tcPr>
            <w:tcW w:w="1134" w:type="dxa"/>
            <w:vAlign w:val="center"/>
          </w:tcPr>
          <w:p>
            <w:pPr>
              <w:pStyle w:val="14"/>
            </w:pPr>
            <w:r>
              <w:t>24.31</w:t>
            </w:r>
          </w:p>
        </w:tc>
        <w:tc>
          <w:tcPr>
            <w:tcW w:w="1134" w:type="dxa"/>
            <w:vAlign w:val="center"/>
          </w:tcPr>
          <w:p>
            <w:pPr>
              <w:pStyle w:val="14"/>
            </w:pPr>
            <w:r>
              <w:t>24.31</w:t>
            </w:r>
          </w:p>
        </w:tc>
        <w:tc>
          <w:tcPr>
            <w:tcW w:w="1134" w:type="dxa"/>
            <w:vAlign w:val="center"/>
          </w:tcPr>
          <w:p>
            <w:pPr>
              <w:pStyle w:val="14"/>
            </w:pPr>
            <w:r>
              <w:t>24.31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rPr>
                <w:rFonts w:hint="eastAsia"/>
              </w:rPr>
              <w:t>行政单位离退休</w:t>
            </w:r>
          </w:p>
        </w:tc>
        <w:tc>
          <w:tcPr>
            <w:tcW w:w="1134" w:type="dxa"/>
            <w:vAlign w:val="center"/>
          </w:tcPr>
          <w:p>
            <w:pPr>
              <w:pStyle w:val="14"/>
            </w:pPr>
            <w:r>
              <w:t>1.59</w:t>
            </w:r>
          </w:p>
        </w:tc>
        <w:tc>
          <w:tcPr>
            <w:tcW w:w="1134" w:type="dxa"/>
            <w:vAlign w:val="center"/>
          </w:tcPr>
          <w:p>
            <w:pPr>
              <w:pStyle w:val="14"/>
            </w:pPr>
            <w:r>
              <w:t>1.59</w:t>
            </w:r>
          </w:p>
        </w:tc>
        <w:tc>
          <w:tcPr>
            <w:tcW w:w="1134" w:type="dxa"/>
            <w:vAlign w:val="center"/>
          </w:tcPr>
          <w:p>
            <w:pPr>
              <w:pStyle w:val="14"/>
            </w:pPr>
            <w:r>
              <w:t>1.59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rPr>
                <w:rFonts w:hint="eastAsia"/>
              </w:rPr>
              <w:t>机关事业单位基本养老保险缴费支出</w:t>
            </w:r>
          </w:p>
        </w:tc>
        <w:tc>
          <w:tcPr>
            <w:tcW w:w="1134" w:type="dxa"/>
            <w:vAlign w:val="center"/>
          </w:tcPr>
          <w:p>
            <w:pPr>
              <w:pStyle w:val="14"/>
            </w:pPr>
            <w:r>
              <w:t>22.72</w:t>
            </w:r>
          </w:p>
        </w:tc>
        <w:tc>
          <w:tcPr>
            <w:tcW w:w="1134" w:type="dxa"/>
            <w:vAlign w:val="center"/>
          </w:tcPr>
          <w:p>
            <w:pPr>
              <w:pStyle w:val="14"/>
            </w:pPr>
            <w:r>
              <w:t>22.72</w:t>
            </w:r>
          </w:p>
        </w:tc>
        <w:tc>
          <w:tcPr>
            <w:tcW w:w="1134" w:type="dxa"/>
            <w:vAlign w:val="center"/>
          </w:tcPr>
          <w:p>
            <w:pPr>
              <w:pStyle w:val="14"/>
            </w:pPr>
            <w:r>
              <w:t>22.72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rPr>
                <w:rFonts w:hint="eastAsia"/>
              </w:rPr>
              <w:t>卫生健康支出</w:t>
            </w:r>
          </w:p>
        </w:tc>
        <w:tc>
          <w:tcPr>
            <w:tcW w:w="1134" w:type="dxa"/>
            <w:vAlign w:val="center"/>
          </w:tcPr>
          <w:p>
            <w:pPr>
              <w:pStyle w:val="14"/>
            </w:pPr>
            <w:r>
              <w:t>12.90</w:t>
            </w:r>
          </w:p>
        </w:tc>
        <w:tc>
          <w:tcPr>
            <w:tcW w:w="1134" w:type="dxa"/>
            <w:vAlign w:val="center"/>
          </w:tcPr>
          <w:p>
            <w:pPr>
              <w:pStyle w:val="14"/>
            </w:pPr>
            <w:r>
              <w:t>12.90</w:t>
            </w:r>
          </w:p>
        </w:tc>
        <w:tc>
          <w:tcPr>
            <w:tcW w:w="1134" w:type="dxa"/>
            <w:vAlign w:val="center"/>
          </w:tcPr>
          <w:p>
            <w:pPr>
              <w:pStyle w:val="14"/>
            </w:pPr>
            <w:r>
              <w:t>12.90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rPr>
                <w:rFonts w:hint="eastAsia"/>
              </w:rPr>
              <w:t>行政事业单位医疗</w:t>
            </w:r>
          </w:p>
        </w:tc>
        <w:tc>
          <w:tcPr>
            <w:tcW w:w="1134" w:type="dxa"/>
            <w:vAlign w:val="center"/>
          </w:tcPr>
          <w:p>
            <w:pPr>
              <w:pStyle w:val="14"/>
            </w:pPr>
            <w:r>
              <w:t>12.90</w:t>
            </w:r>
          </w:p>
        </w:tc>
        <w:tc>
          <w:tcPr>
            <w:tcW w:w="1134" w:type="dxa"/>
            <w:vAlign w:val="center"/>
          </w:tcPr>
          <w:p>
            <w:pPr>
              <w:pStyle w:val="14"/>
            </w:pPr>
            <w:r>
              <w:t>12.90</w:t>
            </w:r>
          </w:p>
        </w:tc>
        <w:tc>
          <w:tcPr>
            <w:tcW w:w="1134" w:type="dxa"/>
            <w:vAlign w:val="center"/>
          </w:tcPr>
          <w:p>
            <w:pPr>
              <w:pStyle w:val="14"/>
            </w:pPr>
            <w:r>
              <w:t>12.90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rPr>
                <w:rFonts w:hint="eastAsia"/>
              </w:rPr>
              <w:t>行政单位医疗</w:t>
            </w:r>
          </w:p>
        </w:tc>
        <w:tc>
          <w:tcPr>
            <w:tcW w:w="1134" w:type="dxa"/>
            <w:vAlign w:val="center"/>
          </w:tcPr>
          <w:p>
            <w:pPr>
              <w:pStyle w:val="14"/>
            </w:pPr>
            <w:r>
              <w:t>9.83</w:t>
            </w:r>
          </w:p>
        </w:tc>
        <w:tc>
          <w:tcPr>
            <w:tcW w:w="1134" w:type="dxa"/>
            <w:vAlign w:val="center"/>
          </w:tcPr>
          <w:p>
            <w:pPr>
              <w:pStyle w:val="14"/>
            </w:pPr>
            <w:r>
              <w:t>9.83</w:t>
            </w:r>
          </w:p>
        </w:tc>
        <w:tc>
          <w:tcPr>
            <w:tcW w:w="1134" w:type="dxa"/>
            <w:vAlign w:val="center"/>
          </w:tcPr>
          <w:p>
            <w:pPr>
              <w:pStyle w:val="14"/>
            </w:pPr>
            <w:r>
              <w:t>9.83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rPr>
                <w:rFonts w:hint="eastAsia"/>
              </w:rPr>
              <w:t>公务员医疗补助</w:t>
            </w:r>
          </w:p>
        </w:tc>
        <w:tc>
          <w:tcPr>
            <w:tcW w:w="1134" w:type="dxa"/>
            <w:vAlign w:val="center"/>
          </w:tcPr>
          <w:p>
            <w:pPr>
              <w:pStyle w:val="14"/>
            </w:pPr>
            <w:r>
              <w:t>3.07</w:t>
            </w:r>
          </w:p>
        </w:tc>
        <w:tc>
          <w:tcPr>
            <w:tcW w:w="1134" w:type="dxa"/>
            <w:vAlign w:val="center"/>
          </w:tcPr>
          <w:p>
            <w:pPr>
              <w:pStyle w:val="14"/>
            </w:pPr>
            <w:r>
              <w:t>3.07</w:t>
            </w:r>
          </w:p>
        </w:tc>
        <w:tc>
          <w:tcPr>
            <w:tcW w:w="1134" w:type="dxa"/>
            <w:vAlign w:val="center"/>
          </w:tcPr>
          <w:p>
            <w:pPr>
              <w:pStyle w:val="14"/>
            </w:pPr>
            <w:r>
              <w:t>3.07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rPr>
                <w:rFonts w:hint="eastAsia"/>
              </w:rPr>
              <w:t>住房保障支出</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rPr>
                <w:rFonts w:hint="eastAsia"/>
              </w:rPr>
              <w:t>住房改革支出</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rPr>
                <w:rFonts w:hint="eastAsia"/>
              </w:rPr>
              <w:t>住房公积金</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r>
              <w:t>17.48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721"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w:t>
            </w:r>
            <w:r>
              <w:t xml:space="preserve">     </w:t>
            </w:r>
            <w:r>
              <w:rPr>
                <w:rFonts w:hint="eastAsia"/>
              </w:rPr>
              <w:t>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w:t>
            </w:r>
            <w:r>
              <w:t xml:space="preserve">    </w:t>
            </w:r>
            <w:r>
              <w:rPr>
                <w:rFonts w:hint="eastAsia"/>
              </w:rPr>
              <w:t>编码</w:t>
            </w:r>
          </w:p>
        </w:tc>
        <w:tc>
          <w:tcPr>
            <w:tcW w:w="4535"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rPr>
                <w:rFonts w:hint="eastAsia"/>
              </w:rPr>
              <w:t>合计</w:t>
            </w:r>
          </w:p>
        </w:tc>
        <w:tc>
          <w:tcPr>
            <w:tcW w:w="1361" w:type="dxa"/>
            <w:vAlign w:val="center"/>
          </w:tcPr>
          <w:p>
            <w:pPr>
              <w:pStyle w:val="18"/>
            </w:pPr>
            <w:r>
              <w:t>238.41</w:t>
            </w:r>
          </w:p>
        </w:tc>
        <w:tc>
          <w:tcPr>
            <w:tcW w:w="1361" w:type="dxa"/>
            <w:vAlign w:val="center"/>
          </w:tcPr>
          <w:p>
            <w:pPr>
              <w:pStyle w:val="18"/>
            </w:pPr>
            <w:r>
              <w:t>230.41</w:t>
            </w:r>
          </w:p>
        </w:tc>
        <w:tc>
          <w:tcPr>
            <w:tcW w:w="1361" w:type="dxa"/>
            <w:vAlign w:val="center"/>
          </w:tcPr>
          <w:p>
            <w:pPr>
              <w:pStyle w:val="18"/>
            </w:pPr>
            <w:r>
              <w:t>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rPr>
                <w:rFonts w:hint="eastAsia"/>
              </w:rPr>
              <w:t>一般公共服务支出</w:t>
            </w:r>
          </w:p>
        </w:tc>
        <w:tc>
          <w:tcPr>
            <w:tcW w:w="1361" w:type="dxa"/>
            <w:vAlign w:val="center"/>
          </w:tcPr>
          <w:p>
            <w:pPr>
              <w:pStyle w:val="14"/>
            </w:pPr>
            <w:r>
              <w:t>183.72</w:t>
            </w:r>
          </w:p>
        </w:tc>
        <w:tc>
          <w:tcPr>
            <w:tcW w:w="1361" w:type="dxa"/>
            <w:vAlign w:val="center"/>
          </w:tcPr>
          <w:p>
            <w:pPr>
              <w:pStyle w:val="14"/>
            </w:pPr>
            <w:r>
              <w:t>175.72</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20132</w:t>
            </w:r>
          </w:p>
        </w:tc>
        <w:tc>
          <w:tcPr>
            <w:tcW w:w="4535" w:type="dxa"/>
            <w:vAlign w:val="center"/>
          </w:tcPr>
          <w:p>
            <w:pPr>
              <w:pStyle w:val="15"/>
            </w:pPr>
            <w:r>
              <w:rPr>
                <w:rFonts w:hint="eastAsia"/>
              </w:rPr>
              <w:t>组织事务</w:t>
            </w:r>
          </w:p>
        </w:tc>
        <w:tc>
          <w:tcPr>
            <w:tcW w:w="1361" w:type="dxa"/>
            <w:vAlign w:val="center"/>
          </w:tcPr>
          <w:p>
            <w:pPr>
              <w:pStyle w:val="14"/>
            </w:pPr>
            <w:r>
              <w:t>183.72</w:t>
            </w:r>
          </w:p>
        </w:tc>
        <w:tc>
          <w:tcPr>
            <w:tcW w:w="1361" w:type="dxa"/>
            <w:vAlign w:val="center"/>
          </w:tcPr>
          <w:p>
            <w:pPr>
              <w:pStyle w:val="14"/>
            </w:pPr>
            <w:r>
              <w:t>175.72</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2013201</w:t>
            </w:r>
          </w:p>
        </w:tc>
        <w:tc>
          <w:tcPr>
            <w:tcW w:w="4535" w:type="dxa"/>
            <w:vAlign w:val="center"/>
          </w:tcPr>
          <w:p>
            <w:pPr>
              <w:pStyle w:val="15"/>
            </w:pPr>
            <w:r>
              <w:rPr>
                <w:rFonts w:hint="eastAsia"/>
              </w:rPr>
              <w:t>行政运行</w:t>
            </w:r>
          </w:p>
        </w:tc>
        <w:tc>
          <w:tcPr>
            <w:tcW w:w="1361" w:type="dxa"/>
            <w:vAlign w:val="center"/>
          </w:tcPr>
          <w:p>
            <w:pPr>
              <w:pStyle w:val="14"/>
            </w:pPr>
            <w:r>
              <w:t>175.72</w:t>
            </w:r>
          </w:p>
        </w:tc>
        <w:tc>
          <w:tcPr>
            <w:tcW w:w="1361" w:type="dxa"/>
            <w:vAlign w:val="center"/>
          </w:tcPr>
          <w:p>
            <w:pPr>
              <w:pStyle w:val="14"/>
            </w:pPr>
            <w:r>
              <w:t>175.72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2013202</w:t>
            </w:r>
          </w:p>
        </w:tc>
        <w:tc>
          <w:tcPr>
            <w:tcW w:w="4535" w:type="dxa"/>
            <w:vAlign w:val="center"/>
          </w:tcPr>
          <w:p>
            <w:pPr>
              <w:pStyle w:val="15"/>
            </w:pPr>
            <w:r>
              <w:rPr>
                <w:rFonts w:hint="eastAsia"/>
              </w:rPr>
              <w:t>一般行政管理事务</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rPr>
                <w:rFonts w:hint="eastAsia"/>
              </w:rPr>
              <w:t>社会保障和就业支出</w:t>
            </w:r>
          </w:p>
        </w:tc>
        <w:tc>
          <w:tcPr>
            <w:tcW w:w="1361" w:type="dxa"/>
            <w:vAlign w:val="center"/>
          </w:tcPr>
          <w:p>
            <w:pPr>
              <w:pStyle w:val="14"/>
            </w:pPr>
            <w:r>
              <w:t>24.31</w:t>
            </w:r>
          </w:p>
        </w:tc>
        <w:tc>
          <w:tcPr>
            <w:tcW w:w="1361" w:type="dxa"/>
            <w:vAlign w:val="center"/>
          </w:tcPr>
          <w:p>
            <w:pPr>
              <w:pStyle w:val="14"/>
            </w:pPr>
            <w:r>
              <w:t>24.31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rPr>
                <w:rFonts w:hint="eastAsia"/>
              </w:rPr>
              <w:t>行政事业单位养老支出</w:t>
            </w:r>
          </w:p>
        </w:tc>
        <w:tc>
          <w:tcPr>
            <w:tcW w:w="1361" w:type="dxa"/>
            <w:vAlign w:val="center"/>
          </w:tcPr>
          <w:p>
            <w:pPr>
              <w:pStyle w:val="14"/>
            </w:pPr>
            <w:r>
              <w:t>24.31</w:t>
            </w:r>
          </w:p>
        </w:tc>
        <w:tc>
          <w:tcPr>
            <w:tcW w:w="1361" w:type="dxa"/>
            <w:vAlign w:val="center"/>
          </w:tcPr>
          <w:p>
            <w:pPr>
              <w:pStyle w:val="14"/>
            </w:pPr>
            <w:r>
              <w:t>24.31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rPr>
                <w:rFonts w:hint="eastAsia"/>
              </w:rPr>
              <w:t>行政单位离退休</w:t>
            </w:r>
          </w:p>
        </w:tc>
        <w:tc>
          <w:tcPr>
            <w:tcW w:w="1361" w:type="dxa"/>
            <w:vAlign w:val="center"/>
          </w:tcPr>
          <w:p>
            <w:pPr>
              <w:pStyle w:val="14"/>
            </w:pPr>
            <w:r>
              <w:t>1.59</w:t>
            </w:r>
          </w:p>
        </w:tc>
        <w:tc>
          <w:tcPr>
            <w:tcW w:w="1361" w:type="dxa"/>
            <w:vAlign w:val="center"/>
          </w:tcPr>
          <w:p>
            <w:pPr>
              <w:pStyle w:val="14"/>
            </w:pPr>
            <w:r>
              <w:t>1.59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1361" w:type="dxa"/>
            <w:vAlign w:val="center"/>
          </w:tcPr>
          <w:p>
            <w:pPr>
              <w:pStyle w:val="14"/>
            </w:pPr>
            <w:r>
              <w:t>22.72</w:t>
            </w:r>
          </w:p>
        </w:tc>
        <w:tc>
          <w:tcPr>
            <w:tcW w:w="1361" w:type="dxa"/>
            <w:vAlign w:val="center"/>
          </w:tcPr>
          <w:p>
            <w:pPr>
              <w:pStyle w:val="14"/>
            </w:pPr>
            <w:r>
              <w:t>22.72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rPr>
                <w:rFonts w:hint="eastAsia"/>
              </w:rPr>
              <w:t>卫生健康支出</w:t>
            </w:r>
          </w:p>
        </w:tc>
        <w:tc>
          <w:tcPr>
            <w:tcW w:w="1361" w:type="dxa"/>
            <w:vAlign w:val="center"/>
          </w:tcPr>
          <w:p>
            <w:pPr>
              <w:pStyle w:val="14"/>
            </w:pPr>
            <w:r>
              <w:t>12.90</w:t>
            </w:r>
          </w:p>
        </w:tc>
        <w:tc>
          <w:tcPr>
            <w:tcW w:w="1361" w:type="dxa"/>
            <w:vAlign w:val="center"/>
          </w:tcPr>
          <w:p>
            <w:pPr>
              <w:pStyle w:val="14"/>
            </w:pPr>
            <w:r>
              <w:t>12.90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rPr>
                <w:rFonts w:hint="eastAsia"/>
              </w:rPr>
              <w:t>行政事业单位医疗</w:t>
            </w:r>
          </w:p>
        </w:tc>
        <w:tc>
          <w:tcPr>
            <w:tcW w:w="1361" w:type="dxa"/>
            <w:vAlign w:val="center"/>
          </w:tcPr>
          <w:p>
            <w:pPr>
              <w:pStyle w:val="14"/>
            </w:pPr>
            <w:r>
              <w:t>12.90</w:t>
            </w:r>
          </w:p>
        </w:tc>
        <w:tc>
          <w:tcPr>
            <w:tcW w:w="1361" w:type="dxa"/>
            <w:vAlign w:val="center"/>
          </w:tcPr>
          <w:p>
            <w:pPr>
              <w:pStyle w:val="14"/>
            </w:pPr>
            <w:r>
              <w:t>12.90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rPr>
                <w:rFonts w:hint="eastAsia"/>
              </w:rPr>
              <w:t>行政单位医疗</w:t>
            </w:r>
          </w:p>
        </w:tc>
        <w:tc>
          <w:tcPr>
            <w:tcW w:w="1361" w:type="dxa"/>
            <w:vAlign w:val="center"/>
          </w:tcPr>
          <w:p>
            <w:pPr>
              <w:pStyle w:val="14"/>
            </w:pPr>
            <w:r>
              <w:t>9.83</w:t>
            </w:r>
          </w:p>
        </w:tc>
        <w:tc>
          <w:tcPr>
            <w:tcW w:w="1361" w:type="dxa"/>
            <w:vAlign w:val="center"/>
          </w:tcPr>
          <w:p>
            <w:pPr>
              <w:pStyle w:val="14"/>
            </w:pPr>
            <w:r>
              <w:t>9.83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rPr>
                <w:rFonts w:hint="eastAsia"/>
              </w:rPr>
              <w:t>公务员医疗补助</w:t>
            </w:r>
          </w:p>
        </w:tc>
        <w:tc>
          <w:tcPr>
            <w:tcW w:w="1361" w:type="dxa"/>
            <w:vAlign w:val="center"/>
          </w:tcPr>
          <w:p>
            <w:pPr>
              <w:pStyle w:val="14"/>
            </w:pPr>
            <w:r>
              <w:t>3.07</w:t>
            </w:r>
          </w:p>
        </w:tc>
        <w:tc>
          <w:tcPr>
            <w:tcW w:w="1361" w:type="dxa"/>
            <w:vAlign w:val="center"/>
          </w:tcPr>
          <w:p>
            <w:pPr>
              <w:pStyle w:val="14"/>
            </w:pPr>
            <w:r>
              <w:t>3.07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rPr>
                <w:rFonts w:hint="eastAsia"/>
              </w:rPr>
              <w:t>住房保障支出</w:t>
            </w:r>
          </w:p>
        </w:tc>
        <w:tc>
          <w:tcPr>
            <w:tcW w:w="1361" w:type="dxa"/>
            <w:vAlign w:val="center"/>
          </w:tcPr>
          <w:p>
            <w:pPr>
              <w:pStyle w:val="14"/>
            </w:pPr>
            <w:r>
              <w:t>17.48</w:t>
            </w:r>
          </w:p>
        </w:tc>
        <w:tc>
          <w:tcPr>
            <w:tcW w:w="1361" w:type="dxa"/>
            <w:vAlign w:val="center"/>
          </w:tcPr>
          <w:p>
            <w:pPr>
              <w:pStyle w:val="14"/>
            </w:pPr>
            <w:r>
              <w:t>17.48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rPr>
                <w:rFonts w:hint="eastAsia"/>
              </w:rPr>
              <w:t>住房改革支出</w:t>
            </w:r>
          </w:p>
        </w:tc>
        <w:tc>
          <w:tcPr>
            <w:tcW w:w="1361" w:type="dxa"/>
            <w:vAlign w:val="center"/>
          </w:tcPr>
          <w:p>
            <w:pPr>
              <w:pStyle w:val="14"/>
            </w:pPr>
            <w:r>
              <w:t>17.48</w:t>
            </w:r>
          </w:p>
        </w:tc>
        <w:tc>
          <w:tcPr>
            <w:tcW w:w="1361" w:type="dxa"/>
            <w:vAlign w:val="center"/>
          </w:tcPr>
          <w:p>
            <w:pPr>
              <w:pStyle w:val="14"/>
            </w:pPr>
            <w:r>
              <w:t>17.48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rPr>
                <w:rFonts w:hint="eastAsia"/>
              </w:rPr>
              <w:t>住房公积金</w:t>
            </w:r>
          </w:p>
        </w:tc>
        <w:tc>
          <w:tcPr>
            <w:tcW w:w="1361" w:type="dxa"/>
            <w:vAlign w:val="center"/>
          </w:tcPr>
          <w:p>
            <w:pPr>
              <w:pStyle w:val="14"/>
            </w:pPr>
            <w:r>
              <w:t>17.48</w:t>
            </w:r>
          </w:p>
        </w:tc>
        <w:tc>
          <w:tcPr>
            <w:tcW w:w="1361" w:type="dxa"/>
            <w:vAlign w:val="center"/>
          </w:tcPr>
          <w:p>
            <w:pPr>
              <w:pStyle w:val="14"/>
            </w:pPr>
            <w:r>
              <w:t>17.48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w:t>
            </w:r>
            <w:r>
              <w:t xml:space="preserve">  </w:t>
            </w:r>
            <w:r>
              <w:rPr>
                <w:rFonts w:hint="eastAsia"/>
              </w:rPr>
              <w:t>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w:t>
            </w:r>
            <w:r>
              <w:t xml:space="preserve">    </w:t>
            </w:r>
            <w:r>
              <w:rPr>
                <w:rFonts w:hint="eastAsia"/>
              </w:rPr>
              <w:t>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238.41</w:t>
            </w:r>
          </w:p>
        </w:tc>
        <w:tc>
          <w:tcPr>
            <w:tcW w:w="3402" w:type="dxa"/>
            <w:vAlign w:val="center"/>
          </w:tcPr>
          <w:p>
            <w:pPr>
              <w:pStyle w:val="15"/>
            </w:pPr>
            <w:r>
              <w:rPr>
                <w:rFonts w:hint="eastAsia"/>
              </w:rPr>
              <w:t>一、一般公共服务支出</w:t>
            </w:r>
          </w:p>
        </w:tc>
        <w:tc>
          <w:tcPr>
            <w:tcW w:w="1474" w:type="dxa"/>
            <w:vAlign w:val="center"/>
          </w:tcPr>
          <w:p>
            <w:pPr>
              <w:pStyle w:val="14"/>
            </w:pPr>
            <w:r>
              <w:t>183.72</w:t>
            </w:r>
          </w:p>
        </w:tc>
        <w:tc>
          <w:tcPr>
            <w:tcW w:w="1474" w:type="dxa"/>
            <w:vAlign w:val="center"/>
          </w:tcPr>
          <w:p>
            <w:pPr>
              <w:pStyle w:val="14"/>
            </w:pPr>
            <w:r>
              <w:t>183.72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r>
              <w:t>24.31</w:t>
            </w:r>
          </w:p>
        </w:tc>
        <w:tc>
          <w:tcPr>
            <w:tcW w:w="1474" w:type="dxa"/>
            <w:vAlign w:val="center"/>
          </w:tcPr>
          <w:p>
            <w:pPr>
              <w:pStyle w:val="14"/>
            </w:pPr>
            <w:r>
              <w:t>24.31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r>
              <w:t>12.90</w:t>
            </w:r>
          </w:p>
        </w:tc>
        <w:tc>
          <w:tcPr>
            <w:tcW w:w="1474" w:type="dxa"/>
            <w:vAlign w:val="center"/>
          </w:tcPr>
          <w:p>
            <w:pPr>
              <w:pStyle w:val="14"/>
            </w:pPr>
            <w:r>
              <w:t>12.90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r>
              <w:t>17.48</w:t>
            </w:r>
          </w:p>
        </w:tc>
        <w:tc>
          <w:tcPr>
            <w:tcW w:w="1474" w:type="dxa"/>
            <w:vAlign w:val="center"/>
          </w:tcPr>
          <w:p>
            <w:pPr>
              <w:pStyle w:val="14"/>
            </w:pPr>
            <w:r>
              <w:t>17.48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rPr>
                <w:rFonts w:hint="eastAsia"/>
              </w:rPr>
              <w:t>本年收入合计</w:t>
            </w:r>
          </w:p>
        </w:tc>
        <w:tc>
          <w:tcPr>
            <w:tcW w:w="1474" w:type="dxa"/>
            <w:vAlign w:val="center"/>
          </w:tcPr>
          <w:p>
            <w:pPr>
              <w:pStyle w:val="18"/>
            </w:pPr>
            <w:r>
              <w:t>238.41</w:t>
            </w:r>
          </w:p>
        </w:tc>
        <w:tc>
          <w:tcPr>
            <w:tcW w:w="3402" w:type="dxa"/>
            <w:vAlign w:val="center"/>
          </w:tcPr>
          <w:p>
            <w:pPr>
              <w:pStyle w:val="17"/>
            </w:pPr>
            <w:r>
              <w:rPr>
                <w:rFonts w:hint="eastAsia"/>
              </w:rPr>
              <w:t>本年支出合计</w:t>
            </w:r>
          </w:p>
        </w:tc>
        <w:tc>
          <w:tcPr>
            <w:tcW w:w="1474" w:type="dxa"/>
            <w:vAlign w:val="center"/>
          </w:tcPr>
          <w:p>
            <w:pPr>
              <w:pStyle w:val="18"/>
            </w:pPr>
            <w:r>
              <w:t>238.41</w:t>
            </w:r>
          </w:p>
        </w:tc>
        <w:tc>
          <w:tcPr>
            <w:tcW w:w="1474" w:type="dxa"/>
            <w:vAlign w:val="center"/>
          </w:tcPr>
          <w:p>
            <w:pPr>
              <w:pStyle w:val="18"/>
            </w:pPr>
            <w:r>
              <w:t>238.41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年初财政拨款结转和结余</w:t>
            </w:r>
          </w:p>
        </w:tc>
        <w:tc>
          <w:tcPr>
            <w:tcW w:w="1474" w:type="dxa"/>
            <w:vAlign w:val="center"/>
          </w:tcPr>
          <w:p>
            <w:pPr>
              <w:pStyle w:val="14"/>
            </w:pP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rPr>
                <w:rFonts w:hint="eastAsia"/>
              </w:rPr>
              <w:t>收入总计</w:t>
            </w:r>
          </w:p>
        </w:tc>
        <w:tc>
          <w:tcPr>
            <w:tcW w:w="1474" w:type="dxa"/>
            <w:vAlign w:val="center"/>
          </w:tcPr>
          <w:p>
            <w:pPr>
              <w:pStyle w:val="18"/>
            </w:pPr>
            <w:r>
              <w:t>238.41</w:t>
            </w:r>
          </w:p>
        </w:tc>
        <w:tc>
          <w:tcPr>
            <w:tcW w:w="3402" w:type="dxa"/>
            <w:vAlign w:val="center"/>
          </w:tcPr>
          <w:p>
            <w:pPr>
              <w:pStyle w:val="17"/>
            </w:pPr>
            <w:r>
              <w:rPr>
                <w:rFonts w:hint="eastAsia"/>
              </w:rPr>
              <w:t>支出总计</w:t>
            </w:r>
          </w:p>
        </w:tc>
        <w:tc>
          <w:tcPr>
            <w:tcW w:w="1474" w:type="dxa"/>
            <w:vAlign w:val="center"/>
          </w:tcPr>
          <w:p>
            <w:pPr>
              <w:pStyle w:val="18"/>
            </w:pPr>
            <w:r>
              <w:t>238.41</w:t>
            </w:r>
          </w:p>
        </w:tc>
        <w:tc>
          <w:tcPr>
            <w:tcW w:w="1474" w:type="dxa"/>
            <w:vAlign w:val="center"/>
          </w:tcPr>
          <w:p>
            <w:pPr>
              <w:pStyle w:val="18"/>
            </w:pPr>
            <w:r>
              <w:t>238.41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238.41</w:t>
            </w:r>
          </w:p>
        </w:tc>
        <w:tc>
          <w:tcPr>
            <w:tcW w:w="2551" w:type="dxa"/>
            <w:vAlign w:val="center"/>
          </w:tcPr>
          <w:p>
            <w:pPr>
              <w:pStyle w:val="18"/>
            </w:pPr>
            <w:r>
              <w:t>230.41</w:t>
            </w:r>
          </w:p>
        </w:tc>
        <w:tc>
          <w:tcPr>
            <w:tcW w:w="2551" w:type="dxa"/>
            <w:vAlign w:val="center"/>
          </w:tcPr>
          <w:p>
            <w:pPr>
              <w:pStyle w:val="18"/>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rPr>
                <w:rFonts w:hint="eastAsia"/>
              </w:rPr>
              <w:t>一般公共服务支出</w:t>
            </w:r>
          </w:p>
        </w:tc>
        <w:tc>
          <w:tcPr>
            <w:tcW w:w="2551" w:type="dxa"/>
            <w:vAlign w:val="center"/>
          </w:tcPr>
          <w:p>
            <w:pPr>
              <w:pStyle w:val="14"/>
            </w:pPr>
            <w:r>
              <w:t>183.72</w:t>
            </w:r>
          </w:p>
        </w:tc>
        <w:tc>
          <w:tcPr>
            <w:tcW w:w="2551" w:type="dxa"/>
            <w:vAlign w:val="center"/>
          </w:tcPr>
          <w:p>
            <w:pPr>
              <w:pStyle w:val="14"/>
            </w:pPr>
            <w:r>
              <w:t>175.72</w:t>
            </w: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20132</w:t>
            </w:r>
          </w:p>
        </w:tc>
        <w:tc>
          <w:tcPr>
            <w:tcW w:w="4535" w:type="dxa"/>
            <w:vAlign w:val="center"/>
          </w:tcPr>
          <w:p>
            <w:pPr>
              <w:pStyle w:val="15"/>
            </w:pPr>
            <w:r>
              <w:rPr>
                <w:rFonts w:hint="eastAsia"/>
              </w:rPr>
              <w:t>组织事务</w:t>
            </w:r>
          </w:p>
        </w:tc>
        <w:tc>
          <w:tcPr>
            <w:tcW w:w="2551" w:type="dxa"/>
            <w:vAlign w:val="center"/>
          </w:tcPr>
          <w:p>
            <w:pPr>
              <w:pStyle w:val="14"/>
            </w:pPr>
            <w:r>
              <w:t>183.72</w:t>
            </w:r>
          </w:p>
        </w:tc>
        <w:tc>
          <w:tcPr>
            <w:tcW w:w="2551" w:type="dxa"/>
            <w:vAlign w:val="center"/>
          </w:tcPr>
          <w:p>
            <w:pPr>
              <w:pStyle w:val="14"/>
            </w:pPr>
            <w:r>
              <w:t>175.72</w:t>
            </w: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2013201</w:t>
            </w:r>
          </w:p>
        </w:tc>
        <w:tc>
          <w:tcPr>
            <w:tcW w:w="4535" w:type="dxa"/>
            <w:vAlign w:val="center"/>
          </w:tcPr>
          <w:p>
            <w:pPr>
              <w:pStyle w:val="15"/>
            </w:pPr>
            <w:r>
              <w:rPr>
                <w:rFonts w:hint="eastAsia"/>
              </w:rPr>
              <w:t>行政运行</w:t>
            </w:r>
          </w:p>
        </w:tc>
        <w:tc>
          <w:tcPr>
            <w:tcW w:w="2551" w:type="dxa"/>
            <w:vAlign w:val="center"/>
          </w:tcPr>
          <w:p>
            <w:pPr>
              <w:pStyle w:val="14"/>
            </w:pPr>
            <w:r>
              <w:t>175.72</w:t>
            </w:r>
          </w:p>
        </w:tc>
        <w:tc>
          <w:tcPr>
            <w:tcW w:w="2551" w:type="dxa"/>
            <w:vAlign w:val="center"/>
          </w:tcPr>
          <w:p>
            <w:pPr>
              <w:pStyle w:val="14"/>
            </w:pPr>
            <w:r>
              <w:t>175.72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2013202</w:t>
            </w:r>
          </w:p>
        </w:tc>
        <w:tc>
          <w:tcPr>
            <w:tcW w:w="4535" w:type="dxa"/>
            <w:vAlign w:val="center"/>
          </w:tcPr>
          <w:p>
            <w:pPr>
              <w:pStyle w:val="15"/>
            </w:pPr>
            <w:r>
              <w:rPr>
                <w:rFonts w:hint="eastAsia"/>
              </w:rPr>
              <w:t>一般行政管理事务</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rPr>
                <w:rFonts w:hint="eastAsia"/>
              </w:rPr>
              <w:t>社会保障和就业支出</w:t>
            </w:r>
          </w:p>
        </w:tc>
        <w:tc>
          <w:tcPr>
            <w:tcW w:w="2551" w:type="dxa"/>
            <w:vAlign w:val="center"/>
          </w:tcPr>
          <w:p>
            <w:pPr>
              <w:pStyle w:val="14"/>
            </w:pPr>
            <w:r>
              <w:t>24.31</w:t>
            </w:r>
          </w:p>
        </w:tc>
        <w:tc>
          <w:tcPr>
            <w:tcW w:w="2551" w:type="dxa"/>
            <w:vAlign w:val="center"/>
          </w:tcPr>
          <w:p>
            <w:pPr>
              <w:pStyle w:val="14"/>
            </w:pPr>
            <w:r>
              <w:t>24.31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rPr>
                <w:rFonts w:hint="eastAsia"/>
              </w:rPr>
              <w:t>行政事业单位养老支出</w:t>
            </w:r>
          </w:p>
        </w:tc>
        <w:tc>
          <w:tcPr>
            <w:tcW w:w="2551" w:type="dxa"/>
            <w:vAlign w:val="center"/>
          </w:tcPr>
          <w:p>
            <w:pPr>
              <w:pStyle w:val="14"/>
            </w:pPr>
            <w:r>
              <w:t>24.31</w:t>
            </w:r>
          </w:p>
        </w:tc>
        <w:tc>
          <w:tcPr>
            <w:tcW w:w="2551" w:type="dxa"/>
            <w:vAlign w:val="center"/>
          </w:tcPr>
          <w:p>
            <w:pPr>
              <w:pStyle w:val="14"/>
            </w:pPr>
            <w:r>
              <w:t>24.31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rPr>
                <w:rFonts w:hint="eastAsia"/>
              </w:rPr>
              <w:t>行政单位离退休</w:t>
            </w:r>
          </w:p>
        </w:tc>
        <w:tc>
          <w:tcPr>
            <w:tcW w:w="2551" w:type="dxa"/>
            <w:vAlign w:val="center"/>
          </w:tcPr>
          <w:p>
            <w:pPr>
              <w:pStyle w:val="14"/>
            </w:pPr>
            <w:r>
              <w:t>1.59</w:t>
            </w:r>
          </w:p>
        </w:tc>
        <w:tc>
          <w:tcPr>
            <w:tcW w:w="2551" w:type="dxa"/>
            <w:vAlign w:val="center"/>
          </w:tcPr>
          <w:p>
            <w:pPr>
              <w:pStyle w:val="14"/>
            </w:pPr>
            <w:r>
              <w:t>1.59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rPr>
                <w:rFonts w:hint="eastAsia"/>
              </w:rPr>
              <w:t>机关事业单位基本养老保险缴费支出</w:t>
            </w:r>
          </w:p>
        </w:tc>
        <w:tc>
          <w:tcPr>
            <w:tcW w:w="2551" w:type="dxa"/>
            <w:vAlign w:val="center"/>
          </w:tcPr>
          <w:p>
            <w:pPr>
              <w:pStyle w:val="14"/>
            </w:pPr>
            <w:r>
              <w:t>22.72</w:t>
            </w:r>
          </w:p>
        </w:tc>
        <w:tc>
          <w:tcPr>
            <w:tcW w:w="2551" w:type="dxa"/>
            <w:vAlign w:val="center"/>
          </w:tcPr>
          <w:p>
            <w:pPr>
              <w:pStyle w:val="14"/>
            </w:pPr>
            <w:r>
              <w:t>22.72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rPr>
                <w:rFonts w:hint="eastAsia"/>
              </w:rPr>
              <w:t>卫生健康支出</w:t>
            </w:r>
          </w:p>
        </w:tc>
        <w:tc>
          <w:tcPr>
            <w:tcW w:w="2551" w:type="dxa"/>
            <w:vAlign w:val="center"/>
          </w:tcPr>
          <w:p>
            <w:pPr>
              <w:pStyle w:val="14"/>
            </w:pPr>
            <w:r>
              <w:t>12.90</w:t>
            </w:r>
          </w:p>
        </w:tc>
        <w:tc>
          <w:tcPr>
            <w:tcW w:w="2551" w:type="dxa"/>
            <w:vAlign w:val="center"/>
          </w:tcPr>
          <w:p>
            <w:pPr>
              <w:pStyle w:val="14"/>
            </w:pPr>
            <w:r>
              <w:t>12.90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rPr>
                <w:rFonts w:hint="eastAsia"/>
              </w:rPr>
              <w:t>行政事业单位医疗</w:t>
            </w:r>
          </w:p>
        </w:tc>
        <w:tc>
          <w:tcPr>
            <w:tcW w:w="2551" w:type="dxa"/>
            <w:vAlign w:val="center"/>
          </w:tcPr>
          <w:p>
            <w:pPr>
              <w:pStyle w:val="14"/>
            </w:pPr>
            <w:r>
              <w:t>12.90</w:t>
            </w:r>
          </w:p>
        </w:tc>
        <w:tc>
          <w:tcPr>
            <w:tcW w:w="2551" w:type="dxa"/>
            <w:vAlign w:val="center"/>
          </w:tcPr>
          <w:p>
            <w:pPr>
              <w:pStyle w:val="14"/>
            </w:pPr>
            <w:r>
              <w:t>12.90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rPr>
                <w:rFonts w:hint="eastAsia"/>
              </w:rPr>
              <w:t>行政单位医疗</w:t>
            </w:r>
          </w:p>
        </w:tc>
        <w:tc>
          <w:tcPr>
            <w:tcW w:w="2551" w:type="dxa"/>
            <w:vAlign w:val="center"/>
          </w:tcPr>
          <w:p>
            <w:pPr>
              <w:pStyle w:val="14"/>
            </w:pPr>
            <w:r>
              <w:t>9.83</w:t>
            </w:r>
          </w:p>
        </w:tc>
        <w:tc>
          <w:tcPr>
            <w:tcW w:w="2551" w:type="dxa"/>
            <w:vAlign w:val="center"/>
          </w:tcPr>
          <w:p>
            <w:pPr>
              <w:pStyle w:val="14"/>
            </w:pPr>
            <w:r>
              <w:t>9.83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rPr>
                <w:rFonts w:hint="eastAsia"/>
              </w:rPr>
              <w:t>公务员医疗补助</w:t>
            </w:r>
          </w:p>
        </w:tc>
        <w:tc>
          <w:tcPr>
            <w:tcW w:w="2551" w:type="dxa"/>
            <w:vAlign w:val="center"/>
          </w:tcPr>
          <w:p>
            <w:pPr>
              <w:pStyle w:val="14"/>
            </w:pPr>
            <w:r>
              <w:t>3.07</w:t>
            </w:r>
          </w:p>
        </w:tc>
        <w:tc>
          <w:tcPr>
            <w:tcW w:w="2551" w:type="dxa"/>
            <w:vAlign w:val="center"/>
          </w:tcPr>
          <w:p>
            <w:pPr>
              <w:pStyle w:val="14"/>
            </w:pPr>
            <w:r>
              <w:t>3.07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rPr>
                <w:rFonts w:hint="eastAsia"/>
              </w:rPr>
              <w:t>住房保障支出</w:t>
            </w:r>
          </w:p>
        </w:tc>
        <w:tc>
          <w:tcPr>
            <w:tcW w:w="2551" w:type="dxa"/>
            <w:vAlign w:val="center"/>
          </w:tcPr>
          <w:p>
            <w:pPr>
              <w:pStyle w:val="14"/>
            </w:pPr>
            <w:r>
              <w:t>17.48</w:t>
            </w:r>
          </w:p>
        </w:tc>
        <w:tc>
          <w:tcPr>
            <w:tcW w:w="2551" w:type="dxa"/>
            <w:vAlign w:val="center"/>
          </w:tcPr>
          <w:p>
            <w:pPr>
              <w:pStyle w:val="14"/>
            </w:pPr>
            <w:r>
              <w:t>17.48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rPr>
                <w:rFonts w:hint="eastAsia"/>
              </w:rPr>
              <w:t>住房改革支出</w:t>
            </w:r>
          </w:p>
        </w:tc>
        <w:tc>
          <w:tcPr>
            <w:tcW w:w="2551" w:type="dxa"/>
            <w:vAlign w:val="center"/>
          </w:tcPr>
          <w:p>
            <w:pPr>
              <w:pStyle w:val="14"/>
            </w:pPr>
            <w:r>
              <w:t>17.48</w:t>
            </w:r>
          </w:p>
        </w:tc>
        <w:tc>
          <w:tcPr>
            <w:tcW w:w="2551" w:type="dxa"/>
            <w:vAlign w:val="center"/>
          </w:tcPr>
          <w:p>
            <w:pPr>
              <w:pStyle w:val="14"/>
            </w:pPr>
            <w:r>
              <w:t>17.48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rPr>
                <w:rFonts w:hint="eastAsia"/>
              </w:rPr>
              <w:t>住房公积金</w:t>
            </w:r>
          </w:p>
        </w:tc>
        <w:tc>
          <w:tcPr>
            <w:tcW w:w="2551" w:type="dxa"/>
            <w:vAlign w:val="center"/>
          </w:tcPr>
          <w:p>
            <w:pPr>
              <w:pStyle w:val="14"/>
            </w:pPr>
            <w:r>
              <w:t>17.48</w:t>
            </w:r>
          </w:p>
        </w:tc>
        <w:tc>
          <w:tcPr>
            <w:tcW w:w="2551" w:type="dxa"/>
            <w:vAlign w:val="center"/>
          </w:tcPr>
          <w:p>
            <w:pPr>
              <w:pStyle w:val="14"/>
            </w:pPr>
            <w:r>
              <w:t>17.48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1"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230.41</w:t>
            </w:r>
          </w:p>
        </w:tc>
        <w:tc>
          <w:tcPr>
            <w:tcW w:w="2551" w:type="dxa"/>
            <w:vAlign w:val="center"/>
          </w:tcPr>
          <w:p>
            <w:pPr>
              <w:pStyle w:val="18"/>
            </w:pPr>
            <w:r>
              <w:t>212.34</w:t>
            </w:r>
          </w:p>
        </w:tc>
        <w:tc>
          <w:tcPr>
            <w:tcW w:w="2551" w:type="dxa"/>
            <w:vAlign w:val="center"/>
          </w:tcPr>
          <w:p>
            <w:pPr>
              <w:pStyle w:val="18"/>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210.58</w:t>
            </w:r>
          </w:p>
        </w:tc>
        <w:tc>
          <w:tcPr>
            <w:tcW w:w="2551" w:type="dxa"/>
            <w:vAlign w:val="center"/>
          </w:tcPr>
          <w:p>
            <w:pPr>
              <w:pStyle w:val="14"/>
            </w:pPr>
            <w:r>
              <w:t>210.58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70.97</w:t>
            </w:r>
          </w:p>
        </w:tc>
        <w:tc>
          <w:tcPr>
            <w:tcW w:w="2551" w:type="dxa"/>
            <w:vAlign w:val="center"/>
          </w:tcPr>
          <w:p>
            <w:pPr>
              <w:pStyle w:val="14"/>
            </w:pPr>
            <w:r>
              <w:t>70.97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55.37</w:t>
            </w:r>
          </w:p>
        </w:tc>
        <w:tc>
          <w:tcPr>
            <w:tcW w:w="2551" w:type="dxa"/>
            <w:vAlign w:val="center"/>
          </w:tcPr>
          <w:p>
            <w:pPr>
              <w:pStyle w:val="14"/>
            </w:pPr>
            <w:r>
              <w:t>55.37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13.74</w:t>
            </w:r>
          </w:p>
        </w:tc>
        <w:tc>
          <w:tcPr>
            <w:tcW w:w="2551" w:type="dxa"/>
            <w:vAlign w:val="center"/>
          </w:tcPr>
          <w:p>
            <w:pPr>
              <w:pStyle w:val="14"/>
            </w:pPr>
            <w:r>
              <w:t>13.74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16.49</w:t>
            </w:r>
          </w:p>
        </w:tc>
        <w:tc>
          <w:tcPr>
            <w:tcW w:w="2551" w:type="dxa"/>
            <w:vAlign w:val="center"/>
          </w:tcPr>
          <w:p>
            <w:pPr>
              <w:pStyle w:val="14"/>
            </w:pPr>
            <w:r>
              <w:t>16.49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22.72</w:t>
            </w:r>
          </w:p>
        </w:tc>
        <w:tc>
          <w:tcPr>
            <w:tcW w:w="2551" w:type="dxa"/>
            <w:vAlign w:val="center"/>
          </w:tcPr>
          <w:p>
            <w:pPr>
              <w:pStyle w:val="14"/>
            </w:pPr>
            <w:r>
              <w:t>22.72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9.83</w:t>
            </w:r>
          </w:p>
        </w:tc>
        <w:tc>
          <w:tcPr>
            <w:tcW w:w="2551" w:type="dxa"/>
            <w:vAlign w:val="center"/>
          </w:tcPr>
          <w:p>
            <w:pPr>
              <w:pStyle w:val="14"/>
            </w:pPr>
            <w:r>
              <w:t>9.83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rPr>
                <w:rFonts w:hint="eastAsia"/>
              </w:rPr>
              <w:t>公务员医疗补助缴费</w:t>
            </w:r>
          </w:p>
        </w:tc>
        <w:tc>
          <w:tcPr>
            <w:tcW w:w="2551" w:type="dxa"/>
            <w:vAlign w:val="center"/>
          </w:tcPr>
          <w:p>
            <w:pPr>
              <w:pStyle w:val="14"/>
            </w:pPr>
            <w:r>
              <w:t>3.07</w:t>
            </w:r>
          </w:p>
        </w:tc>
        <w:tc>
          <w:tcPr>
            <w:tcW w:w="2551" w:type="dxa"/>
            <w:vAlign w:val="center"/>
          </w:tcPr>
          <w:p>
            <w:pPr>
              <w:pStyle w:val="14"/>
            </w:pPr>
            <w:r>
              <w:t>3.07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0.91</w:t>
            </w:r>
          </w:p>
        </w:tc>
        <w:tc>
          <w:tcPr>
            <w:tcW w:w="2551" w:type="dxa"/>
            <w:vAlign w:val="center"/>
          </w:tcPr>
          <w:p>
            <w:pPr>
              <w:pStyle w:val="14"/>
            </w:pPr>
            <w:r>
              <w:t>0.91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17.48</w:t>
            </w:r>
          </w:p>
        </w:tc>
        <w:tc>
          <w:tcPr>
            <w:tcW w:w="2551" w:type="dxa"/>
            <w:vAlign w:val="center"/>
          </w:tcPr>
          <w:p>
            <w:pPr>
              <w:pStyle w:val="14"/>
            </w:pPr>
            <w:r>
              <w:t>17.48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18.07</w:t>
            </w:r>
          </w:p>
        </w:tc>
        <w:tc>
          <w:tcPr>
            <w:tcW w:w="2551" w:type="dxa"/>
            <w:vAlign w:val="center"/>
          </w:tcPr>
          <w:p>
            <w:pPr>
              <w:pStyle w:val="14"/>
            </w:pPr>
          </w:p>
        </w:tc>
        <w:tc>
          <w:tcPr>
            <w:tcW w:w="2551" w:type="dxa"/>
            <w:vAlign w:val="center"/>
          </w:tcPr>
          <w:p>
            <w:pPr>
              <w:pStyle w:val="14"/>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2.39</w:t>
            </w:r>
          </w:p>
        </w:tc>
        <w:tc>
          <w:tcPr>
            <w:tcW w:w="2551" w:type="dxa"/>
            <w:vAlign w:val="center"/>
          </w:tcPr>
          <w:p>
            <w:pPr>
              <w:pStyle w:val="14"/>
            </w:pPr>
          </w:p>
        </w:tc>
        <w:tc>
          <w:tcPr>
            <w:tcW w:w="2551" w:type="dxa"/>
            <w:vAlign w:val="center"/>
          </w:tcPr>
          <w:p>
            <w:pPr>
              <w:pStyle w:val="14"/>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rPr>
                <w:rFonts w:hint="eastAsia"/>
              </w:rPr>
              <w:t>邮电费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rPr>
                <w:rFonts w:hint="eastAsia"/>
              </w:rPr>
              <w:t>差旅费</w:t>
            </w:r>
          </w:p>
        </w:tc>
        <w:tc>
          <w:tcPr>
            <w:tcW w:w="2551" w:type="dxa"/>
            <w:vAlign w:val="center"/>
          </w:tcPr>
          <w:p>
            <w:pPr>
              <w:pStyle w:val="14"/>
            </w:pPr>
            <w:r>
              <w:t>0.28</w:t>
            </w:r>
          </w:p>
        </w:tc>
        <w:tc>
          <w:tcPr>
            <w:tcW w:w="2551" w:type="dxa"/>
            <w:vAlign w:val="center"/>
          </w:tcPr>
          <w:p>
            <w:pPr>
              <w:pStyle w:val="14"/>
            </w:pPr>
          </w:p>
        </w:tc>
        <w:tc>
          <w:tcPr>
            <w:tcW w:w="2551" w:type="dxa"/>
            <w:vAlign w:val="center"/>
          </w:tcPr>
          <w:p>
            <w:pPr>
              <w:pStyle w:val="14"/>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30213</w:t>
            </w:r>
          </w:p>
        </w:tc>
        <w:tc>
          <w:tcPr>
            <w:tcW w:w="4535" w:type="dxa"/>
            <w:vAlign w:val="center"/>
          </w:tcPr>
          <w:p>
            <w:pPr>
              <w:pStyle w:val="15"/>
            </w:pPr>
            <w:r>
              <w:rPr>
                <w:rFonts w:hint="eastAsia"/>
              </w:rPr>
              <w:t>维修</w:t>
            </w:r>
            <w:r>
              <w:t>(</w:t>
            </w:r>
            <w:r>
              <w:rPr>
                <w:rFonts w:hint="eastAsia"/>
              </w:rPr>
              <w:t>护</w:t>
            </w:r>
            <w:r>
              <w:t>)</w:t>
            </w:r>
            <w:r>
              <w:rPr>
                <w:rFonts w:hint="eastAsia"/>
              </w:rPr>
              <w:t>费</w:t>
            </w:r>
          </w:p>
        </w:tc>
        <w:tc>
          <w:tcPr>
            <w:tcW w:w="2551" w:type="dxa"/>
            <w:vAlign w:val="center"/>
          </w:tcPr>
          <w:p>
            <w:pPr>
              <w:pStyle w:val="14"/>
            </w:pPr>
            <w:r>
              <w:t>0.15</w:t>
            </w:r>
          </w:p>
        </w:tc>
        <w:tc>
          <w:tcPr>
            <w:tcW w:w="2551" w:type="dxa"/>
            <w:vAlign w:val="center"/>
          </w:tcPr>
          <w:p>
            <w:pPr>
              <w:pStyle w:val="14"/>
            </w:pPr>
          </w:p>
        </w:tc>
        <w:tc>
          <w:tcPr>
            <w:tcW w:w="2551" w:type="dxa"/>
            <w:vAlign w:val="center"/>
          </w:tcPr>
          <w:p>
            <w:pPr>
              <w:pStyle w:val="14"/>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rPr>
                <w:rFonts w:hint="eastAsia"/>
              </w:rPr>
              <w:t>工会经费</w:t>
            </w:r>
          </w:p>
        </w:tc>
        <w:tc>
          <w:tcPr>
            <w:tcW w:w="2551" w:type="dxa"/>
            <w:vAlign w:val="center"/>
          </w:tcPr>
          <w:p>
            <w:pPr>
              <w:pStyle w:val="14"/>
            </w:pPr>
            <w:r>
              <w:t>2.68</w:t>
            </w:r>
          </w:p>
        </w:tc>
        <w:tc>
          <w:tcPr>
            <w:tcW w:w="2551" w:type="dxa"/>
            <w:vAlign w:val="center"/>
          </w:tcPr>
          <w:p>
            <w:pPr>
              <w:pStyle w:val="14"/>
            </w:pPr>
          </w:p>
        </w:tc>
        <w:tc>
          <w:tcPr>
            <w:tcW w:w="2551" w:type="dxa"/>
            <w:vAlign w:val="center"/>
          </w:tcPr>
          <w:p>
            <w:pPr>
              <w:pStyle w:val="14"/>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rPr>
                <w:rFonts w:hint="eastAsia"/>
              </w:rPr>
              <w:t>福利费</w:t>
            </w:r>
          </w:p>
        </w:tc>
        <w:tc>
          <w:tcPr>
            <w:tcW w:w="2551" w:type="dxa"/>
            <w:vAlign w:val="center"/>
          </w:tcPr>
          <w:p>
            <w:pPr>
              <w:pStyle w:val="14"/>
            </w:pPr>
            <w:r>
              <w:t>1.77</w:t>
            </w:r>
          </w:p>
        </w:tc>
        <w:tc>
          <w:tcPr>
            <w:tcW w:w="2551" w:type="dxa"/>
            <w:vAlign w:val="center"/>
          </w:tcPr>
          <w:p>
            <w:pPr>
              <w:pStyle w:val="14"/>
            </w:pPr>
          </w:p>
        </w:tc>
        <w:tc>
          <w:tcPr>
            <w:tcW w:w="2551" w:type="dxa"/>
            <w:vAlign w:val="center"/>
          </w:tcPr>
          <w:p>
            <w:pPr>
              <w:pStyle w:val="14"/>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8.88</w:t>
            </w:r>
          </w:p>
        </w:tc>
        <w:tc>
          <w:tcPr>
            <w:tcW w:w="2551" w:type="dxa"/>
            <w:vAlign w:val="center"/>
          </w:tcPr>
          <w:p>
            <w:pPr>
              <w:pStyle w:val="14"/>
            </w:pPr>
          </w:p>
        </w:tc>
        <w:tc>
          <w:tcPr>
            <w:tcW w:w="2551" w:type="dxa"/>
            <w:vAlign w:val="center"/>
          </w:tcPr>
          <w:p>
            <w:pPr>
              <w:pStyle w:val="14"/>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rPr>
                <w:rFonts w:hint="eastAsia"/>
              </w:rPr>
              <w:t>其他商品和服务支出</w:t>
            </w:r>
          </w:p>
        </w:tc>
        <w:tc>
          <w:tcPr>
            <w:tcW w:w="2551" w:type="dxa"/>
            <w:vAlign w:val="center"/>
          </w:tcPr>
          <w:p>
            <w:pPr>
              <w:pStyle w:val="14"/>
            </w:pPr>
            <w:r>
              <w:t>0.42</w:t>
            </w:r>
          </w:p>
        </w:tc>
        <w:tc>
          <w:tcPr>
            <w:tcW w:w="2551" w:type="dxa"/>
            <w:vAlign w:val="center"/>
          </w:tcPr>
          <w:p>
            <w:pPr>
              <w:pStyle w:val="14"/>
            </w:pPr>
          </w:p>
        </w:tc>
        <w:tc>
          <w:tcPr>
            <w:tcW w:w="2551" w:type="dxa"/>
            <w:vAlign w:val="center"/>
          </w:tcPr>
          <w:p>
            <w:pPr>
              <w:pStyle w:val="14"/>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1.76</w:t>
            </w:r>
          </w:p>
        </w:tc>
        <w:tc>
          <w:tcPr>
            <w:tcW w:w="2551" w:type="dxa"/>
            <w:vAlign w:val="center"/>
          </w:tcPr>
          <w:p>
            <w:pPr>
              <w:pStyle w:val="14"/>
            </w:pPr>
            <w:r>
              <w:t>1.76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rPr>
                <w:rFonts w:hint="eastAsia"/>
              </w:rPr>
              <w:t>退休费</w:t>
            </w:r>
          </w:p>
        </w:tc>
        <w:tc>
          <w:tcPr>
            <w:tcW w:w="2551" w:type="dxa"/>
            <w:vAlign w:val="center"/>
          </w:tcPr>
          <w:p>
            <w:pPr>
              <w:pStyle w:val="14"/>
            </w:pPr>
            <w:r>
              <w:t>1.40</w:t>
            </w:r>
          </w:p>
        </w:tc>
        <w:tc>
          <w:tcPr>
            <w:tcW w:w="2551" w:type="dxa"/>
            <w:vAlign w:val="center"/>
          </w:tcPr>
          <w:p>
            <w:pPr>
              <w:pStyle w:val="14"/>
            </w:pPr>
            <w:r>
              <w:t>1.40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rPr>
                <w:rFonts w:hint="eastAsia"/>
              </w:rPr>
              <w:t>奖励金</w:t>
            </w:r>
          </w:p>
        </w:tc>
        <w:tc>
          <w:tcPr>
            <w:tcW w:w="2551" w:type="dxa"/>
            <w:vAlign w:val="center"/>
          </w:tcPr>
          <w:p>
            <w:pPr>
              <w:pStyle w:val="14"/>
            </w:pPr>
            <w:r>
              <w:t>0.04</w:t>
            </w:r>
          </w:p>
        </w:tc>
        <w:tc>
          <w:tcPr>
            <w:tcW w:w="2551" w:type="dxa"/>
            <w:vAlign w:val="center"/>
          </w:tcPr>
          <w:p>
            <w:pPr>
              <w:pStyle w:val="14"/>
            </w:pPr>
            <w:r>
              <w:t>0.04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30399</w:t>
            </w:r>
          </w:p>
        </w:tc>
        <w:tc>
          <w:tcPr>
            <w:tcW w:w="4535" w:type="dxa"/>
            <w:vAlign w:val="center"/>
          </w:tcPr>
          <w:p>
            <w:pPr>
              <w:pStyle w:val="15"/>
            </w:pPr>
            <w:r>
              <w:rPr>
                <w:rFonts w:hint="eastAsia"/>
              </w:rPr>
              <w:t>其他对个人和家庭的补助</w:t>
            </w:r>
          </w:p>
        </w:tc>
        <w:tc>
          <w:tcPr>
            <w:tcW w:w="2551" w:type="dxa"/>
            <w:vAlign w:val="center"/>
          </w:tcPr>
          <w:p>
            <w:pPr>
              <w:pStyle w:val="14"/>
            </w:pPr>
            <w:r>
              <w:t>0.32</w:t>
            </w:r>
          </w:p>
        </w:tc>
        <w:tc>
          <w:tcPr>
            <w:tcW w:w="2551" w:type="dxa"/>
            <w:vAlign w:val="center"/>
          </w:tcPr>
          <w:p>
            <w:pPr>
              <w:pStyle w:val="14"/>
            </w:pPr>
            <w:r>
              <w:t>0.32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w:t>
            </w:r>
            <w:r>
              <w:t xml:space="preserve">  </w:t>
            </w:r>
            <w:r>
              <w:rPr>
                <w:rFonts w:hint="eastAsia"/>
              </w:rPr>
              <w:t>目</w:t>
            </w:r>
          </w:p>
        </w:tc>
        <w:tc>
          <w:tcPr>
            <w:tcW w:w="9524" w:type="dxa"/>
            <w:gridSpan w:val="4"/>
            <w:vAlign w:val="center"/>
          </w:tcPr>
          <w:p>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rPr>
                <w:rFonts w:hint="eastAsia"/>
              </w:rPr>
              <w:t>合计</w:t>
            </w:r>
          </w:p>
        </w:tc>
        <w:tc>
          <w:tcPr>
            <w:tcW w:w="2381" w:type="dxa"/>
            <w:vAlign w:val="center"/>
          </w:tcPr>
          <w:p>
            <w:pPr>
              <w:pStyle w:val="13"/>
            </w:pPr>
            <w:r>
              <w:rPr>
                <w:rFonts w:hint="eastAsia"/>
              </w:rPr>
              <w:t>一般公共预算</w:t>
            </w:r>
            <w:r>
              <w:t xml:space="preserve">              </w:t>
            </w:r>
            <w:r>
              <w:rPr>
                <w:rFonts w:hint="eastAsia"/>
              </w:rPr>
              <w:t>财政拨款</w:t>
            </w:r>
          </w:p>
        </w:tc>
        <w:tc>
          <w:tcPr>
            <w:tcW w:w="2381" w:type="dxa"/>
            <w:vAlign w:val="center"/>
          </w:tcPr>
          <w:p>
            <w:pPr>
              <w:pStyle w:val="13"/>
            </w:pPr>
            <w:r>
              <w:rPr>
                <w:rFonts w:hint="eastAsia"/>
              </w:rPr>
              <w:t>政府性基金</w:t>
            </w:r>
            <w:r>
              <w:t xml:space="preserve">                  </w:t>
            </w:r>
            <w:r>
              <w:rPr>
                <w:rFonts w:hint="eastAsia"/>
              </w:rPr>
              <w:t>预算拨款</w:t>
            </w:r>
          </w:p>
        </w:tc>
        <w:tc>
          <w:tcPr>
            <w:tcW w:w="2381" w:type="dxa"/>
            <w:vAlign w:val="center"/>
          </w:tcPr>
          <w:p>
            <w:pPr>
              <w:pStyle w:val="13"/>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编委部门</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编委部门</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按照《中华人民共和国预算法》、《地方预决算公开操作规程》和《关于进一步推进预算公开工作的实施意见》规定，现将编委部门</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pStyle w:val="3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部门职责：</w:t>
      </w:r>
    </w:p>
    <w:p>
      <w:pPr>
        <w:pStyle w:val="30"/>
      </w:pPr>
      <w:r>
        <w:rPr>
          <w:rFonts w:hint="eastAsia"/>
          <w:lang w:eastAsia="zh-CN"/>
        </w:rPr>
        <w:t>部门</w:t>
      </w:r>
      <w:r>
        <w:t>职责：</w:t>
      </w:r>
    </w:p>
    <w:p>
      <w:pPr>
        <w:pStyle w:val="30"/>
      </w:pPr>
      <w:r>
        <w:t>（一）贯彻落实党中央、省、市委和区委关于行政管理体制和机构改革以及机构编制管理的政策法规，组织拟订相关政策性文件并监督实施。管理和指导全区各级党委、人大、政府、政协、监察委、各民主党派、人民团体机关以及全区事业单位的机构编制工作。</w:t>
      </w:r>
    </w:p>
    <w:p>
      <w:pPr>
        <w:pStyle w:val="30"/>
      </w:pPr>
      <w:r>
        <w:t>（二）组织拟订全区行政管理体制改革和区委、区政府机构改革方案并组织实施。负责全区行政管理体制和机构改革以及机构编制管理工作。负责行政执法体制改革工作。</w:t>
      </w:r>
    </w:p>
    <w:p>
      <w:pPr>
        <w:pStyle w:val="30"/>
      </w:pPr>
      <w:r>
        <w:t>（三）协调区委、区政府各部门的职能配置及其调整。协调区委、区政府部门之间以及区直部门之间的职责分工。</w:t>
      </w:r>
    </w:p>
    <w:p>
      <w:pPr>
        <w:pStyle w:val="30"/>
      </w:pPr>
      <w:r>
        <w:t>（四）审核或审批区委、区政府各部门以及相关部门派出机构的职能配置、机构设置、人员编制和领导职数。审核区人大、区政协、区监察委和区级各民主党派、人民团体机关的职能配置、机构设置、人员编制和领导职数。</w:t>
      </w:r>
    </w:p>
    <w:p>
      <w:pPr>
        <w:pStyle w:val="30"/>
      </w:pPr>
      <w:r>
        <w:t>（五）审核全区党委、政府股级机构设置和调整事宜。指导区人大、政协、监察委和各民主党派、人民团体机关副科级以上机构设置和调整事宜。审核机构编制分类。负责需要承办的上级垂直管理部门或双重管理部门（单位）机构编制有关事宜。</w:t>
      </w:r>
    </w:p>
    <w:p>
      <w:pPr>
        <w:pStyle w:val="30"/>
      </w:pPr>
      <w:r>
        <w:t>（六）组织拟订全区事业单位管理体制和机构改革方案。负责推进事业单位机构编制标准体系建设。审核区委、区政府直属事业单位和区直部门所属事业单位的机构编制事宜。指导全区事业单位管理体制改革和机构编制管理工作。审核全区事业单位的机构编制事宜。审批全区各部门、各单位编制使用、内设机构、职能调整等事宜。负责全区党政群机关统一社会信用代码赋码管理工作，负责全区事业单位法人登记管理和监督检查工作。</w:t>
      </w:r>
    </w:p>
    <w:p>
      <w:pPr>
        <w:pStyle w:val="30"/>
      </w:pPr>
      <w:r>
        <w:t>（七）指导开发区行政管理体制改革工作。审核开发区职能配置、机构设置、人员编制和领导职数。</w:t>
      </w:r>
    </w:p>
    <w:p>
      <w:pPr>
        <w:pStyle w:val="30"/>
      </w:pPr>
      <w:r>
        <w:t>（八）负责全区机构编制的总量控制和动态管理。会同有关部门负责机构编制实名制工作。负责区直各部门和事业单位编制使用核准。建立健全机构编制部门与有关部门间的协调配合约束机制。</w:t>
      </w:r>
    </w:p>
    <w:p>
      <w:pPr>
        <w:pStyle w:val="30"/>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30"/>
      </w:pPr>
      <w:r>
        <w:t xml:space="preserve">（十）负责全区机构编制电子政务和信息化工作。负责全区机构编制统计工作。负责机构编制网站的建设管理工作。指导全区党政群机关、事业单位和其他非营利性单位网上名称管理工作。   </w:t>
      </w:r>
    </w:p>
    <w:p>
      <w:pPr>
        <w:pStyle w:val="30"/>
      </w:pPr>
      <w:r>
        <w:t>（十一）组织开展行政体制改革及机构编制管理创新基础性和前瞻性研究。</w:t>
      </w:r>
    </w:p>
    <w:p>
      <w:pPr>
        <w:pStyle w:val="30"/>
      </w:pPr>
      <w:r>
        <w:t>（十二）完成区委、区政府和区委机构编制委员会交办的其他任务。</w:t>
      </w:r>
    </w:p>
    <w:p>
      <w:pPr>
        <w:ind w:firstLine="640"/>
      </w:pPr>
    </w:p>
    <w:p>
      <w:pPr>
        <w:pStyle w:val="20"/>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编委部门中共秦皇岛市山海关区委机构编制委员会办公室本级</w:t>
            </w:r>
          </w:p>
        </w:tc>
        <w:tc>
          <w:tcPr>
            <w:tcW w:w="1843" w:type="dxa"/>
            <w:vAlign w:val="center"/>
          </w:tcPr>
          <w:p>
            <w:pPr>
              <w:pStyle w:val="16"/>
            </w:pPr>
            <w:r>
              <w:rPr>
                <w:rFonts w:hint="eastAsia"/>
              </w:rPr>
              <w:t>行政</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31"/>
      </w:pPr>
      <w:r>
        <w:t>1</w:t>
      </w:r>
      <w:r>
        <w:rPr>
          <w:rFonts w:hint="eastAsia"/>
        </w:rPr>
        <w:t>、收入说明</w:t>
      </w:r>
    </w:p>
    <w:p>
      <w:pPr>
        <w:pStyle w:val="31"/>
      </w:pPr>
      <w:r>
        <w:rPr>
          <w:rFonts w:hint="eastAsia"/>
        </w:rPr>
        <w:t>反映本单位当年全部收入。</w:t>
      </w:r>
      <w:r>
        <w:t>202</w:t>
      </w:r>
      <w:r>
        <w:rPr>
          <w:rFonts w:hint="eastAsia"/>
          <w:lang w:val="en-US" w:eastAsia="zh-CN"/>
        </w:rPr>
        <w:t>4</w:t>
      </w:r>
      <w:r>
        <w:rPr>
          <w:rFonts w:hint="eastAsia"/>
        </w:rPr>
        <w:t>年预算收入为</w:t>
      </w:r>
      <w:r>
        <w:t>2</w:t>
      </w:r>
      <w:r>
        <w:rPr>
          <w:rFonts w:hint="eastAsia"/>
          <w:lang w:val="en-US" w:eastAsia="zh-CN"/>
        </w:rPr>
        <w:t>38.41</w:t>
      </w:r>
      <w:r>
        <w:rPr>
          <w:rFonts w:hint="eastAsia"/>
        </w:rPr>
        <w:t>万元，其中：一般公共预算收入</w:t>
      </w:r>
      <w:r>
        <w:t>2</w:t>
      </w:r>
      <w:r>
        <w:rPr>
          <w:rFonts w:hint="eastAsia"/>
          <w:lang w:val="en-US" w:eastAsia="zh-CN"/>
        </w:rPr>
        <w:t>38.41</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w:t>
      </w:r>
    </w:p>
    <w:p>
      <w:pPr>
        <w:pStyle w:val="31"/>
      </w:pPr>
      <w:r>
        <w:t>2</w:t>
      </w:r>
      <w:r>
        <w:rPr>
          <w:rFonts w:hint="eastAsia"/>
        </w:rPr>
        <w:t>、支出说明</w:t>
      </w:r>
    </w:p>
    <w:p>
      <w:pPr>
        <w:pStyle w:val="31"/>
      </w:pPr>
      <w:r>
        <w:rPr>
          <w:rFonts w:hint="eastAsia"/>
        </w:rPr>
        <w:t>收支预算总表支出栏、基本支出表、项目支出表按经济分类和支出功能分类科目编制，反映山海关区机构编制委员会办公室</w:t>
      </w:r>
      <w:r>
        <w:t>202</w:t>
      </w:r>
      <w:r>
        <w:rPr>
          <w:rFonts w:hint="eastAsia"/>
          <w:lang w:val="en-US" w:eastAsia="zh-CN"/>
        </w:rPr>
        <w:t>4</w:t>
      </w:r>
      <w:r>
        <w:rPr>
          <w:rFonts w:hint="eastAsia"/>
        </w:rPr>
        <w:t>年度单位预算中支出预算的总体情况。</w:t>
      </w:r>
      <w:r>
        <w:t>202</w:t>
      </w:r>
      <w:r>
        <w:rPr>
          <w:rFonts w:hint="eastAsia"/>
          <w:lang w:val="en-US" w:eastAsia="zh-CN"/>
        </w:rPr>
        <w:t>4</w:t>
      </w:r>
      <w:r>
        <w:rPr>
          <w:rFonts w:hint="eastAsia"/>
        </w:rPr>
        <w:t>年预算支出为</w:t>
      </w:r>
      <w:r>
        <w:t>2</w:t>
      </w:r>
      <w:r>
        <w:rPr>
          <w:rFonts w:hint="eastAsia"/>
          <w:lang w:val="en-US" w:eastAsia="zh-CN"/>
        </w:rPr>
        <w:t>38.41</w:t>
      </w:r>
      <w:r>
        <w:rPr>
          <w:rFonts w:hint="eastAsia"/>
        </w:rPr>
        <w:t>万元，其中：基本支出230.41万元，主要是人员经费212.34万元和日常公用经费</w:t>
      </w:r>
      <w:r>
        <w:t>1</w:t>
      </w:r>
      <w:r>
        <w:rPr>
          <w:rFonts w:hint="eastAsia"/>
          <w:lang w:val="en-US" w:eastAsia="zh-CN"/>
        </w:rPr>
        <w:t>8.07</w:t>
      </w:r>
      <w:r>
        <w:rPr>
          <w:rFonts w:hint="eastAsia"/>
        </w:rPr>
        <w:t>万元；项目支出</w:t>
      </w:r>
      <w:r>
        <w:rPr>
          <w:rFonts w:hint="eastAsia"/>
          <w:lang w:val="en-US" w:eastAsia="zh-CN"/>
        </w:rPr>
        <w:t>8</w:t>
      </w:r>
      <w:r>
        <w:rPr>
          <w:rFonts w:hint="eastAsia"/>
        </w:rPr>
        <w:t>万元，主要为一网通办设备维护费</w:t>
      </w:r>
      <w:r>
        <w:rPr>
          <w:rFonts w:hint="eastAsia"/>
          <w:lang w:val="en-US" w:eastAsia="zh-CN"/>
        </w:rPr>
        <w:t>5</w:t>
      </w:r>
      <w:r>
        <w:rPr>
          <w:rFonts w:hint="eastAsia"/>
        </w:rPr>
        <w:t>万元、政府部门权责清单编制经费</w:t>
      </w:r>
      <w:r>
        <w:t>2.00</w:t>
      </w:r>
      <w:r>
        <w:rPr>
          <w:rFonts w:hint="eastAsia"/>
        </w:rPr>
        <w:t>万元</w:t>
      </w:r>
      <w:r>
        <w:rPr>
          <w:rFonts w:hint="eastAsia"/>
          <w:lang w:eastAsia="zh-CN"/>
        </w:rPr>
        <w:t>、党政机构改革经费1万元</w:t>
      </w:r>
      <w:r>
        <w:rPr>
          <w:rFonts w:hint="eastAsia"/>
        </w:rPr>
        <w:t>。</w:t>
      </w:r>
    </w:p>
    <w:p>
      <w:pPr>
        <w:pStyle w:val="31"/>
      </w:pPr>
      <w:r>
        <w:t>3</w:t>
      </w:r>
      <w:r>
        <w:rPr>
          <w:rFonts w:hint="eastAsia"/>
        </w:rPr>
        <w:t>、比上年增减情况</w:t>
      </w:r>
    </w:p>
    <w:p>
      <w:pPr>
        <w:pStyle w:val="31"/>
      </w:pPr>
      <w:r>
        <w:t>202</w:t>
      </w:r>
      <w:r>
        <w:rPr>
          <w:rFonts w:hint="eastAsia"/>
          <w:lang w:val="en-US" w:eastAsia="zh-CN"/>
        </w:rPr>
        <w:t>4</w:t>
      </w:r>
      <w:r>
        <w:rPr>
          <w:rFonts w:hint="eastAsia"/>
        </w:rPr>
        <w:t>年预算支出安排</w:t>
      </w:r>
      <w:r>
        <w:t>2</w:t>
      </w:r>
      <w:r>
        <w:rPr>
          <w:rFonts w:hint="eastAsia"/>
          <w:lang w:val="en-US" w:eastAsia="zh-CN"/>
        </w:rPr>
        <w:t>38.41</w:t>
      </w:r>
      <w:r>
        <w:rPr>
          <w:rFonts w:hint="eastAsia"/>
        </w:rPr>
        <w:t>万元，较</w:t>
      </w:r>
      <w:r>
        <w:t>202</w:t>
      </w:r>
      <w:r>
        <w:rPr>
          <w:rFonts w:hint="eastAsia"/>
          <w:lang w:val="en-US" w:eastAsia="zh-CN"/>
        </w:rPr>
        <w:t>3</w:t>
      </w:r>
      <w:r>
        <w:rPr>
          <w:rFonts w:hint="eastAsia"/>
        </w:rPr>
        <w:t>年预算增加</w:t>
      </w:r>
      <w:r>
        <w:t>18</w:t>
      </w:r>
      <w:r>
        <w:rPr>
          <w:rFonts w:hint="eastAsia"/>
          <w:lang w:val="en-US" w:eastAsia="zh-CN"/>
        </w:rPr>
        <w:t>.6</w:t>
      </w:r>
      <w:r>
        <w:rPr>
          <w:rFonts w:hint="eastAsia"/>
        </w:rPr>
        <w:t>万元，其中：基本支出增加</w:t>
      </w:r>
      <w:r>
        <w:rPr>
          <w:rFonts w:hint="eastAsia"/>
          <w:lang w:val="en-US" w:eastAsia="zh-CN"/>
        </w:rPr>
        <w:t>20.6</w:t>
      </w:r>
      <w:r>
        <w:rPr>
          <w:rFonts w:hint="eastAsia"/>
        </w:rPr>
        <w:t>万元，主要为人员经费有所增加（本年度按相关部门相关文件规定工资有所调整）；项目支出与上年持平，无增减变化。</w:t>
      </w:r>
    </w:p>
    <w:p>
      <w:pPr>
        <w:pStyle w:val="21"/>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32"/>
        <w:rPr>
          <w:color w:val="auto"/>
        </w:rPr>
      </w:pPr>
      <w:r>
        <w:rPr>
          <w:rFonts w:hint="eastAsia"/>
          <w:color w:val="auto"/>
        </w:rPr>
        <w:t>机关运行经费共计安排</w:t>
      </w:r>
      <w:r>
        <w:rPr>
          <w:color w:val="auto"/>
        </w:rPr>
        <w:t>1</w:t>
      </w:r>
      <w:r>
        <w:rPr>
          <w:rFonts w:hint="eastAsia"/>
          <w:color w:val="auto"/>
          <w:lang w:val="en-US" w:eastAsia="zh-CN"/>
        </w:rPr>
        <w:t>8.07</w:t>
      </w:r>
      <w:r>
        <w:rPr>
          <w:rFonts w:hint="eastAsia"/>
          <w:color w:val="auto"/>
        </w:rPr>
        <w:t>万元，主要用于办公费</w:t>
      </w:r>
      <w:r>
        <w:rPr>
          <w:color w:val="auto"/>
        </w:rPr>
        <w:t>2</w:t>
      </w:r>
      <w:r>
        <w:rPr>
          <w:rFonts w:hint="eastAsia"/>
          <w:color w:val="auto"/>
          <w:lang w:val="en-US" w:eastAsia="zh-CN"/>
        </w:rPr>
        <w:t>.39</w:t>
      </w:r>
      <w:r>
        <w:rPr>
          <w:rFonts w:hint="eastAsia"/>
          <w:color w:val="auto"/>
        </w:rPr>
        <w:t>万元、邮电费</w:t>
      </w:r>
      <w:r>
        <w:rPr>
          <w:color w:val="auto"/>
        </w:rPr>
        <w:t>1</w:t>
      </w:r>
      <w:r>
        <w:rPr>
          <w:rFonts w:hint="eastAsia"/>
          <w:color w:val="auto"/>
          <w:lang w:val="en-US" w:eastAsia="zh-CN"/>
        </w:rPr>
        <w:t>.5</w:t>
      </w:r>
      <w:r>
        <w:rPr>
          <w:rFonts w:hint="eastAsia"/>
          <w:color w:val="auto"/>
        </w:rPr>
        <w:t>万元、差旅费</w:t>
      </w:r>
      <w:r>
        <w:rPr>
          <w:color w:val="auto"/>
        </w:rPr>
        <w:t>0</w:t>
      </w:r>
      <w:r>
        <w:rPr>
          <w:rFonts w:hint="eastAsia"/>
          <w:color w:val="auto"/>
          <w:lang w:val="en-US" w:eastAsia="zh-CN"/>
        </w:rPr>
        <w:t>.28</w:t>
      </w:r>
      <w:r>
        <w:rPr>
          <w:rFonts w:hint="eastAsia"/>
          <w:color w:val="auto"/>
        </w:rPr>
        <w:t>万元、会议费</w:t>
      </w:r>
      <w:r>
        <w:rPr>
          <w:color w:val="auto"/>
        </w:rPr>
        <w:t>0</w:t>
      </w:r>
      <w:r>
        <w:rPr>
          <w:rFonts w:hint="eastAsia"/>
          <w:color w:val="auto"/>
        </w:rPr>
        <w:t>万元、离休干部经费</w:t>
      </w:r>
      <w:r>
        <w:rPr>
          <w:color w:val="auto"/>
        </w:rPr>
        <w:t>0</w:t>
      </w:r>
      <w:r>
        <w:rPr>
          <w:rFonts w:hint="eastAsia"/>
          <w:color w:val="auto"/>
        </w:rPr>
        <w:t>万元、公务交通补贴</w:t>
      </w:r>
      <w:r>
        <w:rPr>
          <w:color w:val="auto"/>
        </w:rPr>
        <w:t>8.</w:t>
      </w:r>
      <w:r>
        <w:rPr>
          <w:rFonts w:hint="eastAsia"/>
          <w:color w:val="auto"/>
          <w:lang w:val="en-US" w:eastAsia="zh-CN"/>
        </w:rPr>
        <w:t>8</w:t>
      </w:r>
      <w:r>
        <w:rPr>
          <w:color w:val="auto"/>
        </w:rPr>
        <w:t>8</w:t>
      </w:r>
      <w:r>
        <w:rPr>
          <w:rFonts w:hint="eastAsia"/>
          <w:color w:val="auto"/>
        </w:rPr>
        <w:t>万元、公务接待费</w:t>
      </w:r>
      <w:r>
        <w:rPr>
          <w:color w:val="auto"/>
        </w:rPr>
        <w:t>0</w:t>
      </w:r>
      <w:r>
        <w:rPr>
          <w:rFonts w:hint="eastAsia"/>
          <w:color w:val="auto"/>
        </w:rPr>
        <w:t>万元、工会经费</w:t>
      </w:r>
      <w:r>
        <w:rPr>
          <w:rFonts w:hint="eastAsia"/>
          <w:color w:val="auto"/>
          <w:lang w:val="en-US" w:eastAsia="zh-CN"/>
        </w:rPr>
        <w:t>2.68</w:t>
      </w:r>
      <w:r>
        <w:rPr>
          <w:rFonts w:hint="eastAsia"/>
          <w:color w:val="auto"/>
        </w:rPr>
        <w:t>万元、福利费</w:t>
      </w:r>
      <w:r>
        <w:rPr>
          <w:color w:val="auto"/>
        </w:rPr>
        <w:t>1.</w:t>
      </w:r>
      <w:r>
        <w:rPr>
          <w:rFonts w:hint="eastAsia"/>
          <w:color w:val="auto"/>
          <w:lang w:val="en-US" w:eastAsia="zh-CN"/>
        </w:rPr>
        <w:t>77</w:t>
      </w:r>
      <w:r>
        <w:rPr>
          <w:rFonts w:hint="eastAsia"/>
          <w:color w:val="auto"/>
        </w:rPr>
        <w:t>万元、党组织活动经费</w:t>
      </w:r>
      <w:r>
        <w:rPr>
          <w:color w:val="auto"/>
        </w:rPr>
        <w:t>0.1</w:t>
      </w:r>
      <w:r>
        <w:rPr>
          <w:rFonts w:hint="eastAsia"/>
          <w:color w:val="auto"/>
          <w:lang w:val="en-US" w:eastAsia="zh-CN"/>
        </w:rPr>
        <w:t>5</w:t>
      </w:r>
      <w:r>
        <w:rPr>
          <w:rFonts w:hint="eastAsia"/>
          <w:color w:val="auto"/>
        </w:rPr>
        <w:t>万元</w:t>
      </w:r>
      <w:r>
        <w:rPr>
          <w:rFonts w:hint="eastAsia"/>
          <w:color w:val="auto"/>
          <w:lang w:eastAsia="zh-CN"/>
        </w:rPr>
        <w:t>、其他商品和服务支出</w:t>
      </w:r>
      <w:r>
        <w:rPr>
          <w:rFonts w:hint="eastAsia"/>
          <w:color w:val="auto"/>
          <w:lang w:val="en-US" w:eastAsia="zh-CN"/>
        </w:rPr>
        <w:t>0.42万元</w:t>
      </w:r>
      <w:r>
        <w:rPr>
          <w:rFonts w:hint="eastAsia"/>
          <w:color w:val="auto"/>
        </w:rPr>
        <w:t>等日常运行支出。</w:t>
      </w:r>
    </w:p>
    <w:p>
      <w:pPr>
        <w:pStyle w:val="22"/>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33"/>
      </w:pPr>
      <w:r>
        <w:t>202</w:t>
      </w:r>
      <w:r>
        <w:rPr>
          <w:rFonts w:hint="eastAsia"/>
          <w:lang w:val="en-US" w:eastAsia="zh-CN"/>
        </w:rPr>
        <w:t>4</w:t>
      </w:r>
      <w:r>
        <w:rPr>
          <w:rFonts w:hint="eastAsia"/>
        </w:rPr>
        <w:t>年，我单位财政拨款</w:t>
      </w:r>
      <w:r>
        <w:t>“</w:t>
      </w:r>
      <w:r>
        <w:rPr>
          <w:rFonts w:hint="eastAsia"/>
        </w:rPr>
        <w:t>三公</w:t>
      </w:r>
      <w:r>
        <w:t>”</w:t>
      </w:r>
      <w:r>
        <w:rPr>
          <w:rFonts w:hint="eastAsia"/>
        </w:rPr>
        <w:t>经费预算安排</w:t>
      </w:r>
      <w:r>
        <w:t>0</w:t>
      </w:r>
      <w:r>
        <w:rPr>
          <w:rFonts w:hint="eastAsia"/>
        </w:rPr>
        <w:t>万元，比上年减少</w:t>
      </w:r>
      <w:r>
        <w:rPr>
          <w:rFonts w:hint="eastAsia"/>
          <w:lang w:val="en-US" w:eastAsia="zh-CN"/>
        </w:rPr>
        <w:t>0</w:t>
      </w:r>
      <w:r>
        <w:rPr>
          <w:rFonts w:hint="eastAsia"/>
        </w:rPr>
        <w:t>万元。其中：因公出国（境）费</w:t>
      </w:r>
      <w:r>
        <w:t>0</w:t>
      </w:r>
      <w:r>
        <w:rPr>
          <w:rFonts w:hint="eastAsia"/>
        </w:rPr>
        <w:t>万元，与上年持平，无增减变化；公务用车购置费</w:t>
      </w:r>
      <w:r>
        <w:t>0</w:t>
      </w:r>
      <w:r>
        <w:rPr>
          <w:rFonts w:hint="eastAsia"/>
        </w:rPr>
        <w:t>万元，与上年持平，无增减变化；公务用车运行维护费</w:t>
      </w:r>
      <w:r>
        <w:t>0</w:t>
      </w:r>
      <w:r>
        <w:rPr>
          <w:rFonts w:hint="eastAsia"/>
        </w:rPr>
        <w:t>万元，与上年持平，无增减变化；公务接待费</w:t>
      </w:r>
      <w:r>
        <w:t>0</w:t>
      </w:r>
      <w:r>
        <w:rPr>
          <w:rFonts w:hint="eastAsia"/>
        </w:rPr>
        <w:t>万元，比上年减少</w:t>
      </w:r>
      <w:r>
        <w:t>0</w:t>
      </w:r>
      <w:r>
        <w:rPr>
          <w:rFonts w:hint="eastAsia"/>
        </w:rPr>
        <w:t>万元，主要是厉行节约，减少成本。</w:t>
      </w:r>
    </w:p>
    <w:p>
      <w:pPr>
        <w:pStyle w:val="23"/>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4"/>
      </w:pPr>
      <w:r>
        <w:rPr>
          <w:rFonts w:hint="eastAsia"/>
        </w:rPr>
        <w:t>始终把党建工作列入各项工作重要议事日程，建立和健全学习教育制度，进一步增强做好意识形态工作，履行从严治党落实主体责任的意识，狠抓政治理论学习、理想信念和法治理念教育，强化干部政治意识，扎实开展</w:t>
      </w:r>
      <w:r>
        <w:t>“</w:t>
      </w:r>
      <w:r>
        <w:rPr>
          <w:rFonts w:hint="eastAsia"/>
        </w:rPr>
        <w:t>不忘初心、牢记使命</w:t>
      </w:r>
      <w:r>
        <w:t>”</w:t>
      </w:r>
      <w:r>
        <w:rPr>
          <w:rFonts w:hint="eastAsia"/>
        </w:rPr>
        <w:t>主体教育活动，全面强化机构编制部门干部政治责任担当。</w:t>
      </w:r>
    </w:p>
    <w:p>
      <w:pPr>
        <w:pStyle w:val="24"/>
      </w:pPr>
      <w:r>
        <w:rPr>
          <w:rFonts w:hint="eastAsia"/>
        </w:rPr>
        <w:t>（一）深入学习贯彻党的十九届三中、四中、五中、六中全会精神，以习近平新时代中国特色社会主义思想为指导，把加强意识形态工作作为机关党建的首要政治任务。通过集中宣讲、专题培训、等多种方式学习党的十九大精神，用习近平新时代中国特色社会主义思想武装头脑，指导实践，推动工作。开展党组织书记讲党课活动，召开党风廉政建设和反腐败工作专题会议，组织干部职工集中学习，党员干部广泛参与，增强了做好新时代机构编制工作的政治责任感和历史使命感。</w:t>
      </w:r>
    </w:p>
    <w:p>
      <w:pPr>
        <w:pStyle w:val="24"/>
      </w:pPr>
      <w:r>
        <w:rPr>
          <w:rFonts w:hint="eastAsia"/>
        </w:rPr>
        <w:t>（二）以上率下，推动</w:t>
      </w:r>
      <w:r>
        <w:t>“</w:t>
      </w:r>
      <w:r>
        <w:rPr>
          <w:rFonts w:hint="eastAsia"/>
        </w:rPr>
        <w:t>两个责任</w:t>
      </w:r>
      <w:r>
        <w:t>”</w:t>
      </w:r>
      <w:r>
        <w:rPr>
          <w:rFonts w:hint="eastAsia"/>
        </w:rPr>
        <w:t>落实落细。认真履行党风廉政建设主体责任和监督责任，推行主体责任台账式管理，如实记录工作日志，将落实主体责任情况作为年度绩效考核和干部考核的重要内容。落实</w:t>
      </w:r>
      <w:r>
        <w:t>“</w:t>
      </w:r>
      <w:r>
        <w:rPr>
          <w:rFonts w:hint="eastAsia"/>
        </w:rPr>
        <w:t>三会一课</w:t>
      </w:r>
      <w:r>
        <w:t>”</w:t>
      </w:r>
      <w:r>
        <w:rPr>
          <w:rFonts w:hint="eastAsia"/>
        </w:rPr>
        <w:t>制度，规范填写支部手册，记录组织生活，严格落实区委关于基层党建的</w:t>
      </w:r>
      <w:r>
        <w:t>“</w:t>
      </w:r>
      <w:r>
        <w:rPr>
          <w:rFonts w:hint="eastAsia"/>
        </w:rPr>
        <w:t>三化</w:t>
      </w:r>
      <w:r>
        <w:t>”</w:t>
      </w:r>
      <w:r>
        <w:rPr>
          <w:rFonts w:hint="eastAsia"/>
        </w:rPr>
        <w:t>要求。坚持压实党建责任、层层分解责任、签订</w:t>
      </w:r>
      <w:r>
        <w:t>“</w:t>
      </w:r>
      <w:r>
        <w:rPr>
          <w:rFonts w:hint="eastAsia"/>
        </w:rPr>
        <w:t>一岗双责</w:t>
      </w:r>
      <w:r>
        <w:t>”</w:t>
      </w:r>
      <w:r>
        <w:rPr>
          <w:rFonts w:hint="eastAsia"/>
        </w:rPr>
        <w:t>承诺书，持续传导压力。</w:t>
      </w:r>
    </w:p>
    <w:p>
      <w:pPr>
        <w:pStyle w:val="24"/>
      </w:pPr>
      <w:r>
        <w:rPr>
          <w:rFonts w:hint="eastAsia"/>
        </w:rPr>
        <w:t>（三）坚持警钟长鸣，推进党风廉政建设。坚持一把手负责制，按照</w:t>
      </w:r>
      <w:r>
        <w:t>“</w:t>
      </w:r>
      <w:r>
        <w:rPr>
          <w:rFonts w:hint="eastAsia"/>
        </w:rPr>
        <w:t>一岗双责</w:t>
      </w:r>
      <w:r>
        <w:t>”</w:t>
      </w:r>
      <w:r>
        <w:rPr>
          <w:rFonts w:hint="eastAsia"/>
        </w:rPr>
        <w:t>要求，认真抓好领导班子党风廉政建设责任分解和落实，与全体党员干部签订党风廉政建设责任书，做到党风廉政建设责任全覆盖。认真贯彻民主集中制原则，落实班子议事规则。进一步加强党内监督，健全完善述职述廉、谈话和诫勉、个人有关事项报告、领导班子民主生活会、廉政承诺等制度，带头执行政治纪律、工作纪律、廉政纪律、群众纪律。</w:t>
      </w:r>
    </w:p>
    <w:p>
      <w:pPr>
        <w:spacing w:line="500" w:lineRule="exact"/>
        <w:ind w:firstLine="560"/>
      </w:pPr>
      <w:r>
        <w:rPr>
          <w:rFonts w:hint="eastAsia" w:eastAsia="方正仿宋_GBK"/>
          <w:color w:val="000000"/>
          <w:sz w:val="28"/>
        </w:rPr>
        <w:t>（二）分项绩效目标</w:t>
      </w:r>
    </w:p>
    <w:p>
      <w:pPr>
        <w:pStyle w:val="25"/>
      </w:pPr>
      <w:r>
        <w:rPr>
          <w:rFonts w:hint="eastAsia"/>
        </w:rPr>
        <w:t>一是进一步强化政治意识。始终坚持以习近平新时代中国特色社会主义思想武装头脑、指导实践，推动工作，把加强意识形态工作作为机关党建的首要政治任务。进一步做好意识形态工作，履行从严治党落实主体责任的意识，狠抓政治理论学习、理想信念和法治理念教育，强化干部政治意识，全面强化机构编制部门干部政治责任担当。</w:t>
      </w:r>
    </w:p>
    <w:p>
      <w:pPr>
        <w:pStyle w:val="25"/>
      </w:pPr>
      <w:r>
        <w:rPr>
          <w:rFonts w:hint="eastAsia"/>
        </w:rPr>
        <w:t>二是持续做好机构编制管理工作。认真落实加强机构编制管理的各项政策法规，强化机构编制的集中统一管理，不断改进管理办法和措施，严格机构编制审批程序，进一步规范机构设置和人员编制管理工作。严格编制使用核准制度，维护机构编制的严肃性和权威性。</w:t>
      </w:r>
    </w:p>
    <w:p>
      <w:pPr>
        <w:pStyle w:val="25"/>
      </w:pPr>
      <w:r>
        <w:rPr>
          <w:rFonts w:hint="eastAsia"/>
        </w:rPr>
        <w:t>三是不断强化事业单位登记管理工作。加强事业单位登记管理制度建设和对事业单位法人的监督管理，进一步优化网上登记管理办法；严格行政许可审批程序，改进服务方式，提高服务水平，做好事业单位年度报告书公示和日常登记管理工作。</w:t>
      </w:r>
    </w:p>
    <w:p>
      <w:pPr>
        <w:pStyle w:val="25"/>
      </w:pPr>
      <w:r>
        <w:rPr>
          <w:rFonts w:hint="eastAsia"/>
        </w:rPr>
        <w:t>四是切实加强机构编制监督检查工作。严格落实《机构编制监督检查工作暂行规定》和《河北省机构编制管理监督检查实施办法》，坚持惩防并举，建立健全以日常监管为主的机构编制动态监督检查工作机制，依法依纪开展工作；健全以</w:t>
      </w:r>
      <w:r>
        <w:t>“12310”</w:t>
      </w:r>
      <w:r>
        <w:rPr>
          <w:rFonts w:hint="eastAsia"/>
        </w:rPr>
        <w:t>为核心的机构编制违规违纪问题举报体系，完善与纪检监察、组织、人社、信访等部门的协作机制和违反机构编制管理规定的责任追究、惩处机制，违法必究、执法必严。</w:t>
      </w:r>
    </w:p>
    <w:p>
      <w:pPr>
        <w:spacing w:line="500" w:lineRule="exact"/>
        <w:ind w:firstLine="560"/>
      </w:pPr>
      <w:r>
        <w:rPr>
          <w:rFonts w:hint="eastAsia" w:eastAsia="方正仿宋_GBK"/>
          <w:color w:val="000000"/>
          <w:sz w:val="28"/>
        </w:rPr>
        <w:t>（三）工作保障措施</w:t>
      </w:r>
    </w:p>
    <w:p>
      <w:pPr>
        <w:pStyle w:val="26"/>
      </w:pPr>
      <w:r>
        <w:rPr>
          <w:rFonts w:hint="eastAsia"/>
        </w:rPr>
        <w:t>一、提高政治站位，坚决扛起党管机构编制的主体责任</w:t>
      </w:r>
    </w:p>
    <w:p>
      <w:pPr>
        <w:pStyle w:val="26"/>
      </w:pPr>
      <w:r>
        <w:rPr>
          <w:rFonts w:hint="eastAsia"/>
        </w:rPr>
        <w:t>严格落实编委工作规则，进一步完善编委会议制度，对拟提交编委会议审议的机构编制事项动议、论证、评估等环节进行规范，为编委科学决策提供可靠依据，更好的发挥党委把方向、谋大局、定政策、促改革的核心作用。</w:t>
      </w:r>
    </w:p>
    <w:p>
      <w:pPr>
        <w:pStyle w:val="26"/>
      </w:pPr>
      <w:r>
        <w:rPr>
          <w:rFonts w:hint="eastAsia"/>
        </w:rPr>
        <w:t>二、坚持改革创新，构建优化协同高效的机构职能体系</w:t>
      </w:r>
    </w:p>
    <w:p>
      <w:pPr>
        <w:pStyle w:val="26"/>
      </w:pPr>
      <w:r>
        <w:rPr>
          <w:rFonts w:hint="eastAsia"/>
        </w:rPr>
        <w:t>（一）深化事业单位改革工作。扎实开展区属事业单位机构编制调研工作，全面掌握机构运行、职能履行、编制人员配置等情况，建立调研台账，为深化事业单位改革奠定坚实基础。根据经济社会发展需要和财政保障能力，持续加大事业单位优化调整力度，全面规范事业单位类别划分，进一步强化公益属性。根据中央、省、市委统一部署，做好全区深化事业单位改革工作，优化布局结构，推动功能再造、增强活力，实现事业单位资源配置更优化、权责关系更协同、服务保障更高效目标。</w:t>
      </w:r>
    </w:p>
    <w:p>
      <w:pPr>
        <w:pStyle w:val="26"/>
      </w:pPr>
      <w:r>
        <w:rPr>
          <w:rFonts w:hint="eastAsia"/>
        </w:rPr>
        <w:t>（二）健全完善权责清单制度。加强权责清单标准化建设，结合部门职责和法律法规变化情况，完成市县权责清单动态调整工作，配套修改办事指南和流程图，向社会全面公开。按照上级部署，拓展清单编制范围，进一步健全完善开发区权责清单，编制完成市县两级党群部门权责清单，构建边界清晰、分工合理、权责一致、运转高效、依法保障的职能体系。</w:t>
      </w:r>
    </w:p>
    <w:p>
      <w:pPr>
        <w:pStyle w:val="26"/>
      </w:pPr>
      <w:r>
        <w:rPr>
          <w:rFonts w:hint="eastAsia"/>
        </w:rPr>
        <w:t>三、强化刚性约束，切实维护机构编制工作权威性严肃性</w:t>
      </w:r>
    </w:p>
    <w:p>
      <w:pPr>
        <w:pStyle w:val="26"/>
      </w:pPr>
      <w:r>
        <w:rPr>
          <w:rFonts w:hint="eastAsia"/>
        </w:rPr>
        <w:t>（一）加强机构编制日常监督检查。利用信息化手段加强对机构编制的管理监督，积极推动机构编制与组织、人事、财政等部门信息共享共用，建立健全机构编制执行情况监督预警机制。</w:t>
      </w:r>
    </w:p>
    <w:p>
      <w:pPr>
        <w:pStyle w:val="26"/>
      </w:pPr>
      <w:r>
        <w:rPr>
          <w:rFonts w:hint="eastAsia"/>
        </w:rPr>
        <w:t>（二）严肃机构编制纪律。严肃查处机构编制工作违规违纪行为，推动机构编制监督检查从查处违规向预防违规转变，努力将违规违纪行为消灭在萌芽状态。</w:t>
      </w:r>
    </w:p>
    <w:p>
      <w:pPr>
        <w:pStyle w:val="26"/>
      </w:pPr>
      <w:r>
        <w:rPr>
          <w:rFonts w:hint="eastAsia"/>
        </w:rPr>
        <w:t>四、严格把关高效，圆满完成法人报告公示工作</w:t>
      </w:r>
    </w:p>
    <w:p>
      <w:pPr>
        <w:pStyle w:val="26"/>
      </w:pPr>
      <w:r>
        <w:rPr>
          <w:rFonts w:hint="eastAsia"/>
        </w:rPr>
        <w:t>根据中央、省、市委编办对事业单位法人年度报告工作的统一安排，积极采取措施，扎实开展年度报告公示工作。</w:t>
      </w:r>
    </w:p>
    <w:p>
      <w:pPr>
        <w:pStyle w:val="26"/>
      </w:pPr>
      <w:r>
        <w:rPr>
          <w:rFonts w:hint="eastAsia"/>
        </w:rPr>
        <w:t>一是严把程序关，明确任务。根据上级工作部署，及时印发通知，明确了年度报告起止日期、年度报告对象、换发证书对象、年度报告书填写、办理年度报告安排表、公示年度报告书的时间和内容等。</w:t>
      </w:r>
    </w:p>
    <w:p>
      <w:pPr>
        <w:pStyle w:val="26"/>
      </w:pPr>
      <w:r>
        <w:rPr>
          <w:rFonts w:hint="eastAsia"/>
        </w:rPr>
        <w:t>　二是严把审核关，规范准确。为确保审核工作有效性，在审核过程中，凡网上提交符合要求、材料齐全的，当场办结；材料不全的，一次性告知其补齐材料；问题较多的，要求单位及时整改；对于年度报告通过的单位，发放统一社会信用代码证书，充分确保年度报告工作的及时、规范。</w:t>
      </w:r>
    </w:p>
    <w:p>
      <w:pPr>
        <w:pStyle w:val="26"/>
        <w:sectPr>
          <w:pgSz w:w="16840" w:h="11900" w:orient="landscape"/>
          <w:pgMar w:top="1361" w:right="1020" w:bottom="1361" w:left="1020" w:header="720" w:footer="720" w:gutter="0"/>
          <w:cols w:space="720" w:num="1"/>
        </w:sectPr>
      </w:pPr>
      <w:r>
        <w:rPr>
          <w:rFonts w:hint="eastAsia"/>
        </w:rPr>
        <w:t>三是严把服务关，优化高效。为进一步提高工作效率，增强服务意识，主动了解办理进度和需要解决的困难，及时给予帮助。对部分调整操作人员的单位通过采取电话指导和网络协助等方式进行业务指导。对部分网上提交报告书确有困难的单位，约定时间直接到区委编办综合办公室操作办理，确保所有事业单位按时完成。</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、党政机构改革经费绩效目标表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13030324P00487510001A</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党政机构改革经费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1.00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1.00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w:t>
            </w:r>
            <w:r>
              <w:rPr>
                <w:rFonts w:hint="eastAsia"/>
              </w:rPr>
              <w:t>推进党政机构改革工作</w:t>
            </w:r>
            <w:r>
              <w:t>2.</w:t>
            </w:r>
            <w:r>
              <w:rPr>
                <w:rFonts w:hint="eastAsia"/>
              </w:rPr>
              <w:t>保障本单位机关工作正常开展，确保工作按时完成</w:t>
            </w:r>
            <w:r>
              <w:t>3.</w:t>
            </w:r>
            <w:r>
              <w:rPr>
                <w:rFonts w:hint="eastAsia"/>
              </w:rPr>
              <w:t>按照预算安排金额，合理安排支出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推进党政机构改革工作</w:t>
            </w:r>
          </w:p>
          <w:p>
            <w:pPr>
              <w:pStyle w:val="15"/>
            </w:pPr>
            <w:r>
              <w:t>2.</w:t>
            </w:r>
            <w:r>
              <w:rPr>
                <w:rFonts w:hint="eastAsia"/>
              </w:rPr>
              <w:t>保障本单位机关工作正常开展，确保工作按时完成</w:t>
            </w:r>
          </w:p>
          <w:p>
            <w:pPr>
              <w:pStyle w:val="15"/>
            </w:pPr>
            <w:r>
              <w:t>3.</w:t>
            </w:r>
            <w:r>
              <w:rPr>
                <w:rFonts w:hint="eastAsia"/>
              </w:rPr>
              <w:t>按照预算安排金额，合理安排支出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信息业务培训次数</w:t>
            </w:r>
          </w:p>
          <w:p>
            <w:pPr>
              <w:pStyle w:val="15"/>
            </w:pPr>
          </w:p>
          <w:p>
            <w:pPr>
              <w:pStyle w:val="15"/>
            </w:pPr>
          </w:p>
        </w:tc>
        <w:tc>
          <w:tcPr>
            <w:tcW w:w="5386" w:type="dxa"/>
            <w:vAlign w:val="center"/>
          </w:tcPr>
          <w:p>
            <w:pPr>
              <w:pStyle w:val="15"/>
            </w:pPr>
            <w:r>
              <w:rPr>
                <w:rFonts w:hint="eastAsia"/>
              </w:rPr>
              <w:t>信息业务培训次数</w:t>
            </w:r>
          </w:p>
          <w:p>
            <w:pPr>
              <w:pStyle w:val="15"/>
            </w:pPr>
          </w:p>
          <w:p>
            <w:pPr>
              <w:pStyle w:val="15"/>
            </w:pPr>
          </w:p>
        </w:tc>
        <w:tc>
          <w:tcPr>
            <w:tcW w:w="2268" w:type="dxa"/>
            <w:vAlign w:val="center"/>
          </w:tcPr>
          <w:p>
            <w:pPr>
              <w:pStyle w:val="15"/>
            </w:pPr>
            <w:r>
              <w:rPr>
                <w:rFonts w:hint="eastAsia"/>
              </w:rPr>
              <w:t>≥</w:t>
            </w:r>
            <w:r>
              <w:t>10</w:t>
            </w:r>
            <w:r>
              <w:rPr>
                <w:rFonts w:hint="eastAsia"/>
              </w:rPr>
              <w:t>次</w:t>
            </w:r>
          </w:p>
        </w:tc>
        <w:tc>
          <w:tcPr>
            <w:tcW w:w="1276" w:type="dxa"/>
            <w:vAlign w:val="center"/>
          </w:tcPr>
          <w:p>
            <w:pPr>
              <w:pStyle w:val="15"/>
            </w:pPr>
            <w:r>
              <w:rPr>
                <w:rFonts w:hint="eastAsia"/>
              </w:rPr>
              <w:t>信息业务培训次数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党刊覆盖面</w:t>
            </w:r>
          </w:p>
        </w:tc>
        <w:tc>
          <w:tcPr>
            <w:tcW w:w="5386" w:type="dxa"/>
            <w:vAlign w:val="center"/>
          </w:tcPr>
          <w:p>
            <w:pPr>
              <w:pStyle w:val="15"/>
            </w:pPr>
            <w:r>
              <w:rPr>
                <w:rFonts w:hint="eastAsia"/>
              </w:rPr>
              <w:t>党刊覆盖面</w:t>
            </w:r>
          </w:p>
        </w:tc>
        <w:tc>
          <w:tcPr>
            <w:tcW w:w="2268" w:type="dxa"/>
            <w:vAlign w:val="center"/>
          </w:tcPr>
          <w:p>
            <w:pPr>
              <w:pStyle w:val="15"/>
            </w:pPr>
            <w:r>
              <w:t>100%</w:t>
            </w:r>
          </w:p>
        </w:tc>
        <w:tc>
          <w:tcPr>
            <w:tcW w:w="1276" w:type="dxa"/>
            <w:vAlign w:val="center"/>
          </w:tcPr>
          <w:p>
            <w:pPr>
              <w:pStyle w:val="15"/>
            </w:pPr>
            <w:r>
              <w:rPr>
                <w:rFonts w:hint="eastAsia"/>
              </w:rP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工作完成情况</w:t>
            </w:r>
          </w:p>
        </w:tc>
        <w:tc>
          <w:tcPr>
            <w:tcW w:w="5386" w:type="dxa"/>
            <w:vAlign w:val="center"/>
          </w:tcPr>
          <w:p>
            <w:pPr>
              <w:pStyle w:val="15"/>
            </w:pPr>
            <w:r>
              <w:rPr>
                <w:rFonts w:hint="eastAsia"/>
              </w:rPr>
              <w:t>工作完成情况</w:t>
            </w:r>
          </w:p>
        </w:tc>
        <w:tc>
          <w:tcPr>
            <w:tcW w:w="2268" w:type="dxa"/>
            <w:vAlign w:val="center"/>
          </w:tcPr>
          <w:p>
            <w:pPr>
              <w:pStyle w:val="15"/>
            </w:pPr>
            <w:r>
              <w:t>100%</w:t>
            </w:r>
          </w:p>
        </w:tc>
        <w:tc>
          <w:tcPr>
            <w:tcW w:w="1276" w:type="dxa"/>
            <w:vAlign w:val="center"/>
          </w:tcPr>
          <w:p>
            <w:pPr>
              <w:pStyle w:val="15"/>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成本控制</w:t>
            </w:r>
          </w:p>
        </w:tc>
        <w:tc>
          <w:tcPr>
            <w:tcW w:w="2268" w:type="dxa"/>
            <w:vAlign w:val="center"/>
          </w:tcPr>
          <w:p>
            <w:pPr>
              <w:pStyle w:val="15"/>
            </w:pPr>
            <w:r>
              <w:rPr>
                <w:rFonts w:hint="eastAsia"/>
              </w:rPr>
              <w:t>≤</w:t>
            </w:r>
            <w:r>
              <w:t>1</w:t>
            </w:r>
            <w:r>
              <w:rPr>
                <w:rFonts w:hint="eastAsia"/>
              </w:rPr>
              <w:t>万元</w:t>
            </w:r>
          </w:p>
        </w:tc>
        <w:tc>
          <w:tcPr>
            <w:tcW w:w="1276" w:type="dxa"/>
            <w:vAlign w:val="center"/>
          </w:tcPr>
          <w:p>
            <w:pPr>
              <w:pStyle w:val="15"/>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节本增效</w:t>
            </w:r>
          </w:p>
        </w:tc>
        <w:tc>
          <w:tcPr>
            <w:tcW w:w="5386" w:type="dxa"/>
            <w:vAlign w:val="center"/>
          </w:tcPr>
          <w:p>
            <w:pPr>
              <w:pStyle w:val="15"/>
            </w:pPr>
            <w:r>
              <w:rPr>
                <w:rFonts w:hint="eastAsia"/>
              </w:rPr>
              <w:t>节本增效</w:t>
            </w:r>
          </w:p>
        </w:tc>
        <w:tc>
          <w:tcPr>
            <w:tcW w:w="2268" w:type="dxa"/>
            <w:vAlign w:val="center"/>
          </w:tcPr>
          <w:p>
            <w:pPr>
              <w:pStyle w:val="15"/>
            </w:pPr>
            <w:r>
              <w:rPr>
                <w:rFonts w:hint="eastAsia"/>
              </w:rPr>
              <w:t>≤</w:t>
            </w:r>
            <w:r>
              <w:t>1</w:t>
            </w:r>
            <w:r>
              <w:rPr>
                <w:rFonts w:hint="eastAsia"/>
              </w:rPr>
              <w:t>万元</w:t>
            </w:r>
          </w:p>
        </w:tc>
        <w:tc>
          <w:tcPr>
            <w:tcW w:w="1276" w:type="dxa"/>
            <w:vAlign w:val="center"/>
          </w:tcPr>
          <w:p>
            <w:pPr>
              <w:pStyle w:val="15"/>
            </w:pPr>
            <w:r>
              <w:rPr>
                <w:rFonts w:hint="eastAsia"/>
              </w:rP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5386" w:type="dxa"/>
            <w:vAlign w:val="center"/>
          </w:tcPr>
          <w:p>
            <w:pPr>
              <w:pStyle w:val="15"/>
            </w:pPr>
            <w:r>
              <w:rPr>
                <w:rFonts w:hint="eastAsia"/>
              </w:rPr>
              <w:t>服务对象满意度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、一网通办设备维护费绩效目标表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13030324P00487410001L</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一网通办设备维护费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5.00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5.00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w:t>
            </w:r>
            <w:r>
              <w:rPr>
                <w:rFonts w:hint="eastAsia"/>
              </w:rPr>
              <w:t>按照预算金额，合理安排各项支出</w:t>
            </w:r>
            <w:r>
              <w:t>2.</w:t>
            </w:r>
            <w:r>
              <w:rPr>
                <w:rFonts w:hint="eastAsia"/>
              </w:rPr>
              <w:t>对一网通办设备进行维护</w:t>
            </w:r>
            <w:r>
              <w:t>3.</w:t>
            </w:r>
            <w:r>
              <w:rPr>
                <w:rFonts w:hint="eastAsia"/>
              </w:rPr>
              <w:t>保障本单位工作顺利开展，确保工作及时完成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w:t>
            </w:r>
          </w:p>
        </w:tc>
        <w:tc>
          <w:tcPr>
            <w:tcW w:w="2835" w:type="dxa"/>
            <w:vAlign w:val="center"/>
          </w:tcPr>
          <w:p>
            <w:pPr>
              <w:pStyle w:val="16"/>
            </w:pPr>
            <w:r>
              <w:t>3.00</w:t>
            </w:r>
          </w:p>
        </w:tc>
        <w:tc>
          <w:tcPr>
            <w:tcW w:w="2551" w:type="dxa"/>
            <w:vAlign w:val="center"/>
          </w:tcPr>
          <w:p>
            <w:pPr>
              <w:pStyle w:val="16"/>
            </w:pPr>
            <w:r>
              <w:t>4.00</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按照预算金额，合理安排各项支出</w:t>
            </w:r>
          </w:p>
          <w:p>
            <w:pPr>
              <w:pStyle w:val="15"/>
            </w:pPr>
            <w:r>
              <w:t>2.</w:t>
            </w:r>
            <w:r>
              <w:rPr>
                <w:rFonts w:hint="eastAsia"/>
              </w:rPr>
              <w:t>对一网通办设备进行维护</w:t>
            </w:r>
          </w:p>
          <w:p>
            <w:pPr>
              <w:pStyle w:val="15"/>
            </w:pPr>
            <w:r>
              <w:t>3.</w:t>
            </w:r>
            <w:r>
              <w:rPr>
                <w:rFonts w:hint="eastAsia"/>
              </w:rPr>
              <w:t>保障本单位工作顺利开展，确保工作及时完成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门户网维护好评量</w:t>
            </w:r>
          </w:p>
        </w:tc>
        <w:tc>
          <w:tcPr>
            <w:tcW w:w="5386" w:type="dxa"/>
            <w:vAlign w:val="center"/>
          </w:tcPr>
          <w:p>
            <w:pPr>
              <w:pStyle w:val="15"/>
            </w:pPr>
            <w:r>
              <w:rPr>
                <w:rFonts w:hint="eastAsia"/>
              </w:rPr>
              <w:t>门户网维护好评量</w:t>
            </w:r>
          </w:p>
        </w:tc>
        <w:tc>
          <w:tcPr>
            <w:tcW w:w="2268" w:type="dxa"/>
            <w:vAlign w:val="center"/>
          </w:tcPr>
          <w:p>
            <w:pPr>
              <w:pStyle w:val="15"/>
            </w:pPr>
            <w:r>
              <w:t>100%</w:t>
            </w:r>
          </w:p>
        </w:tc>
        <w:tc>
          <w:tcPr>
            <w:tcW w:w="1276" w:type="dxa"/>
            <w:vAlign w:val="center"/>
          </w:tcPr>
          <w:p>
            <w:pPr>
              <w:pStyle w:val="15"/>
            </w:pPr>
            <w:r>
              <w:rPr>
                <w:rFonts w:hint="eastAsia"/>
              </w:rPr>
              <w:t>好评数量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控制在预算成本内</w:t>
            </w:r>
          </w:p>
        </w:tc>
        <w:tc>
          <w:tcPr>
            <w:tcW w:w="5386" w:type="dxa"/>
            <w:vAlign w:val="center"/>
          </w:tcPr>
          <w:p>
            <w:pPr>
              <w:pStyle w:val="15"/>
            </w:pPr>
            <w:r>
              <w:rPr>
                <w:rFonts w:hint="eastAsia"/>
              </w:rPr>
              <w:t>控制在预算成本内</w:t>
            </w:r>
          </w:p>
        </w:tc>
        <w:tc>
          <w:tcPr>
            <w:tcW w:w="2268" w:type="dxa"/>
            <w:vAlign w:val="center"/>
          </w:tcPr>
          <w:p>
            <w:pPr>
              <w:pStyle w:val="15"/>
            </w:pPr>
            <w:r>
              <w:rPr>
                <w:rFonts w:hint="eastAsia"/>
              </w:rPr>
              <w:t>≤</w:t>
            </w:r>
            <w:r>
              <w:t>5</w:t>
            </w:r>
            <w:r>
              <w:rPr>
                <w:rFonts w:hint="eastAsia"/>
              </w:rPr>
              <w:t>万元</w:t>
            </w:r>
          </w:p>
        </w:tc>
        <w:tc>
          <w:tcPr>
            <w:tcW w:w="1276" w:type="dxa"/>
            <w:vAlign w:val="center"/>
          </w:tcPr>
          <w:p>
            <w:pPr>
              <w:pStyle w:val="15"/>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保障率</w:t>
            </w:r>
          </w:p>
        </w:tc>
        <w:tc>
          <w:tcPr>
            <w:tcW w:w="5386" w:type="dxa"/>
            <w:vAlign w:val="center"/>
          </w:tcPr>
          <w:p>
            <w:pPr>
              <w:pStyle w:val="15"/>
            </w:pPr>
            <w:r>
              <w:rPr>
                <w:rFonts w:hint="eastAsia"/>
              </w:rPr>
              <w:t>保障率</w:t>
            </w:r>
          </w:p>
        </w:tc>
        <w:tc>
          <w:tcPr>
            <w:tcW w:w="2268" w:type="dxa"/>
            <w:vAlign w:val="center"/>
          </w:tcPr>
          <w:p>
            <w:pPr>
              <w:pStyle w:val="15"/>
            </w:pPr>
            <w:r>
              <w:t>100%</w:t>
            </w:r>
          </w:p>
        </w:tc>
        <w:tc>
          <w:tcPr>
            <w:tcW w:w="1276" w:type="dxa"/>
            <w:vAlign w:val="center"/>
          </w:tcPr>
          <w:p>
            <w:pPr>
              <w:pStyle w:val="15"/>
            </w:pPr>
            <w:r>
              <w:rPr>
                <w:rFonts w:hint="eastAsia"/>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完成率</w:t>
            </w:r>
          </w:p>
        </w:tc>
        <w:tc>
          <w:tcPr>
            <w:tcW w:w="5386" w:type="dxa"/>
            <w:vAlign w:val="center"/>
          </w:tcPr>
          <w:p>
            <w:pPr>
              <w:pStyle w:val="15"/>
            </w:pPr>
            <w:r>
              <w:rPr>
                <w:rFonts w:hint="eastAsia"/>
              </w:rPr>
              <w:t>完成率</w:t>
            </w:r>
          </w:p>
        </w:tc>
        <w:tc>
          <w:tcPr>
            <w:tcW w:w="2268" w:type="dxa"/>
            <w:vAlign w:val="center"/>
          </w:tcPr>
          <w:p>
            <w:pPr>
              <w:pStyle w:val="15"/>
            </w:pPr>
            <w:r>
              <w:t>100%</w:t>
            </w:r>
          </w:p>
        </w:tc>
        <w:tc>
          <w:tcPr>
            <w:tcW w:w="1276" w:type="dxa"/>
            <w:vAlign w:val="center"/>
          </w:tcPr>
          <w:p>
            <w:pPr>
              <w:pStyle w:val="15"/>
            </w:pPr>
            <w:r>
              <w:rPr>
                <w:rFonts w:hint="eastAsia"/>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节本增效</w:t>
            </w:r>
          </w:p>
        </w:tc>
        <w:tc>
          <w:tcPr>
            <w:tcW w:w="5386" w:type="dxa"/>
            <w:vAlign w:val="center"/>
          </w:tcPr>
          <w:p>
            <w:pPr>
              <w:pStyle w:val="15"/>
            </w:pPr>
            <w:r>
              <w:rPr>
                <w:rFonts w:hint="eastAsia"/>
              </w:rPr>
              <w:t>节本增效</w:t>
            </w:r>
          </w:p>
        </w:tc>
        <w:tc>
          <w:tcPr>
            <w:tcW w:w="2268" w:type="dxa"/>
            <w:vAlign w:val="center"/>
          </w:tcPr>
          <w:p>
            <w:pPr>
              <w:pStyle w:val="15"/>
            </w:pPr>
            <w:r>
              <w:rPr>
                <w:rFonts w:hint="eastAsia"/>
              </w:rPr>
              <w:t>≤</w:t>
            </w:r>
            <w:r>
              <w:t>5</w:t>
            </w:r>
            <w:r>
              <w:rPr>
                <w:rFonts w:hint="eastAsia"/>
              </w:rPr>
              <w:t>万元</w:t>
            </w:r>
          </w:p>
        </w:tc>
        <w:tc>
          <w:tcPr>
            <w:tcW w:w="1276" w:type="dxa"/>
            <w:vAlign w:val="center"/>
          </w:tcPr>
          <w:p>
            <w:pPr>
              <w:pStyle w:val="15"/>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5386" w:type="dxa"/>
            <w:vAlign w:val="center"/>
          </w:tcPr>
          <w:p>
            <w:pPr>
              <w:pStyle w:val="15"/>
            </w:pPr>
            <w:r>
              <w:rPr>
                <w:rFonts w:hint="eastAsia"/>
              </w:rPr>
              <w:t>服务对象满意度</w:t>
            </w:r>
          </w:p>
        </w:tc>
        <w:tc>
          <w:tcPr>
            <w:tcW w:w="2268" w:type="dxa"/>
            <w:vAlign w:val="center"/>
          </w:tcPr>
          <w:p>
            <w:pPr>
              <w:pStyle w:val="15"/>
            </w:pPr>
            <w:r>
              <w:rPr>
                <w:rFonts w:hint="eastAsia"/>
              </w:rPr>
              <w:t>≥</w:t>
            </w:r>
            <w:r>
              <w:t>100%</w:t>
            </w:r>
          </w:p>
        </w:tc>
        <w:tc>
          <w:tcPr>
            <w:tcW w:w="1276" w:type="dxa"/>
            <w:vAlign w:val="center"/>
          </w:tcPr>
          <w:p>
            <w:pPr>
              <w:pStyle w:val="15"/>
            </w:pPr>
            <w:r>
              <w:rPr>
                <w:rFonts w:hint="eastAsi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、政府部门权责清单编制经费绩效目标表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5102" w:type="dxa"/>
            <w:gridSpan w:val="2"/>
            <w:vAlign w:val="center"/>
          </w:tcPr>
          <w:p>
            <w:pPr>
              <w:pStyle w:val="15"/>
            </w:pPr>
            <w:r>
              <w:t>13030324P00463210002G</w:t>
            </w:r>
          </w:p>
        </w:tc>
        <w:tc>
          <w:tcPr>
            <w:tcW w:w="2835" w:type="dxa"/>
            <w:vAlign w:val="center"/>
          </w:tcPr>
          <w:p>
            <w:pPr>
              <w:pStyle w:val="13"/>
            </w:pPr>
            <w:r>
              <w:rPr>
                <w:rFonts w:hint="eastAsia"/>
              </w:rPr>
              <w:t>项目名称</w:t>
            </w:r>
          </w:p>
        </w:tc>
        <w:tc>
          <w:tcPr>
            <w:tcW w:w="6094" w:type="dxa"/>
            <w:gridSpan w:val="3"/>
            <w:vAlign w:val="center"/>
          </w:tcPr>
          <w:p>
            <w:pPr>
              <w:pStyle w:val="15"/>
            </w:pPr>
            <w:r>
              <w:rPr>
                <w:rFonts w:hint="eastAsia"/>
              </w:rPr>
              <w:t>政府部门权责清单编制经费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2268" w:type="dxa"/>
            <w:vAlign w:val="center"/>
          </w:tcPr>
          <w:p>
            <w:pPr>
              <w:pStyle w:val="13"/>
            </w:pPr>
            <w:r>
              <w:rPr>
                <w:rFonts w:hint="eastAsia"/>
              </w:rPr>
              <w:t>预算数</w:t>
            </w:r>
          </w:p>
        </w:tc>
        <w:tc>
          <w:tcPr>
            <w:tcW w:w="2835" w:type="dxa"/>
            <w:vAlign w:val="center"/>
          </w:tcPr>
          <w:p>
            <w:pPr>
              <w:pStyle w:val="15"/>
            </w:pPr>
            <w:r>
              <w:t>2.00</w:t>
            </w:r>
          </w:p>
        </w:tc>
        <w:tc>
          <w:tcPr>
            <w:tcW w:w="2835" w:type="dxa"/>
            <w:vAlign w:val="center"/>
          </w:tcPr>
          <w:p>
            <w:pPr>
              <w:pStyle w:val="13"/>
            </w:pPr>
            <w:r>
              <w:rPr>
                <w:rFonts w:hint="eastAsia"/>
              </w:rPr>
              <w:t>其中：财政</w:t>
            </w:r>
            <w:r>
              <w:t xml:space="preserve">    </w:t>
            </w:r>
            <w:r>
              <w:rPr>
                <w:rFonts w:hint="eastAsia"/>
              </w:rPr>
              <w:t>资金</w:t>
            </w:r>
          </w:p>
        </w:tc>
        <w:tc>
          <w:tcPr>
            <w:tcW w:w="2551" w:type="dxa"/>
            <w:vAlign w:val="center"/>
          </w:tcPr>
          <w:p>
            <w:pPr>
              <w:pStyle w:val="15"/>
            </w:pPr>
            <w:r>
              <w:t>2.00</w:t>
            </w:r>
          </w:p>
        </w:tc>
        <w:tc>
          <w:tcPr>
            <w:tcW w:w="2268" w:type="dxa"/>
            <w:vAlign w:val="center"/>
          </w:tcPr>
          <w:p>
            <w:pPr>
              <w:pStyle w:val="13"/>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1.</w:t>
            </w:r>
            <w:r>
              <w:rPr>
                <w:rFonts w:hint="eastAsia"/>
              </w:rPr>
              <w:t>完成政府部门权责清单编制工作</w:t>
            </w:r>
            <w:r>
              <w:t>2.</w:t>
            </w:r>
            <w:r>
              <w:rPr>
                <w:rFonts w:hint="eastAsia"/>
              </w:rPr>
              <w:t>保障本单位工作顺利开展</w:t>
            </w:r>
            <w:r>
              <w:t>3.</w:t>
            </w:r>
            <w:r>
              <w:rPr>
                <w:rFonts w:hint="eastAsia"/>
              </w:rPr>
              <w:t>按照预算金额，合理安排支出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5102" w:type="dxa"/>
            <w:gridSpan w:val="2"/>
            <w:vAlign w:val="center"/>
          </w:tcPr>
          <w:p>
            <w:pPr>
              <w:pStyle w:val="13"/>
            </w:pPr>
            <w:r>
              <w:t>3</w:t>
            </w:r>
            <w:r>
              <w:rPr>
                <w:rFonts w:hint="eastAsia"/>
              </w:rPr>
              <w:t>月底</w:t>
            </w:r>
          </w:p>
        </w:tc>
        <w:tc>
          <w:tcPr>
            <w:tcW w:w="2835" w:type="dxa"/>
            <w:vAlign w:val="center"/>
          </w:tcPr>
          <w:p>
            <w:pPr>
              <w:pStyle w:val="13"/>
            </w:pPr>
            <w:r>
              <w:t>6</w:t>
            </w:r>
            <w:r>
              <w:rPr>
                <w:rFonts w:hint="eastAsia"/>
              </w:rPr>
              <w:t>月底</w:t>
            </w:r>
          </w:p>
        </w:tc>
        <w:tc>
          <w:tcPr>
            <w:tcW w:w="2551" w:type="dxa"/>
            <w:vAlign w:val="center"/>
          </w:tcPr>
          <w:p>
            <w:pPr>
              <w:pStyle w:val="13"/>
            </w:pPr>
            <w:r>
              <w:t>10</w:t>
            </w:r>
            <w:r>
              <w:rPr>
                <w:rFonts w:hint="eastAsia"/>
              </w:rPr>
              <w:t>月底</w:t>
            </w:r>
          </w:p>
        </w:tc>
        <w:tc>
          <w:tcPr>
            <w:tcW w:w="3543"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14031" w:type="dxa"/>
            <w:gridSpan w:val="6"/>
            <w:tcBorders>
              <w:bottom w:val="single" w:color="FFFFFF" w:sz="6" w:space="0"/>
            </w:tcBorders>
            <w:vAlign w:val="center"/>
          </w:tcPr>
          <w:p>
            <w:pPr>
              <w:pStyle w:val="15"/>
            </w:pPr>
            <w:r>
              <w:t>1.</w:t>
            </w:r>
            <w:r>
              <w:rPr>
                <w:rFonts w:hint="eastAsia"/>
              </w:rPr>
              <w:t>完成政府部门权责清单编制工作</w:t>
            </w:r>
          </w:p>
          <w:p>
            <w:pPr>
              <w:pStyle w:val="15"/>
            </w:pPr>
            <w:r>
              <w:t>2.</w:t>
            </w:r>
            <w:r>
              <w:rPr>
                <w:rFonts w:hint="eastAsia"/>
              </w:rPr>
              <w:t>保障本单位工作顺利开展</w:t>
            </w:r>
          </w:p>
          <w:p>
            <w:pPr>
              <w:pStyle w:val="15"/>
            </w:pPr>
            <w:r>
              <w:t>3.</w:t>
            </w:r>
            <w:r>
              <w:rPr>
                <w:rFonts w:hint="eastAsia"/>
              </w:rPr>
              <w:t>按照预算金额，合理安排支出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5386" w:type="dxa"/>
            <w:vAlign w:val="center"/>
          </w:tcPr>
          <w:p>
            <w:pPr>
              <w:pStyle w:val="13"/>
            </w:pPr>
            <w:r>
              <w:rPr>
                <w:rFonts w:hint="eastAsia"/>
              </w:rPr>
              <w:t>绩效指标描述</w:t>
            </w:r>
          </w:p>
        </w:tc>
        <w:tc>
          <w:tcPr>
            <w:tcW w:w="2268" w:type="dxa"/>
            <w:vAlign w:val="center"/>
          </w:tcPr>
          <w:p>
            <w:pPr>
              <w:pStyle w:val="13"/>
            </w:pPr>
            <w:r>
              <w:rPr>
                <w:rFonts w:hint="eastAsia"/>
              </w:rPr>
              <w:t>指标值</w:t>
            </w:r>
          </w:p>
        </w:tc>
        <w:tc>
          <w:tcPr>
            <w:tcW w:w="127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信息业务培训次数</w:t>
            </w:r>
          </w:p>
          <w:p>
            <w:pPr>
              <w:pStyle w:val="15"/>
            </w:pPr>
          </w:p>
          <w:p>
            <w:pPr>
              <w:pStyle w:val="15"/>
            </w:pPr>
          </w:p>
        </w:tc>
        <w:tc>
          <w:tcPr>
            <w:tcW w:w="5386" w:type="dxa"/>
            <w:vAlign w:val="center"/>
          </w:tcPr>
          <w:p>
            <w:pPr>
              <w:pStyle w:val="15"/>
            </w:pPr>
            <w:r>
              <w:rPr>
                <w:rFonts w:hint="eastAsia"/>
              </w:rPr>
              <w:t>信息业务培训次数</w:t>
            </w:r>
          </w:p>
          <w:p>
            <w:pPr>
              <w:pStyle w:val="15"/>
            </w:pPr>
          </w:p>
          <w:p>
            <w:pPr>
              <w:pStyle w:val="15"/>
            </w:pPr>
          </w:p>
        </w:tc>
        <w:tc>
          <w:tcPr>
            <w:tcW w:w="2268" w:type="dxa"/>
            <w:vAlign w:val="center"/>
          </w:tcPr>
          <w:p>
            <w:pPr>
              <w:pStyle w:val="15"/>
            </w:pPr>
            <w:r>
              <w:rPr>
                <w:rFonts w:hint="eastAsia"/>
              </w:rPr>
              <w:t>≥</w:t>
            </w:r>
            <w:r>
              <w:t>10</w:t>
            </w:r>
            <w:r>
              <w:rPr>
                <w:rFonts w:hint="eastAsia"/>
              </w:rPr>
              <w:t>次</w:t>
            </w:r>
          </w:p>
        </w:tc>
        <w:tc>
          <w:tcPr>
            <w:tcW w:w="1276" w:type="dxa"/>
            <w:vAlign w:val="center"/>
          </w:tcPr>
          <w:p>
            <w:pPr>
              <w:pStyle w:val="15"/>
            </w:pPr>
            <w:r>
              <w:rPr>
                <w:rFonts w:hint="eastAsia"/>
              </w:rPr>
              <w:t>信息业务培训次数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工作完成情况</w:t>
            </w:r>
          </w:p>
        </w:tc>
        <w:tc>
          <w:tcPr>
            <w:tcW w:w="5386" w:type="dxa"/>
            <w:vAlign w:val="center"/>
          </w:tcPr>
          <w:p>
            <w:pPr>
              <w:pStyle w:val="15"/>
            </w:pPr>
            <w:r>
              <w:rPr>
                <w:rFonts w:hint="eastAsia"/>
              </w:rPr>
              <w:t>工作完成情况</w:t>
            </w:r>
          </w:p>
        </w:tc>
        <w:tc>
          <w:tcPr>
            <w:tcW w:w="2268" w:type="dxa"/>
            <w:vAlign w:val="center"/>
          </w:tcPr>
          <w:p>
            <w:pPr>
              <w:pStyle w:val="15"/>
            </w:pPr>
            <w:r>
              <w:t>100%</w:t>
            </w:r>
          </w:p>
        </w:tc>
        <w:tc>
          <w:tcPr>
            <w:tcW w:w="1276" w:type="dxa"/>
            <w:vAlign w:val="center"/>
          </w:tcPr>
          <w:p>
            <w:pPr>
              <w:pStyle w:val="15"/>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任务完成时间</w:t>
            </w:r>
          </w:p>
        </w:tc>
        <w:tc>
          <w:tcPr>
            <w:tcW w:w="5386" w:type="dxa"/>
            <w:vAlign w:val="center"/>
          </w:tcPr>
          <w:p>
            <w:pPr>
              <w:pStyle w:val="15"/>
            </w:pPr>
            <w:r>
              <w:rPr>
                <w:rFonts w:hint="eastAsia"/>
              </w:rPr>
              <w:t>项目实施完成</w:t>
            </w:r>
            <w:r>
              <w:tab/>
            </w:r>
          </w:p>
          <w:p>
            <w:pPr>
              <w:pStyle w:val="15"/>
            </w:pPr>
          </w:p>
          <w:p>
            <w:pPr>
              <w:pStyle w:val="15"/>
            </w:pPr>
          </w:p>
        </w:tc>
        <w:tc>
          <w:tcPr>
            <w:tcW w:w="2268" w:type="dxa"/>
            <w:vAlign w:val="center"/>
          </w:tcPr>
          <w:p>
            <w:pPr>
              <w:pStyle w:val="15"/>
            </w:pPr>
            <w:r>
              <w:t>100%</w:t>
            </w:r>
          </w:p>
        </w:tc>
        <w:tc>
          <w:tcPr>
            <w:tcW w:w="1276" w:type="dxa"/>
            <w:vAlign w:val="center"/>
          </w:tcPr>
          <w:p>
            <w:pPr>
              <w:pStyle w:val="15"/>
            </w:pPr>
            <w:r>
              <w:rPr>
                <w:rFonts w:hint="eastAsia"/>
              </w:rPr>
              <w:t>项目实施完成</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w:t>
            </w:r>
          </w:p>
        </w:tc>
        <w:tc>
          <w:tcPr>
            <w:tcW w:w="5386" w:type="dxa"/>
            <w:vAlign w:val="center"/>
          </w:tcPr>
          <w:p>
            <w:pPr>
              <w:pStyle w:val="15"/>
            </w:pPr>
            <w:r>
              <w:rPr>
                <w:rFonts w:hint="eastAsia"/>
              </w:rPr>
              <w:t>成本控制</w:t>
            </w:r>
          </w:p>
        </w:tc>
        <w:tc>
          <w:tcPr>
            <w:tcW w:w="2268" w:type="dxa"/>
            <w:vAlign w:val="center"/>
          </w:tcPr>
          <w:p>
            <w:pPr>
              <w:pStyle w:val="15"/>
            </w:pPr>
            <w:r>
              <w:rPr>
                <w:rFonts w:hint="eastAsia"/>
              </w:rPr>
              <w:t>≤</w:t>
            </w:r>
            <w:r>
              <w:t>2</w:t>
            </w:r>
            <w:r>
              <w:rPr>
                <w:rFonts w:hint="eastAsia"/>
              </w:rPr>
              <w:t>万元</w:t>
            </w:r>
          </w:p>
        </w:tc>
        <w:tc>
          <w:tcPr>
            <w:tcW w:w="1276" w:type="dxa"/>
            <w:vAlign w:val="center"/>
          </w:tcPr>
          <w:p>
            <w:pPr>
              <w:pStyle w:val="15"/>
            </w:pPr>
            <w:r>
              <w:rPr>
                <w:rFonts w:hint="eastAsia"/>
              </w:rP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业务保障能力</w:t>
            </w:r>
          </w:p>
        </w:tc>
        <w:tc>
          <w:tcPr>
            <w:tcW w:w="5386" w:type="dxa"/>
            <w:vAlign w:val="center"/>
          </w:tcPr>
          <w:p>
            <w:pPr>
              <w:pStyle w:val="15"/>
            </w:pPr>
            <w:r>
              <w:rPr>
                <w:rFonts w:hint="eastAsia"/>
              </w:rPr>
              <w:t>保障相关业务、工作等开展的情况</w:t>
            </w:r>
          </w:p>
        </w:tc>
        <w:tc>
          <w:tcPr>
            <w:tcW w:w="2268" w:type="dxa"/>
            <w:vAlign w:val="center"/>
          </w:tcPr>
          <w:p>
            <w:pPr>
              <w:pStyle w:val="15"/>
            </w:pPr>
            <w:r>
              <w:t>100%</w:t>
            </w:r>
          </w:p>
        </w:tc>
        <w:tc>
          <w:tcPr>
            <w:tcW w:w="1276" w:type="dxa"/>
            <w:vAlign w:val="center"/>
          </w:tcPr>
          <w:p>
            <w:pPr>
              <w:pStyle w:val="15"/>
            </w:pPr>
            <w:r>
              <w:rPr>
                <w:rFonts w:hint="eastAsia"/>
              </w:rP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服务对象满意度指标</w:t>
            </w:r>
          </w:p>
        </w:tc>
        <w:tc>
          <w:tcPr>
            <w:tcW w:w="5386" w:type="dxa"/>
            <w:vAlign w:val="center"/>
          </w:tcPr>
          <w:p>
            <w:pPr>
              <w:pStyle w:val="15"/>
            </w:pPr>
            <w:r>
              <w:rPr>
                <w:rFonts w:hint="eastAsia"/>
              </w:rPr>
              <w:t>服务对象满意度指标</w:t>
            </w:r>
          </w:p>
        </w:tc>
        <w:tc>
          <w:tcPr>
            <w:tcW w:w="2268" w:type="dxa"/>
            <w:vAlign w:val="center"/>
          </w:tcPr>
          <w:p>
            <w:pPr>
              <w:pStyle w:val="15"/>
            </w:pPr>
            <w:r>
              <w:t>100%</w:t>
            </w:r>
          </w:p>
        </w:tc>
        <w:tc>
          <w:tcPr>
            <w:tcW w:w="1276" w:type="dxa"/>
            <w:vAlign w:val="center"/>
          </w:tcPr>
          <w:p>
            <w:pPr>
              <w:pStyle w:val="15"/>
            </w:pPr>
            <w:r>
              <w:rPr>
                <w:rFonts w:hint="eastAsia"/>
              </w:rPr>
              <w:t>服务对象满意度指标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225</w:t>
            </w:r>
            <w:r>
              <w:rPr>
                <w:rFonts w:hint="eastAsia"/>
              </w:rPr>
              <w:t>编委部门</w:t>
            </w:r>
          </w:p>
        </w:tc>
        <w:tc>
          <w:tcPr>
            <w:tcW w:w="7710" w:type="dxa"/>
            <w:gridSpan w:val="8"/>
            <w:tcBorders>
              <w:top w:val="single" w:color="FFFFFF" w:sz="6" w:space="0"/>
              <w:left w:val="single" w:color="FFFFFF" w:sz="6" w:space="0"/>
              <w:right w:val="single" w:color="FFFFFF" w:sz="6" w:space="0"/>
            </w:tcBorders>
            <w:vAlign w:val="center"/>
          </w:tcPr>
          <w:p>
            <w:pPr>
              <w:pStyle w:val="2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rPr>
                <w:rFonts w:hint="eastAsia"/>
              </w:rPr>
              <w:t>政府采购项目来源</w:t>
            </w:r>
          </w:p>
        </w:tc>
        <w:tc>
          <w:tcPr>
            <w:tcW w:w="1134" w:type="dxa"/>
            <w:vMerge w:val="restart"/>
            <w:vAlign w:val="center"/>
          </w:tcPr>
          <w:p>
            <w:pPr>
              <w:pStyle w:val="13"/>
            </w:pPr>
            <w:r>
              <w:rPr>
                <w:rFonts w:hint="eastAsia"/>
              </w:rPr>
              <w:t>采购物品名称</w:t>
            </w:r>
          </w:p>
        </w:tc>
        <w:tc>
          <w:tcPr>
            <w:tcW w:w="1134" w:type="dxa"/>
            <w:vMerge w:val="restart"/>
            <w:vAlign w:val="center"/>
          </w:tcPr>
          <w:p>
            <w:pPr>
              <w:pStyle w:val="13"/>
            </w:pPr>
            <w:r>
              <w:rPr>
                <w:rFonts w:hint="eastAsia"/>
              </w:rPr>
              <w:t>政府采购目录序号</w:t>
            </w:r>
          </w:p>
        </w:tc>
        <w:tc>
          <w:tcPr>
            <w:tcW w:w="709" w:type="dxa"/>
            <w:vMerge w:val="restart"/>
            <w:vAlign w:val="center"/>
          </w:tcPr>
          <w:p>
            <w:pPr>
              <w:pStyle w:val="13"/>
            </w:pPr>
            <w:r>
              <w:rPr>
                <w:rFonts w:hint="eastAsia"/>
              </w:rPr>
              <w:t>计量</w:t>
            </w:r>
            <w:r>
              <w:t xml:space="preserve">  </w:t>
            </w:r>
            <w:r>
              <w:rPr>
                <w:rFonts w:hint="eastAsia"/>
              </w:rPr>
              <w:t>单位</w:t>
            </w:r>
          </w:p>
        </w:tc>
        <w:tc>
          <w:tcPr>
            <w:tcW w:w="850" w:type="dxa"/>
            <w:vMerge w:val="restart"/>
            <w:vAlign w:val="center"/>
          </w:tcPr>
          <w:p>
            <w:pPr>
              <w:pStyle w:val="13"/>
            </w:pPr>
            <w:r>
              <w:rPr>
                <w:rFonts w:hint="eastAsia"/>
              </w:rPr>
              <w:t>数量</w:t>
            </w:r>
          </w:p>
        </w:tc>
        <w:tc>
          <w:tcPr>
            <w:tcW w:w="850" w:type="dxa"/>
            <w:vMerge w:val="restart"/>
            <w:vAlign w:val="center"/>
          </w:tcPr>
          <w:p>
            <w:pPr>
              <w:pStyle w:val="13"/>
            </w:pPr>
            <w:r>
              <w:rPr>
                <w:rFonts w:hint="eastAsia"/>
              </w:rPr>
              <w:t>单价</w:t>
            </w:r>
          </w:p>
        </w:tc>
        <w:tc>
          <w:tcPr>
            <w:tcW w:w="6746" w:type="dxa"/>
            <w:gridSpan w:val="7"/>
            <w:vAlign w:val="center"/>
          </w:tcPr>
          <w:p>
            <w:pPr>
              <w:pStyle w:val="13"/>
            </w:pPr>
            <w:r>
              <w:rPr>
                <w:rFonts w:hint="eastAsia"/>
              </w:rPr>
              <w:t>政府采购金额（当年部门预算安排资金）</w:t>
            </w:r>
          </w:p>
        </w:tc>
        <w:tc>
          <w:tcPr>
            <w:tcW w:w="964" w:type="dxa"/>
            <w:vMerge w:val="restart"/>
            <w:vAlign w:val="center"/>
          </w:tcPr>
          <w:p>
            <w:pPr>
              <w:pStyle w:val="13"/>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rPr>
                <w:rFonts w:hint="eastAsia"/>
              </w:rPr>
              <w:t>项目名称</w:t>
            </w:r>
          </w:p>
        </w:tc>
        <w:tc>
          <w:tcPr>
            <w:tcW w:w="964" w:type="dxa"/>
            <w:vAlign w:val="center"/>
          </w:tcPr>
          <w:p>
            <w:pPr>
              <w:pStyle w:val="13"/>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rPr>
                <w:rFonts w:hint="eastAsia"/>
              </w:rPr>
              <w:t>合计</w:t>
            </w:r>
          </w:p>
        </w:tc>
        <w:tc>
          <w:tcPr>
            <w:tcW w:w="964" w:type="dxa"/>
            <w:vAlign w:val="center"/>
          </w:tcPr>
          <w:p>
            <w:pPr>
              <w:pStyle w:val="13"/>
            </w:pPr>
            <w:r>
              <w:rPr>
                <w:rFonts w:hint="eastAsia"/>
              </w:rPr>
              <w:t>一般公共预算拨款</w:t>
            </w:r>
          </w:p>
        </w:tc>
        <w:tc>
          <w:tcPr>
            <w:tcW w:w="964" w:type="dxa"/>
            <w:vAlign w:val="center"/>
          </w:tcPr>
          <w:p>
            <w:pPr>
              <w:pStyle w:val="13"/>
            </w:pPr>
            <w:r>
              <w:rPr>
                <w:rFonts w:hint="eastAsia"/>
              </w:rPr>
              <w:t>基金预算拨款</w:t>
            </w:r>
          </w:p>
        </w:tc>
        <w:tc>
          <w:tcPr>
            <w:tcW w:w="964" w:type="dxa"/>
            <w:vAlign w:val="center"/>
          </w:tcPr>
          <w:p>
            <w:pPr>
              <w:pStyle w:val="13"/>
            </w:pPr>
            <w:r>
              <w:rPr>
                <w:rFonts w:hint="eastAsia"/>
              </w:rPr>
              <w:t>国有资本经营预算拨款</w:t>
            </w:r>
          </w:p>
        </w:tc>
        <w:tc>
          <w:tcPr>
            <w:tcW w:w="964" w:type="dxa"/>
            <w:vAlign w:val="center"/>
          </w:tcPr>
          <w:p>
            <w:pPr>
              <w:pStyle w:val="13"/>
            </w:pPr>
            <w:r>
              <w:rPr>
                <w:rFonts w:hint="eastAsia"/>
              </w:rPr>
              <w:t>财政专户核拨</w:t>
            </w:r>
          </w:p>
        </w:tc>
        <w:tc>
          <w:tcPr>
            <w:tcW w:w="964" w:type="dxa"/>
            <w:vAlign w:val="center"/>
          </w:tcPr>
          <w:p>
            <w:pPr>
              <w:pStyle w:val="13"/>
            </w:pPr>
            <w:r>
              <w:rPr>
                <w:rFonts w:hint="eastAsia"/>
              </w:rPr>
              <w:t>单位</w:t>
            </w:r>
            <w:r>
              <w:t xml:space="preserve">    </w:t>
            </w:r>
            <w:r>
              <w:rPr>
                <w:rFonts w:hint="eastAsia"/>
              </w:rPr>
              <w:t>资金</w:t>
            </w:r>
          </w:p>
        </w:tc>
        <w:tc>
          <w:tcPr>
            <w:tcW w:w="964" w:type="dxa"/>
            <w:vAlign w:val="center"/>
          </w:tcPr>
          <w:p>
            <w:pPr>
              <w:pStyle w:val="13"/>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合</w:t>
            </w:r>
            <w:r>
              <w:t xml:space="preserve">  </w:t>
            </w:r>
            <w:r>
              <w:rPr>
                <w:rFonts w:hint="eastAsia"/>
              </w:rPr>
              <w:t>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0.65</w:t>
            </w:r>
          </w:p>
        </w:tc>
        <w:tc>
          <w:tcPr>
            <w:tcW w:w="964" w:type="dxa"/>
            <w:vAlign w:val="center"/>
          </w:tcPr>
          <w:p>
            <w:pPr>
              <w:pStyle w:val="18"/>
            </w:pPr>
            <w:r>
              <w:t>0.65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rPr>
                <w:rFonts w:hint="eastAsia"/>
              </w:rPr>
              <w:t>编委部门中共秦皇岛市山海关区委机构编制委员会办公室本级小计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0.65</w:t>
            </w:r>
          </w:p>
        </w:tc>
        <w:tc>
          <w:tcPr>
            <w:tcW w:w="964" w:type="dxa"/>
            <w:vAlign w:val="center"/>
          </w:tcPr>
          <w:p>
            <w:pPr>
              <w:pStyle w:val="18"/>
            </w:pPr>
            <w:r>
              <w:t>0.65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年运转类公用经费项目（一）</w:t>
            </w:r>
          </w:p>
        </w:tc>
        <w:tc>
          <w:tcPr>
            <w:tcW w:w="964" w:type="dxa"/>
            <w:vAlign w:val="center"/>
          </w:tcPr>
          <w:p>
            <w:pPr>
              <w:pStyle w:val="14"/>
            </w:pPr>
            <w:r>
              <w:t>9.19</w:t>
            </w:r>
          </w:p>
        </w:tc>
        <w:tc>
          <w:tcPr>
            <w:tcW w:w="1134" w:type="dxa"/>
            <w:vAlign w:val="center"/>
          </w:tcPr>
          <w:p>
            <w:pPr>
              <w:pStyle w:val="15"/>
            </w:pPr>
            <w:r>
              <w:rPr>
                <w:rFonts w:hint="eastAsia"/>
              </w:rPr>
              <w:t>复印纸</w:t>
            </w:r>
          </w:p>
        </w:tc>
        <w:tc>
          <w:tcPr>
            <w:tcW w:w="1134" w:type="dxa"/>
            <w:vAlign w:val="center"/>
          </w:tcPr>
          <w:p>
            <w:pPr>
              <w:pStyle w:val="15"/>
            </w:pPr>
            <w:r>
              <w:t>A05040101</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年运转类公用经费项目（一）</w:t>
            </w:r>
          </w:p>
        </w:tc>
        <w:tc>
          <w:tcPr>
            <w:tcW w:w="964" w:type="dxa"/>
            <w:vAlign w:val="center"/>
          </w:tcPr>
          <w:p>
            <w:pPr>
              <w:pStyle w:val="14"/>
            </w:pPr>
            <w:r>
              <w:t>9.19</w:t>
            </w:r>
          </w:p>
        </w:tc>
        <w:tc>
          <w:tcPr>
            <w:tcW w:w="1134" w:type="dxa"/>
            <w:vAlign w:val="center"/>
          </w:tcPr>
          <w:p>
            <w:pPr>
              <w:pStyle w:val="15"/>
            </w:pPr>
            <w:r>
              <w:rPr>
                <w:rFonts w:hint="eastAsia"/>
              </w:rPr>
              <w:t>其他硒鼓、粉盒</w:t>
            </w:r>
          </w:p>
        </w:tc>
        <w:tc>
          <w:tcPr>
            <w:tcW w:w="1134" w:type="dxa"/>
            <w:vAlign w:val="center"/>
          </w:tcPr>
          <w:p>
            <w:pPr>
              <w:pStyle w:val="15"/>
            </w:pPr>
            <w:r>
              <w:t>A05040299</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0.30</w:t>
            </w:r>
          </w:p>
        </w:tc>
        <w:tc>
          <w:tcPr>
            <w:tcW w:w="964" w:type="dxa"/>
            <w:vAlign w:val="center"/>
          </w:tcPr>
          <w:p>
            <w:pPr>
              <w:pStyle w:val="14"/>
            </w:pPr>
            <w:r>
              <w:t>0.30</w:t>
            </w:r>
          </w:p>
        </w:tc>
        <w:tc>
          <w:tcPr>
            <w:tcW w:w="964" w:type="dxa"/>
            <w:vAlign w:val="center"/>
          </w:tcPr>
          <w:p>
            <w:pPr>
              <w:pStyle w:val="14"/>
            </w:pPr>
            <w:r>
              <w:t>0.30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2024</w:t>
            </w:r>
            <w:r>
              <w:rPr>
                <w:rFonts w:hint="eastAsia"/>
              </w:rPr>
              <w:t>年运转类公用经费项目（一）</w:t>
            </w:r>
          </w:p>
        </w:tc>
        <w:tc>
          <w:tcPr>
            <w:tcW w:w="964" w:type="dxa"/>
            <w:vAlign w:val="center"/>
          </w:tcPr>
          <w:p>
            <w:pPr>
              <w:pStyle w:val="14"/>
            </w:pPr>
            <w:r>
              <w:t>9.19</w:t>
            </w:r>
          </w:p>
        </w:tc>
        <w:tc>
          <w:tcPr>
            <w:tcW w:w="1134" w:type="dxa"/>
            <w:vAlign w:val="center"/>
          </w:tcPr>
          <w:p>
            <w:pPr>
              <w:pStyle w:val="15"/>
            </w:pPr>
            <w:r>
              <w:rPr>
                <w:rFonts w:hint="eastAsia"/>
              </w:rPr>
              <w:t>其他信息技术服务</w:t>
            </w:r>
          </w:p>
        </w:tc>
        <w:tc>
          <w:tcPr>
            <w:tcW w:w="1134" w:type="dxa"/>
            <w:vAlign w:val="center"/>
          </w:tcPr>
          <w:p>
            <w:pPr>
              <w:pStyle w:val="15"/>
            </w:pPr>
            <w:r>
              <w:t>C16990000</w:t>
            </w:r>
          </w:p>
        </w:tc>
        <w:tc>
          <w:tcPr>
            <w:tcW w:w="709" w:type="dxa"/>
            <w:vAlign w:val="center"/>
          </w:tcPr>
          <w:p>
            <w:pPr>
              <w:pStyle w:val="16"/>
            </w:pPr>
            <w:r>
              <w:t>1</w:t>
            </w:r>
          </w:p>
        </w:tc>
        <w:tc>
          <w:tcPr>
            <w:tcW w:w="850" w:type="dxa"/>
            <w:vAlign w:val="center"/>
          </w:tcPr>
          <w:p>
            <w:pPr>
              <w:pStyle w:val="14"/>
            </w:pPr>
            <w:r>
              <w:t>1</w:t>
            </w:r>
          </w:p>
        </w:tc>
        <w:tc>
          <w:tcPr>
            <w:tcW w:w="850" w:type="dxa"/>
            <w:vAlign w:val="center"/>
          </w:tcPr>
          <w:p>
            <w:pPr>
              <w:pStyle w:val="14"/>
            </w:pPr>
            <w:r>
              <w:t>0.15</w:t>
            </w:r>
          </w:p>
        </w:tc>
        <w:tc>
          <w:tcPr>
            <w:tcW w:w="964" w:type="dxa"/>
            <w:vAlign w:val="center"/>
          </w:tcPr>
          <w:p>
            <w:pPr>
              <w:pStyle w:val="14"/>
            </w:pPr>
            <w:r>
              <w:t>0.15</w:t>
            </w:r>
          </w:p>
        </w:tc>
        <w:tc>
          <w:tcPr>
            <w:tcW w:w="964" w:type="dxa"/>
            <w:vAlign w:val="center"/>
          </w:tcPr>
          <w:p>
            <w:pPr>
              <w:pStyle w:val="14"/>
            </w:pPr>
            <w:r>
              <w:t>0.15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编委部门（含所属单位）上年末固定资产金额为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50" w:type="dxa"/>
            <w:tcBorders>
              <w:top w:val="single" w:color="FFFFFF" w:sz="6" w:space="0"/>
              <w:left w:val="single" w:color="FFFFFF" w:sz="6" w:space="0"/>
              <w:right w:val="single" w:color="FFFFFF" w:sz="6" w:space="0"/>
            </w:tcBorders>
            <w:vAlign w:val="center"/>
          </w:tcPr>
          <w:p>
            <w:pPr>
              <w:pStyle w:val="12"/>
              <w:rPr>
                <w:rFonts w:ascii="方正小标宋_GBK" w:hAnsi="方正小标宋_GBK" w:eastAsia="方正小标宋_GBK" w:cs="方正小标宋_GBK"/>
                <w:kern w:val="0"/>
                <w:sz w:val="24"/>
                <w:szCs w:val="24"/>
                <w:lang w:val="en-US" w:eastAsia="uk-UA" w:bidi="ar-SA"/>
              </w:rPr>
            </w:pPr>
            <w:r>
              <w:t>225</w:t>
            </w:r>
            <w:r>
              <w:rPr>
                <w:rFonts w:hint="eastAsia"/>
              </w:rPr>
              <w:t>编委部门</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5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资产总额</w:t>
            </w:r>
          </w:p>
        </w:tc>
        <w:tc>
          <w:tcPr>
            <w:tcW w:w="2835" w:type="dxa"/>
            <w:vAlign w:val="center"/>
          </w:tcPr>
          <w:p>
            <w:pPr>
              <w:pStyle w:val="16"/>
            </w:pPr>
          </w:p>
        </w:tc>
        <w:tc>
          <w:tcPr>
            <w:tcW w:w="2835" w:type="dxa"/>
            <w:vAlign w:val="center"/>
          </w:tcPr>
          <w:p>
            <w:pPr>
              <w:pStyle w:val="14"/>
            </w:pPr>
            <w:r>
              <w:t>1</w:t>
            </w:r>
            <w:r>
              <w:rPr>
                <w:rFonts w:hint="eastAsia"/>
                <w:lang w:val="en-US" w:eastAsia="zh-CN"/>
              </w:rPr>
              <w:t>9.7</w:t>
            </w: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50" w:type="dxa"/>
            <w:vAlign w:val="center"/>
          </w:tcPr>
          <w:p>
            <w:pPr>
              <w:pStyle w:val="15"/>
            </w:pPr>
            <w:r>
              <w:t>4、其他固定资产</w:t>
            </w:r>
          </w:p>
        </w:tc>
        <w:tc>
          <w:tcPr>
            <w:tcW w:w="2835" w:type="dxa"/>
            <w:vAlign w:val="center"/>
          </w:tcPr>
          <w:p>
            <w:pPr>
              <w:pStyle w:val="16"/>
              <w:rPr>
                <w:rFonts w:hint="default" w:eastAsia="方正书宋_GBK"/>
                <w:lang w:val="en-US" w:eastAsia="zh-CN"/>
              </w:rPr>
            </w:pPr>
            <w:r>
              <w:rPr>
                <w:rFonts w:hint="eastAsia"/>
                <w:lang w:val="en-US" w:eastAsia="zh-CN"/>
              </w:rPr>
              <w:t>59</w:t>
            </w:r>
          </w:p>
        </w:tc>
        <w:tc>
          <w:tcPr>
            <w:tcW w:w="2835" w:type="dxa"/>
            <w:vAlign w:val="center"/>
          </w:tcPr>
          <w:p>
            <w:pPr>
              <w:pStyle w:val="14"/>
              <w:rPr>
                <w:rFonts w:ascii="方正书宋_GBK" w:hAnsi="方正书宋_GBK" w:eastAsia="方正书宋_GBK" w:cs="方正书宋_GBK"/>
                <w:kern w:val="0"/>
                <w:sz w:val="21"/>
                <w:szCs w:val="24"/>
                <w:lang w:val="en-US" w:eastAsia="uk-UA" w:bidi="ar-SA"/>
              </w:rPr>
            </w:pPr>
            <w:r>
              <w:t>1</w:t>
            </w:r>
            <w:r>
              <w:rPr>
                <w:rFonts w:hint="eastAsia"/>
                <w:lang w:val="en-US" w:eastAsia="zh-CN"/>
              </w:rPr>
              <w:t>9.7</w:t>
            </w:r>
            <w:r>
              <w:t>7</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w:t>
      </w:r>
      <w:bookmarkStart w:id="20" w:name="_GoBack"/>
      <w:bookmarkEnd w:id="20"/>
      <w:r>
        <w:rPr>
          <w:rFonts w:hint="eastAsia" w:eastAsia="方正仿宋_GBK"/>
          <w:color w:val="000000"/>
          <w:sz w:val="28"/>
        </w:rPr>
        <w:t>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669"/>
    <w:rsid w:val="005001B9"/>
    <w:rsid w:val="007E5CAA"/>
    <w:rsid w:val="008C2C39"/>
    <w:rsid w:val="00D06D06"/>
    <w:rsid w:val="00EF6669"/>
    <w:rsid w:val="0AEF43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29"/>
    <w:uiPriority w:val="99"/>
    <w:pPr>
      <w:tabs>
        <w:tab w:val="center" w:pos="4153"/>
        <w:tab w:val="right" w:pos="8306"/>
      </w:tabs>
      <w:snapToGrid w:val="0"/>
    </w:pPr>
    <w:rPr>
      <w:sz w:val="18"/>
      <w:szCs w:val="18"/>
    </w:rPr>
  </w:style>
  <w:style w:type="paragraph" w:styleId="4">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spacing w:before="120"/>
      <w:ind w:firstLine="560"/>
    </w:pPr>
    <w:rPr>
      <w:rFonts w:eastAsia="方正仿宋_GBK"/>
      <w:color w:val="000000"/>
      <w:sz w:val="28"/>
    </w:rPr>
  </w:style>
  <w:style w:type="paragraph" w:styleId="6">
    <w:name w:val="toc 2"/>
    <w:basedOn w:val="1"/>
    <w:next w:val="1"/>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uiPriority w:val="99"/>
    <w:pPr>
      <w:jc w:val="right"/>
    </w:pPr>
    <w:rPr>
      <w:rFonts w:ascii="方正小标宋_GBK" w:hAnsi="方正小标宋_GBK" w:eastAsia="方正小标宋_GBK" w:cs="方正小标宋_GBK"/>
    </w:rPr>
  </w:style>
  <w:style w:type="paragraph" w:customStyle="1" w:styleId="11">
    <w:name w:val="单元格样式21"/>
    <w:basedOn w:val="1"/>
    <w:uiPriority w:val="99"/>
    <w:pPr>
      <w:jc w:val="center"/>
    </w:pPr>
    <w:rPr>
      <w:rFonts w:ascii="方正小标宋_GBK" w:hAnsi="方正小标宋_GBK" w:eastAsia="方正小标宋_GBK" w:cs="方正小标宋_GBK"/>
    </w:rPr>
  </w:style>
  <w:style w:type="paragraph" w:customStyle="1" w:styleId="12">
    <w:name w:val="单元格样式20"/>
    <w:basedOn w:val="1"/>
    <w:uiPriority w:val="99"/>
    <w:rPr>
      <w:rFonts w:ascii="方正小标宋_GBK" w:hAnsi="方正小标宋_GBK" w:eastAsia="方正小标宋_GBK" w:cs="方正小标宋_GBK"/>
    </w:rPr>
  </w:style>
  <w:style w:type="paragraph" w:customStyle="1" w:styleId="13">
    <w:name w:val="单元格样式1"/>
    <w:basedOn w:val="1"/>
    <w:uiPriority w:val="99"/>
    <w:pPr>
      <w:jc w:val="center"/>
    </w:pPr>
    <w:rPr>
      <w:rFonts w:ascii="方正书宋_GBK" w:hAnsi="方正书宋_GBK" w:eastAsia="方正书宋_GBK" w:cs="方正书宋_GBK"/>
      <w:b/>
      <w:sz w:val="21"/>
    </w:rPr>
  </w:style>
  <w:style w:type="paragraph" w:customStyle="1" w:styleId="14">
    <w:name w:val="单元格样式4"/>
    <w:basedOn w:val="1"/>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4">
    <w:name w:val="插入文本样式-插入总体目标文件"/>
    <w:basedOn w:val="1"/>
    <w:uiPriority w:val="99"/>
    <w:pPr>
      <w:spacing w:line="500" w:lineRule="exact"/>
      <w:ind w:firstLine="560"/>
    </w:pPr>
    <w:rPr>
      <w:rFonts w:eastAsia="方正仿宋_GBK"/>
      <w:sz w:val="28"/>
    </w:rPr>
  </w:style>
  <w:style w:type="paragraph" w:customStyle="1" w:styleId="25">
    <w:name w:val="插入文本样式-插入职责分类绩效目标文件"/>
    <w:basedOn w:val="1"/>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7">
    <w:name w:val="单元格样式23"/>
    <w:basedOn w:val="1"/>
    <w:uiPriority w:val="99"/>
    <w:pPr>
      <w:jc w:val="right"/>
    </w:pPr>
    <w:rPr>
      <w:rFonts w:ascii="方正书宋_GBK" w:hAnsi="方正书宋_GBK" w:eastAsia="方正书宋_GBK" w:cs="方正书宋_GBK"/>
    </w:rPr>
  </w:style>
  <w:style w:type="character" w:customStyle="1" w:styleId="28">
    <w:name w:val="Header Char"/>
    <w:basedOn w:val="9"/>
    <w:link w:val="4"/>
    <w:semiHidden/>
    <w:uiPriority w:val="99"/>
    <w:rPr>
      <w:kern w:val="0"/>
      <w:sz w:val="18"/>
      <w:szCs w:val="18"/>
      <w:lang w:eastAsia="uk-UA"/>
    </w:rPr>
  </w:style>
  <w:style w:type="character" w:customStyle="1" w:styleId="29">
    <w:name w:val="Footer Char"/>
    <w:basedOn w:val="9"/>
    <w:link w:val="3"/>
    <w:semiHidden/>
    <w:uiPriority w:val="99"/>
    <w:rPr>
      <w:kern w:val="0"/>
      <w:sz w:val="18"/>
      <w:szCs w:val="18"/>
      <w:lang w:eastAsia="uk-UA"/>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1942</Words>
  <Characters>11073</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2024-08-14T08:27:00Z</dcterms:created>
  <dc:creator>Administrator</dc:creator>
  <cp:lastModifiedBy>Administrator</cp:lastModifiedBy>
  <dcterms:modified xsi:type="dcterms:W3CDTF">2024-08-15T07:56:41Z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