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b/>
          <w:color w:val="000000"/>
          <w:sz w:val="44"/>
          <w:lang w:val="en-US" w:eastAsia="zh-CN"/>
        </w:rPr>
      </w:pPr>
      <w:r>
        <w:rPr>
          <w:rFonts w:hint="eastAsia"/>
          <w:b/>
          <w:color w:val="000000"/>
          <w:sz w:val="44"/>
          <w:lang w:eastAsia="zh-CN"/>
        </w:rPr>
        <w:t>秦皇岛市山海关区</w:t>
      </w:r>
      <w:r>
        <w:rPr>
          <w:rFonts w:hint="eastAsia"/>
          <w:b/>
          <w:color w:val="000000"/>
          <w:sz w:val="44"/>
          <w:lang w:val="en-US" w:eastAsia="zh-CN"/>
        </w:rPr>
        <w:t>司法局本级</w:t>
      </w:r>
    </w:p>
    <w:p>
      <w:pPr>
        <w:spacing w:before="0" w:after="0" w:line="240" w:lineRule="auto"/>
        <w:ind w:firstLine="0"/>
        <w:jc w:val="center"/>
        <w:outlineLvl w:val="0"/>
        <w:rPr>
          <w:rFonts w:hint="eastAsia"/>
          <w:b/>
          <w:color w:val="000000"/>
          <w:sz w:val="44"/>
          <w:lang w:eastAsia="zh-CN"/>
        </w:rPr>
      </w:pPr>
      <w:r>
        <w:rPr>
          <w:b/>
          <w:color w:val="000000"/>
          <w:sz w:val="44"/>
        </w:rPr>
        <w:t>2023年</w:t>
      </w:r>
      <w:r>
        <w:rPr>
          <w:rFonts w:hint="eastAsia"/>
          <w:b/>
          <w:color w:val="000000"/>
          <w:sz w:val="44"/>
          <w:lang w:eastAsia="zh-CN"/>
        </w:rPr>
        <w:t>单位预算信息公开目录</w:t>
      </w:r>
    </w:p>
    <w:p/>
    <w:p>
      <w:pPr>
        <w:jc w:val="center"/>
      </w:pPr>
      <w:r>
        <w:fldChar w:fldCharType="begin"/>
      </w:r>
      <w:r>
        <w:instrText xml:space="preserve">TOC \o "4-4" \h \z \u</w:instrText>
      </w:r>
      <w:r>
        <w:fldChar w:fldCharType="separate"/>
      </w: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秦皇岛市山海关区</w:t>
      </w:r>
      <w:r>
        <w:rPr>
          <w:rFonts w:hint="eastAsia" w:ascii="黑体" w:hAnsi="黑体" w:eastAsia="黑体" w:cs="黑体"/>
          <w:b/>
          <w:color w:val="000000"/>
          <w:sz w:val="30"/>
          <w:lang w:val="en-US" w:eastAsia="zh-CN"/>
        </w:rPr>
        <w:t>司法局本级</w:t>
      </w:r>
      <w:r>
        <w:rPr>
          <w:rFonts w:ascii="黑体" w:hAnsi="黑体" w:eastAsia="黑体" w:cs="黑体"/>
          <w:b/>
          <w:color w:val="000000"/>
          <w:sz w:val="30"/>
        </w:rPr>
        <w:t>预算</w:t>
      </w:r>
    </w:p>
    <w:p>
      <w:r>
        <w:rPr>
          <w:rFonts w:hint="eastAsia" w:ascii="方正楷体_GBK" w:hAnsi="方正楷体_GBK" w:eastAsia="方正楷体_GBK" w:cs="方正楷体_GBK"/>
          <w:b/>
          <w:bCs w:val="0"/>
          <w:color w:val="000000"/>
          <w:sz w:val="28"/>
          <w:lang w:eastAsia="zh-CN"/>
        </w:rPr>
        <w:t>秦皇岛市山海关区</w:t>
      </w:r>
      <w:r>
        <w:rPr>
          <w:rFonts w:hint="eastAsia" w:ascii="方正楷体_GBK" w:hAnsi="方正楷体_GBK" w:eastAsia="方正楷体_GBK" w:cs="方正楷体_GBK"/>
          <w:b/>
          <w:bCs w:val="0"/>
          <w:color w:val="000000"/>
          <w:sz w:val="28"/>
          <w:lang w:val="en-US" w:eastAsia="zh-CN"/>
        </w:rPr>
        <w:t>司法局本级</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eastAsia="宋体"/>
          <w:lang w:val="en-US" w:eastAsia="zh-CN"/>
        </w:rPr>
        <w:t>3</w:t>
      </w:r>
      <w: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1"/>
        <w:tabs>
          <w:tab w:val="right" w:leader="dot" w:pos="14562"/>
        </w:tabs>
        <w:rPr>
          <w:rFonts w:hint="default"/>
          <w:lang w:val="en-US"/>
        </w:rPr>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1</w:t>
      </w:r>
    </w:p>
    <w:p>
      <w:pPr>
        <w:pStyle w:val="31"/>
        <w:tabs>
          <w:tab w:val="right" w:leader="dot" w:pos="14562"/>
        </w:tabs>
        <w:rPr>
          <w:rFonts w:hint="default"/>
          <w:lang w:val="en-US"/>
        </w:rPr>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4</w:t>
      </w:r>
    </w:p>
    <w:p>
      <w:pPr>
        <w:pStyle w:val="31"/>
        <w:tabs>
          <w:tab w:val="right" w:leader="dot" w:pos="14562"/>
        </w:tabs>
        <w:rPr>
          <w:rFonts w:hint="default"/>
          <w:lang w:val="en-US"/>
        </w:rPr>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1</w:t>
      </w:r>
    </w:p>
    <w:p>
      <w:pPr>
        <w:pStyle w:val="31"/>
        <w:tabs>
          <w:tab w:val="right" w:leader="dot" w:pos="14562"/>
        </w:tabs>
        <w:rPr>
          <w:rFonts w:hint="default"/>
          <w:lang w:val="en-US"/>
        </w:rPr>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3</w:t>
      </w:r>
    </w:p>
    <w:p>
      <w:pPr>
        <w:pStyle w:val="31"/>
        <w:tabs>
          <w:tab w:val="right" w:leader="dot" w:pos="14562"/>
        </w:tabs>
        <w:rPr>
          <w:rFonts w:hint="eastAsia" w:eastAsia="宋体"/>
          <w:lang w:val="en-US" w:eastAsia="zh-CN"/>
        </w:rPr>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rPr>
          <w:rFonts w:hint="eastAsia" w:eastAsia="宋体"/>
          <w:lang w:val="en-US" w:eastAsia="zh-CN"/>
        </w:rPr>
        <w:t>2</w:t>
      </w:r>
      <w:r>
        <w:fldChar w:fldCharType="end"/>
      </w:r>
      <w:r>
        <w:rPr>
          <w:rFonts w:hint="eastAsia" w:eastAsia="宋体"/>
          <w:lang w:val="en-US" w:eastAsia="zh-CN"/>
        </w:rPr>
        <w:t>6</w:t>
      </w:r>
    </w:p>
    <w:p>
      <w:pPr>
        <w:pStyle w:val="31"/>
        <w:tabs>
          <w:tab w:val="right" w:leader="dot" w:pos="14562"/>
        </w:tabs>
        <w:rPr>
          <w:rFonts w:hint="eastAsia" w:eastAsia="宋体"/>
          <w:lang w:val="en-US" w:eastAsia="zh-CN"/>
        </w:rPr>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eastAsia="宋体"/>
          <w:lang w:val="en-US" w:eastAsia="zh-CN"/>
        </w:rPr>
        <w:t>2</w:t>
      </w:r>
      <w:r>
        <w:fldChar w:fldCharType="end"/>
      </w:r>
      <w:r>
        <w:rPr>
          <w:rFonts w:hint="eastAsia" w:eastAsia="宋体"/>
          <w:lang w:val="en-US" w:eastAsia="zh-CN"/>
        </w:rPr>
        <w:t>7</w:t>
      </w:r>
    </w:p>
    <w:p>
      <w:pPr>
        <w:pStyle w:val="31"/>
        <w:tabs>
          <w:tab w:val="right" w:leader="dot" w:pos="14562"/>
        </w:tabs>
        <w:rPr>
          <w:rFonts w:hint="eastAsia" w:eastAsia="宋体"/>
          <w:lang w:val="en-US" w:eastAsia="zh-CN"/>
        </w:rPr>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rPr>
          <w:rFonts w:hint="eastAsia" w:eastAsia="宋体"/>
          <w:lang w:val="en-US" w:eastAsia="zh-CN"/>
        </w:rPr>
        <w:t>2</w:t>
      </w:r>
      <w:r>
        <w:fldChar w:fldCharType="end"/>
      </w:r>
      <w:r>
        <w:rPr>
          <w:rFonts w:hint="eastAsia" w:eastAsia="宋体"/>
          <w:lang w:val="en-US" w:eastAsia="zh-CN"/>
        </w:rPr>
        <w:t>8</w:t>
      </w:r>
    </w:p>
    <w:p>
      <w:r>
        <w:fldChar w:fldCharType="end"/>
      </w:r>
    </w:p>
    <w:p>
      <w:r>
        <w:rPr>
          <w:rFonts w:hint="eastAsia" w:ascii="黑体" w:hAnsi="黑体" w:eastAsia="黑体" w:cs="黑体"/>
          <w:b/>
          <w:bCs w:val="0"/>
          <w:color w:val="000000"/>
          <w:sz w:val="30"/>
          <w:lang w:eastAsia="zh-CN"/>
        </w:rPr>
        <w:t>秦皇岛市山海关区</w:t>
      </w:r>
      <w:r>
        <w:rPr>
          <w:rFonts w:hint="eastAsia" w:ascii="黑体" w:hAnsi="黑体" w:eastAsia="黑体" w:cs="黑体"/>
          <w:b/>
          <w:bCs w:val="0"/>
          <w:color w:val="000000"/>
          <w:sz w:val="30"/>
          <w:lang w:val="en-US" w:eastAsia="zh-CN"/>
        </w:rPr>
        <w:t>司法局本级</w:t>
      </w:r>
      <w:r>
        <w:rPr>
          <w:rFonts w:ascii="方正楷体_GBK" w:hAnsi="方正楷体_GBK" w:eastAsia="方正楷体_GBK" w:cs="方正楷体_GBK"/>
          <w:b/>
          <w:color w:val="000000"/>
          <w:sz w:val="28"/>
        </w:rPr>
        <w:t>预算信息公开情况说明</w:t>
      </w:r>
    </w:p>
    <w:p>
      <w:pPr>
        <w:pStyle w:val="31"/>
        <w:tabs>
          <w:tab w:val="right" w:leader="dot" w:pos="14562"/>
        </w:tabs>
        <w:rPr>
          <w:rFonts w:hint="eastAsia" w:eastAsia="宋体"/>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eastAsia="宋体"/>
          <w:lang w:val="en-US" w:eastAsia="zh-CN"/>
        </w:rPr>
        <w:t>2</w:t>
      </w:r>
      <w:r>
        <w:fldChar w:fldCharType="end"/>
      </w:r>
      <w:r>
        <w:rPr>
          <w:rFonts w:hint="eastAsia" w:eastAsia="宋体"/>
          <w:lang w:val="en-US" w:eastAsia="zh-CN"/>
        </w:rPr>
        <w:t>9</w:t>
      </w:r>
    </w:p>
    <w:p>
      <w:pPr>
        <w:pStyle w:val="31"/>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31"/>
        <w:tabs>
          <w:tab w:val="right" w:leader="dot" w:pos="14562"/>
        </w:tabs>
        <w:rPr>
          <w:rFonts w:hint="eastAsia" w:eastAsia="宋体"/>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eastAsia="宋体"/>
          <w:lang w:val="en-US" w:eastAsia="zh-CN"/>
        </w:rPr>
        <w:t>3</w:t>
      </w:r>
      <w:r>
        <w:fldChar w:fldCharType="end"/>
      </w:r>
      <w:r>
        <w:rPr>
          <w:rFonts w:hint="eastAsia" w:eastAsia="宋体"/>
          <w:lang w:val="en-US" w:eastAsia="zh-CN"/>
        </w:rPr>
        <w:t>2</w:t>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1"/>
        <w:tabs>
          <w:tab w:val="right" w:leader="dot" w:pos="14562"/>
        </w:tabs>
        <w:rPr>
          <w:rFonts w:hint="eastAsia" w:eastAsia="宋体"/>
          <w:lang w:val="en-US" w:eastAsia="zh-CN"/>
        </w:rPr>
      </w:pPr>
      <w:r>
        <w:fldChar w:fldCharType="begin"/>
      </w:r>
      <w:r>
        <w:instrText xml:space="preserve"> HYPERLINK \l "_Toc_3_3_0000000015" </w:instrText>
      </w:r>
      <w:r>
        <w:fldChar w:fldCharType="separate"/>
      </w:r>
      <w:r>
        <w:t>六、政府采购预算情况</w:t>
      </w:r>
      <w:r>
        <w:tab/>
      </w:r>
      <w:r>
        <w:rPr>
          <w:rFonts w:hint="eastAsia" w:eastAsia="宋体"/>
          <w:lang w:val="en-US" w:eastAsia="zh-CN"/>
        </w:rPr>
        <w:t>5</w:t>
      </w:r>
      <w:r>
        <w:fldChar w:fldCharType="end"/>
      </w:r>
      <w:r>
        <w:rPr>
          <w:rFonts w:hint="eastAsia" w:eastAsia="宋体"/>
          <w:lang w:val="en-US" w:eastAsia="zh-CN"/>
        </w:rPr>
        <w:t>0</w:t>
      </w:r>
    </w:p>
    <w:p>
      <w:pPr>
        <w:pStyle w:val="31"/>
        <w:tabs>
          <w:tab w:val="right" w:leader="dot" w:pos="14562"/>
        </w:tabs>
        <w:rPr>
          <w:rFonts w:hint="eastAsia" w:eastAsia="宋体"/>
          <w:lang w:val="en-US" w:eastAsia="zh-CN"/>
        </w:rPr>
      </w:pPr>
      <w:r>
        <w:fldChar w:fldCharType="begin"/>
      </w:r>
      <w:r>
        <w:instrText xml:space="preserve"> HYPERLINK \l "_Toc_3_3_0000000016" </w:instrText>
      </w:r>
      <w:r>
        <w:fldChar w:fldCharType="separate"/>
      </w:r>
      <w:r>
        <w:t>七、国有资产信息</w:t>
      </w:r>
      <w:r>
        <w:tab/>
      </w:r>
      <w:r>
        <w:rPr>
          <w:rFonts w:hint="eastAsia" w:eastAsia="宋体"/>
          <w:lang w:val="en-US" w:eastAsia="zh-CN"/>
        </w:rPr>
        <w:t>5</w:t>
      </w:r>
      <w:r>
        <w:fldChar w:fldCharType="end"/>
      </w:r>
      <w:r>
        <w:rPr>
          <w:rFonts w:hint="eastAsia" w:eastAsia="宋体"/>
          <w:lang w:val="en-US" w:eastAsia="zh-CN"/>
        </w:rPr>
        <w:t>1</w:t>
      </w:r>
    </w:p>
    <w:p>
      <w:pPr>
        <w:pStyle w:val="31"/>
        <w:tabs>
          <w:tab w:val="right" w:leader="dot" w:pos="14562"/>
        </w:tabs>
        <w:rPr>
          <w:rFonts w:hint="default" w:eastAsia="宋体"/>
          <w:lang w:val="en-US" w:eastAsia="zh-CN"/>
        </w:rPr>
      </w:pPr>
      <w:r>
        <w:fldChar w:fldCharType="begin"/>
      </w:r>
      <w:r>
        <w:instrText xml:space="preserve"> HYPERLINK \l "_Toc_3_3_0000000017" </w:instrText>
      </w:r>
      <w:r>
        <w:fldChar w:fldCharType="separate"/>
      </w:r>
      <w:r>
        <w:t>八、名词解释</w:t>
      </w:r>
      <w:r>
        <w:tab/>
      </w:r>
      <w:r>
        <w:rPr>
          <w:rFonts w:hint="eastAsia" w:eastAsia="宋体"/>
          <w:lang w:val="en-US" w:eastAsia="zh-CN"/>
        </w:rPr>
        <w:t>5</w:t>
      </w:r>
      <w:r>
        <w:fldChar w:fldCharType="end"/>
      </w:r>
      <w:r>
        <w:rPr>
          <w:rFonts w:hint="eastAsia" w:eastAsia="宋体"/>
          <w:lang w:val="en-US" w:eastAsia="zh-CN"/>
        </w:rPr>
        <w:t>2</w:t>
      </w:r>
    </w:p>
    <w:p>
      <w:pPr>
        <w:pStyle w:val="31"/>
        <w:tabs>
          <w:tab w:val="right" w:leader="dot" w:pos="14562"/>
        </w:tabs>
        <w:rPr>
          <w:rFonts w:hint="default" w:eastAsia="宋体"/>
          <w:lang w:val="en-US" w:eastAsia="zh-CN"/>
        </w:rPr>
      </w:pPr>
      <w:r>
        <w:fldChar w:fldCharType="begin"/>
      </w:r>
      <w:r>
        <w:instrText xml:space="preserve"> HYPERLINK \l "_Toc_3_3_0000000018" </w:instrText>
      </w:r>
      <w:r>
        <w:fldChar w:fldCharType="separate"/>
      </w:r>
      <w:r>
        <w:t>九、其他需要说明的事项</w:t>
      </w:r>
      <w:r>
        <w:tab/>
      </w:r>
      <w:r>
        <w:rPr>
          <w:rFonts w:hint="eastAsia" w:eastAsia="宋体"/>
          <w:lang w:val="en-US" w:eastAsia="zh-CN"/>
        </w:rPr>
        <w:t>5</w:t>
      </w:r>
      <w:r>
        <w:fldChar w:fldCharType="end"/>
      </w:r>
      <w:r>
        <w:rPr>
          <w:rFonts w:hint="eastAsia" w:eastAsia="宋体"/>
          <w:lang w:val="en-US" w:eastAsia="zh-CN"/>
        </w:rPr>
        <w:t>3</w:t>
      </w:r>
    </w:p>
    <w:p>
      <w:pPr>
        <w:pStyle w:val="31"/>
        <w:tabs>
          <w:tab w:val="right" w:leader="dot" w:pos="14562"/>
        </w:tabs>
      </w:pPr>
      <w:r>
        <w:fldChar w:fldCharType="end"/>
      </w: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一、司法部门秦皇岛市山海关区司法局本级收支预算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494.89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494.89</w:t>
            </w:r>
          </w:p>
        </w:tc>
        <w:tc>
          <w:tcPr>
            <w:tcW w:w="4535" w:type="dxa"/>
            <w:vAlign w:val="center"/>
          </w:tcPr>
          <w:p>
            <w:pPr>
              <w:pStyle w:val="16"/>
            </w:pPr>
            <w:r>
              <w:t>本年支出合计</w:t>
            </w:r>
          </w:p>
        </w:tc>
        <w:tc>
          <w:tcPr>
            <w:tcW w:w="2126" w:type="dxa"/>
            <w:vAlign w:val="center"/>
          </w:tcPr>
          <w:p>
            <w:pPr>
              <w:pStyle w:val="17"/>
            </w:pPr>
            <w:r>
              <w:t>536.83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41.94</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536.83</w:t>
            </w:r>
          </w:p>
        </w:tc>
        <w:tc>
          <w:tcPr>
            <w:tcW w:w="4535" w:type="dxa"/>
            <w:vAlign w:val="center"/>
          </w:tcPr>
          <w:p>
            <w:pPr>
              <w:pStyle w:val="16"/>
            </w:pPr>
            <w:r>
              <w:t>支出总计</w:t>
            </w:r>
          </w:p>
        </w:tc>
        <w:tc>
          <w:tcPr>
            <w:tcW w:w="2126" w:type="dxa"/>
            <w:vAlign w:val="center"/>
          </w:tcPr>
          <w:p>
            <w:pPr>
              <w:pStyle w:val="17"/>
            </w:pPr>
            <w:r>
              <w:t>536.83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536.83</w:t>
            </w:r>
          </w:p>
        </w:tc>
        <w:tc>
          <w:tcPr>
            <w:tcW w:w="1134" w:type="dxa"/>
            <w:vAlign w:val="center"/>
          </w:tcPr>
          <w:p>
            <w:pPr>
              <w:pStyle w:val="17"/>
            </w:pPr>
            <w:r>
              <w:t>494.89</w:t>
            </w:r>
          </w:p>
        </w:tc>
        <w:tc>
          <w:tcPr>
            <w:tcW w:w="1134" w:type="dxa"/>
            <w:vAlign w:val="center"/>
          </w:tcPr>
          <w:p>
            <w:pPr>
              <w:pStyle w:val="17"/>
            </w:pPr>
            <w:r>
              <w:t>494.89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419.05</w:t>
            </w:r>
          </w:p>
        </w:tc>
        <w:tc>
          <w:tcPr>
            <w:tcW w:w="1134" w:type="dxa"/>
            <w:vAlign w:val="center"/>
          </w:tcPr>
          <w:p>
            <w:pPr>
              <w:pStyle w:val="13"/>
            </w:pPr>
            <w:r>
              <w:t>377.12</w:t>
            </w:r>
          </w:p>
        </w:tc>
        <w:tc>
          <w:tcPr>
            <w:tcW w:w="1134" w:type="dxa"/>
            <w:vAlign w:val="center"/>
          </w:tcPr>
          <w:p>
            <w:pPr>
              <w:pStyle w:val="13"/>
            </w:pPr>
            <w:r>
              <w:t>377.12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419.05</w:t>
            </w:r>
          </w:p>
        </w:tc>
        <w:tc>
          <w:tcPr>
            <w:tcW w:w="1134" w:type="dxa"/>
            <w:vAlign w:val="center"/>
          </w:tcPr>
          <w:p>
            <w:pPr>
              <w:pStyle w:val="13"/>
            </w:pPr>
            <w:r>
              <w:t>377.12</w:t>
            </w:r>
          </w:p>
        </w:tc>
        <w:tc>
          <w:tcPr>
            <w:tcW w:w="1134" w:type="dxa"/>
            <w:vAlign w:val="center"/>
          </w:tcPr>
          <w:p>
            <w:pPr>
              <w:pStyle w:val="13"/>
            </w:pPr>
            <w:r>
              <w:t>377.12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286.37</w:t>
            </w:r>
          </w:p>
        </w:tc>
        <w:tc>
          <w:tcPr>
            <w:tcW w:w="1134" w:type="dxa"/>
            <w:vAlign w:val="center"/>
          </w:tcPr>
          <w:p>
            <w:pPr>
              <w:pStyle w:val="13"/>
            </w:pPr>
            <w:r>
              <w:t>286.37</w:t>
            </w:r>
          </w:p>
        </w:tc>
        <w:tc>
          <w:tcPr>
            <w:tcW w:w="1134" w:type="dxa"/>
            <w:vAlign w:val="center"/>
          </w:tcPr>
          <w:p>
            <w:pPr>
              <w:pStyle w:val="13"/>
            </w:pPr>
            <w:r>
              <w:t>286.37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74.75</w:t>
            </w:r>
          </w:p>
        </w:tc>
        <w:tc>
          <w:tcPr>
            <w:tcW w:w="1134" w:type="dxa"/>
            <w:vAlign w:val="center"/>
          </w:tcPr>
          <w:p>
            <w:pPr>
              <w:pStyle w:val="13"/>
            </w:pPr>
            <w:r>
              <w:t>74.75</w:t>
            </w:r>
          </w:p>
        </w:tc>
        <w:tc>
          <w:tcPr>
            <w:tcW w:w="1134" w:type="dxa"/>
            <w:vAlign w:val="center"/>
          </w:tcPr>
          <w:p>
            <w:pPr>
              <w:pStyle w:val="13"/>
            </w:pPr>
            <w:r>
              <w:t>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53.94</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31.68</w:t>
            </w:r>
          </w:p>
        </w:tc>
        <w:tc>
          <w:tcPr>
            <w:tcW w:w="1134" w:type="dxa"/>
            <w:vAlign w:val="center"/>
          </w:tcPr>
          <w:p>
            <w:pPr>
              <w:pStyle w:val="13"/>
            </w:pPr>
            <w:r>
              <w:t>31.68</w:t>
            </w:r>
          </w:p>
        </w:tc>
        <w:tc>
          <w:tcPr>
            <w:tcW w:w="1134" w:type="dxa"/>
            <w:vAlign w:val="center"/>
          </w:tcPr>
          <w:p>
            <w:pPr>
              <w:pStyle w:val="13"/>
            </w:pPr>
            <w:r>
              <w:t>31.68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12.67</w:t>
            </w:r>
          </w:p>
        </w:tc>
        <w:tc>
          <w:tcPr>
            <w:tcW w:w="1134" w:type="dxa"/>
            <w:vAlign w:val="center"/>
          </w:tcPr>
          <w:p>
            <w:pPr>
              <w:pStyle w:val="13"/>
            </w:pPr>
            <w:r>
              <w:t>12.67</w:t>
            </w:r>
          </w:p>
        </w:tc>
        <w:tc>
          <w:tcPr>
            <w:tcW w:w="1134" w:type="dxa"/>
            <w:vAlign w:val="center"/>
          </w:tcPr>
          <w:p>
            <w:pPr>
              <w:pStyle w:val="13"/>
            </w:pPr>
            <w:r>
              <w:t>12.67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20.13</w:t>
            </w:r>
          </w:p>
        </w:tc>
        <w:tc>
          <w:tcPr>
            <w:tcW w:w="1134" w:type="dxa"/>
            <w:vAlign w:val="center"/>
          </w:tcPr>
          <w:p>
            <w:pPr>
              <w:pStyle w:val="13"/>
            </w:pPr>
            <w:r>
              <w:t>20.13</w:t>
            </w:r>
          </w:p>
        </w:tc>
        <w:tc>
          <w:tcPr>
            <w:tcW w:w="1134" w:type="dxa"/>
            <w:vAlign w:val="center"/>
          </w:tcPr>
          <w:p>
            <w:pPr>
              <w:pStyle w:val="13"/>
            </w:pPr>
            <w:r>
              <w:t>20.13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536.83</w:t>
            </w:r>
          </w:p>
        </w:tc>
        <w:tc>
          <w:tcPr>
            <w:tcW w:w="1361" w:type="dxa"/>
            <w:vAlign w:val="center"/>
          </w:tcPr>
          <w:p>
            <w:pPr>
              <w:pStyle w:val="17"/>
            </w:pPr>
            <w:r>
              <w:t>404.14</w:t>
            </w:r>
          </w:p>
        </w:tc>
        <w:tc>
          <w:tcPr>
            <w:tcW w:w="1361" w:type="dxa"/>
            <w:vAlign w:val="center"/>
          </w:tcPr>
          <w:p>
            <w:pPr>
              <w:pStyle w:val="17"/>
            </w:pPr>
            <w:r>
              <w:t>132.69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419.05</w:t>
            </w:r>
          </w:p>
        </w:tc>
        <w:tc>
          <w:tcPr>
            <w:tcW w:w="1361" w:type="dxa"/>
            <w:vAlign w:val="center"/>
          </w:tcPr>
          <w:p>
            <w:pPr>
              <w:pStyle w:val="13"/>
            </w:pPr>
            <w:r>
              <w:t>286.37</w:t>
            </w:r>
          </w:p>
        </w:tc>
        <w:tc>
          <w:tcPr>
            <w:tcW w:w="1361" w:type="dxa"/>
            <w:vAlign w:val="center"/>
          </w:tcPr>
          <w:p>
            <w:pPr>
              <w:pStyle w:val="13"/>
            </w:pPr>
            <w:r>
              <w:t>132.69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419.05</w:t>
            </w:r>
          </w:p>
        </w:tc>
        <w:tc>
          <w:tcPr>
            <w:tcW w:w="1361" w:type="dxa"/>
            <w:vAlign w:val="center"/>
          </w:tcPr>
          <w:p>
            <w:pPr>
              <w:pStyle w:val="13"/>
            </w:pPr>
            <w:r>
              <w:t>286.37</w:t>
            </w:r>
          </w:p>
        </w:tc>
        <w:tc>
          <w:tcPr>
            <w:tcW w:w="1361" w:type="dxa"/>
            <w:vAlign w:val="center"/>
          </w:tcPr>
          <w:p>
            <w:pPr>
              <w:pStyle w:val="13"/>
            </w:pPr>
            <w:r>
              <w:t>132.69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286.37</w:t>
            </w:r>
          </w:p>
        </w:tc>
        <w:tc>
          <w:tcPr>
            <w:tcW w:w="1361" w:type="dxa"/>
            <w:vAlign w:val="center"/>
          </w:tcPr>
          <w:p>
            <w:pPr>
              <w:pStyle w:val="13"/>
            </w:pPr>
            <w:r>
              <w:t>286.37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74.75</w:t>
            </w:r>
          </w:p>
        </w:tc>
        <w:tc>
          <w:tcPr>
            <w:tcW w:w="1361" w:type="dxa"/>
            <w:vAlign w:val="center"/>
          </w:tcPr>
          <w:p>
            <w:pPr>
              <w:pStyle w:val="13"/>
            </w:pPr>
          </w:p>
        </w:tc>
        <w:tc>
          <w:tcPr>
            <w:tcW w:w="1361" w:type="dxa"/>
            <w:vAlign w:val="center"/>
          </w:tcPr>
          <w:p>
            <w:pPr>
              <w:pStyle w:val="13"/>
            </w:pPr>
            <w:r>
              <w:t>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53.94</w:t>
            </w:r>
          </w:p>
        </w:tc>
        <w:tc>
          <w:tcPr>
            <w:tcW w:w="1361" w:type="dxa"/>
            <w:vAlign w:val="center"/>
          </w:tcPr>
          <w:p>
            <w:pPr>
              <w:pStyle w:val="13"/>
            </w:pPr>
          </w:p>
        </w:tc>
        <w:tc>
          <w:tcPr>
            <w:tcW w:w="1361" w:type="dxa"/>
            <w:vAlign w:val="center"/>
          </w:tcPr>
          <w:p>
            <w:pPr>
              <w:pStyle w:val="13"/>
            </w:pPr>
            <w:r>
              <w:t>53.94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60.48</w:t>
            </w:r>
          </w:p>
        </w:tc>
        <w:tc>
          <w:tcPr>
            <w:tcW w:w="1361" w:type="dxa"/>
            <w:vAlign w:val="center"/>
          </w:tcPr>
          <w:p>
            <w:pPr>
              <w:pStyle w:val="13"/>
            </w:pPr>
            <w:r>
              <w:t>60.48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60.48</w:t>
            </w:r>
          </w:p>
        </w:tc>
        <w:tc>
          <w:tcPr>
            <w:tcW w:w="1361" w:type="dxa"/>
            <w:vAlign w:val="center"/>
          </w:tcPr>
          <w:p>
            <w:pPr>
              <w:pStyle w:val="13"/>
            </w:pPr>
            <w:r>
              <w:t>60.48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28.80</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31.68</w:t>
            </w:r>
          </w:p>
        </w:tc>
        <w:tc>
          <w:tcPr>
            <w:tcW w:w="1361" w:type="dxa"/>
            <w:vAlign w:val="center"/>
          </w:tcPr>
          <w:p>
            <w:pPr>
              <w:pStyle w:val="13"/>
            </w:pPr>
            <w:r>
              <w:t>31.68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12.67</w:t>
            </w:r>
          </w:p>
        </w:tc>
        <w:tc>
          <w:tcPr>
            <w:tcW w:w="1361" w:type="dxa"/>
            <w:vAlign w:val="center"/>
          </w:tcPr>
          <w:p>
            <w:pPr>
              <w:pStyle w:val="13"/>
            </w:pPr>
            <w:r>
              <w:t>12.67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20.13</w:t>
            </w:r>
          </w:p>
        </w:tc>
        <w:tc>
          <w:tcPr>
            <w:tcW w:w="1361" w:type="dxa"/>
            <w:vAlign w:val="center"/>
          </w:tcPr>
          <w:p>
            <w:pPr>
              <w:pStyle w:val="13"/>
            </w:pPr>
            <w:r>
              <w:t>20.13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494.89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419.05</w:t>
            </w:r>
          </w:p>
        </w:tc>
        <w:tc>
          <w:tcPr>
            <w:tcW w:w="1474" w:type="dxa"/>
            <w:vAlign w:val="center"/>
          </w:tcPr>
          <w:p>
            <w:pPr>
              <w:pStyle w:val="13"/>
            </w:pPr>
            <w:r>
              <w:t>419.05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60.48</w:t>
            </w:r>
          </w:p>
        </w:tc>
        <w:tc>
          <w:tcPr>
            <w:tcW w:w="1474" w:type="dxa"/>
            <w:vAlign w:val="center"/>
          </w:tcPr>
          <w:p>
            <w:pPr>
              <w:pStyle w:val="13"/>
            </w:pPr>
            <w:r>
              <w:t>60.48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32.79</w:t>
            </w:r>
          </w:p>
        </w:tc>
        <w:tc>
          <w:tcPr>
            <w:tcW w:w="1474" w:type="dxa"/>
            <w:vAlign w:val="center"/>
          </w:tcPr>
          <w:p>
            <w:pPr>
              <w:pStyle w:val="13"/>
            </w:pPr>
            <w:r>
              <w:t>32.79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24.50</w:t>
            </w:r>
          </w:p>
        </w:tc>
        <w:tc>
          <w:tcPr>
            <w:tcW w:w="1474" w:type="dxa"/>
            <w:vAlign w:val="center"/>
          </w:tcPr>
          <w:p>
            <w:pPr>
              <w:pStyle w:val="13"/>
            </w:pPr>
            <w:r>
              <w:t>24.50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494.89</w:t>
            </w:r>
          </w:p>
        </w:tc>
        <w:tc>
          <w:tcPr>
            <w:tcW w:w="3402" w:type="dxa"/>
            <w:vAlign w:val="center"/>
          </w:tcPr>
          <w:p>
            <w:pPr>
              <w:pStyle w:val="16"/>
            </w:pPr>
            <w:r>
              <w:t>本年支出合计</w:t>
            </w:r>
          </w:p>
        </w:tc>
        <w:tc>
          <w:tcPr>
            <w:tcW w:w="1474" w:type="dxa"/>
            <w:vAlign w:val="center"/>
          </w:tcPr>
          <w:p>
            <w:pPr>
              <w:pStyle w:val="17"/>
            </w:pPr>
            <w:r>
              <w:t>536.83</w:t>
            </w:r>
          </w:p>
        </w:tc>
        <w:tc>
          <w:tcPr>
            <w:tcW w:w="1474" w:type="dxa"/>
            <w:vAlign w:val="center"/>
          </w:tcPr>
          <w:p>
            <w:pPr>
              <w:pStyle w:val="17"/>
            </w:pPr>
            <w:r>
              <w:t>536.83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41.94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41.94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536.83</w:t>
            </w:r>
          </w:p>
        </w:tc>
        <w:tc>
          <w:tcPr>
            <w:tcW w:w="3402" w:type="dxa"/>
            <w:vAlign w:val="center"/>
          </w:tcPr>
          <w:p>
            <w:pPr>
              <w:pStyle w:val="16"/>
            </w:pPr>
            <w:r>
              <w:t>支出总计</w:t>
            </w:r>
          </w:p>
        </w:tc>
        <w:tc>
          <w:tcPr>
            <w:tcW w:w="1474" w:type="dxa"/>
            <w:vAlign w:val="center"/>
          </w:tcPr>
          <w:p>
            <w:pPr>
              <w:pStyle w:val="17"/>
            </w:pPr>
            <w:r>
              <w:t>536.83</w:t>
            </w:r>
          </w:p>
        </w:tc>
        <w:tc>
          <w:tcPr>
            <w:tcW w:w="1474" w:type="dxa"/>
            <w:vAlign w:val="center"/>
          </w:tcPr>
          <w:p>
            <w:pPr>
              <w:pStyle w:val="17"/>
            </w:pPr>
            <w:r>
              <w:t>536.83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536.83</w:t>
            </w:r>
          </w:p>
        </w:tc>
        <w:tc>
          <w:tcPr>
            <w:tcW w:w="2551" w:type="dxa"/>
            <w:vAlign w:val="center"/>
          </w:tcPr>
          <w:p>
            <w:pPr>
              <w:pStyle w:val="17"/>
            </w:pPr>
            <w:r>
              <w:t>404.14</w:t>
            </w:r>
          </w:p>
        </w:tc>
        <w:tc>
          <w:tcPr>
            <w:tcW w:w="2551" w:type="dxa"/>
            <w:vAlign w:val="center"/>
          </w:tcPr>
          <w:p>
            <w:pPr>
              <w:pStyle w:val="17"/>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419.05</w:t>
            </w:r>
          </w:p>
        </w:tc>
        <w:tc>
          <w:tcPr>
            <w:tcW w:w="2551" w:type="dxa"/>
            <w:vAlign w:val="center"/>
          </w:tcPr>
          <w:p>
            <w:pPr>
              <w:pStyle w:val="13"/>
            </w:pPr>
            <w:r>
              <w:t>286.37</w:t>
            </w:r>
          </w:p>
        </w:tc>
        <w:tc>
          <w:tcPr>
            <w:tcW w:w="2551" w:type="dxa"/>
            <w:vAlign w:val="center"/>
          </w:tcPr>
          <w:p>
            <w:pPr>
              <w:pStyle w:val="13"/>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419.05</w:t>
            </w:r>
          </w:p>
        </w:tc>
        <w:tc>
          <w:tcPr>
            <w:tcW w:w="2551" w:type="dxa"/>
            <w:vAlign w:val="center"/>
          </w:tcPr>
          <w:p>
            <w:pPr>
              <w:pStyle w:val="13"/>
            </w:pPr>
            <w:r>
              <w:t>286.37</w:t>
            </w:r>
          </w:p>
        </w:tc>
        <w:tc>
          <w:tcPr>
            <w:tcW w:w="2551" w:type="dxa"/>
            <w:vAlign w:val="center"/>
          </w:tcPr>
          <w:p>
            <w:pPr>
              <w:pStyle w:val="13"/>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286.37</w:t>
            </w:r>
          </w:p>
        </w:tc>
        <w:tc>
          <w:tcPr>
            <w:tcW w:w="2551" w:type="dxa"/>
            <w:vAlign w:val="center"/>
          </w:tcPr>
          <w:p>
            <w:pPr>
              <w:pStyle w:val="13"/>
            </w:pPr>
            <w:r>
              <w:t>286.37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74.75</w:t>
            </w:r>
          </w:p>
        </w:tc>
        <w:tc>
          <w:tcPr>
            <w:tcW w:w="2551" w:type="dxa"/>
            <w:vAlign w:val="center"/>
          </w:tcPr>
          <w:p>
            <w:pPr>
              <w:pStyle w:val="13"/>
            </w:pPr>
          </w:p>
        </w:tc>
        <w:tc>
          <w:tcPr>
            <w:tcW w:w="2551" w:type="dxa"/>
            <w:vAlign w:val="center"/>
          </w:tcPr>
          <w:p>
            <w:pPr>
              <w:pStyle w:val="13"/>
            </w:pPr>
            <w:r>
              <w:t>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53.94</w:t>
            </w:r>
          </w:p>
        </w:tc>
        <w:tc>
          <w:tcPr>
            <w:tcW w:w="2551" w:type="dxa"/>
            <w:vAlign w:val="center"/>
          </w:tcPr>
          <w:p>
            <w:pPr>
              <w:pStyle w:val="13"/>
            </w:pPr>
          </w:p>
        </w:tc>
        <w:tc>
          <w:tcPr>
            <w:tcW w:w="2551" w:type="dxa"/>
            <w:vAlign w:val="center"/>
          </w:tcPr>
          <w:p>
            <w:pPr>
              <w:pStyle w:val="13"/>
            </w:pPr>
            <w:r>
              <w:t>53.94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60.48</w:t>
            </w:r>
          </w:p>
        </w:tc>
        <w:tc>
          <w:tcPr>
            <w:tcW w:w="2551" w:type="dxa"/>
            <w:vAlign w:val="center"/>
          </w:tcPr>
          <w:p>
            <w:pPr>
              <w:pStyle w:val="13"/>
            </w:pPr>
            <w:r>
              <w:t>60.48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60.48</w:t>
            </w:r>
          </w:p>
        </w:tc>
        <w:tc>
          <w:tcPr>
            <w:tcW w:w="2551" w:type="dxa"/>
            <w:vAlign w:val="center"/>
          </w:tcPr>
          <w:p>
            <w:pPr>
              <w:pStyle w:val="13"/>
            </w:pPr>
            <w:r>
              <w:t>60.48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28.80</w:t>
            </w:r>
          </w:p>
        </w:tc>
        <w:tc>
          <w:tcPr>
            <w:tcW w:w="2551" w:type="dxa"/>
            <w:vAlign w:val="center"/>
          </w:tcPr>
          <w:p>
            <w:pPr>
              <w:pStyle w:val="13"/>
            </w:pPr>
            <w:r>
              <w:t>28.80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31.68</w:t>
            </w:r>
          </w:p>
        </w:tc>
        <w:tc>
          <w:tcPr>
            <w:tcW w:w="2551" w:type="dxa"/>
            <w:vAlign w:val="center"/>
          </w:tcPr>
          <w:p>
            <w:pPr>
              <w:pStyle w:val="13"/>
            </w:pPr>
            <w:r>
              <w:t>31.68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20.13</w:t>
            </w:r>
          </w:p>
        </w:tc>
        <w:tc>
          <w:tcPr>
            <w:tcW w:w="2551" w:type="dxa"/>
            <w:vAlign w:val="center"/>
          </w:tcPr>
          <w:p>
            <w:pPr>
              <w:pStyle w:val="13"/>
            </w:pPr>
            <w:r>
              <w:t>20.13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404.14</w:t>
            </w:r>
          </w:p>
        </w:tc>
        <w:tc>
          <w:tcPr>
            <w:tcW w:w="2551" w:type="dxa"/>
            <w:vAlign w:val="center"/>
          </w:tcPr>
          <w:p>
            <w:pPr>
              <w:pStyle w:val="17"/>
            </w:pPr>
            <w:r>
              <w:t>368.58</w:t>
            </w:r>
          </w:p>
        </w:tc>
        <w:tc>
          <w:tcPr>
            <w:tcW w:w="2551" w:type="dxa"/>
            <w:vAlign w:val="center"/>
          </w:tcPr>
          <w:p>
            <w:pPr>
              <w:pStyle w:val="17"/>
            </w:pPr>
            <w:r>
              <w:t>35.56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341.54</w:t>
            </w:r>
          </w:p>
        </w:tc>
        <w:tc>
          <w:tcPr>
            <w:tcW w:w="2551" w:type="dxa"/>
            <w:vAlign w:val="center"/>
          </w:tcPr>
          <w:p>
            <w:pPr>
              <w:pStyle w:val="13"/>
            </w:pPr>
            <w:r>
              <w:t>341.54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102.09</w:t>
            </w:r>
          </w:p>
        </w:tc>
        <w:tc>
          <w:tcPr>
            <w:tcW w:w="2551" w:type="dxa"/>
            <w:vAlign w:val="center"/>
          </w:tcPr>
          <w:p>
            <w:pPr>
              <w:pStyle w:val="13"/>
            </w:pPr>
            <w:r>
              <w:t>102.09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124.52</w:t>
            </w:r>
          </w:p>
        </w:tc>
        <w:tc>
          <w:tcPr>
            <w:tcW w:w="2551" w:type="dxa"/>
            <w:vAlign w:val="center"/>
          </w:tcPr>
          <w:p>
            <w:pPr>
              <w:pStyle w:val="13"/>
            </w:pPr>
            <w:r>
              <w:t>124.52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25.02</w:t>
            </w:r>
          </w:p>
        </w:tc>
        <w:tc>
          <w:tcPr>
            <w:tcW w:w="2551" w:type="dxa"/>
            <w:vAlign w:val="center"/>
          </w:tcPr>
          <w:p>
            <w:pPr>
              <w:pStyle w:val="13"/>
            </w:pPr>
            <w:r>
              <w:t>25.02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31.68</w:t>
            </w:r>
          </w:p>
        </w:tc>
        <w:tc>
          <w:tcPr>
            <w:tcW w:w="2551" w:type="dxa"/>
            <w:vAlign w:val="center"/>
          </w:tcPr>
          <w:p>
            <w:pPr>
              <w:pStyle w:val="13"/>
            </w:pPr>
            <w:r>
              <w:t>31.68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20.13</w:t>
            </w:r>
          </w:p>
        </w:tc>
        <w:tc>
          <w:tcPr>
            <w:tcW w:w="2551" w:type="dxa"/>
            <w:vAlign w:val="center"/>
          </w:tcPr>
          <w:p>
            <w:pPr>
              <w:pStyle w:val="13"/>
            </w:pPr>
            <w:r>
              <w:t>20.13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35.19</w:t>
            </w:r>
          </w:p>
        </w:tc>
        <w:tc>
          <w:tcPr>
            <w:tcW w:w="2551" w:type="dxa"/>
            <w:vAlign w:val="center"/>
          </w:tcPr>
          <w:p>
            <w:pPr>
              <w:pStyle w:val="13"/>
            </w:pPr>
          </w:p>
        </w:tc>
        <w:tc>
          <w:tcPr>
            <w:tcW w:w="2551" w:type="dxa"/>
            <w:vAlign w:val="center"/>
          </w:tcPr>
          <w:p>
            <w:pPr>
              <w:pStyle w:val="13"/>
            </w:pPr>
            <w:r>
              <w:t>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14.86</w:t>
            </w:r>
          </w:p>
        </w:tc>
        <w:tc>
          <w:tcPr>
            <w:tcW w:w="2551" w:type="dxa"/>
            <w:vAlign w:val="center"/>
          </w:tcPr>
          <w:p>
            <w:pPr>
              <w:pStyle w:val="13"/>
            </w:pPr>
          </w:p>
        </w:tc>
        <w:tc>
          <w:tcPr>
            <w:tcW w:w="2551" w:type="dxa"/>
            <w:vAlign w:val="center"/>
          </w:tcPr>
          <w:p>
            <w:pPr>
              <w:pStyle w:val="13"/>
            </w:pPr>
            <w:r>
              <w:t>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27.04</w:t>
            </w:r>
          </w:p>
        </w:tc>
        <w:tc>
          <w:tcPr>
            <w:tcW w:w="2551" w:type="dxa"/>
            <w:vAlign w:val="center"/>
          </w:tcPr>
          <w:p>
            <w:pPr>
              <w:pStyle w:val="13"/>
            </w:pPr>
            <w:r>
              <w:t>27.04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10.56</w:t>
            </w:r>
          </w:p>
        </w:tc>
        <w:tc>
          <w:tcPr>
            <w:tcW w:w="2551" w:type="dxa"/>
            <w:vAlign w:val="center"/>
          </w:tcPr>
          <w:p>
            <w:pPr>
              <w:pStyle w:val="13"/>
            </w:pPr>
            <w:r>
              <w:t>10.56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15.90</w:t>
            </w:r>
          </w:p>
        </w:tc>
        <w:tc>
          <w:tcPr>
            <w:tcW w:w="2551" w:type="dxa"/>
            <w:vAlign w:val="center"/>
          </w:tcPr>
          <w:p>
            <w:pPr>
              <w:pStyle w:val="13"/>
            </w:pPr>
            <w:r>
              <w:t>15.90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1.36</w:t>
            </w:r>
          </w:p>
        </w:tc>
        <w:tc>
          <w:tcPr>
            <w:tcW w:w="2381" w:type="dxa"/>
            <w:vAlign w:val="center"/>
          </w:tcPr>
          <w:p>
            <w:pPr>
              <w:pStyle w:val="17"/>
            </w:pPr>
            <w:r>
              <w:t>1.36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司法部门秦皇岛市山海关区司法局本级2023年单位预算信息公开情况说明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预算法》、《地方预决算公开操作规程》和《关于进一步推进预算公开工作的实施意见》规定，现将司法部门秦皇岛市山海关区司法局本级2023年单位预算公开如下：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单位职责：</w:t>
      </w:r>
    </w:p>
    <w:p>
      <w:pPr>
        <w:pStyle w:val="27"/>
      </w:pPr>
      <w:r>
        <w:t>1.认真贯彻落实党和国家及本省关于司法行政工作的方针、政策、法律、法规，制订本区司法行政工作的巾长期规划、年度计划并组织实施。</w:t>
      </w:r>
    </w:p>
    <w:p>
      <w:pPr>
        <w:pStyle w:val="27"/>
      </w:pPr>
      <w:r>
        <w:t>2.制订本区普法和依法治区规划并组织实施，具体承办全区普法和依法治区的目的。</w:t>
      </w:r>
    </w:p>
    <w:p>
      <w:pPr>
        <w:pStyle w:val="27"/>
      </w:pPr>
      <w:r>
        <w:t>3.管理本区的律师事务所和法律援助机构，指导和监督本区的律师、法律援助和法律顾问工作，依法管理外地在本区设立的法律服务机构。</w:t>
      </w:r>
    </w:p>
    <w:p>
      <w:pPr>
        <w:pStyle w:val="27"/>
      </w:pPr>
      <w:r>
        <w:t>4.管理本区的公证机构，抬导和监督本区的公证工作。</w:t>
      </w:r>
    </w:p>
    <w:p>
      <w:pPr>
        <w:pStyle w:val="27"/>
      </w:pPr>
      <w:r>
        <w:t>5.管理、指导本区人民调解工作、司法所工作、司法助理员工作、基层法律服务工作。</w:t>
      </w:r>
    </w:p>
    <w:p>
      <w:pPr>
        <w:pStyle w:val="27"/>
      </w:pPr>
      <w:r>
        <w:t>6.指导和管理本区的法律服务和刑满释放劳动教养人员安置帮教工作。</w:t>
      </w:r>
    </w:p>
    <w:p>
      <w:pPr>
        <w:pStyle w:val="27"/>
      </w:pPr>
      <w:r>
        <w:t>7.管理、指导法学教育、法学理论研究工作。负责政法部门、行政执法机关在职职工、新上岗人员和企业经营管理人员的法律培训工作。</w:t>
      </w:r>
    </w:p>
    <w:p>
      <w:pPr>
        <w:pStyle w:val="27"/>
      </w:pPr>
      <w:r>
        <w:t>8.负责起草司法行政地方性规章和规范性文件。</w:t>
      </w:r>
    </w:p>
    <w:p>
      <w:pPr>
        <w:pStyle w:val="27"/>
      </w:pPr>
      <w:r>
        <w:t>9.指导司法行政系统的思想政治工作和干警队伍建设，按照权限、负责任免、调配、职称评定等干部管理工作，协助各县(市、区)管理司法局的领导班子。</w:t>
      </w:r>
    </w:p>
    <w:p>
      <w:pPr>
        <w:pStyle w:val="27"/>
      </w:pPr>
      <w:r>
        <w:t>10.指导基层司法行政业务，负责司法行政复议应诉等法制工作。</w:t>
      </w:r>
    </w:p>
    <w:p>
      <w:pPr>
        <w:pStyle w:val="27"/>
      </w:pPr>
      <w:r>
        <w:t>11.负责全区仲裁机构和面向社会服务的司法鉴定机构的登记初审工作和业务指导、监督工作。</w:t>
      </w:r>
    </w:p>
    <w:p>
      <w:pPr>
        <w:pStyle w:val="27"/>
      </w:pPr>
      <w:r>
        <w:t>12.管理区法学会、律师协会、公证员协会以及市律师事务所、公证处、法律服务机构，负责对全区法律市场的管理、指导和监督。</w:t>
      </w:r>
    </w:p>
    <w:p>
      <w:pPr>
        <w:pStyle w:val="27"/>
      </w:pPr>
      <w:r>
        <w:t>13.参与社会治安综合治理工作。</w:t>
      </w:r>
    </w:p>
    <w:p>
      <w:pPr>
        <w:pStyle w:val="27"/>
      </w:pPr>
      <w:r>
        <w:t>14.负责司法行政对外交流，搞好司法行政协助工作。</w:t>
      </w:r>
    </w:p>
    <w:p>
      <w:pPr>
        <w:pStyle w:val="27"/>
      </w:pPr>
      <w:r>
        <w:t>15.负责实施国家司法考试工作。</w:t>
      </w:r>
    </w:p>
    <w:p>
      <w:pPr>
        <w:pStyle w:val="27"/>
      </w:pPr>
      <w:r>
        <w:t>16.承办区委、区政府交办的其他事项。</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司法部门秦皇岛市山海关区司法局本级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按照预算管理有关规定，目前我区部门预算的编制实行综合预算制度，即全部收入和支出都反映在预算中。</w:t>
      </w:r>
    </w:p>
    <w:p>
      <w:pPr>
        <w:pStyle w:val="28"/>
      </w:pPr>
      <w:r>
        <w:t>1、收入说明</w:t>
      </w:r>
    </w:p>
    <w:p>
      <w:pPr>
        <w:pStyle w:val="28"/>
      </w:pPr>
      <w:r>
        <w:t>反映</w:t>
      </w:r>
      <w:r>
        <w:rPr>
          <w:rFonts w:hint="eastAsia"/>
          <w:lang w:eastAsia="zh-CN"/>
        </w:rPr>
        <w:t>本单位</w:t>
      </w:r>
      <w:r>
        <w:t>当年全部收入。2023年预算收入为536.83万元，其中：一般公共预算收入494.89万元，上级一般公共预算安排转移支付0万元，基金预算收入0元，财政专户核拨收入0元，其他来源收入0元，财政拨款结转结余41.94万元。</w:t>
      </w:r>
    </w:p>
    <w:p>
      <w:pPr>
        <w:pStyle w:val="28"/>
      </w:pPr>
      <w:r>
        <w:t>2、支出说明</w:t>
      </w:r>
    </w:p>
    <w:p>
      <w:pPr>
        <w:pStyle w:val="28"/>
      </w:pPr>
      <w:r>
        <w:t>收支预算总表支出栏、基本支出表、项目支出表按经济分类和支出功能分类科目编制，反映山海关区司法局年度部门预算中支出预算的总体情况。2023年预算支出为536.83.万元，其中：基本支出404.14万元，主要是人员经费368.58万元和日常公用经费35.56万元；项目支出132.69万元，主要为1、下达2022年省级公检法司转移支付资金（秦财行［2022］12号）17万元；2、下达2022年社区矫正补助资金（秦财行［2022］5号）21.25万元；3、下达2022年中央政法纪检监察转移支付资金26.14万元；4、法律顾问聘用经费4万元；5、法律援助1万元；6、普法宣传1万元；7、人民调解经费25万元；8、人事代理专项补助11.5万元；9、社区矫正专项经费2万元；10、社区戒毒专项经费8万元；11、下达2022年第二批中央政法转移支付资金的通知（司法）15.8万元；</w:t>
      </w:r>
    </w:p>
    <w:p>
      <w:pPr>
        <w:pStyle w:val="28"/>
      </w:pPr>
      <w:r>
        <w:t>3、比上年增减情况</w:t>
      </w:r>
    </w:p>
    <w:p>
      <w:pPr>
        <w:pStyle w:val="28"/>
      </w:pPr>
      <w:r>
        <w:t>2023年预算支出安排536.83万元，较2021年预算减少36.45万元，其中：基本支出减少 3.97万元，主要为公用经费支出；项目支出减少40.52万元，主要为上级转移支付资金减少。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35.56万元，主要用于办公及印刷费3.58万元、邮电费1.08万元、差旅费3.24万元、会议费0.4万元、福利费2.55万元、日常维修费0.37万元、专用材料及一般设备购置费0万元、办公用房水电费0万元、办公用房取暖费0万元、办公用房物业管理费0万元、公务用车运行维护费以及其他费用24.34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w:t>
      </w:r>
      <w:r>
        <w:rPr>
          <w:rFonts w:hint="eastAsia"/>
          <w:lang w:eastAsia="zh-CN"/>
        </w:rPr>
        <w:t>我单位</w:t>
      </w:r>
      <w:r>
        <w:t>财政拨款“三公”经费预算安排2.36万元，与上年持平，无增减变化。其中：因公出国（境）费0元，与上年持平，无增减变化，我单位本年度无因公出国（境）业务需求；公务用车购置费0元，与上年持平，无增减变化，我单位本年度无公务用车购置计划；公务用车运行维护费2.2万元，与上年持平，因我单位本年度公务用数量及维护标准与上年保持一致，故无增减变化，；公务接待费0.16万元，与上年持平，无增减变化，因我单位厉行节俭。</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深入贯彻习近平总书记系列重要讲话精神</w:t>
      </w:r>
      <w:r>
        <w:rPr>
          <w:rFonts w:hint="eastAsia"/>
          <w:lang w:eastAsia="zh-CN"/>
        </w:rPr>
        <w:t>，</w:t>
      </w:r>
      <w:r>
        <w:t>习近平新时代中国特色社会主义思想,深入贯彻党的路线方针和决策部署,坚持党对司法工作的绝对领导,坚决拥护习近平总书记的核心地位,坚决拥护党中央权威和集中统一领导.认真落实中央</w:t>
      </w:r>
      <w:r>
        <w:rPr>
          <w:rFonts w:hint="eastAsia"/>
          <w:lang w:eastAsia="zh-CN"/>
        </w:rPr>
        <w:t>、</w:t>
      </w:r>
      <w:r>
        <w:t>省</w:t>
      </w:r>
      <w:r>
        <w:rPr>
          <w:rFonts w:hint="eastAsia"/>
          <w:lang w:eastAsia="zh-CN"/>
        </w:rPr>
        <w:t>、</w:t>
      </w:r>
      <w:r>
        <w:t>市的工作部署,根据区委要求,以社会主义法治理念为指导,以服务大局为重点,以队伍建设为保障,忠实履行法律监督职能服务全区经济社会又快又好发展.</w:t>
      </w:r>
    </w:p>
    <w:p>
      <w:pPr>
        <w:pStyle w:val="24"/>
      </w:pPr>
      <w:r>
        <w:t>二、分项绩效目标</w:t>
      </w:r>
    </w:p>
    <w:p>
      <w:pPr>
        <w:pStyle w:val="24"/>
      </w:pPr>
      <w:r>
        <w:t>1.认真贯彻落实党和国家及本省关于司法行政工作的方针、政策、法律、法规，制订本区司法行政工作的长期规划、年度计划并组织实施。</w:t>
      </w:r>
    </w:p>
    <w:p>
      <w:pPr>
        <w:pStyle w:val="24"/>
      </w:pPr>
      <w:r>
        <w:t>2.制订本区普法和依法治区规划并组织实施，具体承办全区普法和依法治区的目的。</w:t>
      </w:r>
    </w:p>
    <w:p>
      <w:pPr>
        <w:pStyle w:val="24"/>
      </w:pPr>
      <w:r>
        <w:t>3.管理本区的律师事务所和法律援助机构，指导和监督本区的律师、法律援助和法律顾问工作，依法管理外地在本区设立的法律服务机构。</w:t>
      </w:r>
    </w:p>
    <w:p>
      <w:pPr>
        <w:pStyle w:val="24"/>
      </w:pPr>
      <w:r>
        <w:t>4.管理本区的公证机构，抬导和监督本区的公证工作。</w:t>
      </w:r>
    </w:p>
    <w:p>
      <w:pPr>
        <w:pStyle w:val="24"/>
      </w:pPr>
      <w:r>
        <w:t>5.管理、指导本区人民调解工作、司法所工作、司法助理员工作、基层法律服务工作。</w:t>
      </w:r>
    </w:p>
    <w:p>
      <w:pPr>
        <w:pStyle w:val="24"/>
      </w:pPr>
      <w:r>
        <w:t>6.指导和管理本区的法律服务和刑满释放劳动教养人员安置帮教工作。</w:t>
      </w:r>
    </w:p>
    <w:p>
      <w:pPr>
        <w:pStyle w:val="24"/>
      </w:pPr>
      <w:r>
        <w:t>7.管理、指导法学教育、法学理论研究工作。负责政法部门、行政执法机关在职职工、新上岗人员和企业经营管理人员的法律培训工作。</w:t>
      </w:r>
    </w:p>
    <w:p>
      <w:pPr>
        <w:pStyle w:val="24"/>
      </w:pPr>
      <w:r>
        <w:t>8.负责起草司法行政地方性规章和规范性文件。</w:t>
      </w:r>
    </w:p>
    <w:p>
      <w:pPr>
        <w:pStyle w:val="24"/>
      </w:pPr>
      <w:r>
        <w:t>9.指导司法行政系统的思想政治工作和干警队伍建设，按照权限、负责任免、调配、职称评定等干部管理工作，协助各县(市、区)管理司法局的领导班子。</w:t>
      </w:r>
    </w:p>
    <w:p>
      <w:pPr>
        <w:pStyle w:val="24"/>
      </w:pPr>
      <w:r>
        <w:t>10.指导基层司法行政业务，负责司法行政复议应诉等法制工作。</w:t>
      </w:r>
    </w:p>
    <w:p>
      <w:pPr>
        <w:pStyle w:val="24"/>
      </w:pPr>
      <w:r>
        <w:t>11.负责全区仲裁机构和面向社会服务的司法鉴定机构的登记初审工作和业务指导、监督工作。</w:t>
      </w:r>
    </w:p>
    <w:p>
      <w:pPr>
        <w:pStyle w:val="24"/>
      </w:pPr>
      <w:r>
        <w:t>12.管理区法学会、律师协会、公证员协会以及市律师事务所、公证处、法律服务机构，负责对全区法律市场的管理、指导和监督。</w:t>
      </w:r>
    </w:p>
    <w:p>
      <w:pPr>
        <w:pStyle w:val="24"/>
      </w:pPr>
      <w:r>
        <w:t>13.参与社会治安综合治理工作。</w:t>
      </w:r>
    </w:p>
    <w:p>
      <w:pPr>
        <w:pStyle w:val="24"/>
      </w:pPr>
      <w:r>
        <w:t>14.负责司法行政对外交流，搞好司法行政协助工作。</w:t>
      </w:r>
    </w:p>
    <w:p>
      <w:pPr>
        <w:pStyle w:val="24"/>
      </w:pPr>
      <w:r>
        <w:t>15.负责实施国家司法考试工作。</w:t>
      </w:r>
    </w:p>
    <w:p>
      <w:pPr>
        <w:pStyle w:val="24"/>
      </w:pPr>
      <w:r>
        <w:t>16.承办区委、区政府交办的其他事项</w:t>
      </w:r>
    </w:p>
    <w:p>
      <w:pPr>
        <w:pStyle w:val="25"/>
      </w:pPr>
      <w:r>
        <w:t>三、工作保障措施</w:t>
      </w:r>
    </w:p>
    <w:p>
      <w:pPr>
        <w:pStyle w:val="25"/>
      </w:pPr>
      <w:r>
        <w:t>1.立足本区实际,抓住重点,以维护稳定为中心,充分发挥法律保障职能做作用.我区法律援助工作在省、市司法行政部门的正确领导下，积极响应区委、区政府的号召，以服务全区经济快速发展、社会和谐稳定这一主题，进一步发挥法律服务在构建和谐社会中的职能作用，坚持以人为本，保障民生，服务民生。</w:t>
      </w:r>
    </w:p>
    <w:p>
      <w:pPr>
        <w:pStyle w:val="25"/>
      </w:pPr>
      <w:r>
        <w:t>（1）强化公众宣传，提高法律援助工作的知晓率。法律援助围绕对农民工、残疾人、农村留守儿童等特殊群体、弱势群体的关注力度，加大对《法律援助条例》的宣传力度，做到“应援尽援”。大胆开拓创新，完善宣传形式，丰富宣传内容，扩大法律援助的影响力。</w:t>
      </w:r>
    </w:p>
    <w:p>
      <w:pPr>
        <w:pStyle w:val="25"/>
      </w:pPr>
      <w:r>
        <w:t>（2）继续加强与有关单位的协调合作，加大刑事法律援助的力度，加强与公安、检</w:t>
      </w:r>
      <w:r>
        <w:rPr>
          <w:rFonts w:hint="eastAsia"/>
          <w:lang w:val="en-US" w:eastAsia="zh-CN"/>
        </w:rPr>
        <w:t>察</w:t>
      </w:r>
      <w:r>
        <w:t>院、法院的协调与衔接。</w:t>
      </w:r>
    </w:p>
    <w:p>
      <w:pPr>
        <w:pStyle w:val="25"/>
      </w:pPr>
      <w:r>
        <w:t>（3）加强基层法律援助工作人员的管理和业务培训，提高其业务能力和实际工作水平。</w:t>
      </w:r>
    </w:p>
    <w:p>
      <w:pPr>
        <w:pStyle w:val="25"/>
      </w:pPr>
      <w:r>
        <w:t>（4）加强便民举措，不断方便群众法律援助需求。力争让法律援助工作站建设成为法律援助宣传的前沿阵地、矛盾纠纷调处的前沿哨所。</w:t>
      </w:r>
    </w:p>
    <w:p>
      <w:pPr>
        <w:pStyle w:val="25"/>
      </w:pPr>
      <w:r>
        <w:t>（5）继续完善法援中心建设。按照局里的统一部署，抓好法援中心服务大厅规范化建设。</w:t>
      </w:r>
    </w:p>
    <w:p>
      <w:pPr>
        <w:pStyle w:val="25"/>
      </w:pPr>
      <w:r>
        <w:t>2.完善人民调解工作机制,加强对人民调解袁的业务培训,提高调解工作及调解书质量.</w:t>
      </w:r>
    </w:p>
    <w:p>
      <w:pPr>
        <w:pStyle w:val="25"/>
      </w:pPr>
      <w:r>
        <w:t>（1）积极做好矛盾纠纷排查调处工作。</w:t>
      </w:r>
    </w:p>
    <w:p>
      <w:pPr>
        <w:pStyle w:val="25"/>
      </w:pPr>
      <w:r>
        <w:t>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维护我区的社会稳定切实发挥了“第一道防线”的作用。</w:t>
      </w:r>
    </w:p>
    <w:p>
      <w:pPr>
        <w:pStyle w:val="25"/>
      </w:pPr>
      <w:r>
        <w:t>（2）加强乡村民调组织和队伍建设</w:t>
      </w:r>
    </w:p>
    <w:p>
      <w:pPr>
        <w:pStyle w:val="25"/>
      </w:pPr>
      <w:r>
        <w:t>今年各乡镇对人民调解组织进行了重新选配，我局组织村级人民调解员和法律服务工作者进行学习培训，不断提高其业务素质，为做好人民调解工作提供可靠的组织保障，规范人民调解司法确认制度，丰富人民调解的内涵，实现人民调解全覆盖。</w:t>
      </w:r>
    </w:p>
    <w:p>
      <w:pPr>
        <w:pStyle w:val="25"/>
      </w:pPr>
      <w:r>
        <w:t>（3）把基层人民调解工作与“一村一法律顾问”工作相结合</w:t>
      </w:r>
    </w:p>
    <w:p>
      <w:pPr>
        <w:pStyle w:val="25"/>
      </w:pPr>
      <w:r>
        <w:t>由律师、公证员、基层法律服务工作者等组成了法律顾问团队，由我局牵头组织法律顾问与乡村干部引导对接，指导各村调委会依法调解疑难矛盾纠纷，使基层人民调解工作具有了强大的动力，促进农村精神文明建设健康发展，大大减少纠纷的发生。</w:t>
      </w:r>
    </w:p>
    <w:p>
      <w:pPr>
        <w:pStyle w:val="25"/>
      </w:pPr>
      <w:r>
        <w:t>3.完善从接收到解除社区矫正的一套制度,严格按照程序做好每一个环节.我区社区矫正工作以习近平新时代中国特色社会主义思想为指引，认真贯彻落实全区司法行政工作会议精神，每个季度进行一次社区矫正工作专项督查。加强管理在册社区矫正人员，提高社区矫正社会化水平。近年来社区矫正工作在册矫正人员多、管理难度大的情况下能做到社区矫正监管各环节“零失误”。</w:t>
      </w:r>
    </w:p>
    <w:p>
      <w:pPr>
        <w:pStyle w:val="25"/>
      </w:pPr>
      <w:r>
        <w:t>4.扎实推进普法和依法治区规划,深入开展多层次,多形式,多渠道,全方位的全民法治教育宣传工作.强化组织领导，明确工作目标.</w:t>
      </w:r>
    </w:p>
    <w:p>
      <w:pPr>
        <w:pStyle w:val="25"/>
      </w:pPr>
      <w:r>
        <w:t>（1）制定普法计划。我局按照上级关于普法工作的部署要求和文件会议精神，结合我区工作实际，制定了2021年法治宣传教育工作计划，并召开会议对当年工作进行部署和落实。明确了普法工作的工作目标、工作原则、工作安排、主要任务、方法步骤和保障措施，做到年度有计划、有安排，平时有检查，年终有总结，使普法工作有计划，有序地进行。</w:t>
      </w:r>
    </w:p>
    <w:p>
      <w:pPr>
        <w:pStyle w:val="25"/>
      </w:pPr>
      <w:r>
        <w:t>（2）加强组织领导。我局成立了推进依法行政工作领导小组，加强对普法工作的领导。领导小组下设办公室，具体负责各项日常工作。</w:t>
      </w:r>
    </w:p>
    <w:p>
      <w:pPr>
        <w:pStyle w:val="25"/>
      </w:pPr>
      <w:r>
        <w:t>（3）明确推进方案。结合我区实际，制定好普法计划和宣传教育活动实施方案，通过制定法治宣传项目的任务书和时间表，明确了工作的各项责任，为我区法治宣传教育工作提供了有力的保障，确保全民的学法、用法、宣传法活动向纵深开展。</w:t>
      </w:r>
    </w:p>
    <w:p>
      <w:pPr>
        <w:pStyle w:val="25"/>
      </w:pPr>
      <w:r>
        <w:t>（4）建立学法制度，组织学习培训.</w:t>
      </w:r>
    </w:p>
    <w:p>
      <w:pPr>
        <w:pStyle w:val="25"/>
      </w:pPr>
      <w:r>
        <w:t>一是注重在建章立制上下功夫，积极推行落实“谁执法谁普法”工作制度，建立了党委中心组学习制度、“以案释法”制度和普法评价考核制度，落实主体责任，强化监督考核。</w:t>
      </w:r>
    </w:p>
    <w:p>
      <w:pPr>
        <w:pStyle w:val="25"/>
      </w:pPr>
      <w:r>
        <w:t>二是采取自学、集中学习、以会代教等多种形式，认真组织干部职工学法用法，深入学习宪法和国家基本法律制度、规范公权力运行、维护社会稳定促进社会公平正义等各种法律法规，努力提高我区全民法制素质。</w:t>
      </w:r>
    </w:p>
    <w:p>
      <w:pPr>
        <w:pStyle w:val="25"/>
      </w:pPr>
      <w:r>
        <w:t>三是开展普法检查。对普法开展自检自查，并迅速整改存在问题。</w:t>
      </w:r>
    </w:p>
    <w:p>
      <w:pPr>
        <w:pStyle w:val="25"/>
      </w:pPr>
      <w:r>
        <w:t>（5）丰富活动形式，开展普法宣传积极开展普法活动。</w:t>
      </w:r>
    </w:p>
    <w:p>
      <w:pPr>
        <w:pStyle w:val="25"/>
      </w:pPr>
      <w:r>
        <w:t>一是抓住五四、十一、12.4等重要时点，开展法律志愿宣传活动，发放反腐倡廉漫画册、消防安全知识宣传册，为市全区人民普及反腐倡廉知识、消防安全法律法规内容，使法律知识得到进一步普及。</w:t>
      </w:r>
    </w:p>
    <w:p>
      <w:pPr>
        <w:pStyle w:val="25"/>
      </w:pPr>
      <w:r>
        <w:t>二是多次组织关联企业开展安全生产大检查，并通过“以案释法”向经营户和工作人员宣传普及法律知识，结合实际案例宣讲《</w:t>
      </w:r>
      <w:r>
        <w:rPr>
          <w:rFonts w:hint="eastAsia"/>
          <w:lang w:val="en-US" w:eastAsia="zh-CN"/>
        </w:rPr>
        <w:t>中华人民共和国</w:t>
      </w:r>
      <w:r>
        <w:t>安全生产法》，为推动法治宣传向纵深发展。</w:t>
      </w:r>
    </w:p>
    <w:p>
      <w:pPr>
        <w:pStyle w:val="25"/>
      </w:pPr>
      <w:r>
        <w:t>三是不断创新宣传阵地。利用法治宣传橱窗、电子显示屏、易拉宝等载体开展法治宣传教育，拓展“互联网+普法”新阵地，定点向民众传递与之息息相关的法律和生活生产知识，多角度、全方位进行互动解读，为农民群众提供一站式、综合性的法治宣传。</w:t>
      </w:r>
    </w:p>
    <w:p>
      <w:pPr>
        <w:pStyle w:val="25"/>
      </w:pPr>
      <w:r>
        <w:t>5.强化法律服务管理,加强政府法律顾问工作,认真开展法律进社区.</w:t>
      </w:r>
    </w:p>
    <w:p>
      <w:pPr>
        <w:pStyle w:val="25"/>
      </w:pPr>
      <w:r>
        <w:t>6.进一步做好基层司法工作,做好安置帮教,健全帮教组织和工作网络,强化工作衔接.</w:t>
      </w:r>
    </w:p>
    <w:p>
      <w:pPr>
        <w:pStyle w:val="25"/>
      </w:pPr>
      <w:r>
        <w:t>7、戒毒管理工作稳步发展。</w:t>
      </w:r>
    </w:p>
    <w:p>
      <w:pPr>
        <w:pStyle w:val="25"/>
      </w:pPr>
      <w:r>
        <w:t>为深入推进禁毒工作，我局理清思路，强化措施，明确职责，创新方法，切实做到重心下移，防线前移，有力推进禁毒工作进程。一是积极争取支持，立足现有条件，整合人力资源，落实帮教机制。在社区戒毒(康复)工作中，我局进一步健全工作机制，深化工作措施，以人为本，强化功能，营造拴心留人的社区环境。在开展社区戒毒(康复)工作中，我局高度重视康复人员身心健康，努力构建社区环境的和谐气氛，社区的人性化管理使戒毒品(康复)人员重新感觉到了家庭的温暖，重新树立了生活的信心。在抓社区戒毒(康复)工作，我局始终做到职责明晰、任务落实、定期调度、严格奖惩，不断总结经验，查找不足，研究对策，使社区禁毒和社会康复工作各项机制不断改进和完善，工作得到有序开展。</w:t>
      </w:r>
    </w:p>
    <w:p>
      <w:pPr>
        <w:pStyle w:val="25"/>
      </w:pPr>
      <w:r>
        <w:t>8.加强班子和干部队伍建设,加强机关党的建设.</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1、2022年社区矫正补助资金（秦财行［2022］5号）绩效目标表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w:t>
            </w:r>
          </w:p>
        </w:tc>
        <w:tc>
          <w:tcPr>
            <w:tcW w:w="2835" w:type="dxa"/>
            <w:vAlign w:val="center"/>
          </w:tcPr>
          <w:p>
            <w:pPr>
              <w:pStyle w:val="14"/>
            </w:pPr>
            <w:r>
              <w:t>社区矫正人数</w:t>
            </w:r>
          </w:p>
        </w:tc>
        <w:tc>
          <w:tcPr>
            <w:tcW w:w="2551" w:type="dxa"/>
            <w:vAlign w:val="center"/>
          </w:tcPr>
          <w:p>
            <w:pPr>
              <w:pStyle w:val="14"/>
            </w:pPr>
            <w:r>
              <w:t>≤95人</w:t>
            </w:r>
          </w:p>
        </w:tc>
        <w:tc>
          <w:tcPr>
            <w:tcW w:w="2268" w:type="dxa"/>
            <w:vAlign w:val="center"/>
          </w:tcPr>
          <w:p>
            <w:pPr>
              <w:pStyle w:val="14"/>
            </w:pPr>
            <w:r>
              <w:t>社区矫正人数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≥90百分比</w:t>
            </w:r>
          </w:p>
        </w:tc>
        <w:tc>
          <w:tcPr>
            <w:tcW w:w="2268" w:type="dxa"/>
            <w:vAlign w:val="center"/>
          </w:tcPr>
          <w:p>
            <w:pPr>
              <w:pStyle w:val="14"/>
            </w:pPr>
            <w:r>
              <w:t>社区矫正执法人员学习时间达标率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≥90百分比</w:t>
            </w:r>
          </w:p>
        </w:tc>
        <w:tc>
          <w:tcPr>
            <w:tcW w:w="2268"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≥60百分比</w:t>
            </w:r>
          </w:p>
        </w:tc>
        <w:tc>
          <w:tcPr>
            <w:tcW w:w="2268" w:type="dxa"/>
            <w:vAlign w:val="center"/>
          </w:tcPr>
          <w:p>
            <w:pPr>
              <w:pStyle w:val="14"/>
            </w:pPr>
            <w: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≥80百分比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2、2022年省级公检法司转移支付资金（秦财行［2022］12号）绩效目标表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1.提高基层司法办案和装备经费保障水平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6.保障法律顾问工作正常运转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法律顾问工作人员覆盖率</w:t>
            </w:r>
          </w:p>
        </w:tc>
        <w:tc>
          <w:tcPr>
            <w:tcW w:w="2835" w:type="dxa"/>
            <w:vAlign w:val="center"/>
          </w:tcPr>
          <w:p>
            <w:pPr>
              <w:pStyle w:val="14"/>
            </w:pPr>
            <w:r>
              <w:t>法律顾问工作人员覆盖率</w:t>
            </w:r>
          </w:p>
        </w:tc>
        <w:tc>
          <w:tcPr>
            <w:tcW w:w="2551" w:type="dxa"/>
            <w:vAlign w:val="center"/>
          </w:tcPr>
          <w:p>
            <w:pPr>
              <w:pStyle w:val="14"/>
            </w:pPr>
            <w:r>
              <w:t>≥90百分比</w:t>
            </w:r>
          </w:p>
        </w:tc>
        <w:tc>
          <w:tcPr>
            <w:tcW w:w="2268" w:type="dxa"/>
            <w:vAlign w:val="center"/>
          </w:tcPr>
          <w:p>
            <w:pPr>
              <w:pStyle w:val="14"/>
            </w:pPr>
            <w:r>
              <w:t>受援项目占比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设立法律顾问</w:t>
            </w:r>
          </w:p>
        </w:tc>
        <w:tc>
          <w:tcPr>
            <w:tcW w:w="2835" w:type="dxa"/>
            <w:vAlign w:val="center"/>
          </w:tcPr>
          <w:p>
            <w:pPr>
              <w:pStyle w:val="14"/>
            </w:pPr>
            <w:r>
              <w:t>设立法律顾问</w:t>
            </w:r>
          </w:p>
        </w:tc>
        <w:tc>
          <w:tcPr>
            <w:tcW w:w="2551" w:type="dxa"/>
            <w:vAlign w:val="center"/>
          </w:tcPr>
          <w:p>
            <w:pPr>
              <w:pStyle w:val="14"/>
            </w:pPr>
            <w:r>
              <w:t>≥2人</w:t>
            </w:r>
          </w:p>
        </w:tc>
        <w:tc>
          <w:tcPr>
            <w:tcW w:w="2268" w:type="dxa"/>
            <w:vAlign w:val="center"/>
          </w:tcPr>
          <w:p>
            <w:pPr>
              <w:pStyle w:val="14"/>
            </w:pPr>
            <w: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≥90百分比</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≥80百分比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≥80百分比</w:t>
            </w:r>
          </w:p>
        </w:tc>
        <w:tc>
          <w:tcPr>
            <w:tcW w:w="2268" w:type="dxa"/>
            <w:vAlign w:val="center"/>
          </w:tcPr>
          <w:p>
            <w:pPr>
              <w:pStyle w:val="14"/>
            </w:pPr>
            <w:r>
              <w:t>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持续维护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≥90百分比</w:t>
            </w:r>
          </w:p>
        </w:tc>
        <w:tc>
          <w:tcPr>
            <w:tcW w:w="2268" w:type="dxa"/>
            <w:vAlign w:val="center"/>
          </w:tcPr>
          <w:p>
            <w:pPr>
              <w:pStyle w:val="14"/>
            </w:pPr>
            <w:r>
              <w:t>办理单位占比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6.保障法律援助工作正常开展。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组织宣传活动次数</w:t>
            </w:r>
          </w:p>
        </w:tc>
        <w:tc>
          <w:tcPr>
            <w:tcW w:w="2551" w:type="dxa"/>
            <w:vAlign w:val="center"/>
          </w:tcPr>
          <w:p>
            <w:pPr>
              <w:pStyle w:val="14"/>
            </w:pPr>
            <w:r>
              <w:t>≥6次</w:t>
            </w:r>
          </w:p>
        </w:tc>
        <w:tc>
          <w:tcPr>
            <w:tcW w:w="2268" w:type="dxa"/>
            <w:vAlign w:val="center"/>
          </w:tcPr>
          <w:p>
            <w:pPr>
              <w:pStyle w:val="14"/>
            </w:pPr>
            <w:r>
              <w:t>全年组织宣传活动次数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2835" w:type="dxa"/>
            <w:vAlign w:val="center"/>
          </w:tcPr>
          <w:p>
            <w:pPr>
              <w:pStyle w:val="14"/>
            </w:pPr>
            <w:r>
              <w:t>宣传、活动区域覆盖率</w:t>
            </w:r>
          </w:p>
        </w:tc>
        <w:tc>
          <w:tcPr>
            <w:tcW w:w="2551" w:type="dxa"/>
            <w:vAlign w:val="center"/>
          </w:tcPr>
          <w:p>
            <w:pPr>
              <w:pStyle w:val="14"/>
            </w:pPr>
            <w:r>
              <w:t>≥80百分比</w:t>
            </w:r>
          </w:p>
        </w:tc>
        <w:tc>
          <w:tcPr>
            <w:tcW w:w="2268" w:type="dxa"/>
            <w:vAlign w:val="center"/>
          </w:tcPr>
          <w:p>
            <w:pPr>
              <w:pStyle w:val="14"/>
            </w:pPr>
            <w: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2835" w:type="dxa"/>
            <w:vAlign w:val="center"/>
          </w:tcPr>
          <w:p>
            <w:pPr>
              <w:pStyle w:val="14"/>
            </w:pPr>
            <w:r>
              <w:t>按时办结率</w:t>
            </w:r>
          </w:p>
        </w:tc>
        <w:tc>
          <w:tcPr>
            <w:tcW w:w="2551" w:type="dxa"/>
            <w:vAlign w:val="center"/>
          </w:tcPr>
          <w:p>
            <w:pPr>
              <w:pStyle w:val="14"/>
            </w:pPr>
            <w:r>
              <w:t>≥80百分比</w:t>
            </w:r>
          </w:p>
        </w:tc>
        <w:tc>
          <w:tcPr>
            <w:tcW w:w="2268" w:type="dxa"/>
            <w:vAlign w:val="center"/>
          </w:tcPr>
          <w:p>
            <w:pPr>
              <w:pStyle w:val="14"/>
            </w:pPr>
            <w:r>
              <w:t>全年案件办结数量占比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案件处理效率</w:t>
            </w:r>
          </w:p>
        </w:tc>
        <w:tc>
          <w:tcPr>
            <w:tcW w:w="2835" w:type="dxa"/>
            <w:vAlign w:val="center"/>
          </w:tcPr>
          <w:p>
            <w:pPr>
              <w:pStyle w:val="14"/>
            </w:pPr>
            <w:r>
              <w:t>案件处理效率</w:t>
            </w:r>
          </w:p>
        </w:tc>
        <w:tc>
          <w:tcPr>
            <w:tcW w:w="2551" w:type="dxa"/>
            <w:vAlign w:val="center"/>
          </w:tcPr>
          <w:p>
            <w:pPr>
              <w:pStyle w:val="14"/>
            </w:pPr>
            <w:r>
              <w:t>≥80百分比</w:t>
            </w:r>
          </w:p>
        </w:tc>
        <w:tc>
          <w:tcPr>
            <w:tcW w:w="2268" w:type="dxa"/>
            <w:vAlign w:val="center"/>
          </w:tcPr>
          <w:p>
            <w:pPr>
              <w:pStyle w:val="14"/>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≥80百分比</w:t>
            </w:r>
          </w:p>
        </w:tc>
        <w:tc>
          <w:tcPr>
            <w:tcW w:w="2268" w:type="dxa"/>
            <w:vAlign w:val="center"/>
          </w:tcPr>
          <w:p>
            <w:pPr>
              <w:pStyle w:val="14"/>
            </w:pPr>
            <w:r>
              <w:t>接访案件率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≤2百分比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6.保障全区普法宣传工作正常开展。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2835" w:type="dxa"/>
            <w:vAlign w:val="center"/>
          </w:tcPr>
          <w:p>
            <w:pPr>
              <w:pStyle w:val="14"/>
            </w:pPr>
            <w:r>
              <w:t>普法宣传次数</w:t>
            </w:r>
          </w:p>
        </w:tc>
        <w:tc>
          <w:tcPr>
            <w:tcW w:w="2551" w:type="dxa"/>
            <w:vAlign w:val="center"/>
          </w:tcPr>
          <w:p>
            <w:pPr>
              <w:pStyle w:val="14"/>
            </w:pPr>
            <w:r>
              <w:t>≥6次</w:t>
            </w:r>
          </w:p>
        </w:tc>
        <w:tc>
          <w:tcPr>
            <w:tcW w:w="2268" w:type="dxa"/>
            <w:vAlign w:val="center"/>
          </w:tcPr>
          <w:p>
            <w:pPr>
              <w:pStyle w:val="14"/>
            </w:pPr>
            <w:r>
              <w:t>普法宣传次数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2835" w:type="dxa"/>
            <w:vAlign w:val="center"/>
          </w:tcPr>
          <w:p>
            <w:pPr>
              <w:pStyle w:val="14"/>
            </w:pPr>
            <w:r>
              <w:t>宣传、活动区域覆盖率</w:t>
            </w:r>
          </w:p>
        </w:tc>
        <w:tc>
          <w:tcPr>
            <w:tcW w:w="2551" w:type="dxa"/>
            <w:vAlign w:val="center"/>
          </w:tcPr>
          <w:p>
            <w:pPr>
              <w:pStyle w:val="14"/>
            </w:pPr>
            <w:r>
              <w:t>≥80百分比</w:t>
            </w:r>
          </w:p>
        </w:tc>
        <w:tc>
          <w:tcPr>
            <w:tcW w:w="2268" w:type="dxa"/>
            <w:vAlign w:val="center"/>
          </w:tcPr>
          <w:p>
            <w:pPr>
              <w:pStyle w:val="14"/>
            </w:pPr>
            <w:r>
              <w:t>全区覆盖范围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完成工作所需成本</w:t>
            </w:r>
          </w:p>
        </w:tc>
        <w:tc>
          <w:tcPr>
            <w:tcW w:w="2835" w:type="dxa"/>
            <w:vAlign w:val="center"/>
          </w:tcPr>
          <w:p>
            <w:pPr>
              <w:pStyle w:val="14"/>
            </w:pPr>
            <w:r>
              <w:t>完成工作所需成本</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≥95百分比</w:t>
            </w:r>
          </w:p>
        </w:tc>
        <w:tc>
          <w:tcPr>
            <w:tcW w:w="2268" w:type="dxa"/>
            <w:vAlign w:val="center"/>
          </w:tcPr>
          <w:p>
            <w:pPr>
              <w:pStyle w:val="14"/>
            </w:pPr>
            <w:r>
              <w:t>资金投入效果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≥90百分比</w:t>
            </w:r>
          </w:p>
        </w:tc>
        <w:tc>
          <w:tcPr>
            <w:tcW w:w="2268" w:type="dxa"/>
            <w:vAlign w:val="center"/>
          </w:tcPr>
          <w:p>
            <w:pPr>
              <w:pStyle w:val="14"/>
            </w:pPr>
            <w:r>
              <w:t>普法宣传对象满意度(%)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6.保障人民调解工作正常开展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2835" w:type="dxa"/>
            <w:vAlign w:val="center"/>
          </w:tcPr>
          <w:p>
            <w:pPr>
              <w:pStyle w:val="14"/>
            </w:pPr>
            <w:r>
              <w:t>人民调解案件数</w:t>
            </w:r>
          </w:p>
        </w:tc>
        <w:tc>
          <w:tcPr>
            <w:tcW w:w="2551" w:type="dxa"/>
            <w:vAlign w:val="center"/>
          </w:tcPr>
          <w:p>
            <w:pPr>
              <w:pStyle w:val="14"/>
            </w:pPr>
            <w:r>
              <w:t>≥90百分比</w:t>
            </w:r>
          </w:p>
        </w:tc>
        <w:tc>
          <w:tcPr>
            <w:tcW w:w="2268" w:type="dxa"/>
            <w:vAlign w:val="center"/>
          </w:tcPr>
          <w:p>
            <w:pPr>
              <w:pStyle w:val="14"/>
            </w:pPr>
            <w:r>
              <w:t>全年实际发生案件数量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≥80百分比</w:t>
            </w:r>
          </w:p>
        </w:tc>
        <w:tc>
          <w:tcPr>
            <w:tcW w:w="2268" w:type="dxa"/>
            <w:vAlign w:val="center"/>
          </w:tcPr>
          <w:p>
            <w:pPr>
              <w:pStyle w:val="14"/>
            </w:pPr>
            <w:r>
              <w:t>案件数量调处比率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≥90百分比</w:t>
            </w:r>
          </w:p>
        </w:tc>
        <w:tc>
          <w:tcPr>
            <w:tcW w:w="2268" w:type="dxa"/>
            <w:vAlign w:val="center"/>
          </w:tcPr>
          <w:p>
            <w:pPr>
              <w:pStyle w:val="14"/>
            </w:pPr>
            <w:r>
              <w:t>按照上报要求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100百分比</w:t>
            </w:r>
          </w:p>
        </w:tc>
        <w:tc>
          <w:tcPr>
            <w:tcW w:w="2268" w:type="dxa"/>
            <w:vAlign w:val="center"/>
          </w:tcPr>
          <w:p>
            <w:pPr>
              <w:pStyle w:val="14"/>
            </w:pPr>
            <w:r>
              <w:t>实际评估金额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≥90百分比</w:t>
            </w:r>
          </w:p>
        </w:tc>
        <w:tc>
          <w:tcPr>
            <w:tcW w:w="2268" w:type="dxa"/>
            <w:vAlign w:val="center"/>
          </w:tcPr>
          <w:p>
            <w:pPr>
              <w:pStyle w:val="14"/>
            </w:pPr>
            <w:r>
              <w:t>案件数量化解比率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≥90百分比</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6.保障人员经费正常发放。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2835" w:type="dxa"/>
            <w:vAlign w:val="center"/>
          </w:tcPr>
          <w:p>
            <w:pPr>
              <w:pStyle w:val="14"/>
            </w:pPr>
            <w:r>
              <w:t>社区矫正人数(人）</w:t>
            </w:r>
          </w:p>
        </w:tc>
        <w:tc>
          <w:tcPr>
            <w:tcW w:w="2551" w:type="dxa"/>
            <w:vAlign w:val="center"/>
          </w:tcPr>
          <w:p>
            <w:pPr>
              <w:pStyle w:val="14"/>
            </w:pPr>
            <w:r>
              <w:t>100百分比</w:t>
            </w:r>
          </w:p>
        </w:tc>
        <w:tc>
          <w:tcPr>
            <w:tcW w:w="2268" w:type="dxa"/>
            <w:vAlign w:val="center"/>
          </w:tcPr>
          <w:p>
            <w:pPr>
              <w:pStyle w:val="14"/>
            </w:pPr>
            <w:r>
              <w:t>社区矫正人员数量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≥90百分比</w:t>
            </w:r>
          </w:p>
        </w:tc>
        <w:tc>
          <w:tcPr>
            <w:tcW w:w="2268" w:type="dxa"/>
            <w:vAlign w:val="center"/>
          </w:tcPr>
          <w:p>
            <w:pPr>
              <w:pStyle w:val="14"/>
            </w:pPr>
            <w: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工作完成情况占比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日常工作稳步开展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≥90百分比</w:t>
            </w:r>
          </w:p>
        </w:tc>
        <w:tc>
          <w:tcPr>
            <w:tcW w:w="2268" w:type="dxa"/>
            <w:vAlign w:val="center"/>
          </w:tcPr>
          <w:p>
            <w:pPr>
              <w:pStyle w:val="14"/>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6.保障社区矫正工作正常开展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w:t>
            </w:r>
          </w:p>
        </w:tc>
        <w:tc>
          <w:tcPr>
            <w:tcW w:w="2835" w:type="dxa"/>
            <w:vAlign w:val="center"/>
          </w:tcPr>
          <w:p>
            <w:pPr>
              <w:pStyle w:val="14"/>
            </w:pPr>
            <w:r>
              <w:t>社区矫正人数</w:t>
            </w:r>
          </w:p>
        </w:tc>
        <w:tc>
          <w:tcPr>
            <w:tcW w:w="2551" w:type="dxa"/>
            <w:vAlign w:val="center"/>
          </w:tcPr>
          <w:p>
            <w:pPr>
              <w:pStyle w:val="14"/>
            </w:pPr>
            <w:r>
              <w:t>100百分比</w:t>
            </w:r>
          </w:p>
        </w:tc>
        <w:tc>
          <w:tcPr>
            <w:tcW w:w="2268" w:type="dxa"/>
            <w:vAlign w:val="center"/>
          </w:tcPr>
          <w:p>
            <w:pPr>
              <w:pStyle w:val="14"/>
            </w:pPr>
            <w:r>
              <w:t>实际接收人数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≥90百分比</w:t>
            </w:r>
          </w:p>
        </w:tc>
        <w:tc>
          <w:tcPr>
            <w:tcW w:w="2268" w:type="dxa"/>
            <w:vAlign w:val="center"/>
          </w:tcPr>
          <w:p>
            <w:pPr>
              <w:pStyle w:val="14"/>
            </w:pPr>
            <w:r>
              <w:t>按要求学习时长比率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100百分比</w:t>
            </w:r>
          </w:p>
        </w:tc>
        <w:tc>
          <w:tcPr>
            <w:tcW w:w="2268" w:type="dxa"/>
            <w:vAlign w:val="center"/>
          </w:tcPr>
          <w:p>
            <w:pPr>
              <w:pStyle w:val="14"/>
            </w:pPr>
            <w:r>
              <w:t>按照相关要求完成工作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2835" w:type="dxa"/>
            <w:vAlign w:val="center"/>
          </w:tcPr>
          <w:p>
            <w:pPr>
              <w:pStyle w:val="14"/>
            </w:pPr>
            <w:r>
              <w:t>项目预算控制</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服刑人员信息核查率(%)</w:t>
            </w:r>
          </w:p>
        </w:tc>
        <w:tc>
          <w:tcPr>
            <w:tcW w:w="2835" w:type="dxa"/>
            <w:vAlign w:val="center"/>
          </w:tcPr>
          <w:p>
            <w:pPr>
              <w:pStyle w:val="14"/>
            </w:pPr>
            <w:r>
              <w:t>服刑人员信息核查率(%)</w:t>
            </w:r>
          </w:p>
        </w:tc>
        <w:tc>
          <w:tcPr>
            <w:tcW w:w="2551" w:type="dxa"/>
            <w:vAlign w:val="center"/>
          </w:tcPr>
          <w:p>
            <w:pPr>
              <w:pStyle w:val="14"/>
            </w:pPr>
            <w:r>
              <w:t>≥90百分比</w:t>
            </w:r>
          </w:p>
        </w:tc>
        <w:tc>
          <w:tcPr>
            <w:tcW w:w="2268" w:type="dxa"/>
            <w:vAlign w:val="center"/>
          </w:tcPr>
          <w:p>
            <w:pPr>
              <w:pStyle w:val="14"/>
            </w:pPr>
            <w:r>
              <w:t>实际核查数量占比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社矫人员社会稳定情况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6.保障禁毒工作正常开展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≥90百分比</w:t>
            </w:r>
          </w:p>
        </w:tc>
        <w:tc>
          <w:tcPr>
            <w:tcW w:w="2268" w:type="dxa"/>
            <w:vAlign w:val="center"/>
          </w:tcPr>
          <w:p>
            <w:pPr>
              <w:pStyle w:val="14"/>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≥90百分比</w:t>
            </w:r>
          </w:p>
        </w:tc>
        <w:tc>
          <w:tcPr>
            <w:tcW w:w="2268" w:type="dxa"/>
            <w:vAlign w:val="center"/>
          </w:tcPr>
          <w:p>
            <w:pPr>
              <w:pStyle w:val="14"/>
            </w:pPr>
            <w:r>
              <w:t>根据年初预算及工作需要及时支付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≥90百分比</w:t>
            </w:r>
          </w:p>
        </w:tc>
        <w:tc>
          <w:tcPr>
            <w:tcW w:w="2268" w:type="dxa"/>
            <w:vAlign w:val="center"/>
          </w:tcPr>
          <w:p>
            <w:pPr>
              <w:pStyle w:val="14"/>
            </w:pPr>
            <w:r>
              <w:t>顺利保障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≥90百分比</w:t>
            </w:r>
          </w:p>
        </w:tc>
        <w:tc>
          <w:tcPr>
            <w:tcW w:w="2268" w:type="dxa"/>
            <w:vAlign w:val="center"/>
          </w:tcPr>
          <w:p>
            <w:pPr>
              <w:pStyle w:val="14"/>
            </w:pPr>
            <w:r>
              <w:t>保障日常工作正常开展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10、下达2022年第二批中央政法转移支付资金的通知(司法)绩效目标表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1.提高基层司法办案和装备经费保障水平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1.保障目标及时完成。</w:t>
            </w:r>
          </w:p>
          <w:p>
            <w:pPr>
              <w:pStyle w:val="14"/>
            </w:pPr>
            <w:r>
              <w:t>2.保障工作顺利开展。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2023年，司法部门秦皇岛市山海关区司法局本级安排政府采购预算0.00万元。具体内容见下表。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司法部门秦皇岛市山海关区司法局本级上年末固定资产金额为140.21万元（详见下表）。本年度拟购置固定资产总额为0.00万元，已按要求列入政府采购预算，详见政府采购预算表。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460</w:t>
            </w: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460</w:t>
            </w: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306</w:t>
            </w:r>
          </w:p>
        </w:tc>
        <w:tc>
          <w:tcPr>
            <w:tcW w:w="2835" w:type="dxa"/>
            <w:vAlign w:val="center"/>
          </w:tcPr>
          <w:p>
            <w:pPr>
              <w:pStyle w:val="13"/>
            </w:pPr>
            <w:r>
              <w:t>35.25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bookmarkStart w:id="1" w:name="_GoBack"/>
      <w:bookmarkEnd w:id="1"/>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2A3D"/>
    <w:multiLevelType w:val="singleLevel"/>
    <w:tmpl w:val="09E32A3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D4548"/>
    <w:rsid w:val="186C2C08"/>
    <w:rsid w:val="19600D6B"/>
    <w:rsid w:val="269D4601"/>
    <w:rsid w:val="347B233C"/>
    <w:rsid w:val="44754F02"/>
    <w:rsid w:val="4A7955C4"/>
    <w:rsid w:val="63433CC7"/>
    <w:rsid w:val="68751DD3"/>
    <w:rsid w:val="716C218E"/>
    <w:rsid w:val="7A7F6DBE"/>
    <w:rsid w:val="7E953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2023-02-28T09:06:14Z</dcterms:created>
  <dcterms:modified xsi:type="dcterms:W3CDTF">2023-02-28T01:06:14Z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2023-02-28T09:06:14Z</dcterms:created>
  <dcterms:modified xsi:type="dcterms:W3CDTF">2023-02-28T01:06:14Z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2023-02-28T09:06:19Z</dcterms:created>
  <dcterms:modified xsi:type="dcterms:W3CDTF">2023-02-28T01:06:19Z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2023-02-28T09:06:12Z</dcterms:created>
  <dcterms:modified xsi:type="dcterms:W3CDTF">2023-02-28T01:06:11Z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b15be66-eddd-4adc-9271-b1452ac8b51e}">
  <ds:schemaRefs/>
</ds:datastoreItem>
</file>

<file path=customXml/itemProps11.xml><?xml version="1.0" encoding="utf-8"?>
<ds:datastoreItem xmlns:ds="http://schemas.openxmlformats.org/officeDocument/2006/customXml" ds:itemID="{a0d6f01a-f3a1-4f56-90d7-65d6cb27e52d}">
  <ds:schemaRefs/>
</ds:datastoreItem>
</file>

<file path=customXml/itemProps12.xml><?xml version="1.0" encoding="utf-8"?>
<ds:datastoreItem xmlns:ds="http://schemas.openxmlformats.org/officeDocument/2006/customXml" ds:itemID="{cd0bbcc0-1756-4817-8d9e-5909264fdd66}">
  <ds:schemaRefs/>
</ds:datastoreItem>
</file>

<file path=customXml/itemProps13.xml><?xml version="1.0" encoding="utf-8"?>
<ds:datastoreItem xmlns:ds="http://schemas.openxmlformats.org/officeDocument/2006/customXml" ds:itemID="{5e61be66-f13b-4501-a633-134122e66bb8}">
  <ds:schemaRefs/>
</ds:datastoreItem>
</file>

<file path=customXml/itemProps14.xml><?xml version="1.0" encoding="utf-8"?>
<ds:datastoreItem xmlns:ds="http://schemas.openxmlformats.org/officeDocument/2006/customXml" ds:itemID="{dade7679-47cf-4075-aa61-04aee6bf4687}">
  <ds:schemaRefs/>
</ds:datastoreItem>
</file>

<file path=customXml/itemProps15.xml><?xml version="1.0" encoding="utf-8"?>
<ds:datastoreItem xmlns:ds="http://schemas.openxmlformats.org/officeDocument/2006/customXml" ds:itemID="{221ebb0f-0d87-4482-8899-8c0046dbb578}">
  <ds:schemaRefs/>
</ds:datastoreItem>
</file>

<file path=customXml/itemProps16.xml><?xml version="1.0" encoding="utf-8"?>
<ds:datastoreItem xmlns:ds="http://schemas.openxmlformats.org/officeDocument/2006/customXml" ds:itemID="{52a6cccb-d016-4f97-8226-f9e00aaa402a}">
  <ds:schemaRefs/>
</ds:datastoreItem>
</file>

<file path=customXml/itemProps17.xml><?xml version="1.0" encoding="utf-8"?>
<ds:datastoreItem xmlns:ds="http://schemas.openxmlformats.org/officeDocument/2006/customXml" ds:itemID="{bc5b1fa1-10c5-45d3-826a-0c8ca72bdefc}">
  <ds:schemaRefs/>
</ds:datastoreItem>
</file>

<file path=customXml/itemProps18.xml><?xml version="1.0" encoding="utf-8"?>
<ds:datastoreItem xmlns:ds="http://schemas.openxmlformats.org/officeDocument/2006/customXml" ds:itemID="{b9f2681d-5d42-47a6-b343-cecacd2e9b06}">
  <ds:schemaRefs/>
</ds:datastoreItem>
</file>

<file path=customXml/itemProps19.xml><?xml version="1.0" encoding="utf-8"?>
<ds:datastoreItem xmlns:ds="http://schemas.openxmlformats.org/officeDocument/2006/customXml" ds:itemID="{ade6e841-4c3b-4240-b2d8-b0ce15ffe685}">
  <ds:schemaRefs/>
</ds:datastoreItem>
</file>

<file path=customXml/itemProps2.xml><?xml version="1.0" encoding="utf-8"?>
<ds:datastoreItem xmlns:ds="http://schemas.openxmlformats.org/officeDocument/2006/customXml" ds:itemID="{a5a76ef9-15af-4585-9c33-e45704b4023b}">
  <ds:schemaRefs/>
</ds:datastoreItem>
</file>

<file path=customXml/itemProps20.xml><?xml version="1.0" encoding="utf-8"?>
<ds:datastoreItem xmlns:ds="http://schemas.openxmlformats.org/officeDocument/2006/customXml" ds:itemID="{8cc11fe7-40d2-4e87-87e4-ba284976d48c}">
  <ds:schemaRefs/>
</ds:datastoreItem>
</file>

<file path=customXml/itemProps21.xml><?xml version="1.0" encoding="utf-8"?>
<ds:datastoreItem xmlns:ds="http://schemas.openxmlformats.org/officeDocument/2006/customXml" ds:itemID="{ffd43e35-40a8-4c58-937d-e205dffd2b74}">
  <ds:schemaRefs/>
</ds:datastoreItem>
</file>

<file path=customXml/itemProps22.xml><?xml version="1.0" encoding="utf-8"?>
<ds:datastoreItem xmlns:ds="http://schemas.openxmlformats.org/officeDocument/2006/customXml" ds:itemID="{0dfe0da9-699b-4103-959a-06c746821d8d}">
  <ds:schemaRefs/>
</ds:datastoreItem>
</file>

<file path=customXml/itemProps23.xml><?xml version="1.0" encoding="utf-8"?>
<ds:datastoreItem xmlns:ds="http://schemas.openxmlformats.org/officeDocument/2006/customXml" ds:itemID="{78a0d995-ba0a-4b23-a50d-be841b4cea4a}">
  <ds:schemaRefs/>
</ds:datastoreItem>
</file>

<file path=customXml/itemProps24.xml><?xml version="1.0" encoding="utf-8"?>
<ds:datastoreItem xmlns:ds="http://schemas.openxmlformats.org/officeDocument/2006/customXml" ds:itemID="{c576a57f-6b81-433c-acc4-6fddf82e2b00}">
  <ds:schemaRefs/>
</ds:datastoreItem>
</file>

<file path=customXml/itemProps25.xml><?xml version="1.0" encoding="utf-8"?>
<ds:datastoreItem xmlns:ds="http://schemas.openxmlformats.org/officeDocument/2006/customXml" ds:itemID="{caad1c42-a9b5-4beb-8e9e-796d9a81dac2}">
  <ds:schemaRefs/>
</ds:datastoreItem>
</file>

<file path=customXml/itemProps26.xml><?xml version="1.0" encoding="utf-8"?>
<ds:datastoreItem xmlns:ds="http://schemas.openxmlformats.org/officeDocument/2006/customXml" ds:itemID="{57f60f0d-be3c-42b5-b15f-b8997935bd60}">
  <ds:schemaRefs/>
</ds:datastoreItem>
</file>

<file path=customXml/itemProps27.xml><?xml version="1.0" encoding="utf-8"?>
<ds:datastoreItem xmlns:ds="http://schemas.openxmlformats.org/officeDocument/2006/customXml" ds:itemID="{5f3a7f70-5bef-47d2-90bf-6fcc3c280eac}">
  <ds:schemaRefs/>
</ds:datastoreItem>
</file>

<file path=customXml/itemProps28.xml><?xml version="1.0" encoding="utf-8"?>
<ds:datastoreItem xmlns:ds="http://schemas.openxmlformats.org/officeDocument/2006/customXml" ds:itemID="{e9c1c2a5-9b9e-4c91-bd4a-dec52a877768}">
  <ds:schemaRefs/>
</ds:datastoreItem>
</file>

<file path=customXml/itemProps29.xml><?xml version="1.0" encoding="utf-8"?>
<ds:datastoreItem xmlns:ds="http://schemas.openxmlformats.org/officeDocument/2006/customXml" ds:itemID="{ae9a080e-ea65-4cf1-bce0-a7ee00b35af2}">
  <ds:schemaRefs/>
</ds:datastoreItem>
</file>

<file path=customXml/itemProps3.xml><?xml version="1.0" encoding="utf-8"?>
<ds:datastoreItem xmlns:ds="http://schemas.openxmlformats.org/officeDocument/2006/customXml" ds:itemID="{696bb307-723a-4afb-9eee-ff2ea66c6e60}">
  <ds:schemaRefs/>
</ds:datastoreItem>
</file>

<file path=customXml/itemProps30.xml><?xml version="1.0" encoding="utf-8"?>
<ds:datastoreItem xmlns:ds="http://schemas.openxmlformats.org/officeDocument/2006/customXml" ds:itemID="{d08d0ab2-a803-4f46-9e94-6bb80ad2039f}">
  <ds:schemaRefs/>
</ds:datastoreItem>
</file>

<file path=customXml/itemProps31.xml><?xml version="1.0" encoding="utf-8"?>
<ds:datastoreItem xmlns:ds="http://schemas.openxmlformats.org/officeDocument/2006/customXml" ds:itemID="{4f3e5ec1-ea24-47a6-99c1-4f236fc30ae9}">
  <ds:schemaRefs/>
</ds:datastoreItem>
</file>

<file path=customXml/itemProps32.xml><?xml version="1.0" encoding="utf-8"?>
<ds:datastoreItem xmlns:ds="http://schemas.openxmlformats.org/officeDocument/2006/customXml" ds:itemID="{928c75f5-48d1-4352-9b91-7c63252b3635}">
  <ds:schemaRefs/>
</ds:datastoreItem>
</file>

<file path=customXml/itemProps33.xml><?xml version="1.0" encoding="utf-8"?>
<ds:datastoreItem xmlns:ds="http://schemas.openxmlformats.org/officeDocument/2006/customXml" ds:itemID="{dbd76c6d-2d5e-4b0f-b15e-b1cb13ca82a0}">
  <ds:schemaRefs/>
</ds:datastoreItem>
</file>

<file path=customXml/itemProps34.xml><?xml version="1.0" encoding="utf-8"?>
<ds:datastoreItem xmlns:ds="http://schemas.openxmlformats.org/officeDocument/2006/customXml" ds:itemID="{8af4b693-3330-46b8-86c0-f946f6b24106}">
  <ds:schemaRefs/>
</ds:datastoreItem>
</file>

<file path=customXml/itemProps35.xml><?xml version="1.0" encoding="utf-8"?>
<ds:datastoreItem xmlns:ds="http://schemas.openxmlformats.org/officeDocument/2006/customXml" ds:itemID="{22d26722-8958-4f14-a257-e0064138b934}">
  <ds:schemaRefs/>
</ds:datastoreItem>
</file>

<file path=customXml/itemProps36.xml><?xml version="1.0" encoding="utf-8"?>
<ds:datastoreItem xmlns:ds="http://schemas.openxmlformats.org/officeDocument/2006/customXml" ds:itemID="{ebdefa4f-8193-42eb-8637-dea31d60ee11}">
  <ds:schemaRefs/>
</ds:datastoreItem>
</file>

<file path=customXml/itemProps37.xml><?xml version="1.0" encoding="utf-8"?>
<ds:datastoreItem xmlns:ds="http://schemas.openxmlformats.org/officeDocument/2006/customXml" ds:itemID="{f71f350e-b686-49dc-a3e5-e3469affbcaa}">
  <ds:schemaRefs/>
</ds:datastoreItem>
</file>

<file path=customXml/itemProps38.xml><?xml version="1.0" encoding="utf-8"?>
<ds:datastoreItem xmlns:ds="http://schemas.openxmlformats.org/officeDocument/2006/customXml" ds:itemID="{3a0eaca2-f1dc-41ac-b8fb-b7ce7f447977}">
  <ds:schemaRefs/>
</ds:datastoreItem>
</file>

<file path=customXml/itemProps39.xml><?xml version="1.0" encoding="utf-8"?>
<ds:datastoreItem xmlns:ds="http://schemas.openxmlformats.org/officeDocument/2006/customXml" ds:itemID="{2b4a73f7-c64b-4f6a-92b8-54cb94927232}">
  <ds:schemaRefs/>
</ds:datastoreItem>
</file>

<file path=customXml/itemProps4.xml><?xml version="1.0" encoding="utf-8"?>
<ds:datastoreItem xmlns:ds="http://schemas.openxmlformats.org/officeDocument/2006/customXml" ds:itemID="{94b5f706-eaa8-4e98-af97-41519e997f2a}">
  <ds:schemaRefs/>
</ds:datastoreItem>
</file>

<file path=customXml/itemProps40.xml><?xml version="1.0" encoding="utf-8"?>
<ds:datastoreItem xmlns:ds="http://schemas.openxmlformats.org/officeDocument/2006/customXml" ds:itemID="{51566e1f-c56c-465d-8006-001d519868f5}">
  <ds:schemaRefs/>
</ds:datastoreItem>
</file>

<file path=customXml/itemProps41.xml><?xml version="1.0" encoding="utf-8"?>
<ds:datastoreItem xmlns:ds="http://schemas.openxmlformats.org/officeDocument/2006/customXml" ds:itemID="{6b572a0f-5896-4b38-881f-f7d1d88f2db4}">
  <ds:schemaRefs/>
</ds:datastoreItem>
</file>

<file path=customXml/itemProps42.xml><?xml version="1.0" encoding="utf-8"?>
<ds:datastoreItem xmlns:ds="http://schemas.openxmlformats.org/officeDocument/2006/customXml" ds:itemID="{ca50179f-54b3-44a1-9ad6-9e1af7446b2b}">
  <ds:schemaRefs/>
</ds:datastoreItem>
</file>

<file path=customXml/itemProps43.xml><?xml version="1.0" encoding="utf-8"?>
<ds:datastoreItem xmlns:ds="http://schemas.openxmlformats.org/officeDocument/2006/customXml" ds:itemID="{d2dc5855-9233-4bf7-aa9e-5637271c19dc}">
  <ds:schemaRefs/>
</ds:datastoreItem>
</file>

<file path=customXml/itemProps44.xml><?xml version="1.0" encoding="utf-8"?>
<ds:datastoreItem xmlns:ds="http://schemas.openxmlformats.org/officeDocument/2006/customXml" ds:itemID="{0e0f01ce-c69d-410a-a38a-7c2ba3c2bad8}">
  <ds:schemaRefs/>
</ds:datastoreItem>
</file>

<file path=customXml/itemProps45.xml><?xml version="1.0" encoding="utf-8"?>
<ds:datastoreItem xmlns:ds="http://schemas.openxmlformats.org/officeDocument/2006/customXml" ds:itemID="{cfc0bf93-159f-449b-95e4-d3aa7b070f3d}">
  <ds:schemaRefs/>
</ds:datastoreItem>
</file>

<file path=customXml/itemProps46.xml><?xml version="1.0" encoding="utf-8"?>
<ds:datastoreItem xmlns:ds="http://schemas.openxmlformats.org/officeDocument/2006/customXml" ds:itemID="{55ccd8fb-ec57-48c9-ab91-d4b894c701bb}">
  <ds:schemaRefs/>
</ds:datastoreItem>
</file>

<file path=customXml/itemProps47.xml><?xml version="1.0" encoding="utf-8"?>
<ds:datastoreItem xmlns:ds="http://schemas.openxmlformats.org/officeDocument/2006/customXml" ds:itemID="{1ce66ba0-139d-4daa-8382-af8f4835aa42}">
  <ds:schemaRefs/>
</ds:datastoreItem>
</file>

<file path=customXml/itemProps48.xml><?xml version="1.0" encoding="utf-8"?>
<ds:datastoreItem xmlns:ds="http://schemas.openxmlformats.org/officeDocument/2006/customXml" ds:itemID="{b66d056e-a3d4-4335-ac27-1a10dc310461}">
  <ds:schemaRefs/>
</ds:datastoreItem>
</file>

<file path=customXml/itemProps49.xml><?xml version="1.0" encoding="utf-8"?>
<ds:datastoreItem xmlns:ds="http://schemas.openxmlformats.org/officeDocument/2006/customXml" ds:itemID="{b34e60f5-f08a-4bcd-bd32-309df6c207fb}">
  <ds:schemaRefs/>
</ds:datastoreItem>
</file>

<file path=customXml/itemProps5.xml><?xml version="1.0" encoding="utf-8"?>
<ds:datastoreItem xmlns:ds="http://schemas.openxmlformats.org/officeDocument/2006/customXml" ds:itemID="{b1495e92-1bc8-4f3c-91c2-44074ffe8cae}">
  <ds:schemaRefs/>
</ds:datastoreItem>
</file>

<file path=customXml/itemProps50.xml><?xml version="1.0" encoding="utf-8"?>
<ds:datastoreItem xmlns:ds="http://schemas.openxmlformats.org/officeDocument/2006/customXml" ds:itemID="{8d02ee7c-f62a-48f5-ba17-1842f8b459bb}">
  <ds:schemaRefs/>
</ds:datastoreItem>
</file>

<file path=customXml/itemProps51.xml><?xml version="1.0" encoding="utf-8"?>
<ds:datastoreItem xmlns:ds="http://schemas.openxmlformats.org/officeDocument/2006/customXml" ds:itemID="{3a0ac52f-4e49-4170-8aa9-d0e4a00af169}">
  <ds:schemaRefs/>
</ds:datastoreItem>
</file>

<file path=customXml/itemProps52.xml><?xml version="1.0" encoding="utf-8"?>
<ds:datastoreItem xmlns:ds="http://schemas.openxmlformats.org/officeDocument/2006/customXml" ds:itemID="{88df118a-eb82-4fa9-aa17-622034bbf4ac}">
  <ds:schemaRefs/>
</ds:datastoreItem>
</file>

<file path=customXml/itemProps53.xml><?xml version="1.0" encoding="utf-8"?>
<ds:datastoreItem xmlns:ds="http://schemas.openxmlformats.org/officeDocument/2006/customXml" ds:itemID="{fdd33665-aed6-4c80-aa5a-89787ab9c216}">
  <ds:schemaRefs/>
</ds:datastoreItem>
</file>

<file path=customXml/itemProps54.xml><?xml version="1.0" encoding="utf-8"?>
<ds:datastoreItem xmlns:ds="http://schemas.openxmlformats.org/officeDocument/2006/customXml" ds:itemID="{8e581f37-14d0-4f43-ae7b-b9aeaccaf9f8}">
  <ds:schemaRefs/>
</ds:datastoreItem>
</file>

<file path=customXml/itemProps55.xml><?xml version="1.0" encoding="utf-8"?>
<ds:datastoreItem xmlns:ds="http://schemas.openxmlformats.org/officeDocument/2006/customXml" ds:itemID="{6f428a00-4197-4eeb-8fa1-c70716ae002e}">
  <ds:schemaRefs/>
</ds:datastoreItem>
</file>

<file path=customXml/itemProps6.xml><?xml version="1.0" encoding="utf-8"?>
<ds:datastoreItem xmlns:ds="http://schemas.openxmlformats.org/officeDocument/2006/customXml" ds:itemID="{57614faa-155e-4abe-acb2-3ea428b2c32d}">
  <ds:schemaRefs/>
</ds:datastoreItem>
</file>

<file path=customXml/itemProps7.xml><?xml version="1.0" encoding="utf-8"?>
<ds:datastoreItem xmlns:ds="http://schemas.openxmlformats.org/officeDocument/2006/customXml" ds:itemID="{b560d3f1-8b81-4acc-be35-e638269b1bdd}">
  <ds:schemaRefs/>
</ds:datastoreItem>
</file>

<file path=customXml/itemProps8.xml><?xml version="1.0" encoding="utf-8"?>
<ds:datastoreItem xmlns:ds="http://schemas.openxmlformats.org/officeDocument/2006/customXml" ds:itemID="{3babd227-a20b-43da-9b0a-7e7f03ad62cd}">
  <ds:schemaRefs/>
</ds:datastoreItem>
</file>

<file path=customXml/itemProps9.xml><?xml version="1.0" encoding="utf-8"?>
<ds:datastoreItem xmlns:ds="http://schemas.openxmlformats.org/officeDocument/2006/customXml" ds:itemID="{f8182954-1fe3-486b-9fe5-824124169abe}">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2023-02-28T09:06:00Z</dcterms:created>
  <dc:creator>Administrator</dc:creator>
  <cp:lastModifiedBy>lenovo</cp:lastModifiedBy>
  <cp:lastPrinted>2023-06-30T02:04:00Z</cp:lastPrinted>
  <dcterms:modified xsi:type="dcterms:W3CDTF">2023-11-08T07:29:43Z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80AF8B91F09441B5A1C111C2D3B4CAEC</vt:lpwstr>
  </property>
</Properties>
</file>