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人社部门</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人社部门编制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车保险绩效目标表</w:t>
      </w:r>
      <w:r>
        <w:tab/>
      </w:r>
      <w:r>
        <w:fldChar w:fldCharType="begin"/>
      </w:r>
      <w:r>
        <w:instrText xml:space="preserve">PAGEREF _Toc_4_4_0000000004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w:t>
      </w:r>
      <w:r>
        <w:rPr>
          <w:rFonts w:hint="eastAsia"/>
        </w:rPr>
        <w:t>基金专项审计及业务费绩效目标表</w:t>
      </w:r>
      <w:r>
        <w:tab/>
      </w:r>
      <w:r>
        <w:fldChar w:fldCharType="begin"/>
      </w:r>
      <w:r>
        <w:instrText xml:space="preserve">PAGEREF _Toc_4_4_0000000005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w:t>
      </w:r>
      <w:r>
        <w:rPr>
          <w:rFonts w:hint="eastAsia"/>
        </w:rPr>
        <w:t>劳动人事争议仲裁院标准化建设及工作经费绩效目标表</w:t>
      </w:r>
      <w:r>
        <w:tab/>
      </w:r>
      <w:r>
        <w:fldChar w:fldCharType="begin"/>
      </w:r>
      <w:r>
        <w:instrText xml:space="preserve">PAGEREF _Toc_4_4_0000000006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w:t>
      </w:r>
      <w:r>
        <w:rPr>
          <w:rFonts w:hint="eastAsia"/>
        </w:rPr>
        <w:t>车保险绩效目标表</w:t>
      </w:r>
      <w:r>
        <w:tab/>
      </w:r>
      <w:r>
        <w:fldChar w:fldCharType="begin"/>
      </w:r>
      <w:r>
        <w:instrText xml:space="preserve">PAGEREF _Toc_4_4_0000000007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w:t>
      </w:r>
      <w:r>
        <w:rPr>
          <w:rFonts w:hint="eastAsia"/>
        </w:rPr>
        <w:t>人事代理专项补助绩效目标表</w:t>
      </w:r>
      <w:r>
        <w:tab/>
      </w:r>
      <w:r>
        <w:fldChar w:fldCharType="begin"/>
      </w:r>
      <w:r>
        <w:instrText xml:space="preserve">PAGEREF _Toc_4_4_0000000008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w:t>
      </w:r>
      <w:r>
        <w:rPr>
          <w:rFonts w:hint="eastAsia"/>
        </w:rPr>
        <w:t>提前下达</w:t>
      </w:r>
      <w:r>
        <w:t>2021</w:t>
      </w:r>
      <w:r>
        <w:rPr>
          <w:rFonts w:hint="eastAsia"/>
        </w:rPr>
        <w:t>年省级财政城乡居民养老、就业公共服务村级代办员补助资金绩效目标表</w:t>
      </w:r>
      <w:r>
        <w:tab/>
      </w:r>
      <w:r>
        <w:fldChar w:fldCharType="begin"/>
      </w:r>
      <w:r>
        <w:instrText xml:space="preserve">PAGEREF _Toc_4_4_0000000009 \h</w:instrText>
      </w:r>
      <w:r>
        <w:fldChar w:fldCharType="separate"/>
      </w:r>
      <w:r>
        <w:t>11</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w:t>
      </w:r>
      <w:r>
        <w:rPr>
          <w:rFonts w:hint="eastAsia"/>
        </w:rPr>
        <w:t>专项补助绩效目标表</w:t>
      </w:r>
      <w:r>
        <w:tab/>
      </w:r>
      <w:r>
        <w:fldChar w:fldCharType="begin"/>
      </w:r>
      <w:r>
        <w:instrText xml:space="preserve">PAGEREF _Toc_4_4_0000000010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w:t>
      </w:r>
      <w:r>
        <w:rPr>
          <w:rFonts w:hint="eastAsia"/>
        </w:rPr>
        <w:t>关于提前下达</w:t>
      </w:r>
      <w:r>
        <w:t>2022</w:t>
      </w:r>
      <w:r>
        <w:rPr>
          <w:rFonts w:hint="eastAsia"/>
        </w:rPr>
        <w:t>年城乡居民基本养老保险就业服务村级代办员省级补助资金的通知绩效目标表</w:t>
      </w:r>
      <w:r>
        <w:tab/>
      </w:r>
      <w:r>
        <w:fldChar w:fldCharType="begin"/>
      </w:r>
      <w:r>
        <w:instrText xml:space="preserve">PAGEREF _Toc_4_4_0000000011 \h</w:instrText>
      </w:r>
      <w:r>
        <w:fldChar w:fldCharType="separate"/>
      </w:r>
      <w:r>
        <w:t>13</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w:t>
      </w:r>
      <w:r>
        <w:rPr>
          <w:rFonts w:hint="eastAsia"/>
        </w:rPr>
        <w:t>南园村差额养老金绩效目标表</w:t>
      </w:r>
      <w:r>
        <w:tab/>
      </w:r>
      <w:r>
        <w:fldChar w:fldCharType="begin"/>
      </w:r>
      <w:r>
        <w:instrText xml:space="preserve">PAGEREF _Toc_4_4_0000000012 \h</w:instrText>
      </w:r>
      <w:r>
        <w:fldChar w:fldCharType="separate"/>
      </w:r>
      <w:r>
        <w:t>14</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w:t>
      </w:r>
      <w:r>
        <w:rPr>
          <w:rFonts w:hint="eastAsia"/>
        </w:rPr>
        <w:t>物资局管理办退休托管人员经费绩效目标表</w:t>
      </w:r>
      <w:r>
        <w:tab/>
      </w:r>
      <w:r>
        <w:fldChar w:fldCharType="begin"/>
      </w:r>
      <w:r>
        <w:instrText xml:space="preserve">PAGEREF _Toc_4_4_0000000013 \h</w:instrText>
      </w:r>
      <w:r>
        <w:fldChar w:fldCharType="separate"/>
      </w:r>
      <w:r>
        <w:t>15</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w:t>
      </w:r>
      <w:r>
        <w:rPr>
          <w:rFonts w:hint="eastAsia"/>
        </w:rPr>
        <w:t>车保险绩效目标表</w:t>
      </w:r>
      <w:r>
        <w:tab/>
      </w:r>
      <w:r>
        <w:fldChar w:fldCharType="begin"/>
      </w:r>
      <w:r>
        <w:instrText xml:space="preserve">PAGEREF _Toc_4_4_0000000014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w:t>
      </w:r>
      <w:r>
        <w:rPr>
          <w:rFonts w:hint="eastAsia"/>
        </w:rPr>
        <w:t>人事代理专项补助绩效目标表</w:t>
      </w:r>
      <w:r>
        <w:tab/>
      </w:r>
      <w:r>
        <w:fldChar w:fldCharType="begin"/>
      </w:r>
      <w:r>
        <w:instrText xml:space="preserve">PAGEREF _Toc_4_4_0000000015 \h</w:instrText>
      </w:r>
      <w:r>
        <w:fldChar w:fldCharType="separate"/>
      </w:r>
      <w:r>
        <w:t>17</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w:t>
      </w:r>
      <w:r>
        <w:rPr>
          <w:rFonts w:hint="eastAsia"/>
        </w:rPr>
        <w:t>专项补助绩效目标表</w:t>
      </w:r>
      <w:r>
        <w:tab/>
      </w:r>
      <w:r>
        <w:fldChar w:fldCharType="begin"/>
      </w:r>
      <w:r>
        <w:instrText xml:space="preserve">PAGEREF _Toc_4_4_0000000016 \h</w:instrText>
      </w:r>
      <w:r>
        <w:fldChar w:fldCharType="separate"/>
      </w:r>
      <w:r>
        <w:t>18</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w:t>
      </w:r>
      <w:r>
        <w:rPr>
          <w:rFonts w:hint="eastAsia"/>
        </w:rPr>
        <w:t>关于提前下达</w:t>
      </w:r>
      <w:r>
        <w:t>2022</w:t>
      </w:r>
      <w:r>
        <w:rPr>
          <w:rFonts w:hint="eastAsia"/>
        </w:rPr>
        <w:t>年省级就业补助资金预算指标的通知绩效目标表</w:t>
      </w:r>
      <w:r>
        <w:tab/>
      </w:r>
      <w:r>
        <w:fldChar w:fldCharType="begin"/>
      </w:r>
      <w:r>
        <w:instrText xml:space="preserve">PAGEREF _Toc_4_4_0000000017 \h</w:instrText>
      </w:r>
      <w:r>
        <w:fldChar w:fldCharType="separate"/>
      </w:r>
      <w:r>
        <w:t>19</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w:t>
      </w:r>
      <w:r>
        <w:rPr>
          <w:rFonts w:hint="eastAsia"/>
        </w:rPr>
        <w:t>关于提前下达</w:t>
      </w:r>
      <w:r>
        <w:t>2022</w:t>
      </w:r>
      <w:r>
        <w:rPr>
          <w:rFonts w:hint="eastAsia"/>
        </w:rPr>
        <w:t>年中央就业补助资金预算的通知绩效目标表</w:t>
      </w:r>
      <w:r>
        <w:tab/>
      </w:r>
      <w:r>
        <w:fldChar w:fldCharType="begin"/>
      </w:r>
      <w:r>
        <w:instrText xml:space="preserve">PAGEREF _Toc_4_4_0000000018 \h</w:instrText>
      </w:r>
      <w:r>
        <w:fldChar w:fldCharType="separate"/>
      </w:r>
      <w:r>
        <w:t>20</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w:t>
      </w:r>
      <w:r>
        <w:rPr>
          <w:rFonts w:hint="eastAsia"/>
        </w:rPr>
        <w:t>区保农薪办工作经费（保障农民工工资支付专项）绩效目标表</w:t>
      </w:r>
      <w:r>
        <w:tab/>
      </w:r>
      <w:r>
        <w:fldChar w:fldCharType="begin"/>
      </w:r>
      <w:r>
        <w:instrText xml:space="preserve">PAGEREF _Toc_4_4_0000000019 \h</w:instrText>
      </w:r>
      <w:r>
        <w:fldChar w:fldCharType="separate"/>
      </w:r>
      <w:r>
        <w:t>21</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w:t>
      </w:r>
      <w:r>
        <w:rPr>
          <w:rFonts w:hint="eastAsia"/>
        </w:rPr>
        <w:t>区级划拨再就业资金绩效目标表</w:t>
      </w:r>
      <w:r>
        <w:tab/>
      </w:r>
      <w:r>
        <w:fldChar w:fldCharType="begin"/>
      </w:r>
      <w:r>
        <w:instrText xml:space="preserve">PAGEREF _Toc_4_4_0000000020 \h</w:instrText>
      </w:r>
      <w:r>
        <w:fldChar w:fldCharType="separate"/>
      </w:r>
      <w:r>
        <w:t>22</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pStyle w:val="10"/>
      </w:pPr>
      <w:r>
        <w:rPr>
          <w:rFonts w:hint="eastAsia"/>
        </w:rPr>
        <w:t>一、总体绩效目标</w:t>
      </w:r>
    </w:p>
    <w:p>
      <w:pPr>
        <w:pStyle w:val="11"/>
        <w:rPr>
          <w:rFonts w:ascii="Times New Roman" w:eastAsia="方正仿宋_GBK"/>
          <w:sz w:val="28"/>
        </w:rPr>
      </w:pPr>
      <w:r>
        <w:rPr>
          <w:rFonts w:ascii="Times New Roman" w:eastAsia="方正仿宋_GBK"/>
          <w:sz w:val="28"/>
        </w:rPr>
        <w:t>202</w:t>
      </w:r>
      <w:r>
        <w:rPr>
          <w:rFonts w:hint="eastAsia" w:eastAsia="方正仿宋_GBK"/>
          <w:sz w:val="28"/>
          <w:lang w:val="en-US" w:eastAsia="zh-CN"/>
        </w:rPr>
        <w:t>2</w:t>
      </w:r>
      <w:r>
        <w:rPr>
          <w:rFonts w:ascii="Times New Roman" w:eastAsia="方正仿宋_GBK"/>
          <w:sz w:val="28"/>
        </w:rPr>
        <w:t>年区财政预算投入经费将用于三辆车保险费、南园村差额养老保险、物资局管理办退休托管人员经费、大楼运转、区保农薪办经费、专项补助、人事代理专项经费</w:t>
      </w:r>
      <w:r>
        <w:rPr>
          <w:rFonts w:hint="eastAsia"/>
          <w:sz w:val="28"/>
          <w:lang w:eastAsia="zh-CN"/>
        </w:rPr>
        <w:t>、</w:t>
      </w:r>
      <w:r>
        <w:rPr>
          <w:rFonts w:hint="eastAsia"/>
        </w:rPr>
        <w:t>基金专项审计及业务费</w:t>
      </w:r>
      <w:r>
        <w:rPr>
          <w:rFonts w:hint="eastAsia"/>
          <w:lang w:eastAsia="zh-CN"/>
        </w:rPr>
        <w:t>、</w:t>
      </w:r>
      <w:r>
        <w:rPr>
          <w:rFonts w:hint="eastAsia"/>
        </w:rPr>
        <w:t>劳动人事争议仲裁院标准化建设及工作经费</w:t>
      </w:r>
      <w:r>
        <w:rPr>
          <w:rFonts w:hint="eastAsia"/>
          <w:lang w:eastAsia="zh-CN"/>
        </w:rPr>
        <w:t>、</w:t>
      </w:r>
      <w:r>
        <w:rPr>
          <w:rFonts w:hint="eastAsia"/>
        </w:rPr>
        <w:t>区级划拨再就业资金</w:t>
      </w:r>
      <w:r>
        <w:rPr>
          <w:rFonts w:ascii="Times New Roman" w:eastAsia="方正仿宋_GBK"/>
          <w:sz w:val="28"/>
        </w:rPr>
        <w:t>项目预算执行方面尽可能按序时进度完成年度预算设定的绩效目标。</w:t>
      </w:r>
    </w:p>
    <w:p>
      <w:pPr>
        <w:spacing w:line="500" w:lineRule="exact"/>
        <w:ind w:firstLine="560" w:firstLineChars="200"/>
        <w:jc w:val="left"/>
        <w:rPr>
          <w:rFonts w:ascii="Times New Roman" w:eastAsia="方正仿宋_GBK"/>
          <w:sz w:val="28"/>
        </w:rPr>
      </w:pPr>
      <w:r>
        <w:rPr>
          <w:rFonts w:ascii="Times New Roman" w:eastAsia="方正仿宋_GBK"/>
          <w:sz w:val="28"/>
        </w:rPr>
        <w:t>预算批复后，我部门将督促各下属单位各科室对照年初批复的绩效目标，同步对 202</w:t>
      </w:r>
      <w:r>
        <w:rPr>
          <w:rFonts w:hint="eastAsia" w:eastAsia="方正仿宋_GBK"/>
          <w:sz w:val="28"/>
          <w:lang w:val="en-US" w:eastAsia="zh-CN"/>
        </w:rPr>
        <w:t>2</w:t>
      </w:r>
      <w:r>
        <w:rPr>
          <w:rFonts w:ascii="Times New Roman" w:eastAsia="方正仿宋_GBK"/>
          <w:sz w:val="28"/>
        </w:rPr>
        <w:t>年度各季度财政资金的项目实施进度及预期实现程度进行跟踪监控。监控范围为 202</w:t>
      </w:r>
      <w:r>
        <w:rPr>
          <w:rFonts w:hint="eastAsia" w:eastAsia="方正仿宋_GBK"/>
          <w:sz w:val="28"/>
          <w:lang w:val="en-US" w:eastAsia="zh-CN"/>
        </w:rPr>
        <w:t>2</w:t>
      </w:r>
      <w:r>
        <w:rPr>
          <w:rFonts w:ascii="Times New Roman" w:eastAsia="方正仿宋_GBK"/>
          <w:sz w:val="28"/>
        </w:rPr>
        <w:t>年度部门整体支出。</w:t>
      </w:r>
      <w:bookmarkStart w:id="17" w:name="_GoBack"/>
      <w:bookmarkEnd w:id="17"/>
    </w:p>
    <w:p>
      <w:pPr>
        <w:pStyle w:val="11"/>
      </w:pPr>
      <w:r>
        <w:rPr>
          <w:rFonts w:hint="eastAsia"/>
        </w:rPr>
        <w:t>二、分项绩效目标</w:t>
      </w:r>
    </w:p>
    <w:p>
      <w:pPr>
        <w:pStyle w:val="11"/>
      </w:pPr>
      <w:r>
        <w:rPr>
          <w:rFonts w:hint="eastAsia"/>
        </w:rPr>
        <w:t>（一）公务用车保险费</w:t>
      </w:r>
    </w:p>
    <w:p>
      <w:pPr>
        <w:pStyle w:val="11"/>
      </w:pPr>
      <w:r>
        <w:rPr>
          <w:rFonts w:hint="eastAsia"/>
        </w:rPr>
        <w:t>绩效目标：保障机关正常运转，保证车辆正常使用。</w:t>
      </w:r>
    </w:p>
    <w:p>
      <w:pPr>
        <w:pStyle w:val="11"/>
      </w:pPr>
      <w:r>
        <w:rPr>
          <w:rFonts w:hint="eastAsia"/>
        </w:rPr>
        <w:t>绩效标准：完成率达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（二）南园村差额养老金</w:t>
      </w:r>
    </w:p>
    <w:p>
      <w:pPr>
        <w:pStyle w:val="11"/>
      </w:pPr>
      <w:r>
        <w:rPr>
          <w:rFonts w:hint="eastAsia"/>
        </w:rPr>
        <w:t>绩效目标：代发南园村差额养老金差额补助，南园村差额养老金按时足额发放。</w:t>
      </w:r>
    </w:p>
    <w:p>
      <w:pPr>
        <w:pStyle w:val="11"/>
      </w:pPr>
      <w:r>
        <w:rPr>
          <w:rFonts w:hint="eastAsia"/>
        </w:rPr>
        <w:t>绩效标准：完成率达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（三）人事代理专项补助</w:t>
      </w:r>
    </w:p>
    <w:p>
      <w:pPr>
        <w:pStyle w:val="11"/>
      </w:pPr>
      <w:r>
        <w:rPr>
          <w:rFonts w:hint="eastAsia"/>
        </w:rPr>
        <w:t>绩效目标：付人事代理人员工资福利，确保人事代人员工资福利足额按时发放。</w:t>
      </w:r>
    </w:p>
    <w:p>
      <w:pPr>
        <w:pStyle w:val="11"/>
      </w:pPr>
      <w:r>
        <w:rPr>
          <w:rFonts w:hint="eastAsia"/>
        </w:rPr>
        <w:t>绩效标准：完成率达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（四）物资局管理办退休托管人员经费</w:t>
      </w:r>
    </w:p>
    <w:p>
      <w:pPr>
        <w:pStyle w:val="11"/>
      </w:pPr>
      <w:r>
        <w:rPr>
          <w:rFonts w:hint="eastAsia"/>
        </w:rPr>
        <w:t>绩效目标：代发物资局管理办托管人员经费，物资局管理办托管人员经费按时足额发放。</w:t>
      </w:r>
    </w:p>
    <w:p>
      <w:pPr>
        <w:pStyle w:val="11"/>
      </w:pPr>
      <w:r>
        <w:rPr>
          <w:rFonts w:hint="eastAsia"/>
        </w:rPr>
        <w:t>绩效标准：完成率达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（五）专项补助</w:t>
      </w:r>
    </w:p>
    <w:p>
      <w:pPr>
        <w:pStyle w:val="11"/>
      </w:pPr>
      <w:r>
        <w:rPr>
          <w:rFonts w:hint="eastAsia"/>
        </w:rPr>
        <w:t>绩效目标：付预算外人员工资福利，确保预算外人员工资福利足额按时发放。</w:t>
      </w:r>
    </w:p>
    <w:p>
      <w:pPr>
        <w:pStyle w:val="11"/>
      </w:pPr>
      <w:r>
        <w:rPr>
          <w:rFonts w:hint="eastAsia"/>
        </w:rPr>
        <w:t>绩效标准：完成率达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（六）区保农薪办经费</w:t>
      </w:r>
    </w:p>
    <w:p>
      <w:pPr>
        <w:pStyle w:val="11"/>
      </w:pPr>
      <w:r>
        <w:rPr>
          <w:rFonts w:hint="eastAsia"/>
        </w:rPr>
        <w:t>绩效目标：提高劳动监察结案率；完成各项专项检查活动</w:t>
      </w:r>
      <w:r>
        <w:t xml:space="preserve">; </w:t>
      </w:r>
      <w:r>
        <w:rPr>
          <w:rFonts w:hint="eastAsia"/>
        </w:rPr>
        <w:t>提高劳动监察两网化覆盖率；</w:t>
      </w:r>
    </w:p>
    <w:p>
      <w:pPr>
        <w:pStyle w:val="11"/>
      </w:pPr>
      <w:r>
        <w:rPr>
          <w:rFonts w:hint="eastAsia"/>
        </w:rPr>
        <w:t>绩效标准：结案率达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（七）基金专项审计及业务费</w:t>
      </w:r>
    </w:p>
    <w:p>
      <w:pPr>
        <w:pStyle w:val="11"/>
      </w:pPr>
      <w:r>
        <w:rPr>
          <w:rFonts w:hint="eastAsia"/>
        </w:rPr>
        <w:t>绩效目标：保证业务工作正常开展。</w:t>
      </w:r>
    </w:p>
    <w:p>
      <w:pPr>
        <w:pStyle w:val="11"/>
      </w:pPr>
      <w:r>
        <w:rPr>
          <w:rFonts w:hint="eastAsia"/>
        </w:rPr>
        <w:t>绩效标准：结案率达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（八）劳动人事争议仲裁院标准化建设及工作经费</w:t>
      </w:r>
    </w:p>
    <w:p>
      <w:pPr>
        <w:pStyle w:val="11"/>
      </w:pPr>
      <w:r>
        <w:rPr>
          <w:rFonts w:hint="eastAsia"/>
        </w:rPr>
        <w:t>绩效目标：提高仲裁院标准化建设，保证业务工作正常开展。</w:t>
      </w:r>
    </w:p>
    <w:p>
      <w:pPr>
        <w:pStyle w:val="11"/>
      </w:pPr>
      <w:r>
        <w:rPr>
          <w:rFonts w:hint="eastAsia"/>
        </w:rPr>
        <w:t>绩效标准：结案率达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1"/>
      </w:pPr>
      <w:r>
        <w:rPr>
          <w:rFonts w:hint="eastAsia"/>
        </w:rPr>
        <w:t>（九）区级划拨再就业资金</w:t>
      </w:r>
    </w:p>
    <w:p>
      <w:pPr>
        <w:pStyle w:val="11"/>
      </w:pPr>
      <w:r>
        <w:rPr>
          <w:rFonts w:hint="eastAsia"/>
        </w:rPr>
        <w:t>绩效目标：保障再就业资金按时发放。</w:t>
      </w:r>
    </w:p>
    <w:p>
      <w:pPr>
        <w:pStyle w:val="11"/>
      </w:pPr>
      <w:r>
        <w:rPr>
          <w:rFonts w:hint="eastAsia"/>
        </w:rPr>
        <w:t>绩效标准：结案率达</w:t>
      </w:r>
      <w:r>
        <w:t>90%</w:t>
      </w:r>
      <w:r>
        <w:rPr>
          <w:rFonts w:hint="eastAsia"/>
        </w:rPr>
        <w:t>为优，完成率达</w:t>
      </w:r>
      <w:r>
        <w:t>80%</w:t>
      </w:r>
      <w:r>
        <w:rPr>
          <w:rFonts w:hint="eastAsia"/>
        </w:rPr>
        <w:t>为良，完成率达</w:t>
      </w:r>
      <w:r>
        <w:t>70%</w:t>
      </w:r>
      <w:r>
        <w:rPr>
          <w:rFonts w:hint="eastAsia"/>
        </w:rPr>
        <w:t>为中，完成率达</w:t>
      </w:r>
      <w:r>
        <w:t>60%</w:t>
      </w:r>
      <w:r>
        <w:rPr>
          <w:rFonts w:hint="eastAsia"/>
        </w:rPr>
        <w:t>以下为差。</w:t>
      </w:r>
    </w:p>
    <w:p>
      <w:pPr>
        <w:pStyle w:val="12"/>
      </w:pPr>
      <w:r>
        <w:rPr>
          <w:rFonts w:hint="eastAsia"/>
        </w:rPr>
        <w:t>三、工作保障措施</w:t>
      </w:r>
    </w:p>
    <w:p>
      <w:pPr>
        <w:pStyle w:val="12"/>
      </w:pPr>
      <w:r>
        <w:rPr>
          <w:rFonts w:hint="eastAsia"/>
        </w:rPr>
        <w:t>本部门成立了以局长为组长的评价工作小组。将需要评价的资金项目，通过对财政性支出项目资金使用的规范性、有效性、绩效实现情况等内容，及时总结经验，分析存在的问题，提出改进意见和建议，完善工作机制，进一步促进人社部门工作经费支出管理，提高科学决策水平和财政资金使用效益。</w:t>
      </w:r>
    </w:p>
    <w:p>
      <w:pPr>
        <w:pStyle w:val="12"/>
      </w:pPr>
    </w:p>
    <w:p>
      <w:pPr>
        <w:pStyle w:val="12"/>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0"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车保险绩效目标表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316001</w:t>
            </w:r>
            <w:r>
              <w:rPr>
                <w:rFonts w:hint="eastAsia"/>
              </w:rPr>
              <w:t>人社部门人力资源和社会保障局本级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13030322P003914100050</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0.40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0.40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用于支付车保险等费用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保障业务正常开展，单位正常运转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支付车保险数量</w:t>
            </w:r>
          </w:p>
        </w:tc>
        <w:tc>
          <w:tcPr>
            <w:tcW w:w="2891" w:type="dxa"/>
            <w:vAlign w:val="center"/>
          </w:tcPr>
          <w:p>
            <w:pPr>
              <w:pStyle w:val="15"/>
            </w:pPr>
            <w:r>
              <w:rPr>
                <w:rFonts w:hint="eastAsia"/>
              </w:rPr>
              <w:t>支付车保险数量</w:t>
            </w:r>
          </w:p>
        </w:tc>
        <w:tc>
          <w:tcPr>
            <w:tcW w:w="1276" w:type="dxa"/>
            <w:vAlign w:val="center"/>
          </w:tcPr>
          <w:p>
            <w:pPr>
              <w:pStyle w:val="15"/>
            </w:pPr>
            <w:r>
              <w:t>1</w:t>
            </w:r>
            <w:r>
              <w:rPr>
                <w:rFonts w:hint="eastAsia"/>
              </w:rPr>
              <w:t>辆</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车辆正常运行率</w:t>
            </w:r>
          </w:p>
        </w:tc>
        <w:tc>
          <w:tcPr>
            <w:tcW w:w="2891" w:type="dxa"/>
            <w:vAlign w:val="center"/>
          </w:tcPr>
          <w:p>
            <w:pPr>
              <w:pStyle w:val="15"/>
            </w:pPr>
            <w:r>
              <w:rPr>
                <w:rFonts w:hint="eastAsia"/>
              </w:rPr>
              <w:t>车辆正常运行率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t>100%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rPr>
                <w:lang w:eastAsia="zh-CN"/>
              </w:rPr>
            </w:pPr>
            <w:r>
              <w:rPr>
                <w:rFonts w:hint="eastAsia"/>
                <w:lang w:eastAsia="zh-CN"/>
              </w:rPr>
              <w:t>≤</w:t>
            </w:r>
            <w:r>
              <w:rPr>
                <w:lang w:eastAsia="zh-CN"/>
              </w:rPr>
              <w:t>0.4</w:t>
            </w:r>
            <w:r>
              <w:rPr>
                <w:rFonts w:hint="eastAsia"/>
                <w:lang w:eastAsia="zh-CN"/>
              </w:rPr>
              <w:t>万</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节约车辆成本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满足</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基金专项审计及业务费绩效目标表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316001</w:t>
            </w:r>
            <w:r>
              <w:rPr>
                <w:rFonts w:hint="eastAsia"/>
              </w:rPr>
              <w:t>人社部门人力资源和社会保障局本级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13030322P003855100143</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基金专项审计及业务费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用于支付基金审计及业务费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保障单位正常运转，基金审计业务正常开展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办公设备正常运行率</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rPr>
                <w:lang w:eastAsia="zh-CN"/>
              </w:rPr>
            </w:pPr>
            <w:r>
              <w:rPr>
                <w:rFonts w:hint="eastAsia"/>
              </w:rPr>
              <w:t>≤</w:t>
            </w:r>
            <w:r>
              <w:rPr>
                <w:lang w:eastAsia="zh-CN"/>
              </w:rPr>
              <w:t>2</w:t>
            </w:r>
            <w:r>
              <w:rPr>
                <w:rFonts w:hint="eastAsia"/>
                <w:lang w:eastAsia="zh-CN"/>
              </w:rPr>
              <w:t>万</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数量指标</w:t>
            </w:r>
          </w:p>
        </w:tc>
        <w:tc>
          <w:tcPr>
            <w:tcW w:w="1332" w:type="dxa"/>
            <w:vAlign w:val="center"/>
          </w:tcPr>
          <w:p>
            <w:pPr>
              <w:pStyle w:val="15"/>
            </w:pPr>
            <w:r>
              <w:rPr>
                <w:rFonts w:hint="eastAsia"/>
              </w:rPr>
              <w:t>监督检查计划完成率</w:t>
            </w:r>
          </w:p>
        </w:tc>
        <w:tc>
          <w:tcPr>
            <w:tcW w:w="2891" w:type="dxa"/>
            <w:vAlign w:val="center"/>
          </w:tcPr>
          <w:p>
            <w:pPr>
              <w:pStyle w:val="15"/>
            </w:pPr>
            <w:r>
              <w:rPr>
                <w:rFonts w:hint="eastAsia"/>
              </w:rPr>
              <w:t>监督检查计划完成率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满足</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劳动人事争议仲裁院标准化建设及工作经费绩效目标表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316001</w:t>
            </w:r>
            <w:r>
              <w:rPr>
                <w:rFonts w:hint="eastAsia"/>
              </w:rPr>
              <w:t>人社部门人力资源和社会保障局本级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13030322P00385510013F</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劳动人事争议仲裁院标准化建设及工作经费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用于支付劳动人事争议仲裁院标准化建设及工作经费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保障劳动人事争议仲裁工作的正常开展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办公设备正常运行率</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rPr>
                <w:lang w:eastAsia="zh-CN"/>
              </w:rPr>
            </w:pPr>
            <w:r>
              <w:rPr>
                <w:rFonts w:hint="eastAsia"/>
              </w:rPr>
              <w:t>≤</w:t>
            </w:r>
            <w:r>
              <w:rPr>
                <w:lang w:eastAsia="zh-CN"/>
              </w:rPr>
              <w:t>10</w:t>
            </w:r>
            <w:r>
              <w:rPr>
                <w:rFonts w:hint="eastAsia"/>
                <w:lang w:eastAsia="zh-CN"/>
              </w:rPr>
              <w:t>万</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数量指标</w:t>
            </w:r>
          </w:p>
        </w:tc>
        <w:tc>
          <w:tcPr>
            <w:tcW w:w="1332" w:type="dxa"/>
            <w:vAlign w:val="center"/>
          </w:tcPr>
          <w:p>
            <w:pPr>
              <w:pStyle w:val="15"/>
            </w:pPr>
            <w:r>
              <w:rPr>
                <w:rFonts w:hint="eastAsia"/>
              </w:rPr>
              <w:t>案件结案率</w:t>
            </w:r>
            <w:r>
              <w:t>(%)</w:t>
            </w:r>
          </w:p>
        </w:tc>
        <w:tc>
          <w:tcPr>
            <w:tcW w:w="2891" w:type="dxa"/>
            <w:vAlign w:val="center"/>
          </w:tcPr>
          <w:p>
            <w:pPr>
              <w:pStyle w:val="15"/>
            </w:pPr>
            <w:r>
              <w:rPr>
                <w:rFonts w:hint="eastAsia"/>
              </w:rPr>
              <w:t>案件结案率</w:t>
            </w:r>
            <w:r>
              <w:t>(%)</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满足</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车保险绩效目标表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13030322P00391410006K</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0.40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0.40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支付车保险数辆</w:t>
            </w:r>
          </w:p>
        </w:tc>
        <w:tc>
          <w:tcPr>
            <w:tcW w:w="2891" w:type="dxa"/>
            <w:vAlign w:val="center"/>
          </w:tcPr>
          <w:p>
            <w:pPr>
              <w:pStyle w:val="15"/>
            </w:pPr>
            <w:r>
              <w:rPr>
                <w:rFonts w:hint="eastAsia"/>
              </w:rPr>
              <w:t>支付车保险数辆</w:t>
            </w:r>
          </w:p>
        </w:tc>
        <w:tc>
          <w:tcPr>
            <w:tcW w:w="1276" w:type="dxa"/>
            <w:vAlign w:val="center"/>
          </w:tcPr>
          <w:p>
            <w:pPr>
              <w:pStyle w:val="15"/>
            </w:pPr>
            <w:r>
              <w:t>1</w:t>
            </w:r>
            <w:r>
              <w:rPr>
                <w:rFonts w:hint="eastAsia"/>
              </w:rPr>
              <w:t>辆</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车辆正常运行率</w:t>
            </w:r>
          </w:p>
        </w:tc>
        <w:tc>
          <w:tcPr>
            <w:tcW w:w="2891" w:type="dxa"/>
            <w:vAlign w:val="center"/>
          </w:tcPr>
          <w:p>
            <w:pPr>
              <w:pStyle w:val="15"/>
            </w:pPr>
            <w:r>
              <w:rPr>
                <w:rFonts w:hint="eastAsia"/>
              </w:rPr>
              <w:t>车辆正常运行率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按照工作要求按时完成预定计划</w:t>
            </w:r>
          </w:p>
        </w:tc>
        <w:tc>
          <w:tcPr>
            <w:tcW w:w="2891" w:type="dxa"/>
            <w:vAlign w:val="center"/>
          </w:tcPr>
          <w:p>
            <w:pPr>
              <w:pStyle w:val="15"/>
            </w:pPr>
            <w:r>
              <w:rPr>
                <w:rFonts w:hint="eastAsia"/>
              </w:rPr>
              <w:t>按照工作要求按时完成预定计划</w:t>
            </w:r>
          </w:p>
        </w:tc>
        <w:tc>
          <w:tcPr>
            <w:tcW w:w="1276" w:type="dxa"/>
            <w:vAlign w:val="center"/>
          </w:tcPr>
          <w:p>
            <w:pPr>
              <w:pStyle w:val="15"/>
            </w:pPr>
            <w:r>
              <w:t>100%</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rPr>
                <w:lang w:eastAsia="zh-CN"/>
              </w:rPr>
            </w:pPr>
            <w:r>
              <w:rPr>
                <w:rFonts w:hint="eastAsia"/>
                <w:lang w:eastAsia="zh-CN"/>
              </w:rPr>
              <w:t>≤</w:t>
            </w:r>
            <w:r>
              <w:rPr>
                <w:lang w:eastAsia="zh-CN"/>
              </w:rPr>
              <w:t>0.4</w:t>
            </w:r>
            <w:r>
              <w:rPr>
                <w:rFonts w:hint="eastAsia"/>
                <w:lang w:eastAsia="zh-CN"/>
              </w:rPr>
              <w:t>万</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节约车辆成本</w:t>
            </w:r>
          </w:p>
        </w:tc>
        <w:tc>
          <w:tcPr>
            <w:tcW w:w="2891" w:type="dxa"/>
            <w:vAlign w:val="center"/>
          </w:tcPr>
          <w:p>
            <w:pPr>
              <w:pStyle w:val="15"/>
            </w:pPr>
            <w:r>
              <w:rPr>
                <w:rFonts w:hint="eastAsia"/>
              </w:rPr>
              <w:t>节约车辆成本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车辆编制证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群众满意度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车辆编制证</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人事代理专项补助绩效目标表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13030322P003854100080</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72.00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72.00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保障本单位</w:t>
            </w:r>
            <w:r>
              <w:t>6</w:t>
            </w:r>
            <w:r>
              <w:rPr>
                <w:rFonts w:hint="eastAsia"/>
              </w:rPr>
              <w:t>名人事代理人员工资及保险等按时拨付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6</w:t>
            </w:r>
            <w:r>
              <w:rPr>
                <w:rFonts w:hint="eastAsia"/>
              </w:rPr>
              <w:t>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t>6</w:t>
            </w:r>
            <w:r>
              <w:rPr>
                <w:rFonts w:hint="eastAsia"/>
              </w:rPr>
              <w:t>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72</w:t>
            </w:r>
            <w:r>
              <w:rPr>
                <w:rFonts w:hint="eastAsia"/>
                <w:lang w:eastAsia="zh-CN"/>
              </w:rPr>
              <w:t>万</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劳动合同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年省级财政城乡居民养老、就业公共服务村级代办员补助资金绩效目标表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13030321P9TXFC6RQ9W7N</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提前下达</w:t>
            </w:r>
            <w:r>
              <w:t>2021</w:t>
            </w:r>
            <w:r>
              <w:rPr>
                <w:rFonts w:hint="eastAsia"/>
              </w:rPr>
              <w:t>年省级财政城乡居民养老、就业公共服务村级代办员补助资金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保障城乡居民村级协办员补助资金顺利支付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支付村级协办员补助资金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支付人员数量</w:t>
            </w:r>
          </w:p>
        </w:tc>
        <w:tc>
          <w:tcPr>
            <w:tcW w:w="2891" w:type="dxa"/>
            <w:vAlign w:val="center"/>
          </w:tcPr>
          <w:p>
            <w:pPr>
              <w:pStyle w:val="15"/>
            </w:pPr>
            <w:r>
              <w:rPr>
                <w:rFonts w:hint="eastAsia"/>
              </w:rPr>
              <w:t>是否支付所有人</w:t>
            </w:r>
          </w:p>
        </w:tc>
        <w:tc>
          <w:tcPr>
            <w:tcW w:w="1276" w:type="dxa"/>
            <w:vAlign w:val="center"/>
          </w:tcPr>
          <w:p>
            <w:pPr>
              <w:pStyle w:val="15"/>
            </w:pPr>
            <w:r>
              <w:t>96</w:t>
            </w:r>
            <w:r>
              <w:rPr>
                <w:rFonts w:hint="eastAsia"/>
              </w:rPr>
              <w:t>人</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发放准确率</w:t>
            </w:r>
          </w:p>
        </w:tc>
        <w:tc>
          <w:tcPr>
            <w:tcW w:w="2891" w:type="dxa"/>
            <w:vAlign w:val="center"/>
          </w:tcPr>
          <w:p>
            <w:pPr>
              <w:pStyle w:val="15"/>
            </w:pPr>
            <w:r>
              <w:rPr>
                <w:rFonts w:hint="eastAsia"/>
              </w:rPr>
              <w:t>发放准确率</w:t>
            </w:r>
          </w:p>
        </w:tc>
        <w:tc>
          <w:tcPr>
            <w:tcW w:w="1276" w:type="dxa"/>
            <w:vAlign w:val="center"/>
          </w:tcPr>
          <w:p>
            <w:pPr>
              <w:pStyle w:val="15"/>
            </w:pPr>
            <w:r>
              <w:t>96</w:t>
            </w:r>
            <w:r>
              <w:rPr>
                <w:rFonts w:hint="eastAsia"/>
              </w:rPr>
              <w:t>人</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3</w:t>
            </w:r>
            <w:r>
              <w:rPr>
                <w:rFonts w:hint="eastAsia"/>
                <w:lang w:eastAsia="zh-CN"/>
              </w:rPr>
              <w:t>万</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通过日常工作稳定社会影响</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秦财社【</w:t>
            </w:r>
            <w:r>
              <w:t>2020</w:t>
            </w:r>
            <w:r>
              <w:rPr>
                <w:rFonts w:hint="eastAsia"/>
              </w:rPr>
              <w:t>】</w:t>
            </w:r>
            <w:r>
              <w:t>801</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专项补助绩效目标表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13030322P00385410006Q</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240.00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240.00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支付专项补助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20</w:t>
            </w:r>
            <w:r>
              <w:rPr>
                <w:rFonts w:hint="eastAsia"/>
              </w:rPr>
              <w:t>人</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t>20</w:t>
            </w:r>
            <w:r>
              <w:rPr>
                <w:rFonts w:hint="eastAsia"/>
              </w:rPr>
              <w:t>人</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240</w:t>
            </w:r>
            <w:r>
              <w:rPr>
                <w:rFonts w:hint="eastAsia"/>
                <w:lang w:eastAsia="zh-CN"/>
              </w:rPr>
              <w:t>万</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常纪【</w:t>
            </w:r>
            <w:r>
              <w:t>2011</w:t>
            </w:r>
            <w:r>
              <w:rPr>
                <w:rFonts w:hint="eastAsia"/>
              </w:rPr>
              <w:t>】</w:t>
            </w:r>
            <w:r>
              <w:t>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年城乡居民基本养老保险就业服务村级代办员省级补助资金的通知绩效目标表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13030322P00430610001R</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2022</w:t>
            </w:r>
            <w:r>
              <w:rPr>
                <w:rFonts w:hint="eastAsia"/>
              </w:rPr>
              <w:t>年城乡居民基本养老保险就业服务村级代办员省级补助资金的通知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支付村级协办员补助资金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付村级协办员补助资金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支付人员数量</w:t>
            </w:r>
          </w:p>
        </w:tc>
        <w:tc>
          <w:tcPr>
            <w:tcW w:w="2891" w:type="dxa"/>
            <w:vAlign w:val="center"/>
          </w:tcPr>
          <w:p>
            <w:pPr>
              <w:pStyle w:val="15"/>
            </w:pPr>
            <w:r>
              <w:rPr>
                <w:rFonts w:hint="eastAsia"/>
              </w:rPr>
              <w:t>是否支付所有人</w:t>
            </w:r>
          </w:p>
        </w:tc>
        <w:tc>
          <w:tcPr>
            <w:tcW w:w="1276" w:type="dxa"/>
            <w:vAlign w:val="center"/>
          </w:tcPr>
          <w:p>
            <w:pPr>
              <w:pStyle w:val="15"/>
            </w:pPr>
            <w:r>
              <w:rPr>
                <w:rFonts w:hint="eastAsia"/>
              </w:rPr>
              <w:t>≥</w:t>
            </w:r>
            <w:r>
              <w:t>96</w:t>
            </w:r>
            <w:r>
              <w:rPr>
                <w:rFonts w:hint="eastAsia"/>
              </w:rPr>
              <w:t>人</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发放准确率</w:t>
            </w:r>
          </w:p>
        </w:tc>
        <w:tc>
          <w:tcPr>
            <w:tcW w:w="2891" w:type="dxa"/>
            <w:vAlign w:val="center"/>
          </w:tcPr>
          <w:p>
            <w:pPr>
              <w:pStyle w:val="15"/>
            </w:pPr>
            <w:r>
              <w:rPr>
                <w:rFonts w:hint="eastAsia"/>
              </w:rPr>
              <w:t>补助资金发放准确率</w:t>
            </w:r>
          </w:p>
        </w:tc>
        <w:tc>
          <w:tcPr>
            <w:tcW w:w="1276" w:type="dxa"/>
            <w:vAlign w:val="center"/>
          </w:tcPr>
          <w:p>
            <w:pPr>
              <w:pStyle w:val="15"/>
            </w:pPr>
            <w:r>
              <w:rPr>
                <w:rFonts w:hint="eastAsia"/>
              </w:rPr>
              <w:t>≥</w:t>
            </w:r>
            <w:r>
              <w:t>96</w:t>
            </w:r>
            <w:r>
              <w:rPr>
                <w:rFonts w:hint="eastAsia"/>
              </w:rPr>
              <w:t>人</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2</w:t>
            </w:r>
            <w:r>
              <w:rPr>
                <w:rFonts w:hint="eastAsia"/>
                <w:lang w:eastAsia="zh-CN"/>
              </w:rPr>
              <w:t>万</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通过日常工作稳定社会影响</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秦财社【</w:t>
            </w:r>
            <w:r>
              <w:t>2021</w:t>
            </w:r>
            <w:r>
              <w:rPr>
                <w:rFonts w:hint="eastAsia"/>
              </w:rPr>
              <w:t>】</w:t>
            </w:r>
            <w:r>
              <w:t>724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南园村差额养老金绩效目标表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13030322P003853100695</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南园村差额养老金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13.00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13.00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代发南园村差额养老金差额补助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代发南园村差额养老金差额补助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支付养老金人员数量</w:t>
            </w:r>
          </w:p>
        </w:tc>
        <w:tc>
          <w:tcPr>
            <w:tcW w:w="2891" w:type="dxa"/>
            <w:vAlign w:val="center"/>
          </w:tcPr>
          <w:p>
            <w:pPr>
              <w:pStyle w:val="15"/>
            </w:pPr>
            <w:r>
              <w:rPr>
                <w:rFonts w:hint="eastAsia"/>
              </w:rPr>
              <w:t>是否支付所有人</w:t>
            </w:r>
          </w:p>
        </w:tc>
        <w:tc>
          <w:tcPr>
            <w:tcW w:w="1276" w:type="dxa"/>
            <w:vAlign w:val="center"/>
          </w:tcPr>
          <w:p>
            <w:pPr>
              <w:pStyle w:val="15"/>
            </w:pPr>
            <w:r>
              <w:t>146</w:t>
            </w:r>
            <w:r>
              <w:rPr>
                <w:rFonts w:hint="eastAsia"/>
              </w:rPr>
              <w:t>人</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养老金发放率</w:t>
            </w:r>
          </w:p>
        </w:tc>
        <w:tc>
          <w:tcPr>
            <w:tcW w:w="2891" w:type="dxa"/>
            <w:vAlign w:val="center"/>
          </w:tcPr>
          <w:p>
            <w:pPr>
              <w:pStyle w:val="15"/>
            </w:pPr>
            <w:r>
              <w:rPr>
                <w:rFonts w:hint="eastAsia"/>
              </w:rPr>
              <w:t>养老金发放准确率</w:t>
            </w:r>
          </w:p>
        </w:tc>
        <w:tc>
          <w:tcPr>
            <w:tcW w:w="1276" w:type="dxa"/>
            <w:vAlign w:val="center"/>
          </w:tcPr>
          <w:p>
            <w:pPr>
              <w:pStyle w:val="15"/>
            </w:pPr>
            <w:r>
              <w:t>146</w:t>
            </w:r>
            <w:r>
              <w:rPr>
                <w:rFonts w:hint="eastAsia"/>
              </w:rPr>
              <w:t>人</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13</w:t>
            </w:r>
            <w:r>
              <w:rPr>
                <w:rFonts w:hint="eastAsia"/>
                <w:lang w:eastAsia="zh-CN"/>
              </w:rPr>
              <w:t>万</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通过日常工作稳定社会影响</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冀人社发【</w:t>
            </w:r>
            <w:r>
              <w:t>2009</w:t>
            </w:r>
            <w:r>
              <w:rPr>
                <w:rFonts w:hint="eastAsia"/>
              </w:rPr>
              <w:t>】</w:t>
            </w:r>
            <w:r>
              <w:t>7</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物资局管理办退休托管人员经费绩效目标表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316003</w:t>
            </w:r>
            <w:r>
              <w:rPr>
                <w:rFonts w:hint="eastAsia"/>
              </w:rPr>
              <w:t>人社部门秦皇岛市山海关区保险事业服务中心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13030322P00385310068H</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物资局管理办退休托管人员经费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24.55</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24.55</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付物资局管理办退休托管人员经费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付物资局管理办退休托管人员经费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支付托管人员数量</w:t>
            </w:r>
          </w:p>
        </w:tc>
        <w:tc>
          <w:tcPr>
            <w:tcW w:w="2891" w:type="dxa"/>
            <w:vAlign w:val="center"/>
          </w:tcPr>
          <w:p>
            <w:pPr>
              <w:pStyle w:val="15"/>
            </w:pPr>
            <w:r>
              <w:rPr>
                <w:rFonts w:hint="eastAsia"/>
              </w:rPr>
              <w:t>是否支付所有人</w:t>
            </w:r>
          </w:p>
        </w:tc>
        <w:tc>
          <w:tcPr>
            <w:tcW w:w="1276" w:type="dxa"/>
            <w:vAlign w:val="center"/>
          </w:tcPr>
          <w:p>
            <w:pPr>
              <w:pStyle w:val="15"/>
            </w:pPr>
            <w:r>
              <w:t>19</w:t>
            </w:r>
            <w:r>
              <w:rPr>
                <w:rFonts w:hint="eastAsia"/>
              </w:rPr>
              <w:t>人</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退休经费发放率</w:t>
            </w:r>
          </w:p>
        </w:tc>
        <w:tc>
          <w:tcPr>
            <w:tcW w:w="2891" w:type="dxa"/>
            <w:vAlign w:val="center"/>
          </w:tcPr>
          <w:p>
            <w:pPr>
              <w:pStyle w:val="15"/>
            </w:pPr>
            <w:r>
              <w:rPr>
                <w:rFonts w:hint="eastAsia"/>
              </w:rPr>
              <w:t>发放准确率</w:t>
            </w:r>
          </w:p>
        </w:tc>
        <w:tc>
          <w:tcPr>
            <w:tcW w:w="1276" w:type="dxa"/>
            <w:vAlign w:val="center"/>
          </w:tcPr>
          <w:p>
            <w:pPr>
              <w:pStyle w:val="15"/>
            </w:pPr>
            <w:r>
              <w:t>19</w:t>
            </w:r>
            <w:r>
              <w:rPr>
                <w:rFonts w:hint="eastAsia"/>
              </w:rPr>
              <w:t>人</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rPr>
                <w:rFonts w:hint="eastAsia"/>
                <w:lang w:eastAsia="zh-CN"/>
              </w:rPr>
              <w:t>及时</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24.55</w:t>
            </w:r>
            <w:r>
              <w:rPr>
                <w:rFonts w:hint="eastAsia"/>
                <w:lang w:eastAsia="zh-CN"/>
              </w:rPr>
              <w:t>万</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通过日常工作稳定社会影响</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车保险绩效目标表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13030322P00391410008T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0.40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0.40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付公务用车保险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按时缴纳车辆保险，保证车辆正常运转，保证工作正常进行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支付车保险数量</w:t>
            </w:r>
          </w:p>
        </w:tc>
        <w:tc>
          <w:tcPr>
            <w:tcW w:w="2891" w:type="dxa"/>
            <w:vAlign w:val="center"/>
          </w:tcPr>
          <w:p>
            <w:pPr>
              <w:pStyle w:val="15"/>
            </w:pPr>
            <w:r>
              <w:rPr>
                <w:rFonts w:hint="eastAsia"/>
              </w:rPr>
              <w:t>支付车保险数辆</w:t>
            </w:r>
          </w:p>
        </w:tc>
        <w:tc>
          <w:tcPr>
            <w:tcW w:w="1276" w:type="dxa"/>
            <w:vAlign w:val="center"/>
          </w:tcPr>
          <w:p>
            <w:pPr>
              <w:pStyle w:val="15"/>
            </w:pPr>
            <w:r>
              <w:t>1</w:t>
            </w:r>
            <w:r>
              <w:rPr>
                <w:rFonts w:hint="eastAsia"/>
              </w:rPr>
              <w:t>辆</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车辆正常运行率</w:t>
            </w:r>
          </w:p>
        </w:tc>
        <w:tc>
          <w:tcPr>
            <w:tcW w:w="2891" w:type="dxa"/>
            <w:vAlign w:val="center"/>
          </w:tcPr>
          <w:p>
            <w:pPr>
              <w:pStyle w:val="15"/>
            </w:pPr>
            <w:r>
              <w:rPr>
                <w:rFonts w:hint="eastAsia"/>
              </w:rPr>
              <w:t>车辆正常运行率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lang w:eastAsia="zh-CN"/>
              </w:rPr>
              <w:t>≤</w:t>
            </w:r>
            <w:r>
              <w:rPr>
                <w:lang w:eastAsia="zh-CN"/>
              </w:rPr>
              <w:t>100%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pPr>
            <w:r>
              <w:rPr>
                <w:rFonts w:hint="eastAsia"/>
                <w:lang w:eastAsia="zh-CN"/>
              </w:rPr>
              <w:t>≤</w:t>
            </w:r>
            <w:r>
              <w:rPr>
                <w:lang w:eastAsia="zh-CN"/>
              </w:rPr>
              <w:t>0.4</w:t>
            </w:r>
            <w:r>
              <w:rPr>
                <w:rFonts w:hint="eastAsia"/>
                <w:lang w:eastAsia="zh-CN"/>
              </w:rPr>
              <w:t>万</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节约车辆成本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人事代理专项补助绩效目标表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13030322P00385410009K</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付人事代理人员工资及保险等各项费用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保障本单位</w:t>
            </w:r>
            <w:r>
              <w:t>5</w:t>
            </w:r>
            <w:r>
              <w:rPr>
                <w:rFonts w:hint="eastAsia"/>
              </w:rPr>
              <w:t>名人事代理人员工资及保险按时拨付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5</w:t>
            </w:r>
            <w:r>
              <w:rPr>
                <w:rFonts w:hint="eastAsia"/>
              </w:rPr>
              <w:t>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t>5</w:t>
            </w:r>
            <w:r>
              <w:rPr>
                <w:rFonts w:hint="eastAsia"/>
              </w:rPr>
              <w:t>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60</w:t>
            </w:r>
            <w:r>
              <w:rPr>
                <w:rFonts w:hint="eastAsia"/>
                <w:lang w:eastAsia="zh-CN"/>
              </w:rPr>
              <w:t>万</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劳动合同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6"/>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专项补助绩效目标表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13030322P00385410007C</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240.00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240.00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付预算外人员工资及保险等各项费用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保证预算外人员工资足额按时发放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20</w:t>
            </w:r>
            <w:r>
              <w:rPr>
                <w:rFonts w:hint="eastAsia"/>
              </w:rPr>
              <w:t>人</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t>20</w:t>
            </w:r>
            <w:r>
              <w:rPr>
                <w:rFonts w:hint="eastAsia"/>
              </w:rPr>
              <w:t>人</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t>100%</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lang w:eastAsia="zh-CN"/>
              </w:rPr>
              <w:t>≤</w:t>
            </w:r>
            <w:r>
              <w:rPr>
                <w:lang w:eastAsia="zh-CN"/>
              </w:rPr>
              <w:t>240</w:t>
            </w:r>
            <w:r>
              <w:rPr>
                <w:rFonts w:hint="eastAsia"/>
                <w:lang w:eastAsia="zh-CN"/>
              </w:rPr>
              <w:t>万</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按要求支出</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进一步推动</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进一步保障</w:t>
            </w:r>
          </w:p>
        </w:tc>
        <w:tc>
          <w:tcPr>
            <w:tcW w:w="1843" w:type="dxa"/>
            <w:vAlign w:val="center"/>
          </w:tcPr>
          <w:p>
            <w:pPr>
              <w:pStyle w:val="15"/>
            </w:pPr>
            <w:r>
              <w:rPr>
                <w:rFonts w:hint="eastAsia"/>
              </w:rPr>
              <w:t>常纪</w:t>
            </w:r>
            <w:r>
              <w:t>[2011]4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常纪</w:t>
            </w:r>
            <w:r>
              <w:t>[2011]4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7"/>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年省级就业补助资金预算指标的通知绩效目标表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13030322P00433310001E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2022</w:t>
            </w:r>
            <w:r>
              <w:rPr>
                <w:rFonts w:hint="eastAsia"/>
              </w:rPr>
              <w:t>年省级就业补助资金预算指标的通知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90.00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90.00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支付省级就业补助资金用于县级公共服务平台信息化建设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支付省级就业补助资金用于县级公共服务平台信息化建设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公共服务平台信息化建设完成情况</w:t>
            </w:r>
          </w:p>
        </w:tc>
        <w:tc>
          <w:tcPr>
            <w:tcW w:w="2891" w:type="dxa"/>
            <w:vAlign w:val="center"/>
          </w:tcPr>
          <w:p>
            <w:pPr>
              <w:pStyle w:val="15"/>
            </w:pPr>
            <w:r>
              <w:rPr>
                <w:rFonts w:hint="eastAsia"/>
              </w:rPr>
              <w:t>公共服务平台信息化建设完成率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办公设备正常运行率</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pPr>
            <w:r>
              <w:rPr>
                <w:rFonts w:hint="eastAsia"/>
                <w:lang w:eastAsia="zh-CN"/>
              </w:rPr>
              <w:t>≤</w:t>
            </w:r>
            <w:r>
              <w:rPr>
                <w:lang w:eastAsia="zh-CN"/>
              </w:rPr>
              <w:t>90</w:t>
            </w:r>
            <w:r>
              <w:rPr>
                <w:rFonts w:hint="eastAsia"/>
                <w:lang w:eastAsia="zh-CN"/>
              </w:rPr>
              <w:t>万</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rPr>
                <w:lang w:eastAsia="zh-CN"/>
              </w:rPr>
            </w:pPr>
            <w:r>
              <w:rPr>
                <w:rFonts w:hint="eastAsia"/>
                <w:lang w:eastAsia="zh-CN"/>
              </w:rPr>
              <w:t>保障开展</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节约水、电等资源，降低能耗，实现绿色办公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w:t>
            </w:r>
            <w:r>
              <w:rPr>
                <w:lang w:eastAsia="zh-CN"/>
              </w:rPr>
              <w:t>5</w:t>
            </w:r>
            <w:r>
              <w:t>%</w:t>
            </w:r>
          </w:p>
        </w:tc>
        <w:tc>
          <w:tcPr>
            <w:tcW w:w="1843" w:type="dxa"/>
            <w:vAlign w:val="center"/>
          </w:tcPr>
          <w:p>
            <w:pPr>
              <w:pStyle w:val="15"/>
            </w:pPr>
            <w:r>
              <w:rPr>
                <w:rFonts w:hint="eastAsia"/>
              </w:rPr>
              <w:t>秦财社【</w:t>
            </w:r>
            <w:r>
              <w:t>2021</w:t>
            </w:r>
            <w:r>
              <w:rPr>
                <w:rFonts w:hint="eastAsia"/>
              </w:rPr>
              <w:t>】</w:t>
            </w:r>
            <w:r>
              <w:t>738</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8"/>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年中央就业补助资金预算的通知绩效目标表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13030322P004305100014</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2022</w:t>
            </w:r>
            <w:r>
              <w:rPr>
                <w:rFonts w:hint="eastAsia"/>
              </w:rPr>
              <w:t>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300.00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300.00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付山海关区就业补助资金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付山海关区就业补助资金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是否足额完成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工作是否正常开展</w:t>
            </w:r>
          </w:p>
        </w:tc>
        <w:tc>
          <w:tcPr>
            <w:tcW w:w="2891" w:type="dxa"/>
            <w:vAlign w:val="center"/>
          </w:tcPr>
          <w:p>
            <w:pPr>
              <w:pStyle w:val="15"/>
            </w:pPr>
            <w:r>
              <w:rPr>
                <w:rFonts w:hint="eastAsia"/>
              </w:rPr>
              <w:t>是否正常开展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是否按时完成</w:t>
            </w:r>
          </w:p>
        </w:tc>
        <w:tc>
          <w:tcPr>
            <w:tcW w:w="2891" w:type="dxa"/>
            <w:vAlign w:val="center"/>
          </w:tcPr>
          <w:p>
            <w:pPr>
              <w:pStyle w:val="15"/>
            </w:pPr>
            <w:r>
              <w:rPr>
                <w:rFonts w:hint="eastAsia"/>
              </w:rPr>
              <w:t>是否按时完成预定计划</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不超过政府支持经费</w:t>
            </w:r>
          </w:p>
        </w:tc>
        <w:tc>
          <w:tcPr>
            <w:tcW w:w="1276" w:type="dxa"/>
            <w:vAlign w:val="center"/>
          </w:tcPr>
          <w:p>
            <w:pPr>
              <w:pStyle w:val="15"/>
            </w:pPr>
            <w:r>
              <w:rPr>
                <w:rFonts w:hint="eastAsia"/>
                <w:lang w:eastAsia="zh-CN"/>
              </w:rPr>
              <w:t>≤</w:t>
            </w:r>
            <w:r>
              <w:rPr>
                <w:lang w:eastAsia="zh-CN"/>
              </w:rPr>
              <w:t>300</w:t>
            </w:r>
            <w:r>
              <w:rPr>
                <w:rFonts w:hint="eastAsia"/>
                <w:lang w:eastAsia="zh-CN"/>
              </w:rPr>
              <w:t>万</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是否长期使用</w:t>
            </w:r>
          </w:p>
        </w:tc>
        <w:tc>
          <w:tcPr>
            <w:tcW w:w="1276" w:type="dxa"/>
            <w:vAlign w:val="center"/>
          </w:tcPr>
          <w:p>
            <w:pPr>
              <w:pStyle w:val="15"/>
              <w:rPr>
                <w:lang w:eastAsia="zh-CN"/>
              </w:rPr>
            </w:pPr>
            <w:r>
              <w:rPr>
                <w:rFonts w:hint="eastAsia"/>
                <w:lang w:eastAsia="zh-CN"/>
              </w:rPr>
              <w:t>长期</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提高效率</w:t>
            </w:r>
          </w:p>
        </w:tc>
        <w:tc>
          <w:tcPr>
            <w:tcW w:w="2891" w:type="dxa"/>
            <w:vAlign w:val="center"/>
          </w:tcPr>
          <w:p>
            <w:pPr>
              <w:pStyle w:val="15"/>
            </w:pPr>
            <w:r>
              <w:rPr>
                <w:rFonts w:hint="eastAsia"/>
              </w:rPr>
              <w:t>提高效率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业务保障能力</w:t>
            </w:r>
          </w:p>
        </w:tc>
        <w:tc>
          <w:tcPr>
            <w:tcW w:w="1276" w:type="dxa"/>
            <w:vAlign w:val="center"/>
          </w:tcPr>
          <w:p>
            <w:pPr>
              <w:pStyle w:val="15"/>
              <w:rPr>
                <w:lang w:eastAsia="zh-CN"/>
              </w:rPr>
            </w:pPr>
            <w:r>
              <w:rPr>
                <w:rFonts w:hint="eastAsia"/>
                <w:lang w:eastAsia="zh-CN"/>
              </w:rPr>
              <w:t>保障</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满意度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秦财社【</w:t>
            </w:r>
            <w:r>
              <w:t>2021</w:t>
            </w:r>
            <w:r>
              <w:rPr>
                <w:rFonts w:hint="eastAsia"/>
              </w:rPr>
              <w:t>】</w:t>
            </w:r>
            <w:r>
              <w:t>691</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9"/>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区保农薪办工作经费（保障农民工工资支付专项）绩效目标表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13030322P00385510012U</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区保农薪办工作经费（保障农民工工资支付专项）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8.00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8.00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付区保农薪办工作经费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提高劳动监察结案率，完成各项专项检查活动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pPr>
            <w:r>
              <w:rPr>
                <w:rFonts w:hint="eastAsia"/>
                <w:lang w:eastAsia="zh-CN"/>
              </w:rPr>
              <w:t>≤</w:t>
            </w:r>
            <w:r>
              <w:rPr>
                <w:lang w:eastAsia="zh-CN"/>
              </w:rPr>
              <w:t>8</w:t>
            </w:r>
            <w:r>
              <w:rPr>
                <w:rFonts w:hint="eastAsia"/>
                <w:lang w:eastAsia="zh-CN"/>
              </w:rPr>
              <w:t>万</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数量指标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农民工案件结案率</w:t>
            </w:r>
          </w:p>
        </w:tc>
        <w:tc>
          <w:tcPr>
            <w:tcW w:w="1276" w:type="dxa"/>
            <w:vAlign w:val="center"/>
          </w:tcPr>
          <w:p>
            <w:pPr>
              <w:pStyle w:val="15"/>
            </w:pPr>
            <w:r>
              <w:rPr>
                <w:rFonts w:hint="eastAsia"/>
              </w:rPr>
              <w:t>≥</w:t>
            </w:r>
            <w:r>
              <w:t>80%</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办公设备正常运行</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100%</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rPr>
              <w:t>≥</w:t>
            </w:r>
            <w:r>
              <w:t>100%</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长期使用性</w:t>
            </w:r>
          </w:p>
        </w:tc>
        <w:tc>
          <w:tcPr>
            <w:tcW w:w="1276" w:type="dxa"/>
            <w:vAlign w:val="center"/>
          </w:tcPr>
          <w:p>
            <w:pPr>
              <w:pStyle w:val="15"/>
              <w:rPr>
                <w:lang w:eastAsia="zh-CN"/>
              </w:rPr>
            </w:pPr>
            <w:r>
              <w:rPr>
                <w:rFonts w:hint="eastAsia"/>
                <w:lang w:eastAsia="zh-CN"/>
              </w:rPr>
              <w:t>长期</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提高工作效率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解决农民工案件，保持社会稳定</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节约水、电等资源，降低能耗，实现绿色办公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农民工工作经费国务院</w:t>
            </w:r>
            <w:r>
              <w:t>423</w:t>
            </w:r>
            <w:r>
              <w:rPr>
                <w:rFonts w:hint="eastAsia"/>
              </w:rPr>
              <w:t>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信访群众满意度</w:t>
            </w:r>
          </w:p>
        </w:tc>
        <w:tc>
          <w:tcPr>
            <w:tcW w:w="2891" w:type="dxa"/>
            <w:vAlign w:val="center"/>
          </w:tcPr>
          <w:p>
            <w:pPr>
              <w:pStyle w:val="15"/>
            </w:pPr>
            <w:r>
              <w:rPr>
                <w:rFonts w:hint="eastAsia"/>
              </w:rPr>
              <w:t>信访群众满意度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农民工工作经费国务院</w:t>
            </w:r>
            <w:r>
              <w:t>423</w:t>
            </w:r>
            <w:r>
              <w:rPr>
                <w:rFonts w:hint="eastAsia"/>
              </w:rPr>
              <w:t>令</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0"/>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区级划拨再就业资金绩效目标表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316004</w:t>
            </w:r>
            <w:r>
              <w:rPr>
                <w:rFonts w:hint="eastAsia"/>
              </w:rPr>
              <w:t>秦皇岛市山海关区就业服务中心</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13030322P00385310070G</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区级划拨再就业资金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保障就业补贴按时发放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保障就业补贴按时发放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是否足额完成</w:t>
            </w:r>
          </w:p>
        </w:tc>
        <w:tc>
          <w:tcPr>
            <w:tcW w:w="1276" w:type="dxa"/>
            <w:vAlign w:val="center"/>
          </w:tcPr>
          <w:p>
            <w:pPr>
              <w:pStyle w:val="15"/>
            </w:pPr>
            <w:r>
              <w:t>100%</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工作是否正常开展</w:t>
            </w:r>
          </w:p>
        </w:tc>
        <w:tc>
          <w:tcPr>
            <w:tcW w:w="2891" w:type="dxa"/>
            <w:vAlign w:val="center"/>
          </w:tcPr>
          <w:p>
            <w:pPr>
              <w:pStyle w:val="15"/>
            </w:pPr>
            <w:r>
              <w:rPr>
                <w:rFonts w:hint="eastAsia"/>
              </w:rPr>
              <w:t>是否正常开展</w:t>
            </w:r>
          </w:p>
        </w:tc>
        <w:tc>
          <w:tcPr>
            <w:tcW w:w="1276" w:type="dxa"/>
            <w:vAlign w:val="center"/>
          </w:tcPr>
          <w:p>
            <w:pPr>
              <w:pStyle w:val="15"/>
            </w:pPr>
            <w:r>
              <w:t>100%</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是否按时完成</w:t>
            </w:r>
          </w:p>
        </w:tc>
        <w:tc>
          <w:tcPr>
            <w:tcW w:w="2891" w:type="dxa"/>
            <w:vAlign w:val="center"/>
          </w:tcPr>
          <w:p>
            <w:pPr>
              <w:pStyle w:val="15"/>
            </w:pPr>
            <w:r>
              <w:rPr>
                <w:rFonts w:hint="eastAsia"/>
              </w:rPr>
              <w:t>是否按时完成预定计划</w:t>
            </w:r>
          </w:p>
        </w:tc>
        <w:tc>
          <w:tcPr>
            <w:tcW w:w="1276" w:type="dxa"/>
            <w:vAlign w:val="center"/>
          </w:tcPr>
          <w:p>
            <w:pPr>
              <w:pStyle w:val="15"/>
            </w:pPr>
            <w:r>
              <w:t>100%</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不超过政府支持经费</w:t>
            </w:r>
          </w:p>
        </w:tc>
        <w:tc>
          <w:tcPr>
            <w:tcW w:w="1276" w:type="dxa"/>
            <w:vAlign w:val="center"/>
          </w:tcPr>
          <w:p>
            <w:pPr>
              <w:pStyle w:val="15"/>
            </w:pPr>
            <w:r>
              <w:rPr>
                <w:rFonts w:hint="eastAsia"/>
                <w:lang w:eastAsia="zh-CN"/>
              </w:rPr>
              <w:t>≤</w:t>
            </w:r>
            <w:r>
              <w:rPr>
                <w:lang w:eastAsia="zh-CN"/>
              </w:rPr>
              <w:t>200</w:t>
            </w:r>
            <w:r>
              <w:rPr>
                <w:rFonts w:hint="eastAsia"/>
                <w:lang w:eastAsia="zh-CN"/>
              </w:rPr>
              <w:t>万</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是否长期使用</w:t>
            </w:r>
          </w:p>
        </w:tc>
        <w:tc>
          <w:tcPr>
            <w:tcW w:w="1276" w:type="dxa"/>
            <w:vAlign w:val="center"/>
          </w:tcPr>
          <w:p>
            <w:pPr>
              <w:pStyle w:val="15"/>
              <w:rPr>
                <w:lang w:eastAsia="zh-CN"/>
              </w:rPr>
            </w:pPr>
            <w:r>
              <w:rPr>
                <w:rFonts w:hint="eastAsia"/>
                <w:lang w:eastAsia="zh-CN"/>
              </w:rPr>
              <w:t>长期</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提高效率</w:t>
            </w:r>
          </w:p>
        </w:tc>
        <w:tc>
          <w:tcPr>
            <w:tcW w:w="2891" w:type="dxa"/>
            <w:vAlign w:val="center"/>
          </w:tcPr>
          <w:p>
            <w:pPr>
              <w:pStyle w:val="15"/>
            </w:pPr>
            <w:r>
              <w:rPr>
                <w:rFonts w:hint="eastAsia"/>
              </w:rPr>
              <w:t>提高效率</w:t>
            </w:r>
          </w:p>
        </w:tc>
        <w:tc>
          <w:tcPr>
            <w:tcW w:w="1276" w:type="dxa"/>
            <w:vAlign w:val="center"/>
          </w:tcPr>
          <w:p>
            <w:pPr>
              <w:pStyle w:val="15"/>
              <w:rPr>
                <w:lang w:eastAsia="zh-CN"/>
              </w:rPr>
            </w:pPr>
            <w:r>
              <w:rPr>
                <w:rFonts w:hint="eastAsia"/>
                <w:lang w:eastAsia="zh-CN"/>
              </w:rPr>
              <w:t>能</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业务保障能力</w:t>
            </w:r>
          </w:p>
        </w:tc>
        <w:tc>
          <w:tcPr>
            <w:tcW w:w="1276" w:type="dxa"/>
            <w:vAlign w:val="center"/>
          </w:tcPr>
          <w:p>
            <w:pPr>
              <w:pStyle w:val="15"/>
              <w:rPr>
                <w:lang w:eastAsia="zh-CN"/>
              </w:rPr>
            </w:pPr>
            <w:r>
              <w:rPr>
                <w:rFonts w:hint="eastAsia"/>
                <w:lang w:eastAsia="zh-CN"/>
              </w:rPr>
              <w:t>保障</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节约成本</w:t>
            </w:r>
          </w:p>
        </w:tc>
        <w:tc>
          <w:tcPr>
            <w:tcW w:w="1276" w:type="dxa"/>
            <w:vAlign w:val="center"/>
          </w:tcPr>
          <w:p>
            <w:pPr>
              <w:pStyle w:val="15"/>
              <w:rPr>
                <w:lang w:eastAsia="zh-CN"/>
              </w:rPr>
            </w:pPr>
            <w:r>
              <w:rPr>
                <w:rFonts w:hint="eastAsia"/>
                <w:lang w:eastAsia="zh-CN"/>
              </w:rPr>
              <w:t>节约</w:t>
            </w:r>
          </w:p>
        </w:tc>
        <w:tc>
          <w:tcPr>
            <w:tcW w:w="1843" w:type="dxa"/>
            <w:vAlign w:val="center"/>
          </w:tcPr>
          <w:p>
            <w:pPr>
              <w:pStyle w:val="15"/>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满意度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A66"/>
    <w:rsid w:val="001D7AD6"/>
    <w:rsid w:val="0027563C"/>
    <w:rsid w:val="00347A66"/>
    <w:rsid w:val="003C1716"/>
    <w:rsid w:val="00400982"/>
    <w:rsid w:val="00887009"/>
    <w:rsid w:val="00E4623F"/>
    <w:rsid w:val="1A3C5FF4"/>
    <w:rsid w:val="2A934D99"/>
    <w:rsid w:val="47485F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pPr>
    <w:rPr>
      <w:sz w:val="18"/>
      <w:szCs w:val="18"/>
    </w:rPr>
  </w:style>
  <w:style w:type="paragraph" w:styleId="3">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before="12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99"/>
    <w:pPr>
      <w:spacing w:line="500" w:lineRule="exact"/>
      <w:ind w:firstLine="560"/>
    </w:pPr>
    <w:rPr>
      <w:rFonts w:eastAsia="方正仿宋_GBK"/>
      <w:sz w:val="28"/>
    </w:rPr>
  </w:style>
  <w:style w:type="paragraph" w:customStyle="1" w:styleId="11">
    <w:name w:val="插入文本样式-插入职责分类绩效目标文件"/>
    <w:basedOn w:val="1"/>
    <w:qFormat/>
    <w:uiPriority w:val="99"/>
    <w:pPr>
      <w:spacing w:line="500" w:lineRule="exact"/>
      <w:ind w:firstLine="560"/>
    </w:pPr>
    <w:rPr>
      <w:rFonts w:eastAsia="方正仿宋_GBK"/>
      <w:sz w:val="28"/>
    </w:rPr>
  </w:style>
  <w:style w:type="paragraph" w:customStyle="1" w:styleId="12">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5"/>
    <w:basedOn w:val="1"/>
    <w:qFormat/>
    <w:uiPriority w:val="99"/>
    <w:rPr>
      <w:rFonts w:ascii="方正书宋_GBK" w:hAnsi="方正书宋_GBK" w:eastAsia="方正书宋_GBK" w:cs="方正书宋_GBK"/>
      <w:b/>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1"/>
    <w:basedOn w:val="1"/>
    <w:qFormat/>
    <w:uiPriority w:val="99"/>
    <w:pPr>
      <w:jc w:val="center"/>
    </w:pPr>
    <w:rPr>
      <w:rFonts w:ascii="方正书宋_GBK" w:hAnsi="方正书宋_GBK" w:eastAsia="方正书宋_GBK" w:cs="方正书宋_GBK"/>
      <w:b/>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character" w:customStyle="1" w:styleId="18">
    <w:name w:val="Header Char"/>
    <w:basedOn w:val="9"/>
    <w:link w:val="3"/>
    <w:semiHidden/>
    <w:qFormat/>
    <w:uiPriority w:val="99"/>
    <w:rPr>
      <w:kern w:val="0"/>
      <w:sz w:val="18"/>
      <w:szCs w:val="18"/>
      <w:lang w:eastAsia="uk-UA"/>
    </w:rPr>
  </w:style>
  <w:style w:type="character" w:customStyle="1" w:styleId="19">
    <w:name w:val="Footer Char"/>
    <w:basedOn w:val="9"/>
    <w:link w:val="2"/>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2309</Words>
  <Characters>13167</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2022-01-18T15:54:00Z</dcterms:created>
  <dc:creator>Administrator</dc:creator>
  <cp:lastModifiedBy>Administrator</cp:lastModifiedBy>
  <dcterms:modified xsi:type="dcterms:W3CDTF">2023-12-28T08:48:48Z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