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一、科协部门秦皇岛市山海关区科学技术协会本级收支预算</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cs="方正小标宋_GBK" w:asciiTheme="minorEastAsia" w:hAnsiTheme="minorEastAsia" w:eastAsiaTheme="minorEastAsia"/>
          <w:color w:val="000000"/>
          <w:sz w:val="72"/>
          <w:lang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一、科协部门秦皇岛市山海关区科学技术协会本级收支预算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69.19</w:t>
            </w:r>
          </w:p>
        </w:tc>
        <w:tc>
          <w:tcPr>
            <w:tcW w:w="4535" w:type="dxa"/>
            <w:vAlign w:val="center"/>
          </w:tcPr>
          <w:p>
            <w:pPr>
              <w:pStyle w:val="14"/>
            </w:pPr>
            <w:r>
              <w:t>本年支出合计</w:t>
            </w:r>
          </w:p>
        </w:tc>
        <w:tc>
          <w:tcPr>
            <w:tcW w:w="2126" w:type="dxa"/>
            <w:vAlign w:val="center"/>
          </w:tcPr>
          <w:p>
            <w:pPr>
              <w:pStyle w:val="15"/>
            </w:pPr>
            <w:r>
              <w:t>79.19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79.19</w:t>
            </w:r>
          </w:p>
        </w:tc>
        <w:tc>
          <w:tcPr>
            <w:tcW w:w="4535" w:type="dxa"/>
            <w:vAlign w:val="center"/>
          </w:tcPr>
          <w:p>
            <w:pPr>
              <w:pStyle w:val="14"/>
            </w:pPr>
            <w:r>
              <w:t>支出总计</w:t>
            </w:r>
          </w:p>
        </w:tc>
        <w:tc>
          <w:tcPr>
            <w:tcW w:w="2126" w:type="dxa"/>
            <w:vAlign w:val="center"/>
          </w:tcPr>
          <w:p>
            <w:pPr>
              <w:pStyle w:val="15"/>
            </w:pPr>
            <w:r>
              <w:t>79.19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79.19</w:t>
            </w:r>
          </w:p>
        </w:tc>
        <w:tc>
          <w:tcPr>
            <w:tcW w:w="1134" w:type="dxa"/>
            <w:vAlign w:val="center"/>
          </w:tcPr>
          <w:p>
            <w:pPr>
              <w:pStyle w:val="15"/>
            </w:pPr>
            <w:r>
              <w:t>69.19</w:t>
            </w:r>
          </w:p>
        </w:tc>
        <w:tc>
          <w:tcPr>
            <w:tcW w:w="1134" w:type="dxa"/>
            <w:vAlign w:val="center"/>
          </w:tcPr>
          <w:p>
            <w:pPr>
              <w:pStyle w:val="15"/>
            </w:pPr>
            <w:r>
              <w:t>69.19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79.19</w:t>
            </w:r>
          </w:p>
        </w:tc>
        <w:tc>
          <w:tcPr>
            <w:tcW w:w="1361" w:type="dxa"/>
            <w:vAlign w:val="center"/>
          </w:tcPr>
          <w:p>
            <w:pPr>
              <w:pStyle w:val="15"/>
            </w:pPr>
            <w:r>
              <w:t>66.19</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79.19</w:t>
            </w:r>
          </w:p>
        </w:tc>
        <w:tc>
          <w:tcPr>
            <w:tcW w:w="1361" w:type="dxa"/>
            <w:vAlign w:val="center"/>
          </w:tcPr>
          <w:p>
            <w:pPr>
              <w:pStyle w:val="11"/>
            </w:pPr>
            <w:r>
              <w:t>66.19</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69.19</w:t>
            </w:r>
          </w:p>
        </w:tc>
        <w:tc>
          <w:tcPr>
            <w:tcW w:w="1361" w:type="dxa"/>
            <w:vAlign w:val="center"/>
          </w:tcPr>
          <w:p>
            <w:pPr>
              <w:pStyle w:val="11"/>
            </w:pPr>
            <w:r>
              <w:t>66.19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1"/>
            </w:pPr>
            <w:r>
              <w:t>69.19</w:t>
            </w:r>
          </w:p>
        </w:tc>
        <w:tc>
          <w:tcPr>
            <w:tcW w:w="1361" w:type="dxa"/>
            <w:vAlign w:val="center"/>
          </w:tcPr>
          <w:p>
            <w:pPr>
              <w:pStyle w:val="11"/>
            </w:pPr>
            <w:r>
              <w:t>66.19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79.19</w:t>
            </w:r>
          </w:p>
        </w:tc>
        <w:tc>
          <w:tcPr>
            <w:tcW w:w="1474" w:type="dxa"/>
            <w:vAlign w:val="center"/>
          </w:tcPr>
          <w:p>
            <w:pPr>
              <w:pStyle w:val="11"/>
            </w:pPr>
            <w:r>
              <w:t>79.19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69.19</w:t>
            </w:r>
          </w:p>
        </w:tc>
        <w:tc>
          <w:tcPr>
            <w:tcW w:w="3402" w:type="dxa"/>
            <w:vAlign w:val="center"/>
          </w:tcPr>
          <w:p>
            <w:pPr>
              <w:pStyle w:val="14"/>
            </w:pPr>
            <w:r>
              <w:t>本年支出合计</w:t>
            </w:r>
          </w:p>
        </w:tc>
        <w:tc>
          <w:tcPr>
            <w:tcW w:w="1474" w:type="dxa"/>
            <w:vAlign w:val="center"/>
          </w:tcPr>
          <w:p>
            <w:pPr>
              <w:pStyle w:val="15"/>
            </w:pPr>
            <w:r>
              <w:t>79.19</w:t>
            </w:r>
          </w:p>
        </w:tc>
        <w:tc>
          <w:tcPr>
            <w:tcW w:w="1474" w:type="dxa"/>
            <w:vAlign w:val="center"/>
          </w:tcPr>
          <w:p>
            <w:pPr>
              <w:pStyle w:val="15"/>
            </w:pPr>
            <w:r>
              <w:t>79.19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79.19</w:t>
            </w:r>
          </w:p>
        </w:tc>
        <w:tc>
          <w:tcPr>
            <w:tcW w:w="3402" w:type="dxa"/>
            <w:vAlign w:val="center"/>
          </w:tcPr>
          <w:p>
            <w:pPr>
              <w:pStyle w:val="14"/>
            </w:pPr>
            <w:r>
              <w:t>支出总计</w:t>
            </w:r>
          </w:p>
        </w:tc>
        <w:tc>
          <w:tcPr>
            <w:tcW w:w="1474" w:type="dxa"/>
            <w:vAlign w:val="center"/>
          </w:tcPr>
          <w:p>
            <w:pPr>
              <w:pStyle w:val="15"/>
            </w:pPr>
            <w:r>
              <w:t>79.19</w:t>
            </w:r>
          </w:p>
        </w:tc>
        <w:tc>
          <w:tcPr>
            <w:tcW w:w="1474" w:type="dxa"/>
            <w:vAlign w:val="center"/>
          </w:tcPr>
          <w:p>
            <w:pPr>
              <w:pStyle w:val="15"/>
            </w:pPr>
            <w:r>
              <w:t>79.19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79.19</w:t>
            </w:r>
          </w:p>
        </w:tc>
        <w:tc>
          <w:tcPr>
            <w:tcW w:w="2551" w:type="dxa"/>
            <w:vAlign w:val="center"/>
          </w:tcPr>
          <w:p>
            <w:pPr>
              <w:pStyle w:val="15"/>
            </w:pPr>
            <w:r>
              <w:t>66.19</w:t>
            </w: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79.19</w:t>
            </w:r>
          </w:p>
        </w:tc>
        <w:tc>
          <w:tcPr>
            <w:tcW w:w="2551" w:type="dxa"/>
            <w:vAlign w:val="center"/>
          </w:tcPr>
          <w:p>
            <w:pPr>
              <w:pStyle w:val="11"/>
            </w:pPr>
            <w:r>
              <w:t>66.19</w:t>
            </w: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69.19</w:t>
            </w:r>
          </w:p>
        </w:tc>
        <w:tc>
          <w:tcPr>
            <w:tcW w:w="2551" w:type="dxa"/>
            <w:vAlign w:val="center"/>
          </w:tcPr>
          <w:p>
            <w:pPr>
              <w:pStyle w:val="11"/>
            </w:pPr>
            <w:r>
              <w:t>66.19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1"/>
            </w:pPr>
            <w:r>
              <w:t>69.19</w:t>
            </w:r>
          </w:p>
        </w:tc>
        <w:tc>
          <w:tcPr>
            <w:tcW w:w="2551" w:type="dxa"/>
            <w:vAlign w:val="center"/>
          </w:tcPr>
          <w:p>
            <w:pPr>
              <w:pStyle w:val="11"/>
            </w:pPr>
            <w:r>
              <w:t>66.19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66.19</w:t>
            </w:r>
          </w:p>
        </w:tc>
        <w:tc>
          <w:tcPr>
            <w:tcW w:w="2551" w:type="dxa"/>
            <w:vAlign w:val="center"/>
          </w:tcPr>
          <w:p>
            <w:pPr>
              <w:pStyle w:val="15"/>
            </w:pPr>
            <w:r>
              <w:t>60.43</w:t>
            </w:r>
          </w:p>
        </w:tc>
        <w:tc>
          <w:tcPr>
            <w:tcW w:w="2551" w:type="dxa"/>
            <w:vAlign w:val="center"/>
          </w:tcPr>
          <w:p>
            <w:pPr>
              <w:pStyle w:val="15"/>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57.92</w:t>
            </w:r>
          </w:p>
        </w:tc>
        <w:tc>
          <w:tcPr>
            <w:tcW w:w="2551" w:type="dxa"/>
            <w:vAlign w:val="center"/>
          </w:tcPr>
          <w:p>
            <w:pPr>
              <w:pStyle w:val="11"/>
            </w:pPr>
            <w:r>
              <w:t>57.92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19.79</w:t>
            </w:r>
          </w:p>
        </w:tc>
        <w:tc>
          <w:tcPr>
            <w:tcW w:w="2551" w:type="dxa"/>
            <w:vAlign w:val="center"/>
          </w:tcPr>
          <w:p>
            <w:pPr>
              <w:pStyle w:val="11"/>
            </w:pPr>
            <w:r>
              <w:t>19.79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5.98</w:t>
            </w:r>
          </w:p>
        </w:tc>
        <w:tc>
          <w:tcPr>
            <w:tcW w:w="2551" w:type="dxa"/>
            <w:vAlign w:val="center"/>
          </w:tcPr>
          <w:p>
            <w:pPr>
              <w:pStyle w:val="11"/>
            </w:pPr>
            <w:r>
              <w:t>5.98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2.39</w:t>
            </w:r>
          </w:p>
        </w:tc>
        <w:tc>
          <w:tcPr>
            <w:tcW w:w="2551" w:type="dxa"/>
            <w:vAlign w:val="center"/>
          </w:tcPr>
          <w:p>
            <w:pPr>
              <w:pStyle w:val="11"/>
            </w:pPr>
            <w:r>
              <w:t>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5.76</w:t>
            </w:r>
          </w:p>
        </w:tc>
        <w:tc>
          <w:tcPr>
            <w:tcW w:w="2551" w:type="dxa"/>
            <w:vAlign w:val="center"/>
          </w:tcPr>
          <w:p>
            <w:pPr>
              <w:pStyle w:val="11"/>
            </w:pPr>
          </w:p>
        </w:tc>
        <w:tc>
          <w:tcPr>
            <w:tcW w:w="2551" w:type="dxa"/>
            <w:vAlign w:val="center"/>
          </w:tcPr>
          <w:p>
            <w:pPr>
              <w:pStyle w:val="11"/>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科协部门秦皇岛市山海关区科学技术协会本级2023年单位预算信息公开情况说明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中国人民共和国</w:t>
      </w:r>
      <w:bookmarkStart w:id="1" w:name="_GoBack"/>
      <w:bookmarkEnd w:id="1"/>
      <w:r>
        <w:rPr>
          <w:rFonts w:eastAsia="方正仿宋_GBK"/>
          <w:color w:val="000000"/>
          <w:sz w:val="28"/>
        </w:rPr>
        <w:t>预算法》、《地方预决算公开操作规程》和《关于进一步推进预算公开工作的实施意见》规定，现将科协部门秦皇岛市山海关区科学技术协会本级2023年单位预算公开如下：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单位职责：1、以“为经济社会发展服务，为提高全民科学素质服务，为科学技术工作者服务”为宗旨，贯彻执行党的路线、方针、政策，根据区委在各个时期的中心任务和上级科协的指导方针，确定区科协工作指导思想和任务，指导全区的科协工作。</w:t>
      </w:r>
    </w:p>
    <w:p>
      <w:pPr>
        <w:pStyle w:val="25"/>
      </w:pPr>
      <w:r>
        <w:t>2、组织开展全区学术交流，活跃学术思想，促进学科繁荣、促进科学技术创新和社会经济发展；开展民间的科学技术交流活动，促进对外开放，推动科技工作者的交流与合作。</w:t>
      </w:r>
    </w:p>
    <w:p>
      <w:pPr>
        <w:pStyle w:val="25"/>
      </w:pPr>
      <w:r>
        <w:t>3、组织开展全区群众性科学技术普及工作，普及科学知识，传播科学思想和方法，开展青少年科技教育活动；组织开展继续教育和技术培训工作，进行技术咨询服务，促进科技成果向现实生产力转化，为经济建设服务。</w:t>
      </w:r>
    </w:p>
    <w:p>
      <w:pPr>
        <w:pStyle w:val="25"/>
      </w:pPr>
      <w:r>
        <w:t>4、宣传表彰奖励优秀科技工作者，弘扬“尊重知识，尊重人才”的精神，举荐科技人才，协助党委和政府落实知识分子政策，加强与科技工作者的联系，反映科技工作者的呼声和要求，维护科技工作者的合法权益，为科技团体和科技工作者服务。</w:t>
      </w:r>
    </w:p>
    <w:p>
      <w:pPr>
        <w:pStyle w:val="25"/>
      </w:pPr>
      <w:r>
        <w:t>5、组织科技工作者参政议政，参与科技政策、法规的制定，开展决策论证，提出咨询建议，推动决策科学化和民主化。</w:t>
      </w:r>
    </w:p>
    <w:p>
      <w:pPr>
        <w:pStyle w:val="25"/>
      </w:pPr>
      <w:r>
        <w:t>6、对区科协系统所属协（学）会进行管理，对乡镇、街道企业等基层科协组织进行业务指导，管理科协所属单位；承办上级交办的有关事项。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科协部门秦皇岛市山海关区科学技术协会本级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按照预算管理有关规定，目前我区单位预算的编制实行综合预算制度，即全部收入和支出都反映在预算中。</w:t>
      </w:r>
    </w:p>
    <w:p>
      <w:pPr>
        <w:pStyle w:val="26"/>
      </w:pPr>
      <w:r>
        <w:t>1、收入说明</w:t>
      </w:r>
    </w:p>
    <w:p>
      <w:pPr>
        <w:pStyle w:val="26"/>
      </w:pPr>
    </w:p>
    <w:p>
      <w:pPr>
        <w:pStyle w:val="26"/>
      </w:pPr>
      <w:r>
        <w:t>反映本单位当年全部收入。2023年预算收入为79.19万元，其中：一般公共预算收入69.19万元，财政拨款结转10万元，基金预算收入0万元，财政专户核拨收入0万元，其他来源收入0万元。</w:t>
      </w:r>
    </w:p>
    <w:p>
      <w:pPr>
        <w:pStyle w:val="26"/>
      </w:pPr>
      <w:r>
        <w:t>2、支出说明</w:t>
      </w:r>
    </w:p>
    <w:p>
      <w:pPr>
        <w:pStyle w:val="26"/>
      </w:pPr>
      <w:r>
        <w:t>收支预算总表支出栏、基本支出表、项目支出表按经济分类和支出功能分类科目编制，反映山海关区科学技术协会2022年度单位预算中支出预算的总体情况。2022年预算支出为6119万元，其中：基本支出58.19万元，主要是人员经费52.53和日常公用经费5.65万元；项目支出3万元，主要为科协工作经费项目安排3万元支出。</w:t>
      </w:r>
    </w:p>
    <w:p>
      <w:pPr>
        <w:pStyle w:val="26"/>
      </w:pPr>
      <w:r>
        <w:t>3、比上年增减情况</w:t>
      </w:r>
    </w:p>
    <w:p>
      <w:pPr>
        <w:pStyle w:val="26"/>
      </w:pPr>
      <w:r>
        <w:t>2022年预算支出安排61.19万元，较2022年预算增加8万元，其中：基本支出增加8万元，主要为人员工资晋升；项目支出与去年持平。</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5.76万元，主要用于办公费0.50万元、邮电费0.50万元、差旅费0万元、会议费0万元、福利费0.49万元、工会会费0.71万元，党组织活动经费0.04万元、日常维修费0万元、专用材料及一般设备购置费0万元、办公用房水电费0万元、办公用房取暖费0万元、办公用房物业管理费0万元、公务用车运行维护费0万元以及公务交通费用3.06万元、网络运行费0.15万元、其他商品和服务支出0.31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 xml:space="preserve">2023年，我部门财政拨款“三公”经费预算安排0万元。其中：因公出国（境）费0万元，与上年持平，无增减变化，；公务用车购置费0万元，与上年持平，无增减变化；公务用车运行维护费，与上年持平，无增减变化。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1、关于下达2022年基层科普行动计划中央补助资金的通知绩效目标表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1.促进科技创新和科技成果转化。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2835" w:type="dxa"/>
            <w:vAlign w:val="center"/>
          </w:tcPr>
          <w:p>
            <w:pPr>
              <w:pStyle w:val="12"/>
            </w:pPr>
            <w:r>
              <w:t>开展活动情况</w:t>
            </w:r>
          </w:p>
        </w:tc>
        <w:tc>
          <w:tcPr>
            <w:tcW w:w="2551" w:type="dxa"/>
            <w:vAlign w:val="center"/>
          </w:tcPr>
          <w:p>
            <w:pPr>
              <w:pStyle w:val="12"/>
            </w:pPr>
            <w:r>
              <w:t>≥1次</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开展活动质量</w:t>
            </w:r>
          </w:p>
        </w:tc>
        <w:tc>
          <w:tcPr>
            <w:tcW w:w="2835" w:type="dxa"/>
            <w:vAlign w:val="center"/>
          </w:tcPr>
          <w:p>
            <w:pPr>
              <w:pStyle w:val="12"/>
            </w:pPr>
            <w:r>
              <w:t>每次活动是否圆满完成</w:t>
            </w:r>
          </w:p>
        </w:tc>
        <w:tc>
          <w:tcPr>
            <w:tcW w:w="2551" w:type="dxa"/>
            <w:vAlign w:val="center"/>
          </w:tcPr>
          <w:p>
            <w:pPr>
              <w:pStyle w:val="12"/>
            </w:pPr>
            <w:r>
              <w:t>是</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w:t>
            </w:r>
          </w:p>
        </w:tc>
        <w:tc>
          <w:tcPr>
            <w:tcW w:w="2835" w:type="dxa"/>
            <w:vAlign w:val="center"/>
          </w:tcPr>
          <w:p>
            <w:pPr>
              <w:pStyle w:val="12"/>
            </w:pPr>
            <w:r>
              <w:t>活动是否及时开展</w:t>
            </w:r>
          </w:p>
        </w:tc>
        <w:tc>
          <w:tcPr>
            <w:tcW w:w="2551" w:type="dxa"/>
            <w:vAlign w:val="center"/>
          </w:tcPr>
          <w:p>
            <w:pPr>
              <w:pStyle w:val="12"/>
            </w:pPr>
            <w:r>
              <w:t>是</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2835" w:type="dxa"/>
            <w:vAlign w:val="center"/>
          </w:tcPr>
          <w:p>
            <w:pPr>
              <w:pStyle w:val="12"/>
            </w:pPr>
            <w:r>
              <w:t>活动成本预算情况</w:t>
            </w:r>
          </w:p>
        </w:tc>
        <w:tc>
          <w:tcPr>
            <w:tcW w:w="2551" w:type="dxa"/>
            <w:vAlign w:val="center"/>
          </w:tcPr>
          <w:p>
            <w:pPr>
              <w:pStyle w:val="12"/>
            </w:pPr>
            <w:r>
              <w:t>是</w:t>
            </w:r>
          </w:p>
        </w:tc>
        <w:tc>
          <w:tcPr>
            <w:tcW w:w="2268" w:type="dxa"/>
            <w:vAlign w:val="center"/>
          </w:tcPr>
          <w:p>
            <w:pPr>
              <w:pStyle w:val="12"/>
            </w:pPr>
            <w:r>
              <w:t>开展活动成本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活动经济效益</w:t>
            </w:r>
          </w:p>
        </w:tc>
        <w:tc>
          <w:tcPr>
            <w:tcW w:w="2835" w:type="dxa"/>
            <w:vAlign w:val="center"/>
          </w:tcPr>
          <w:p>
            <w:pPr>
              <w:pStyle w:val="12"/>
            </w:pPr>
            <w:r>
              <w:t>促进经济社会持续发展</w:t>
            </w:r>
          </w:p>
        </w:tc>
        <w:tc>
          <w:tcPr>
            <w:tcW w:w="2551" w:type="dxa"/>
            <w:vAlign w:val="center"/>
          </w:tcPr>
          <w:p>
            <w:pPr>
              <w:pStyle w:val="12"/>
            </w:pPr>
            <w:r>
              <w:t>是</w:t>
            </w:r>
          </w:p>
        </w:tc>
        <w:tc>
          <w:tcPr>
            <w:tcW w:w="2268" w:type="dxa"/>
            <w:vAlign w:val="center"/>
          </w:tcPr>
          <w:p>
            <w:pPr>
              <w:pStyle w:val="12"/>
            </w:pPr>
            <w:r>
              <w:t>促进经济社会发展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活动开展社会效益</w:t>
            </w:r>
          </w:p>
        </w:tc>
        <w:tc>
          <w:tcPr>
            <w:tcW w:w="2835" w:type="dxa"/>
            <w:vAlign w:val="center"/>
          </w:tcPr>
          <w:p>
            <w:pPr>
              <w:pStyle w:val="12"/>
            </w:pPr>
            <w:r>
              <w:t>促进社会科技进步</w:t>
            </w:r>
          </w:p>
        </w:tc>
        <w:tc>
          <w:tcPr>
            <w:tcW w:w="2551" w:type="dxa"/>
            <w:vAlign w:val="center"/>
          </w:tcPr>
          <w:p>
            <w:pPr>
              <w:pStyle w:val="12"/>
            </w:pPr>
            <w:r>
              <w:t>是</w:t>
            </w:r>
          </w:p>
        </w:tc>
        <w:tc>
          <w:tcPr>
            <w:tcW w:w="2268" w:type="dxa"/>
            <w:vAlign w:val="center"/>
          </w:tcPr>
          <w:p>
            <w:pPr>
              <w:pStyle w:val="12"/>
            </w:pPr>
            <w:r>
              <w:t>促进科技进步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持续影响情况</w:t>
            </w:r>
          </w:p>
        </w:tc>
        <w:tc>
          <w:tcPr>
            <w:tcW w:w="2835" w:type="dxa"/>
            <w:vAlign w:val="center"/>
          </w:tcPr>
          <w:p>
            <w:pPr>
              <w:pStyle w:val="12"/>
            </w:pPr>
            <w:r>
              <w:t>是否促进科技持续创新</w:t>
            </w:r>
          </w:p>
        </w:tc>
        <w:tc>
          <w:tcPr>
            <w:tcW w:w="2551" w:type="dxa"/>
            <w:vAlign w:val="center"/>
          </w:tcPr>
          <w:p>
            <w:pPr>
              <w:pStyle w:val="12"/>
            </w:pPr>
            <w:r>
              <w:t>是</w:t>
            </w:r>
          </w:p>
        </w:tc>
        <w:tc>
          <w:tcPr>
            <w:tcW w:w="2268" w:type="dxa"/>
            <w:vAlign w:val="center"/>
          </w:tcPr>
          <w:p>
            <w:pPr>
              <w:pStyle w:val="12"/>
            </w:pPr>
            <w:r>
              <w:t>持续创新情况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服务群众调查问卷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1.目标内容11.系列科普活动成效明显，重点人群科学素质不断提升。</w:t>
            </w:r>
          </w:p>
          <w:p>
            <w:pPr>
              <w:pStyle w:val="12"/>
            </w:pPr>
            <w:r>
              <w:t>2.协会能力不断提升，繁荣学术交流合作。</w:t>
            </w:r>
          </w:p>
          <w:p>
            <w:pPr>
              <w:pStyle w:val="12"/>
            </w:pPr>
            <w:r>
              <w:t>3.促进科技创新和科技成果转化，为企业引进创新资源。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举办科普活动次数</w:t>
            </w:r>
          </w:p>
        </w:tc>
        <w:tc>
          <w:tcPr>
            <w:tcW w:w="2835" w:type="dxa"/>
            <w:vAlign w:val="center"/>
          </w:tcPr>
          <w:p>
            <w:pPr>
              <w:pStyle w:val="12"/>
            </w:pPr>
            <w:r>
              <w:t>举办科普活动或展览的场次</w:t>
            </w:r>
          </w:p>
        </w:tc>
        <w:tc>
          <w:tcPr>
            <w:tcW w:w="2551" w:type="dxa"/>
            <w:vAlign w:val="center"/>
          </w:tcPr>
          <w:p>
            <w:pPr>
              <w:pStyle w:val="12"/>
            </w:pPr>
            <w:r>
              <w:t>≥15次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科普活动覆盖率</w:t>
            </w:r>
          </w:p>
        </w:tc>
        <w:tc>
          <w:tcPr>
            <w:tcW w:w="2835" w:type="dxa"/>
            <w:vAlign w:val="center"/>
          </w:tcPr>
          <w:p>
            <w:pPr>
              <w:pStyle w:val="12"/>
            </w:pPr>
            <w:r>
              <w:t>科普活动覆盖程度</w:t>
            </w:r>
          </w:p>
        </w:tc>
        <w:tc>
          <w:tcPr>
            <w:tcW w:w="2551" w:type="dxa"/>
            <w:vAlign w:val="center"/>
          </w:tcPr>
          <w:p>
            <w:pPr>
              <w:pStyle w:val="12"/>
            </w:pPr>
            <w:r>
              <w:t>≥85%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会员活动覆盖率</w:t>
            </w:r>
          </w:p>
        </w:tc>
        <w:tc>
          <w:tcPr>
            <w:tcW w:w="2835" w:type="dxa"/>
            <w:vAlign w:val="center"/>
          </w:tcPr>
          <w:p>
            <w:pPr>
              <w:pStyle w:val="12"/>
            </w:pPr>
            <w:r>
              <w:t>会员活动覆盖程度</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普及率</w:t>
            </w:r>
          </w:p>
        </w:tc>
        <w:tc>
          <w:tcPr>
            <w:tcW w:w="2835" w:type="dxa"/>
            <w:vAlign w:val="center"/>
          </w:tcPr>
          <w:p>
            <w:pPr>
              <w:pStyle w:val="12"/>
            </w:pPr>
            <w:r>
              <w:t>建立行之有效的科普制度。</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2023年，科协部门秦皇岛市山海关区科学技术协会本级安排政府采购预算0.00万元。具体内容见下表。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科协部门秦皇岛市山海关区科学技术协会本级上年末固定资产金额为63450.00万元（详见下表）。本年度拟购置固定资产总额为0.00万元，已按要求列入政府采购预算，详见政府采购预算表。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w:t>
            </w:r>
          </w:p>
        </w:tc>
        <w:tc>
          <w:tcPr>
            <w:tcW w:w="2835" w:type="dxa"/>
            <w:vAlign w:val="center"/>
          </w:tcPr>
          <w:p>
            <w:pPr>
              <w:pStyle w:val="11"/>
            </w:pPr>
            <w:r>
              <w:t>42850.00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pPr>
    </w:p>
    <w:p>
      <w:pPr>
        <w:jc w:val="center"/>
      </w:pPr>
    </w:p>
    <w:sectPr>
      <w:pgSz w:w="16840" w:h="11900" w:orient="landscape"/>
      <w:pgMar w:top="1361" w:right="1020" w:bottom="1134" w:left="10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GZhMTZmYTFkNjE5MzYxZGUxOGQzOGI1NmE5OTEifQ=="/>
  </w:docVars>
  <w:rsids>
    <w:rsidRoot w:val="002567E0"/>
    <w:rsid w:val="002567E0"/>
    <w:rsid w:val="008D5B08"/>
    <w:rsid w:val="00F46990"/>
    <w:rsid w:val="476D7E53"/>
    <w:rsid w:val="52D0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2023-01-30T16:22:21Z</dcterms:created>
  <dcterms:modified xsi:type="dcterms:W3CDTF">2023-01-30T08:22:21Z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B305-E367-4D52-AFA3-175DE4EBE345}">
  <ds:schemaRefs/>
</ds:datastoreItem>
</file>

<file path=customXml/itemProps10.xml><?xml version="1.0" encoding="utf-8"?>
<ds:datastoreItem xmlns:ds="http://schemas.openxmlformats.org/officeDocument/2006/customXml" ds:itemID="{D1DB2BB7-89BD-4972-B7D0-1F4A4A53397F}">
  <ds:schemaRefs/>
</ds:datastoreItem>
</file>

<file path=customXml/itemProps11.xml><?xml version="1.0" encoding="utf-8"?>
<ds:datastoreItem xmlns:ds="http://schemas.openxmlformats.org/officeDocument/2006/customXml" ds:itemID="{F7188A0C-B574-44EB-AA78-28713CF4CF39}">
  <ds:schemaRefs/>
</ds:datastoreItem>
</file>

<file path=customXml/itemProps12.xml><?xml version="1.0" encoding="utf-8"?>
<ds:datastoreItem xmlns:ds="http://schemas.openxmlformats.org/officeDocument/2006/customXml" ds:itemID="{DD7746D7-BC67-41B2-888C-F3140374EF87}">
  <ds:schemaRefs/>
</ds:datastoreItem>
</file>

<file path=customXml/itemProps13.xml><?xml version="1.0" encoding="utf-8"?>
<ds:datastoreItem xmlns:ds="http://schemas.openxmlformats.org/officeDocument/2006/customXml" ds:itemID="{4DB25C37-6AB1-48E5-87E2-C05A0E24D780}">
  <ds:schemaRefs/>
</ds:datastoreItem>
</file>

<file path=customXml/itemProps14.xml><?xml version="1.0" encoding="utf-8"?>
<ds:datastoreItem xmlns:ds="http://schemas.openxmlformats.org/officeDocument/2006/customXml" ds:itemID="{DCA1731A-37C8-4C07-B5AF-21240BF1D86C}">
  <ds:schemaRefs/>
</ds:datastoreItem>
</file>

<file path=customXml/itemProps15.xml><?xml version="1.0" encoding="utf-8"?>
<ds:datastoreItem xmlns:ds="http://schemas.openxmlformats.org/officeDocument/2006/customXml" ds:itemID="{33E363A1-67E5-4624-A6AC-0257E7227C44}">
  <ds:schemaRefs/>
</ds:datastoreItem>
</file>

<file path=customXml/itemProps16.xml><?xml version="1.0" encoding="utf-8"?>
<ds:datastoreItem xmlns:ds="http://schemas.openxmlformats.org/officeDocument/2006/customXml" ds:itemID="{2D40632A-83C6-430E-AA9D-86CC7972B398}">
  <ds:schemaRefs/>
</ds:datastoreItem>
</file>

<file path=customXml/itemProps17.xml><?xml version="1.0" encoding="utf-8"?>
<ds:datastoreItem xmlns:ds="http://schemas.openxmlformats.org/officeDocument/2006/customXml" ds:itemID="{E702E27F-BD7F-49BE-86E6-414D08DC3AAF}">
  <ds:schemaRefs/>
</ds:datastoreItem>
</file>

<file path=customXml/itemProps18.xml><?xml version="1.0" encoding="utf-8"?>
<ds:datastoreItem xmlns:ds="http://schemas.openxmlformats.org/officeDocument/2006/customXml" ds:itemID="{ADCDA2D0-A4FA-498E-BE05-5EE51A7C09B6}">
  <ds:schemaRefs/>
</ds:datastoreItem>
</file>

<file path=customXml/itemProps19.xml><?xml version="1.0" encoding="utf-8"?>
<ds:datastoreItem xmlns:ds="http://schemas.openxmlformats.org/officeDocument/2006/customXml" ds:itemID="{7CD19B4E-1A18-41D7-97E9-CE40DF1105B8}">
  <ds:schemaRefs/>
</ds:datastoreItem>
</file>

<file path=customXml/itemProps2.xml><?xml version="1.0" encoding="utf-8"?>
<ds:datastoreItem xmlns:ds="http://schemas.openxmlformats.org/officeDocument/2006/customXml" ds:itemID="{264AEA9C-8EA4-4EB0-95B8-C299496889AC}">
  <ds:schemaRefs/>
</ds:datastoreItem>
</file>

<file path=customXml/itemProps3.xml><?xml version="1.0" encoding="utf-8"?>
<ds:datastoreItem xmlns:ds="http://schemas.openxmlformats.org/officeDocument/2006/customXml" ds:itemID="{C8C96DF4-6F84-475B-8118-A3BD5D16682C}">
  <ds:schemaRefs/>
</ds:datastoreItem>
</file>

<file path=customXml/itemProps4.xml><?xml version="1.0" encoding="utf-8"?>
<ds:datastoreItem xmlns:ds="http://schemas.openxmlformats.org/officeDocument/2006/customXml" ds:itemID="{B3FAA0D1-E4A0-44CC-B547-6459D667418C}">
  <ds:schemaRefs/>
</ds:datastoreItem>
</file>

<file path=customXml/itemProps5.xml><?xml version="1.0" encoding="utf-8"?>
<ds:datastoreItem xmlns:ds="http://schemas.openxmlformats.org/officeDocument/2006/customXml" ds:itemID="{4016DE34-3CF5-4645-9103-5BF4AFAFA72B}">
  <ds:schemaRefs/>
</ds:datastoreItem>
</file>

<file path=customXml/itemProps6.xml><?xml version="1.0" encoding="utf-8"?>
<ds:datastoreItem xmlns:ds="http://schemas.openxmlformats.org/officeDocument/2006/customXml" ds:itemID="{B8A720FF-56B2-45CC-B1F9-795855CC0D1B}">
  <ds:schemaRefs/>
</ds:datastoreItem>
</file>

<file path=customXml/itemProps7.xml><?xml version="1.0" encoding="utf-8"?>
<ds:datastoreItem xmlns:ds="http://schemas.openxmlformats.org/officeDocument/2006/customXml" ds:itemID="{87432B8A-8BDF-4132-B2A0-7B4DEC367483}">
  <ds:schemaRefs/>
</ds:datastoreItem>
</file>

<file path=customXml/itemProps8.xml><?xml version="1.0" encoding="utf-8"?>
<ds:datastoreItem xmlns:ds="http://schemas.openxmlformats.org/officeDocument/2006/customXml" ds:itemID="{B92A9D12-1A6D-4A9D-8E1F-592148B3E871}">
  <ds:schemaRefs/>
</ds:datastoreItem>
</file>

<file path=customXml/itemProps9.xml><?xml version="1.0" encoding="utf-8"?>
<ds:datastoreItem xmlns:ds="http://schemas.openxmlformats.org/officeDocument/2006/customXml" ds:itemID="{A6318DB4-7AE3-4B75-8D1E-3A9110A34D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1197</Words>
  <Characters>6828</Characters>
  <Lines>56</Lines>
  <Paragraphs>16</Paragraphs>
  <TotalTime>10</TotalTime>
  <ScaleCrop>false</ScaleCrop>
  <LinksUpToDate>false</LinksUpToDate>
  <CharactersWithSpaces>8009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2023-01-30T16:22:00Z</dcterms:created>
  <dc:creator>Lenovo</dc:creator>
  <cp:lastModifiedBy>静心</cp:lastModifiedBy>
  <dcterms:modified xsi:type="dcterms:W3CDTF">2024-06-20T03:37:06Z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09BD11723C584B8280CB918F6BD361AE_13</vt:lpwstr>
  </property>
</Properties>
</file>