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both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农工委</w:t>
      </w:r>
      <w:r>
        <w:rPr>
          <w:rFonts w:hint="eastAsia" w:asciiTheme="minorEastAsia" w:hAnsiTheme="minorEastAsia" w:eastAsiaTheme="minorEastAsia"/>
          <w:sz w:val="44"/>
          <w:szCs w:val="44"/>
        </w:rPr>
        <w:t>部门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预算</w:t>
      </w:r>
      <w:r>
        <w:rPr>
          <w:rFonts w:hint="eastAsia" w:asciiTheme="minorEastAsia" w:hAnsiTheme="minorEastAsia" w:eastAsiaTheme="minorEastAsia"/>
          <w:sz w:val="44"/>
          <w:szCs w:val="44"/>
        </w:rPr>
        <w:t>公开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情况</w:t>
      </w:r>
      <w:r>
        <w:rPr>
          <w:rFonts w:hint="eastAsia" w:asciiTheme="minorEastAsia" w:hAnsiTheme="minorEastAsia" w:eastAsiaTheme="minorEastAsia"/>
          <w:sz w:val="44"/>
          <w:szCs w:val="44"/>
        </w:rPr>
        <w:t>目录</w:t>
      </w:r>
    </w:p>
    <w:p>
      <w:pPr>
        <w:ind w:firstLine="880"/>
        <w:rPr>
          <w:rFonts w:ascii="黑体" w:hAnsi="黑体" w:eastAsia="黑体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-1029335</wp:posOffset>
                </wp:positionV>
                <wp:extent cx="1008380" cy="472440"/>
                <wp:effectExtent l="0" t="0" r="127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4pt;margin-top:-81.05pt;height:37.2pt;width:79.4pt;z-index:251659264;mso-width-relative:page;mso-height-relative:margin;mso-height-percent:200;" fillcolor="#FFFFFF" filled="t" stroked="f" coordsize="21600,21600" o:gfxdata="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twpv/ZAAAACwEAAA8AAAAAAAAAAQAgAAAAIgAAAGRycy9kb3ducmV2LnhtbFBLAQIU&#10;ABQAAAAIAIdO4kDcxRDruQEAAEwDAAAOAAAAAAAAAAEAIAAAACgBAABkcnMvZTJvRG9jLnhtbFBL&#10;BQYAAAAABgAGAFkBAABT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rPr>
          <w:rFonts w:ascii="仿宋_GB2312" w:hAnsi="黑体"/>
          <w:sz w:val="24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/>
          <w:szCs w:val="32"/>
          <w:lang w:eastAsia="zh-CN"/>
        </w:rPr>
        <w:t>农工委</w:t>
      </w:r>
      <w:r>
        <w:rPr>
          <w:rFonts w:hint="eastAsia" w:ascii="黑体" w:hAnsi="黑体" w:eastAsia="黑体"/>
          <w:szCs w:val="32"/>
        </w:rPr>
        <w:t>部门</w:t>
      </w:r>
      <w:r>
        <w:rPr>
          <w:rFonts w:hint="eastAsia" w:ascii="黑体" w:hAnsi="黑体" w:eastAsia="黑体"/>
          <w:szCs w:val="32"/>
          <w:lang w:eastAsia="zh-CN"/>
        </w:rPr>
        <w:t>职责、机构设置等基本情况</w:t>
      </w:r>
    </w:p>
    <w:p>
      <w:pPr>
        <w:numPr>
          <w:ilvl w:val="0"/>
          <w:numId w:val="1"/>
        </w:numPr>
        <w:ind w:firstLine="1279" w:firstLineChars="398"/>
        <w:rPr>
          <w:rFonts w:hint="eastAsia" w:ascii="仿宋_GB2312" w:hAnsi="黑体"/>
          <w:b/>
          <w:bCs/>
          <w:szCs w:val="32"/>
        </w:rPr>
      </w:pPr>
      <w:r>
        <w:rPr>
          <w:rFonts w:hint="eastAsia" w:ascii="仿宋_GB2312" w:hAnsi="黑体"/>
          <w:b/>
          <w:bCs/>
          <w:szCs w:val="32"/>
        </w:rPr>
        <w:t>部门职责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w w:val="93"/>
          <w:sz w:val="32"/>
          <w:szCs w:val="32"/>
        </w:rPr>
        <w:t>农村工作委员会是区委管理农村工作的部门，担负着贯彻党在农村的路线、方针、政策，推动农村改革，发展农村经济，社会主义新农村建设等方面的政策研究和指导的重任。其主要职责，代表区委具体贯彻落实党中央、国务院有关农业和农村工作的路线、方针、政策、法令、法规，结合本区实际情况，研究制定具体政策和实施细则；不断深化农村各项改革，推动农村经济和社会的全面发展，结合农业和农村经济发展情况，指导督促社会主义新农村的建设；对农业产业化工作具体谋划、组织、推动及重点项目资金的安排；对涉及农业、农村、农民的重大问题进行调查研究，为区委、区政府决策提供科学依据；组织有关部门不断完善农村社会化服务体系，指导督促抓好农村管理，加强农村基层民主政治建设，并协调各农口单位、部门的工作。</w:t>
      </w:r>
    </w:p>
    <w:p>
      <w:pPr>
        <w:numPr>
          <w:ilvl w:val="0"/>
          <w:numId w:val="0"/>
        </w:numPr>
        <w:rPr>
          <w:rFonts w:hint="eastAsia" w:ascii="仿宋_GB2312" w:hAnsi="黑体"/>
          <w:b/>
          <w:bCs/>
          <w:szCs w:val="32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     </w:t>
      </w:r>
      <w:r>
        <w:rPr>
          <w:rFonts w:hint="eastAsia" w:ascii="仿宋_GB2312" w:hAnsi="黑体"/>
          <w:b/>
          <w:bCs/>
          <w:szCs w:val="32"/>
          <w:lang w:val="en-US" w:eastAsia="zh-CN"/>
        </w:rPr>
        <w:t>二、</w:t>
      </w:r>
      <w:r>
        <w:rPr>
          <w:rFonts w:hint="eastAsia" w:ascii="仿宋_GB2312" w:hAnsi="黑体"/>
          <w:b/>
          <w:bCs/>
          <w:szCs w:val="32"/>
        </w:rPr>
        <w:t>单位</w:t>
      </w:r>
      <w:r>
        <w:rPr>
          <w:rFonts w:hint="eastAsia" w:ascii="仿宋_GB2312" w:hAnsi="黑体"/>
          <w:b/>
          <w:bCs/>
          <w:szCs w:val="32"/>
          <w:lang w:eastAsia="zh-CN"/>
        </w:rPr>
        <w:t>机构设置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农工委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  <w:lang w:eastAsia="zh-CN"/>
        </w:rPr>
        <w:t>是独立核算的行政单位。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行政编制6名。其中：常务副书记1名，副书记2名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事业编制5名。区划办主任1名，副主任1名。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本单位属于全额拨款的行政单位，机构规格为正科级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年度，纳入本部门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算汇编范围的独立核算单位共1个，我单位执行行政单位会计制度，单位预算级次为一级预算单位。</w:t>
      </w:r>
    </w:p>
    <w:p>
      <w:pPr>
        <w:widowControl/>
        <w:spacing w:before="100" w:beforeAutospacing="1" w:after="100" w:afterAutospacing="1" w:line="580" w:lineRule="exact"/>
        <w:ind w:firstLine="445" w:firstLineChars="150"/>
        <w:jc w:val="left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/>
          <w:w w:val="9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w w:val="93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w w:val="93"/>
          <w:sz w:val="32"/>
          <w:szCs w:val="32"/>
        </w:rPr>
        <w:t>（一）综合办公室：负责组织协调机关的政务工作，安排管理各项事务工作；拟定综合性管理规定及有关制度，负责重要文件的起草；承办本单位大型会议和重要活动的组织工作；承担本单位文秘、政务信息、内保、后勤、装备、档案、机要、信访、提案办理及通讯报道等工作；负责对办公会、行政办公会有关议题的落实情况予以督办；完成领导交办的其他工作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（二）农业产业化办公室（上对市农工委）：</w:t>
      </w:r>
      <w:r>
        <w:rPr>
          <w:rFonts w:hint="eastAsia" w:ascii="仿宋_GB2312" w:hAnsi="宋体" w:eastAsia="仿宋_GB2312"/>
          <w:color w:val="000000"/>
          <w:w w:val="93"/>
          <w:sz w:val="32"/>
          <w:szCs w:val="32"/>
        </w:rPr>
        <w:t>负责研究</w:t>
      </w:r>
      <w:r>
        <w:rPr>
          <w:rFonts w:hint="eastAsia" w:ascii="仿宋_GB2312" w:eastAsia="仿宋_GB2312"/>
          <w:w w:val="93"/>
          <w:sz w:val="32"/>
          <w:szCs w:val="32"/>
        </w:rPr>
        <w:t>制定产业化规划、相关政策法规，协调解决农业产业化经营中遇到的问题；</w:t>
      </w:r>
      <w:r>
        <w:rPr>
          <w:rFonts w:hint="eastAsia" w:ascii="仿宋_GB2312" w:eastAsia="仿宋_GB2312"/>
          <w:color w:val="000000"/>
          <w:w w:val="93"/>
          <w:sz w:val="32"/>
          <w:szCs w:val="32"/>
        </w:rPr>
        <w:t>编制项目产业化总体规划；指导各镇政府和相关部门搞好项目管理，向上级报告工作；</w:t>
      </w:r>
      <w:r>
        <w:rPr>
          <w:rFonts w:hint="eastAsia" w:ascii="仿宋_GB2312" w:eastAsia="仿宋_GB2312"/>
          <w:w w:val="93"/>
          <w:sz w:val="32"/>
          <w:szCs w:val="32"/>
        </w:rPr>
        <w:t>搞好项目申报和批复；签定项目建设合同并组织检查验收；</w:t>
      </w:r>
      <w:r>
        <w:rPr>
          <w:rFonts w:hint="eastAsia" w:ascii="仿宋_GB2312" w:hAnsi="宋体" w:eastAsia="仿宋_GB2312"/>
          <w:w w:val="93"/>
          <w:sz w:val="32"/>
          <w:szCs w:val="32"/>
        </w:rPr>
        <w:t>为特色农产品基地建设服务；积极为创建省市重点龙头企业服务；为龙头企业招商引资服务；.积极支持龙头企业开发精品名牌，推进农业标准化</w:t>
      </w:r>
    </w:p>
    <w:p>
      <w:pPr>
        <w:spacing w:line="580" w:lineRule="exact"/>
        <w:ind w:firstLine="645"/>
        <w:rPr>
          <w:rFonts w:hint="eastAsia" w:ascii="仿宋_GB2312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（三）基层民主政治建设办公室（上对市农工委）：</w:t>
      </w:r>
      <w:r>
        <w:rPr>
          <w:rFonts w:hint="eastAsia" w:ascii="仿宋_GB2312" w:eastAsia="仿宋_GB2312"/>
          <w:w w:val="93"/>
          <w:sz w:val="32"/>
          <w:szCs w:val="32"/>
        </w:rPr>
        <w:t>研究提出加强基层政权建设的意见和建议；拟定基层群众自治组织建设的政策并指导实施；指导基层群众自治组织干部的培训和表彰工作；指导村民委员会民主选举、民主决策、民主管理和民主监督工作，推动村民自治和基层民主政治建设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（四）农业开发办公室（上对市财政局）：</w:t>
      </w:r>
      <w:r>
        <w:rPr>
          <w:rFonts w:hint="eastAsia" w:ascii="仿宋_GB2312" w:hAnsi="宋体" w:eastAsia="仿宋_GB2312"/>
          <w:color w:val="000000"/>
          <w:w w:val="93"/>
          <w:sz w:val="32"/>
          <w:szCs w:val="32"/>
        </w:rPr>
        <w:t>负责</w:t>
      </w:r>
      <w:r>
        <w:rPr>
          <w:rFonts w:hint="eastAsia" w:ascii="仿宋_GB2312" w:eastAsia="仿宋_GB2312"/>
          <w:color w:val="000000"/>
          <w:w w:val="93"/>
          <w:sz w:val="32"/>
          <w:szCs w:val="32"/>
        </w:rPr>
        <w:t>广泛宣传农业综合开发的方针政策并贯彻落实；编制项目开发总体规划；负责农业综合开发的人员培训、统计、文档及信息管理工作；指导各镇政府和相关部门搞好项目管理，向上级报告工作；搞好立项前的调查准备并建立项目库，对拟上报项目组织开展评估论</w:t>
      </w:r>
      <w:r>
        <w:rPr>
          <w:rFonts w:hint="eastAsia" w:ascii="仿宋_GB2312" w:eastAsia="仿宋_GB2312"/>
          <w:w w:val="93"/>
          <w:sz w:val="32"/>
          <w:szCs w:val="32"/>
        </w:rPr>
        <w:t>证；搞好项目申报和批复；签定项目建设合同并组织检查验收；配合财政部门搞好有偿资金回收。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（五）农经办公室：负责落实土地延包的政策，解决好土地延包的纠纷；农村集体资产和财务管理，开展农村财务审计；规范发展农民专业合作经济组织；农村经济收益分配统计工作。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（六）防雹办公室：</w:t>
      </w:r>
      <w:r>
        <w:rPr>
          <w:rFonts w:hint="eastAsia" w:ascii="仿宋_GB2312" w:eastAsia="仿宋_GB2312"/>
          <w:w w:val="93"/>
          <w:sz w:val="32"/>
          <w:szCs w:val="32"/>
        </w:rPr>
        <w:t xml:space="preserve">参与区政府气象防灾减灾决策，组织对重大灾害性天气跨地区、跨部门的气象灾害联防，组织指导防御冰雹等气象防灾减灾工作。 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（七）减轻农民负担办公室:负责</w:t>
      </w:r>
      <w:r>
        <w:rPr>
          <w:rFonts w:hint="eastAsia" w:ascii="仿宋_GB2312" w:eastAsia="仿宋_GB2312"/>
          <w:spacing w:val="-12"/>
          <w:w w:val="93"/>
          <w:position w:val="-6"/>
          <w:sz w:val="32"/>
          <w:szCs w:val="32"/>
        </w:rPr>
        <w:t>贯彻落实好中央、省、市各项减负政策；部署每年的农民负担监督管理工作任务；开展调查研究，为各级制定政策提供依据；制定惠农政策；加强农民负担的监督管理，进行定期不定期的检查，落实减负责任制。</w:t>
      </w:r>
      <w:r>
        <w:rPr>
          <w:rFonts w:hint="eastAsia" w:ascii="仿宋_GB2312" w:hAnsi="宋体" w:eastAsia="仿宋_GB2312"/>
          <w:w w:val="93"/>
          <w:sz w:val="32"/>
          <w:szCs w:val="32"/>
        </w:rPr>
        <w:t xml:space="preserve"> </w:t>
      </w:r>
    </w:p>
    <w:p>
      <w:pPr>
        <w:spacing w:line="580" w:lineRule="exact"/>
        <w:ind w:firstLine="645"/>
        <w:rPr>
          <w:rFonts w:hint="eastAsia" w:ascii="仿宋_GB2312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（八）政策研究办公室：负责</w:t>
      </w:r>
      <w:r>
        <w:rPr>
          <w:rFonts w:hint="eastAsia" w:ascii="仿宋_GB2312" w:eastAsia="仿宋_GB2312"/>
          <w:w w:val="93"/>
          <w:sz w:val="32"/>
          <w:szCs w:val="32"/>
        </w:rPr>
        <w:t xml:space="preserve">全区农业和农村社会经济发展中的重大问题和重要课题的调查研究，掌握分析我区农业和农村经济发展形势和情况，研究提出全区农业和农村经济发展的具体对策和措施，提出意见和建议，供区委、区政府决策参考。 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w w:val="93"/>
          <w:sz w:val="32"/>
          <w:szCs w:val="32"/>
        </w:rPr>
      </w:pPr>
      <w:r>
        <w:rPr>
          <w:rFonts w:hint="eastAsia" w:ascii="仿宋_GB2312" w:hAnsi="宋体" w:eastAsia="仿宋_GB2312"/>
          <w:w w:val="93"/>
          <w:sz w:val="32"/>
          <w:szCs w:val="32"/>
        </w:rPr>
        <w:t>（九）农业资源区划办公室（挂靠）：负责开展农业资源调查、监测、评价；建立农业资源信息动态监测体系和监督  研究制定农业资源合理利用和保护的区划；编制区域指导性规划；组织实施农业可持续发展工作。</w:t>
      </w:r>
    </w:p>
    <w:p>
      <w:pPr>
        <w:ind w:firstLine="640"/>
        <w:rPr>
          <w:rFonts w:ascii="仿宋_GB2312" w:hAnsi="黑体"/>
          <w:sz w:val="20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/>
          <w:szCs w:val="32"/>
          <w:lang w:eastAsia="zh-CN"/>
        </w:rPr>
        <w:t>农工委</w:t>
      </w:r>
      <w:r>
        <w:rPr>
          <w:rFonts w:hint="eastAsia" w:ascii="黑体" w:hAnsi="黑体" w:eastAsia="黑体"/>
          <w:szCs w:val="32"/>
        </w:rPr>
        <w:t>201</w:t>
      </w:r>
      <w:r>
        <w:rPr>
          <w:rFonts w:hint="eastAsia" w:ascii="黑体" w:hAnsi="黑体" w:eastAsia="黑体"/>
          <w:szCs w:val="32"/>
          <w:lang w:val="en-US" w:eastAsia="zh-CN"/>
        </w:rPr>
        <w:t>6</w:t>
      </w:r>
      <w:r>
        <w:rPr>
          <w:rFonts w:hint="eastAsia" w:ascii="黑体" w:hAnsi="黑体" w:eastAsia="黑体"/>
          <w:szCs w:val="32"/>
        </w:rPr>
        <w:t>年度部门</w:t>
      </w:r>
      <w:r>
        <w:rPr>
          <w:rFonts w:hint="eastAsia" w:ascii="黑体" w:hAnsi="黑体" w:eastAsia="黑体"/>
          <w:szCs w:val="32"/>
          <w:lang w:eastAsia="zh-CN"/>
        </w:rPr>
        <w:t>预算收支总体情况</w:t>
      </w:r>
      <w:r>
        <w:rPr>
          <w:rFonts w:hint="eastAsia" w:ascii="黑体" w:hAnsi="黑体" w:eastAsia="黑体"/>
          <w:szCs w:val="32"/>
        </w:rPr>
        <w:t>表</w:t>
      </w:r>
    </w:p>
    <w:p>
      <w:pPr>
        <w:numPr>
          <w:ilvl w:val="0"/>
          <w:numId w:val="2"/>
        </w:numPr>
        <w:ind w:left="640"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收支总表</w:t>
      </w:r>
    </w:p>
    <w:tbl>
      <w:tblPr>
        <w:tblStyle w:val="6"/>
        <w:tblW w:w="7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1864"/>
        <w:gridCol w:w="2497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22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农工委部门预算收支总表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56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7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  <w:r>
              <w:rPr>
                <w:rStyle w:val="11"/>
                <w:rFonts w:eastAsia="方正书宋_GBK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目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  <w:r>
              <w:rPr>
                <w:rStyle w:val="11"/>
                <w:rFonts w:eastAsia="方正书宋_GBK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二、上级补助收入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四、经营收入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二十一、国债还本付息支出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用事业基金弥补收支差额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结余分配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年初结转和结余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年末结转和结余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</w:p>
        </w:tc>
      </w:tr>
    </w:tbl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/>
          <w:sz w:val="18"/>
          <w:szCs w:val="18"/>
        </w:rPr>
      </w:pPr>
    </w:p>
    <w:p>
      <w:pPr>
        <w:numPr>
          <w:ilvl w:val="0"/>
          <w:numId w:val="2"/>
        </w:numPr>
        <w:ind w:left="640" w:leftChars="0"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收</w:t>
      </w:r>
      <w:r>
        <w:rPr>
          <w:rFonts w:hint="eastAsia" w:ascii="仿宋_GB2312"/>
          <w:szCs w:val="32"/>
          <w:lang w:eastAsia="zh-CN"/>
        </w:rPr>
        <w:t>入</w:t>
      </w:r>
      <w:r>
        <w:rPr>
          <w:rFonts w:hint="eastAsia" w:ascii="仿宋_GB2312"/>
          <w:szCs w:val="32"/>
        </w:rPr>
        <w:t>总表</w:t>
      </w:r>
    </w:p>
    <w:tbl>
      <w:tblPr>
        <w:tblStyle w:val="6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332"/>
        <w:gridCol w:w="1173"/>
        <w:gridCol w:w="1266"/>
        <w:gridCol w:w="832"/>
        <w:gridCol w:w="832"/>
        <w:gridCol w:w="832"/>
        <w:gridCol w:w="920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2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25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其他行政事业单位休支出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2100501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行政单位医疗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2130707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农村综合改革转移支付收入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其他农业支出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numPr>
          <w:ilvl w:val="0"/>
          <w:numId w:val="2"/>
        </w:numPr>
        <w:ind w:left="640" w:leftChars="0"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部门预算支出</w:t>
      </w:r>
      <w:r>
        <w:rPr>
          <w:rFonts w:hint="eastAsia" w:ascii="仿宋_GB2312"/>
          <w:szCs w:val="32"/>
        </w:rPr>
        <w:t>总表</w:t>
      </w:r>
    </w:p>
    <w:tbl>
      <w:tblPr>
        <w:tblStyle w:val="6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665"/>
        <w:gridCol w:w="1958"/>
        <w:gridCol w:w="1280"/>
        <w:gridCol w:w="1211"/>
        <w:gridCol w:w="1032"/>
        <w:gridCol w:w="915"/>
        <w:gridCol w:w="83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9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5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126.52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92.38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其他行政事业单位休支出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2100501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2130707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农村综合改革转移支付收入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left="640" w:firstLine="640"/>
        <w:rPr>
          <w:rFonts w:hint="eastAsia" w:ascii="黑体" w:hAnsi="黑体" w:eastAsia="黑体"/>
          <w:szCs w:val="32"/>
          <w:lang w:eastAsia="zh-CN"/>
        </w:rPr>
      </w:pPr>
    </w:p>
    <w:p>
      <w:pPr>
        <w:ind w:left="640" w:firstLine="640"/>
        <w:rPr>
          <w:rFonts w:hint="eastAsia" w:ascii="黑体" w:hAnsi="黑体" w:eastAsia="黑体"/>
          <w:szCs w:val="32"/>
          <w:lang w:eastAsia="zh-CN"/>
        </w:rPr>
      </w:pPr>
    </w:p>
    <w:p>
      <w:pPr>
        <w:ind w:left="640" w:firstLine="640"/>
        <w:rPr>
          <w:rFonts w:hint="eastAsia" w:ascii="黑体" w:hAnsi="黑体" w:eastAsia="黑体"/>
          <w:szCs w:val="32"/>
          <w:lang w:eastAsia="zh-CN"/>
        </w:rPr>
      </w:pPr>
    </w:p>
    <w:p>
      <w:pPr>
        <w:ind w:left="640" w:firstLine="640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三、农民委</w:t>
      </w:r>
      <w:r>
        <w:rPr>
          <w:rFonts w:hint="eastAsia" w:ascii="黑体" w:hAnsi="黑体" w:eastAsia="黑体"/>
          <w:szCs w:val="32"/>
        </w:rPr>
        <w:t>201</w:t>
      </w:r>
      <w:r>
        <w:rPr>
          <w:rFonts w:hint="eastAsia" w:ascii="黑体" w:hAnsi="黑体" w:eastAsia="黑体"/>
          <w:szCs w:val="32"/>
          <w:lang w:val="en-US" w:eastAsia="zh-CN"/>
        </w:rPr>
        <w:t>6</w:t>
      </w:r>
      <w:r>
        <w:rPr>
          <w:rFonts w:hint="eastAsia" w:ascii="黑体" w:hAnsi="黑体" w:eastAsia="黑体"/>
          <w:szCs w:val="32"/>
        </w:rPr>
        <w:t>年度部门</w:t>
      </w:r>
      <w:r>
        <w:rPr>
          <w:rFonts w:hint="eastAsia" w:ascii="黑体" w:hAnsi="黑体" w:eastAsia="黑体"/>
          <w:szCs w:val="32"/>
          <w:lang w:eastAsia="zh-CN"/>
        </w:rPr>
        <w:t>预算财政拨款收支情况</w:t>
      </w:r>
      <w:r>
        <w:rPr>
          <w:rFonts w:hint="eastAsia" w:ascii="黑体" w:hAnsi="黑体" w:eastAsia="黑体"/>
          <w:szCs w:val="32"/>
        </w:rPr>
        <w:t>表</w:t>
      </w:r>
    </w:p>
    <w:p>
      <w:pPr>
        <w:ind w:left="640"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</w:t>
      </w: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财政拨款收支总表</w:t>
      </w: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tbl>
      <w:tblPr>
        <w:tblStyle w:val="6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1"/>
        <w:gridCol w:w="1877"/>
        <w:gridCol w:w="1684"/>
        <w:gridCol w:w="1112"/>
        <w:gridCol w:w="1112"/>
        <w:gridCol w:w="83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3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51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</w:t>
            </w:r>
          </w:p>
        </w:tc>
        <w:tc>
          <w:tcPr>
            <w:tcW w:w="5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  <w:r>
              <w:rPr>
                <w:rStyle w:val="16"/>
                <w:rFonts w:eastAsia="方正书宋_GBK"/>
                <w:lang w:val="en-US" w:eastAsia="zh-CN" w:bidi="ar"/>
              </w:rPr>
              <w:t xml:space="preserve">    </w:t>
            </w:r>
            <w:r>
              <w:rPr>
                <w:rStyle w:val="17"/>
                <w:lang w:val="en-US" w:eastAsia="zh-CN" w:bidi="ar"/>
              </w:rPr>
              <w:t>目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  <w:r>
              <w:rPr>
                <w:rStyle w:val="16"/>
                <w:rFonts w:eastAsia="方正书宋_GBK"/>
                <w:lang w:val="en-US" w:eastAsia="zh-CN" w:bidi="ar"/>
              </w:rPr>
              <w:t xml:space="preserve">    </w:t>
            </w:r>
            <w:r>
              <w:rPr>
                <w:rStyle w:val="17"/>
                <w:lang w:val="en-US" w:eastAsia="zh-CN" w:bidi="ar"/>
              </w:rPr>
              <w:t>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24.04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179.25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179.25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二十一、国债还本付息支出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</w:t>
      </w:r>
      <w:r>
        <w:rPr>
          <w:rFonts w:hint="eastAsia" w:ascii="仿宋_GB2312"/>
          <w:szCs w:val="32"/>
        </w:rPr>
        <w:t>五、</w:t>
      </w: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一般公共预算财政拨款支出表</w:t>
      </w:r>
    </w:p>
    <w:tbl>
      <w:tblPr>
        <w:tblStyle w:val="6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80"/>
        <w:gridCol w:w="1485"/>
        <w:gridCol w:w="1185"/>
        <w:gridCol w:w="211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农工委部门预算一般公共预算财政拨款支出表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  <w:r>
              <w:rPr>
                <w:rStyle w:val="18"/>
                <w:rFonts w:eastAsia="方正书宋_GBK"/>
                <w:lang w:val="en-US" w:eastAsia="zh-CN" w:bidi="ar"/>
              </w:rPr>
              <w:t xml:space="preserve">  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218.90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126.52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其他行政事业单位休支出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2130707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农村综合改革转移支付收入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2130119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</w:rPr>
        <w:t>六、</w:t>
      </w: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一般公共预算财政拨款</w:t>
      </w:r>
      <w:r>
        <w:rPr>
          <w:rFonts w:hint="eastAsia" w:ascii="仿宋_GB2312"/>
          <w:szCs w:val="32"/>
          <w:lang w:eastAsia="zh-CN"/>
        </w:rPr>
        <w:t>基本</w:t>
      </w:r>
      <w:r>
        <w:rPr>
          <w:rFonts w:hint="eastAsia" w:ascii="仿宋_GB2312"/>
          <w:szCs w:val="32"/>
        </w:rPr>
        <w:t>支出表</w:t>
      </w:r>
    </w:p>
    <w:p>
      <w:pPr>
        <w:ind w:left="640" w:firstLine="640"/>
        <w:rPr>
          <w:rFonts w:hint="eastAsia" w:ascii="仿宋_GB2312"/>
          <w:szCs w:val="32"/>
        </w:rPr>
      </w:pPr>
    </w:p>
    <w:tbl>
      <w:tblPr>
        <w:tblStyle w:val="6"/>
        <w:tblW w:w="6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614"/>
        <w:gridCol w:w="1466"/>
        <w:gridCol w:w="1112"/>
        <w:gridCol w:w="1167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62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农工委部门预算一般公共预算财政拨款基本支出表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126.52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119.58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33.75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30231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30299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30305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30399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</w:rPr>
        <w:t>七、</w:t>
      </w: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政府性基金预算财政拨款支出表</w:t>
      </w:r>
    </w:p>
    <w:tbl>
      <w:tblPr>
        <w:tblStyle w:val="6"/>
        <w:tblpPr w:leftFromText="180" w:rightFromText="180" w:vertAnchor="text" w:horzAnchor="page" w:tblpX="2594" w:tblpY="603"/>
        <w:tblOverlap w:val="never"/>
        <w:tblW w:w="6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30"/>
        <w:gridCol w:w="1680"/>
        <w:gridCol w:w="1225"/>
        <w:gridCol w:w="1520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82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农工委部门预算政府性基金预算财政拨款支出表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  <w:r>
              <w:rPr>
                <w:rFonts w:hint="default" w:ascii="Times New Roman" w:hAnsi="Times New Roman" w:eastAsia="方正书宋_GBK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八、</w:t>
      </w:r>
      <w:r>
        <w:rPr>
          <w:rFonts w:hint="eastAsia" w:ascii="仿宋_GB2312"/>
          <w:szCs w:val="32"/>
          <w:lang w:eastAsia="zh-CN"/>
        </w:rPr>
        <w:t>部门预算国有资本经营</w:t>
      </w:r>
      <w:r>
        <w:rPr>
          <w:rFonts w:hint="eastAsia" w:ascii="仿宋_GB2312"/>
          <w:szCs w:val="32"/>
        </w:rPr>
        <w:t>预算财政拨款支出表</w:t>
      </w:r>
    </w:p>
    <w:p>
      <w:pPr>
        <w:ind w:left="640" w:firstLine="640"/>
        <w:rPr>
          <w:rFonts w:hint="eastAsia" w:ascii="仿宋_GB2312"/>
          <w:szCs w:val="32"/>
        </w:rPr>
      </w:pPr>
    </w:p>
    <w:tbl>
      <w:tblPr>
        <w:tblStyle w:val="6"/>
        <w:tblW w:w="7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4"/>
        <w:gridCol w:w="1604"/>
        <w:gridCol w:w="1634"/>
        <w:gridCol w:w="1514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6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农工委部门预算国有资本经营预算财政拨款支出表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4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  <w:r>
              <w:rPr>
                <w:rStyle w:val="19"/>
                <w:rFonts w:eastAsia="方正书宋_GBK"/>
                <w:lang w:val="en-US" w:eastAsia="zh-CN" w:bidi="ar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九、</w:t>
      </w:r>
      <w:r>
        <w:rPr>
          <w:rFonts w:hint="eastAsia" w:ascii="仿宋_GB2312"/>
          <w:szCs w:val="32"/>
          <w:lang w:eastAsia="zh-CN"/>
        </w:rPr>
        <w:t>部门预算</w:t>
      </w:r>
      <w:r>
        <w:rPr>
          <w:rFonts w:hint="eastAsia" w:ascii="仿宋_GB2312"/>
          <w:szCs w:val="32"/>
        </w:rPr>
        <w:t>财政拨款“三公”经费支出表</w:t>
      </w:r>
    </w:p>
    <w:tbl>
      <w:tblPr>
        <w:tblStyle w:val="6"/>
        <w:tblW w:w="79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1094"/>
        <w:gridCol w:w="1782"/>
        <w:gridCol w:w="1169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9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农工委部门预算财政拨款“三公”经费支出表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56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5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政府性基金财政拨款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一、因公出国（境）费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二、公务用车购置及运行费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其中：公务用车购置费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公务用车运行费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三、公务接待费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firstLine="640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</w:t>
      </w:r>
    </w:p>
    <w:p>
      <w:pPr>
        <w:ind w:left="0" w:leftChars="0" w:firstLine="640" w:firstLineChars="0"/>
        <w:rPr>
          <w:rFonts w:ascii="宋体" w:hAnsi="宋体"/>
        </w:rPr>
      </w:pPr>
      <w:r>
        <w:rPr>
          <w:rFonts w:hint="eastAsia" w:ascii="黑体" w:hAnsi="黑体" w:eastAsia="黑体"/>
          <w:szCs w:val="32"/>
          <w:lang w:val="en-US" w:eastAsia="zh-CN"/>
        </w:rPr>
        <w:t>四、绩效预算信息情况</w:t>
      </w:r>
      <w:r>
        <w:rPr>
          <w:rFonts w:ascii="宋体" w:hAnsi="宋体"/>
        </w:rPr>
        <w:t xml:space="preserve"> </w:t>
      </w:r>
    </w:p>
    <w:p>
      <w:pPr>
        <w:jc w:val="left"/>
        <w:rPr>
          <w:rFonts w:hint="eastAsia"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</w:p>
    <w:p>
      <w:pPr>
        <w:jc w:val="left"/>
        <w:rPr>
          <w:rFonts w:hint="eastAsia"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山海关区委农工委年度发展规划目标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深入贯彻习近平总书记系列重要讲话精神，认真落实中央省、市工作部署，坚持以科学发展观为统领，以农民增收为目标，以创新和进取的态度积极做好农村面貌改造提升、农业产业化、山区综合开发和农村产权制度改革等项重点工作，大力加强自身建设和党风廉政建设，充分发挥职能作用，促进全区“三农”工作又好又快发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(一)全面推进美丽乡村建设。 按照省委、省政府“四化四美”要求，以提高农民群众生活舒适度和幸福指数为出发点，以十二个专项行动为抓手，集中连片，高标准打造长寿山美丽乡村建设片区。大力实施三道关、望夫石、望峪村三个省定旅游精品示范村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(二)协调解决新民居后续工作。按照“三新六有”、“五通五有”的标准，不断完善农村基础设施建设以及公共配套服务提升。破解新民居建设瓶颈制约。高度关注中央、省市有关新民居（中心村）建设的新精神，探索制约我区新民居建设的解决办法。同时积极调动镇、村主体作用，深度挖掘项目自身潜力，使之成为村集体经济财富积累、项目良性运转的保障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三）深入推进农业产业化经营。继续调优产业结构，重点发展大樱桃、设施蔬菜、水产养殖捕捞加工、花卉苗木、肉鸡养殖加工五大特色产业。培育农业品牌，力争区内更多农产品成为名优农产品。加大政策扶持力度，争取把农业产业化专项资金纳入本级财政预算，支持重点产业发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四）加快山区综合开发建设步伐。把山区综合开发与区域经济发展、美丽乡村建设结合起来，在规划编制、资金投入、政策支持等方面做到衔接配套，确保取得扎扎实实的成效。万亩樱桃沟在提高品质、改良品种、实行标准化生产的基础上，以樱韵酒业大樱桃深加工、顺丰生态园项目为重点，不断研发大樱桃果汁、果脯等各类产品，使大樱桃产业从单一种植采摘模式向深加工、休闲旅游产业延伸。长寿山沿线依托长寿山五佛公园、角山等资源，围绕打造美丽乡村的发展思路，发展大樱桃、设施蔬菜、久保桃、花卉等观光采摘体验式农业项目。 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五）深化农村产权制度改革。明年我们将按照市级农村产权制度改革工作的要求，会同区农牧局继续完成农村土地承包经营权确权登记颁证工作；继续完善股份制改造试点村工作；采取政府引导、财政补助、市场化运作方式，组建农村产权交易中心；培育发展新型农业经营主体。 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hint="eastAsia"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山海关区委农工委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部门职责分类绩效目标情况说明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本年度山海关区委农工委部门职责共分六项，下面就这六项职责分别说明：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1、推进新农村建设专项业务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主要职责是通过实施美丽乡村建设专项行动，加快建设社会主义新农村。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职责目标是通过实施十二项美丽乡村建设专项行动，进一步改善农村环境面貌，提升农民生产生活条件。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绩效目标是围绕12项专项行动，突出重点，因地制宜，开展美丽乡村建设。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绩效指标是完成年初确定的专项行动建设指标的90%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 2、气象防灾减灾工作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主要职责是按照市气象防灾减灾绩效管理工作方案，积极做好防灾减灾工作预案。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职责目标是积极做好防灾减灾工作预案并进行评估。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绩效目标是积极做好防灾减灾工作预案并进行评估。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绩效指标是做好防灾减灾工作预案及评估工作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3、指导推进农村改革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主要职责是全面深化农村重点领域、关键环节改革，加快推进农业农村体制机制创新，增强全区农村经济社会发展活力。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职责目标是全面深化农村重点领域、关键环节改革，加快推进农业农村体制机制创新，增强全区农村经济社会发展活力。使农业增效、农民增收、农村增活力。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绩效目标是全面开展农用地承包经营权确权颁证工作，推动农用地流转，加快培育新型农业经营主体，建设农村产权交易中心，开展集体资产股份制改造试点。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绩效指标是农村改革试点数（1个）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4、指导农村经济发展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主要职责是协调指导农村经济健康发展，着力促进农民收入持续较快增长。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职责目标是积极推动中央和区委、区政府各项强农惠农富农政策落实，协调指导农村经济健康发展，着力促进农民收入持续快速增长。使农民收入实现持续稳定增长，农村经济持续较快发展。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绩效目标是做好农村经济指标监测与评价，提出农村经济持续较快发展的意见和建议，为领导决策提供支撑；推动区域经济实力发展壮大，促进农民收入持续稳定增长。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绩效指标是提出农村经济运行分析报告和专项分析报告数量（1个）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5、政务管理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主要职责是贯彻落实中央和区委、区政府关于“三农”工作的决策部署，研究制定全区农业农村工作政策文件，对全区“三农”工作进行安排部署。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职责目标是贯彻落实中央和区委、区政府关于“三农”工作的决策部署，研究制定全区农业农村工作政策文件，对全区“三农”工作进行安排部署。保障“三农”工作健康持续开展。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对市级龙头企业监测严格把关，为龙头企业和基地的发展建设争取更多的上级财政资金扶持。加强对示范区项目支持、管理，推进一二三产业融合发展。做好村级公益事业一事一议工作。对农村改革中出现的问题进行调研，紧密结合我区实际，提出有针对性和可操作性的政策措施建议。保障机关正常运转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绩效指标是农业产业化经营率77%，万亩樱桃沟达到市验收标准90%，开展“三农”重点工作督导（2次），完成重大调研课题（2项）。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6、组织推进农业资源区划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主要职责是贯彻落实</w:t>
      </w:r>
      <w:r>
        <w:rPr>
          <w:rFonts w:hint="eastAsia" w:ascii="方正仿宋_GBK" w:eastAsia="方正仿宋_GBK"/>
          <w:sz w:val="28"/>
          <w:lang w:eastAsia="zh-CN"/>
        </w:rPr>
        <w:t>《中华人民共和国农业法》</w:t>
      </w:r>
      <w:r>
        <w:rPr>
          <w:rFonts w:ascii="方正仿宋_GBK" w:eastAsia="方正仿宋_GBK"/>
          <w:sz w:val="28"/>
        </w:rPr>
        <w:t>关于各</w:t>
      </w:r>
      <w:bookmarkStart w:id="0" w:name="_GoBack"/>
      <w:r>
        <w:rPr>
          <w:rFonts w:ascii="方正仿宋_GBK" w:eastAsia="方正仿宋_GBK"/>
          <w:sz w:val="28"/>
        </w:rPr>
        <w:t>级</w:t>
      </w:r>
      <w:bookmarkEnd w:id="0"/>
      <w:r>
        <w:rPr>
          <w:rFonts w:ascii="方正仿宋_GBK" w:eastAsia="方正仿宋_GBK"/>
          <w:sz w:val="28"/>
        </w:rPr>
        <w:t>人民政府应制定农业资源区划的规定,保护农业自然资源,促进农业可持续发展。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职责目标是开展农业资源调查,监测,评价,建立农业资源报告制度；建立农业资源动态监测体系；研究制定农业资源合理利用和保护的区划；编制区域指导性规划；组织实施农业可持续发展和高效利用实验示范工作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绩效目标是查清农业资源家底,监测资源动态;完成综合性专题性报告；建立起合理开发利用和保护农业资源,促进农业向产出高效、产品安全、资源节约、环境友好的现代农业方向发展。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绩效指标是提交农业资源综合区划、现代农业园区发展报告、生态循环示范点建设。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绩效标准：完成90%以上为优，完成80%以上为良，完成60%以上为中，完成60%以下为差。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hint="eastAsia"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山海关区委农工委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实现本年度发展规划目标的保障措施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（一）加强领导，精心组织。实行主要领导负责制，层层落实责任。严格遵守工作纪律，抓好“五项”重点工作的协调调度，确保农工委各项工作顺利推进。 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（二）统筹兼顾，相互配合。农工委工作任务多，人员少，一人身兼多职，要统筹兼顾、各司其职、各负其责，通力协作、相互配合，圆满完成各项工作任务。 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三）把握关键环节，抓好各项工作落实。美丽乡村建设方面，立足农村发展实际，精心谋划、启动改造提升项目建设，落实好以“四清四化”、基础设施完善为主的15件实事，着力打造省级重点村。新民居建设方面，由全力实施转变为稳妥推进，同时注重基础配套设施的完善。农业产业化方面，通过加快产业结构调整,加强龙头企业培育,加速重点项目建设,加大扶持力度,全区农业产业化经营继续保持又好又快发展态势。山区综合开发方面，把山区综合开发与区域经济发展、美丽乡村建设结合起来，在规划编制、资金投入、政策支持等方面做到衔接配套，确保取得扎扎实实的成效。农村产权制度改革方面，按照市级农村产权制度改革工作的要求，会同区级职能部门继续推进。</w:t>
      </w:r>
    </w:p>
    <w:p>
      <w:pPr>
        <w:numPr>
          <w:ilvl w:val="0"/>
          <w:numId w:val="0"/>
        </w:num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  五、</w:t>
      </w:r>
      <w:r>
        <w:rPr>
          <w:rFonts w:hint="eastAsia" w:ascii="黑体" w:hAnsi="黑体" w:eastAsia="黑体"/>
          <w:szCs w:val="32"/>
          <w:lang w:eastAsia="zh-CN"/>
        </w:rPr>
        <w:t>政府采购预算情况</w:t>
      </w:r>
    </w:p>
    <w:p>
      <w:pPr>
        <w:numPr>
          <w:ilvl w:val="0"/>
          <w:numId w:val="0"/>
        </w:numPr>
        <w:rPr>
          <w:rFonts w:hint="eastAsia" w:ascii="黑体" w:hAnsi="黑体" w:eastAsia="黑体"/>
          <w:szCs w:val="32"/>
          <w:lang w:eastAsia="zh-CN"/>
        </w:rPr>
      </w:pPr>
    </w:p>
    <w:tbl>
      <w:tblPr>
        <w:tblStyle w:val="6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59"/>
        <w:gridCol w:w="479"/>
        <w:gridCol w:w="867"/>
        <w:gridCol w:w="569"/>
        <w:gridCol w:w="569"/>
        <w:gridCol w:w="654"/>
        <w:gridCol w:w="741"/>
        <w:gridCol w:w="741"/>
        <w:gridCol w:w="741"/>
        <w:gridCol w:w="569"/>
        <w:gridCol w:w="569"/>
        <w:gridCol w:w="569"/>
        <w:gridCol w:w="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66" w:type="dxa"/>
            <w:gridSpan w:val="7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214农工委部门</w:t>
            </w:r>
          </w:p>
        </w:tc>
        <w:tc>
          <w:tcPr>
            <w:tcW w:w="4499" w:type="dxa"/>
            <w:gridSpan w:val="7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政府采购项目来源</w:t>
            </w:r>
          </w:p>
        </w:tc>
        <w:tc>
          <w:tcPr>
            <w:tcW w:w="4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采购物品名称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政府采购目录序号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  单位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449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1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当年部门预算安排资金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其他渠道资金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基金预算拨款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财政专户核拨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其他来源收入</w:t>
            </w:r>
          </w:p>
        </w:tc>
        <w:tc>
          <w:tcPr>
            <w:tcW w:w="5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中共山海关区委农村工作委员会小计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100.86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社会主义新农村（美丽乡村建设民居改造、农村垃圾治理长效机制、中心村、新民居）建设资金；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防雹工作经费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农村产权制度改革工作业务经费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A020101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农村产权制度改革工作业务经费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A020101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农村产权制度改革工作业务经费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运行维护服务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C0206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农村产权制度改革工作业务经费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A020101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13.76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13.76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13.76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农村产权制度改革工作业务经费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A02030601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区域经济基本情况动态调查经费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农村工作会议经费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山区综合开发示范区建设经费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农业产业化专项业务费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千套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农业资源调查区划专项业务费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车辆设备维修和保养服务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C050301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农业资源调查区划专项业务费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印刷和出版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C0814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left"/>
        <w:outlineLvl w:val="9"/>
        <w:rPr>
          <w:rFonts w:hint="eastAsia" w:ascii="黑体" w:hAnsi="黑体" w:eastAsia="黑体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   六、</w:t>
      </w:r>
      <w:r>
        <w:rPr>
          <w:rFonts w:hint="eastAsia" w:ascii="黑体" w:hAnsi="黑体" w:eastAsia="黑体"/>
          <w:szCs w:val="32"/>
          <w:lang w:eastAsia="zh-CN"/>
        </w:rPr>
        <w:t>国有资产信息情况：</w:t>
      </w:r>
    </w:p>
    <w:p>
      <w:pPr>
        <w:ind w:left="640" w:firstLine="643"/>
        <w:rPr>
          <w:rFonts w:hint="eastAsia" w:ascii="仿宋_GB231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</w:rPr>
        <w:t>截至2015年12月31日，本单位国有资产共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495.37</w:t>
      </w:r>
      <w:r>
        <w:rPr>
          <w:rFonts w:hint="eastAsia" w:ascii="新宋体" w:hAnsi="新宋体" w:eastAsia="新宋体" w:cs="新宋体"/>
          <w:sz w:val="30"/>
          <w:szCs w:val="30"/>
        </w:rPr>
        <w:t>万元，其中流动资产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433.04</w:t>
      </w:r>
      <w:r>
        <w:rPr>
          <w:rFonts w:hint="eastAsia" w:ascii="新宋体" w:hAnsi="新宋体" w:eastAsia="新宋体" w:cs="新宋体"/>
          <w:sz w:val="30"/>
          <w:szCs w:val="30"/>
        </w:rPr>
        <w:t>万元，固定资产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62.33</w:t>
      </w:r>
      <w:r>
        <w:rPr>
          <w:rFonts w:hint="eastAsia" w:ascii="新宋体" w:hAnsi="新宋体" w:eastAsia="新宋体" w:cs="新宋体"/>
          <w:sz w:val="30"/>
          <w:szCs w:val="30"/>
        </w:rPr>
        <w:t>万元。本部门共有车辆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0"/>
          <w:szCs w:val="30"/>
        </w:rPr>
        <w:t>辆，其中，一般公务用车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0"/>
          <w:szCs w:val="30"/>
        </w:rPr>
        <w:t>辆；</w:t>
      </w:r>
      <w:r>
        <w:rPr>
          <w:rFonts w:hint="eastAsia" w:ascii="仿宋_GB2312"/>
          <w:szCs w:val="32"/>
          <w:lang w:val="en-US" w:eastAsia="zh-CN"/>
        </w:rPr>
        <w:t>我部门无</w:t>
      </w:r>
      <w:r>
        <w:rPr>
          <w:rFonts w:hint="eastAsia" w:ascii="仿宋_GB2312"/>
          <w:szCs w:val="32"/>
        </w:rPr>
        <w:t>单位价值200万元以上大型设备。</w:t>
      </w:r>
      <w:r>
        <w:rPr>
          <w:rFonts w:hint="eastAsia" w:ascii="仿宋_GB2312"/>
          <w:szCs w:val="32"/>
          <w:lang w:eastAsia="zh-CN"/>
        </w:rPr>
        <w:t>本年度拟购置情况如下：拟购置小型客车</w:t>
      </w:r>
      <w:r>
        <w:rPr>
          <w:rFonts w:hint="eastAsia" w:ascii="仿宋_GB2312"/>
          <w:szCs w:val="32"/>
          <w:lang w:val="en-US" w:eastAsia="zh-CN"/>
        </w:rPr>
        <w:t>1辆，预计金额15万元。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七、有关事项说明情况：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1、部门预算安排的总体情况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>本年度部门预算收入为218.90万元，其中：一般公共预算拨款218.90万元。全年预算总支出为218.90万元，其中：基本支出126.52万元，项目支出92.38万元。</w:t>
      </w:r>
    </w:p>
    <w:p>
      <w:pP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32"/>
          <w:lang w:val="en-US" w:eastAsia="zh-CN"/>
        </w:rPr>
        <w:t xml:space="preserve"> 2、机关运行经费安排情况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>：本年部门预算机关运行经费安排金额为6.94万元。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Cs w:val="32"/>
          <w:lang w:val="en-US" w:eastAsia="zh-CN"/>
        </w:rPr>
        <w:t>3、“三公”经费预算情况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>2016年“三公”经费全年预算数为3.28万元，（因公出国（境）费0万元，公务用车购置及运行维护费3万元，公为接待0.28万元）其中</w:t>
      </w:r>
      <w:r>
        <w:rPr>
          <w:rFonts w:hint="eastAsia" w:ascii="宋体" w:hAnsi="宋体"/>
          <w:sz w:val="32"/>
          <w:szCs w:val="32"/>
        </w:rPr>
        <w:t>本年因公出国（境）费为0万元，</w:t>
      </w:r>
      <w:r>
        <w:rPr>
          <w:rFonts w:hint="eastAsia" w:ascii="宋体" w:hAnsi="宋体"/>
          <w:sz w:val="32"/>
          <w:szCs w:val="32"/>
          <w:lang w:eastAsia="zh-CN"/>
        </w:rPr>
        <w:t>主要因为单位没有出国考察等项开支，所以我单位因公出国（镜）费用预算为</w:t>
      </w:r>
      <w:r>
        <w:rPr>
          <w:rFonts w:hint="eastAsia" w:ascii="宋体" w:hAnsi="宋体"/>
          <w:sz w:val="32"/>
          <w:szCs w:val="32"/>
          <w:lang w:val="en-US" w:eastAsia="zh-CN"/>
        </w:rPr>
        <w:t>0万元。2016年</w:t>
      </w:r>
      <w:r>
        <w:rPr>
          <w:rFonts w:hint="eastAsia" w:ascii="宋体" w:hAnsi="宋体"/>
          <w:sz w:val="32"/>
          <w:szCs w:val="32"/>
        </w:rPr>
        <w:t>公务接待费为</w:t>
      </w:r>
      <w:r>
        <w:rPr>
          <w:rFonts w:hint="eastAsia" w:ascii="宋体" w:hAnsi="宋体"/>
          <w:sz w:val="32"/>
          <w:szCs w:val="32"/>
          <w:lang w:eastAsia="zh-CN"/>
        </w:rPr>
        <w:t>预算为</w:t>
      </w:r>
      <w:r>
        <w:rPr>
          <w:rFonts w:hint="eastAsia" w:ascii="宋体" w:hAnsi="宋体"/>
          <w:sz w:val="32"/>
          <w:szCs w:val="32"/>
          <w:lang w:val="en-US" w:eastAsia="zh-CN"/>
        </w:rPr>
        <w:t>0.28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  <w:lang w:val="en-US" w:eastAsia="zh-CN"/>
        </w:rPr>
        <w:t>2016年我单位无购置公务用车的计划，</w:t>
      </w:r>
      <w:r>
        <w:rPr>
          <w:rFonts w:hint="eastAsia" w:ascii="仿宋_GB2312"/>
          <w:szCs w:val="32"/>
        </w:rPr>
        <w:t>“三公”经费支出</w:t>
      </w:r>
      <w:r>
        <w:rPr>
          <w:rFonts w:hint="eastAsia" w:ascii="仿宋_GB2312"/>
          <w:szCs w:val="32"/>
          <w:lang w:val="en-US" w:eastAsia="zh-CN"/>
        </w:rPr>
        <w:tab/>
      </w:r>
      <w:r>
        <w:rPr>
          <w:rFonts w:hint="eastAsia" w:ascii="仿宋_GB2312"/>
          <w:szCs w:val="32"/>
        </w:rPr>
        <w:t>相关的公务用车保有量</w:t>
      </w:r>
      <w:r>
        <w:rPr>
          <w:rFonts w:hint="eastAsia" w:ascii="仿宋_GB2312"/>
          <w:szCs w:val="32"/>
          <w:lang w:val="en-US" w:eastAsia="zh-CN"/>
        </w:rPr>
        <w:t>1辆，因此2016年我单位公务用车购置费为0万元，</w:t>
      </w:r>
      <w:r>
        <w:rPr>
          <w:rFonts w:hint="eastAsia" w:ascii="宋体" w:hAnsi="宋体"/>
          <w:sz w:val="32"/>
          <w:szCs w:val="32"/>
        </w:rPr>
        <w:t>公务用车运行维护费为</w:t>
      </w:r>
      <w:r>
        <w:rPr>
          <w:rFonts w:hint="eastAsia" w:ascii="宋体" w:hAnsi="宋体"/>
          <w:sz w:val="32"/>
          <w:szCs w:val="32"/>
          <w:lang w:val="en-US" w:eastAsia="zh-CN"/>
        </w:rPr>
        <w:tab/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我单位</w:t>
      </w:r>
      <w:r>
        <w:rPr>
          <w:rFonts w:hint="eastAsia" w:ascii="宋体" w:hAnsi="宋体"/>
          <w:sz w:val="32"/>
          <w:szCs w:val="32"/>
          <w:lang w:val="en-US" w:eastAsia="zh-CN"/>
        </w:rPr>
        <w:t>2015年</w:t>
      </w:r>
      <w:r>
        <w:rPr>
          <w:rFonts w:hint="eastAsia" w:ascii="宋体" w:hAnsi="宋体"/>
          <w:sz w:val="32"/>
          <w:szCs w:val="32"/>
        </w:rPr>
        <w:t>公务用车购置运行维护费</w:t>
      </w:r>
      <w:r>
        <w:rPr>
          <w:rFonts w:hint="eastAsia" w:ascii="宋体" w:hAnsi="宋体"/>
          <w:sz w:val="32"/>
          <w:szCs w:val="32"/>
          <w:lang w:val="en-US" w:eastAsia="zh-CN"/>
        </w:rPr>
        <w:t>5.57</w:t>
      </w:r>
      <w:r>
        <w:rPr>
          <w:rFonts w:hint="eastAsia" w:ascii="宋体" w:hAnsi="宋体"/>
          <w:sz w:val="32"/>
          <w:szCs w:val="32"/>
        </w:rPr>
        <w:t>万元，</w:t>
      </w:r>
      <w:r>
        <w:rPr>
          <w:rFonts w:hint="eastAsia" w:ascii="宋体" w:hAnsi="宋体"/>
          <w:sz w:val="32"/>
          <w:szCs w:val="32"/>
          <w:lang w:val="en-US" w:eastAsia="zh-CN"/>
        </w:rPr>
        <w:t>2016年公务用车购置及运行维护费3万元，</w:t>
      </w:r>
      <w:r>
        <w:rPr>
          <w:rFonts w:hint="eastAsia" w:ascii="宋体" w:hAnsi="宋体"/>
          <w:sz w:val="32"/>
          <w:szCs w:val="32"/>
          <w:lang w:eastAsia="zh-CN"/>
        </w:rPr>
        <w:t>预计</w:t>
      </w:r>
      <w:r>
        <w:rPr>
          <w:rFonts w:hint="eastAsia" w:ascii="宋体" w:hAnsi="宋体"/>
          <w:sz w:val="32"/>
          <w:szCs w:val="32"/>
        </w:rPr>
        <w:t>比上年减少</w:t>
      </w:r>
      <w:r>
        <w:rPr>
          <w:rFonts w:hint="eastAsia" w:ascii="宋体" w:hAnsi="宋体"/>
          <w:sz w:val="32"/>
          <w:szCs w:val="32"/>
          <w:lang w:val="en-US" w:eastAsia="zh-CN"/>
        </w:rPr>
        <w:t>2.57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eastAsia="zh-CN"/>
        </w:rPr>
        <w:t>。减少原因为：我单位在工作量增加和车辆老化的情况下，严格控制公车使用次数，严格控制费用支出。</w:t>
      </w:r>
      <w:r>
        <w:rPr>
          <w:rFonts w:hint="eastAsia" w:ascii="仿宋_GB2312"/>
          <w:szCs w:val="32"/>
        </w:rPr>
        <w:t>因公出国（境）团组数及人次数</w:t>
      </w:r>
      <w:r>
        <w:rPr>
          <w:rFonts w:hint="eastAsia" w:ascii="仿宋_GB2312"/>
          <w:szCs w:val="32"/>
          <w:lang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0；2015年</w:t>
      </w:r>
      <w:r>
        <w:rPr>
          <w:rFonts w:hint="eastAsia" w:ascii="仿宋_GB2312"/>
          <w:szCs w:val="32"/>
        </w:rPr>
        <w:t>公务接待的批次及人数</w:t>
      </w:r>
      <w:r>
        <w:rPr>
          <w:rFonts w:hint="eastAsia" w:ascii="仿宋_GB2312"/>
          <w:szCs w:val="32"/>
          <w:lang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val="en-US" w:eastAsia="zh-CN"/>
        </w:rPr>
        <w:t>2016年预算公务接待费用0.28万元，比上年增加0.28万元，主要原因是我单位增加了两项区里的中心工作，上级单位会对工作进行调研检查。因此会增加此项费用的支出。</w:t>
      </w:r>
    </w:p>
    <w:p>
      <w:pPr>
        <w:ind w:firstLine="31680"/>
        <w:rPr>
          <w:rFonts w:hint="eastAsia" w:ascii="仿宋_GB2312"/>
          <w:b/>
          <w:bCs/>
          <w:szCs w:val="32"/>
          <w:lang w:val="en-US" w:eastAsia="zh-CN"/>
        </w:rPr>
      </w:pPr>
      <w:r>
        <w:rPr>
          <w:rFonts w:hint="eastAsia" w:ascii="仿宋_GB2312"/>
          <w:b/>
          <w:bCs/>
          <w:szCs w:val="32"/>
          <w:lang w:val="en-US" w:eastAsia="zh-CN"/>
        </w:rPr>
        <w:t>4、对相关专业性较强的名词进行必要解释</w:t>
      </w:r>
    </w:p>
    <w:p>
      <w:pPr>
        <w:ind w:firstLine="3168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一般预算财政拨款收入是指事业单位通过预算从</w:t>
      </w:r>
      <w:r>
        <w:fldChar w:fldCharType="begin"/>
      </w:r>
      <w:r>
        <w:instrText xml:space="preserve"> HYPERLINK "https://www.baidu.com/s?wd=%E8%B4%A2%E6%94%BF%E9%83%A8%E9%97%A8&amp;tn=44039180_cpr&amp;fenlei=mv6quAkxTZn0IZRqIHckPjm4nH00T1YLmhmYryn4uHI9P1ndPHf40ZwV5Hcvrjm3rH6sPfKWUMw85HfYnjn4nH6sgvPsT6KdThsqpZwYTjCEQLGCpyw9Uz4Bmy-bIi4WUvYETgN-TLwGUv3EnWR4PH63PWD1" \t "_blank" </w:instrText>
      </w:r>
      <w:r>
        <w:fldChar w:fldCharType="separate"/>
      </w:r>
      <w:r>
        <w:rPr>
          <w:rStyle w:val="8"/>
          <w:rFonts w:hint="eastAsia" w:ascii="宋体" w:hAnsi="宋体" w:eastAsia="宋体"/>
          <w:color w:val="auto"/>
          <w:sz w:val="30"/>
          <w:szCs w:val="30"/>
          <w:u w:val="none"/>
        </w:rPr>
        <w:t>财政部门</w:t>
      </w:r>
      <w:r>
        <w:rPr>
          <w:rStyle w:val="8"/>
          <w:rFonts w:hint="eastAsia" w:ascii="宋体" w:hAnsi="宋体" w:eastAsia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/>
          <w:sz w:val="30"/>
          <w:szCs w:val="30"/>
        </w:rPr>
        <w:t>取得的和通过主管部门从</w:t>
      </w:r>
      <w:r>
        <w:fldChar w:fldCharType="begin"/>
      </w:r>
      <w:r>
        <w:instrText xml:space="preserve"> HYPERLINK "https://www.baidu.com/s?wd=%E8%B4%A2%E6%94%BF%E9%83%A8%E9%97%A8&amp;tn=44039180_cpr&amp;fenlei=mv6quAkxTZn0IZRqIHckPjm4nH00T1YLmhmYryn4uHI9P1ndPHf40ZwV5Hcvrjm3rH6sPfKWUMw85HfYnjn4nH6sgvPsT6KdThsqpZwYTjCEQLGCpyw9Uz4Bmy-bIi4WUvYETgN-TLwGUv3EnWR4PH63PWD1" \t "_blank" </w:instrText>
      </w:r>
      <w:r>
        <w:fldChar w:fldCharType="separate"/>
      </w:r>
      <w:r>
        <w:rPr>
          <w:rStyle w:val="8"/>
          <w:rFonts w:hint="eastAsia" w:ascii="宋体" w:hAnsi="宋体" w:eastAsia="宋体"/>
          <w:color w:val="auto"/>
          <w:sz w:val="30"/>
          <w:szCs w:val="30"/>
          <w:u w:val="none"/>
        </w:rPr>
        <w:t>财政部门</w:t>
      </w:r>
      <w:r>
        <w:rPr>
          <w:rStyle w:val="8"/>
          <w:rFonts w:hint="eastAsia" w:ascii="宋体" w:hAnsi="宋体" w:eastAsia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/>
          <w:sz w:val="30"/>
          <w:szCs w:val="30"/>
        </w:rPr>
        <w:t>取得的各类事业经费，包括正常经费和专项资金。</w:t>
      </w:r>
    </w:p>
    <w:p>
      <w:pPr>
        <w:ind w:firstLine="300" w:firstLineChars="100"/>
        <w:rPr>
          <w:rFonts w:ascii="宋体" w:hAnsi="宋体" w:eastAsia="宋体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30"/>
          <w:szCs w:val="30"/>
          <w:shd w:val="clear" w:color="auto" w:fill="FFFFFF"/>
        </w:rPr>
        <w:t>事业收入是指事业单位开展专业业务活动及辅助活动所取得的收入。它属于事业单位的收入。</w:t>
      </w:r>
    </w:p>
    <w:p>
      <w:pPr>
        <w:ind w:firstLine="150" w:firstLineChars="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基本支出是事业单位为完成日常工作任务发生的支出。包括人员支出和公用支出。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42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>项目支出是指行政事业单位为完成特定的工作任务或事业发展目标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>而发生的相关费用支出，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>包括专项业务费、大型修缮、大型购置、会议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>、培训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>等项目支出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5"/>
        <w:widowControl/>
        <w:spacing w:beforeAutospacing="0" w:afterAutospacing="0"/>
        <w:ind w:firstLine="560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5、其他事项说明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：本部门不涉及政府性基金预算和国有资本经营预算收入支情况。</w:t>
      </w:r>
    </w:p>
    <w:p>
      <w:pPr>
        <w:ind w:firstLine="300" w:firstLineChars="100"/>
        <w:rPr>
          <w:rFonts w:hint="eastAsia" w:ascii="新宋体" w:hAnsi="新宋体" w:eastAsia="新宋体" w:cs="新宋体"/>
          <w:sz w:val="30"/>
          <w:szCs w:val="30"/>
        </w:rPr>
      </w:pPr>
    </w:p>
    <w:p>
      <w:pPr>
        <w:ind w:firstLine="320" w:firstLineChars="100"/>
      </w:pPr>
    </w:p>
    <w:p>
      <w:pPr>
        <w:ind w:left="640" w:firstLine="64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</w:p>
    <w:p>
      <w:pPr>
        <w:ind w:firstLine="640"/>
        <w:rPr>
          <w:rFonts w:hint="eastAsia" w:asciiTheme="majorEastAsia" w:hAnsiTheme="majorEastAsia" w:eastAsiaTheme="majorEastAsia" w:cstheme="majorEastAsia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4C52"/>
    <w:multiLevelType w:val="singleLevel"/>
    <w:tmpl w:val="57D64C5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365A9E"/>
    <w:multiLevelType w:val="singleLevel"/>
    <w:tmpl w:val="58365A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D9"/>
    <w:rsid w:val="00005A31"/>
    <w:rsid w:val="000244B1"/>
    <w:rsid w:val="00127C8F"/>
    <w:rsid w:val="0017741E"/>
    <w:rsid w:val="0019263B"/>
    <w:rsid w:val="001F41FA"/>
    <w:rsid w:val="00231700"/>
    <w:rsid w:val="00271D6D"/>
    <w:rsid w:val="00273E03"/>
    <w:rsid w:val="002D1C92"/>
    <w:rsid w:val="002F539A"/>
    <w:rsid w:val="00310A7C"/>
    <w:rsid w:val="003155B1"/>
    <w:rsid w:val="003F6043"/>
    <w:rsid w:val="004F1F8E"/>
    <w:rsid w:val="005046AD"/>
    <w:rsid w:val="00562ED9"/>
    <w:rsid w:val="00593550"/>
    <w:rsid w:val="005C5A21"/>
    <w:rsid w:val="00632195"/>
    <w:rsid w:val="006C00CA"/>
    <w:rsid w:val="0080381A"/>
    <w:rsid w:val="00830C9C"/>
    <w:rsid w:val="008716D0"/>
    <w:rsid w:val="00965AC4"/>
    <w:rsid w:val="00A266EB"/>
    <w:rsid w:val="00A4272B"/>
    <w:rsid w:val="00A77BE1"/>
    <w:rsid w:val="00AF2C1C"/>
    <w:rsid w:val="00B42B02"/>
    <w:rsid w:val="00BC4069"/>
    <w:rsid w:val="00CE7AA1"/>
    <w:rsid w:val="00D97CB3"/>
    <w:rsid w:val="00EB45A9"/>
    <w:rsid w:val="00EB63A9"/>
    <w:rsid w:val="00ED6876"/>
    <w:rsid w:val="00ED6B4C"/>
    <w:rsid w:val="00EF493B"/>
    <w:rsid w:val="00F06F8D"/>
    <w:rsid w:val="00F9758A"/>
    <w:rsid w:val="00FD5BCA"/>
    <w:rsid w:val="01187E10"/>
    <w:rsid w:val="02171B26"/>
    <w:rsid w:val="02340564"/>
    <w:rsid w:val="02697AA2"/>
    <w:rsid w:val="027B76DE"/>
    <w:rsid w:val="03715894"/>
    <w:rsid w:val="037506EF"/>
    <w:rsid w:val="03E53E26"/>
    <w:rsid w:val="03FA5B9B"/>
    <w:rsid w:val="068E2ECB"/>
    <w:rsid w:val="08BD50DE"/>
    <w:rsid w:val="09DC58BA"/>
    <w:rsid w:val="0A8572C3"/>
    <w:rsid w:val="0AE53BB0"/>
    <w:rsid w:val="0AFD1257"/>
    <w:rsid w:val="0D4148B9"/>
    <w:rsid w:val="0DB242FC"/>
    <w:rsid w:val="0DD94D8B"/>
    <w:rsid w:val="0E2372B0"/>
    <w:rsid w:val="0E5E39F8"/>
    <w:rsid w:val="0E6D3E46"/>
    <w:rsid w:val="0F346F08"/>
    <w:rsid w:val="11762B3D"/>
    <w:rsid w:val="11825867"/>
    <w:rsid w:val="1267322B"/>
    <w:rsid w:val="13EE5926"/>
    <w:rsid w:val="13F0552E"/>
    <w:rsid w:val="14B47158"/>
    <w:rsid w:val="157E33EE"/>
    <w:rsid w:val="167A7504"/>
    <w:rsid w:val="16917426"/>
    <w:rsid w:val="172F49D4"/>
    <w:rsid w:val="178A33DB"/>
    <w:rsid w:val="183206EB"/>
    <w:rsid w:val="188819CE"/>
    <w:rsid w:val="18BF58F0"/>
    <w:rsid w:val="18F00E5E"/>
    <w:rsid w:val="193A788C"/>
    <w:rsid w:val="1AEE7E7E"/>
    <w:rsid w:val="1B061C63"/>
    <w:rsid w:val="1B16431C"/>
    <w:rsid w:val="1BB750B7"/>
    <w:rsid w:val="1BF037C4"/>
    <w:rsid w:val="1C6706CB"/>
    <w:rsid w:val="1C855B8E"/>
    <w:rsid w:val="1D6A480F"/>
    <w:rsid w:val="1D814F4D"/>
    <w:rsid w:val="1E13260E"/>
    <w:rsid w:val="1E3F3F9D"/>
    <w:rsid w:val="1E461CAD"/>
    <w:rsid w:val="1F582D76"/>
    <w:rsid w:val="20C77EEE"/>
    <w:rsid w:val="20C84161"/>
    <w:rsid w:val="2247593C"/>
    <w:rsid w:val="23872A49"/>
    <w:rsid w:val="239E1731"/>
    <w:rsid w:val="23DC170B"/>
    <w:rsid w:val="23E652DC"/>
    <w:rsid w:val="245E15DB"/>
    <w:rsid w:val="24B41FC7"/>
    <w:rsid w:val="25EE3C4C"/>
    <w:rsid w:val="26741C55"/>
    <w:rsid w:val="26F83A26"/>
    <w:rsid w:val="27427FFB"/>
    <w:rsid w:val="27BA1D0A"/>
    <w:rsid w:val="27BF2EDC"/>
    <w:rsid w:val="27F21E9D"/>
    <w:rsid w:val="283D1953"/>
    <w:rsid w:val="284679CE"/>
    <w:rsid w:val="29F311F3"/>
    <w:rsid w:val="2A0B5BDB"/>
    <w:rsid w:val="2A1F3648"/>
    <w:rsid w:val="2AAB6316"/>
    <w:rsid w:val="2CCF6995"/>
    <w:rsid w:val="2D816A01"/>
    <w:rsid w:val="2DEB74A2"/>
    <w:rsid w:val="2E125607"/>
    <w:rsid w:val="2EDF5B77"/>
    <w:rsid w:val="2EF32239"/>
    <w:rsid w:val="2FDD23CE"/>
    <w:rsid w:val="2FEE2604"/>
    <w:rsid w:val="30E20861"/>
    <w:rsid w:val="31637B06"/>
    <w:rsid w:val="316D4737"/>
    <w:rsid w:val="3173331F"/>
    <w:rsid w:val="32195EB8"/>
    <w:rsid w:val="328D4FBC"/>
    <w:rsid w:val="33820D4D"/>
    <w:rsid w:val="340C181D"/>
    <w:rsid w:val="346719A3"/>
    <w:rsid w:val="35AB2E5B"/>
    <w:rsid w:val="35AE3BC6"/>
    <w:rsid w:val="35FC6916"/>
    <w:rsid w:val="365B3FB6"/>
    <w:rsid w:val="36CE07F2"/>
    <w:rsid w:val="37166B1A"/>
    <w:rsid w:val="37841522"/>
    <w:rsid w:val="388C4F92"/>
    <w:rsid w:val="38E9532C"/>
    <w:rsid w:val="3936539B"/>
    <w:rsid w:val="39413182"/>
    <w:rsid w:val="3A171883"/>
    <w:rsid w:val="3A3E7A31"/>
    <w:rsid w:val="3AF72A30"/>
    <w:rsid w:val="3B6A43EA"/>
    <w:rsid w:val="3B990A0D"/>
    <w:rsid w:val="3C056598"/>
    <w:rsid w:val="3C483A92"/>
    <w:rsid w:val="3C487242"/>
    <w:rsid w:val="3DD7462C"/>
    <w:rsid w:val="3E9D4638"/>
    <w:rsid w:val="3ECF015A"/>
    <w:rsid w:val="3F4343E8"/>
    <w:rsid w:val="3F737464"/>
    <w:rsid w:val="40007B48"/>
    <w:rsid w:val="41383D51"/>
    <w:rsid w:val="415061DD"/>
    <w:rsid w:val="41BE2033"/>
    <w:rsid w:val="42076E89"/>
    <w:rsid w:val="427A2265"/>
    <w:rsid w:val="4291663E"/>
    <w:rsid w:val="42BF5AAE"/>
    <w:rsid w:val="42C71633"/>
    <w:rsid w:val="42D61CC6"/>
    <w:rsid w:val="42EE17F6"/>
    <w:rsid w:val="43386CAD"/>
    <w:rsid w:val="443C7C19"/>
    <w:rsid w:val="44FA5342"/>
    <w:rsid w:val="473772A4"/>
    <w:rsid w:val="474C6C33"/>
    <w:rsid w:val="48F311C4"/>
    <w:rsid w:val="49451223"/>
    <w:rsid w:val="494A0D8D"/>
    <w:rsid w:val="4A6E3959"/>
    <w:rsid w:val="4AB939D4"/>
    <w:rsid w:val="4AF57AFE"/>
    <w:rsid w:val="4B306EFC"/>
    <w:rsid w:val="4B4E58B1"/>
    <w:rsid w:val="4B7C09C1"/>
    <w:rsid w:val="4C186923"/>
    <w:rsid w:val="4C984381"/>
    <w:rsid w:val="4CD13E2B"/>
    <w:rsid w:val="4D211C5E"/>
    <w:rsid w:val="4D96769F"/>
    <w:rsid w:val="4F39064C"/>
    <w:rsid w:val="4F62431A"/>
    <w:rsid w:val="4FA832FC"/>
    <w:rsid w:val="4FC0306C"/>
    <w:rsid w:val="505E2FAA"/>
    <w:rsid w:val="50E13AB2"/>
    <w:rsid w:val="51265BB0"/>
    <w:rsid w:val="51A65340"/>
    <w:rsid w:val="522238BE"/>
    <w:rsid w:val="522F1A21"/>
    <w:rsid w:val="5295797C"/>
    <w:rsid w:val="5316705E"/>
    <w:rsid w:val="533D268F"/>
    <w:rsid w:val="54F81E17"/>
    <w:rsid w:val="5529465B"/>
    <w:rsid w:val="5554008B"/>
    <w:rsid w:val="55CA14D5"/>
    <w:rsid w:val="56D52468"/>
    <w:rsid w:val="589C7197"/>
    <w:rsid w:val="58BB3D95"/>
    <w:rsid w:val="58C21CF1"/>
    <w:rsid w:val="58D55032"/>
    <w:rsid w:val="59577F32"/>
    <w:rsid w:val="59592345"/>
    <w:rsid w:val="5A887B13"/>
    <w:rsid w:val="5AC670B3"/>
    <w:rsid w:val="5AE83BFC"/>
    <w:rsid w:val="5B4F62EF"/>
    <w:rsid w:val="5BE43697"/>
    <w:rsid w:val="5C5078DB"/>
    <w:rsid w:val="5D551700"/>
    <w:rsid w:val="5DA10721"/>
    <w:rsid w:val="5EA6120F"/>
    <w:rsid w:val="5ED953C0"/>
    <w:rsid w:val="60910360"/>
    <w:rsid w:val="615B7605"/>
    <w:rsid w:val="616952AC"/>
    <w:rsid w:val="62366B4B"/>
    <w:rsid w:val="639E4F95"/>
    <w:rsid w:val="65611A2D"/>
    <w:rsid w:val="671441B4"/>
    <w:rsid w:val="67561D51"/>
    <w:rsid w:val="67BB44E5"/>
    <w:rsid w:val="68067157"/>
    <w:rsid w:val="69411C09"/>
    <w:rsid w:val="698707A0"/>
    <w:rsid w:val="69EA6559"/>
    <w:rsid w:val="6A2039DA"/>
    <w:rsid w:val="6A647D57"/>
    <w:rsid w:val="6AF550CB"/>
    <w:rsid w:val="6B1872CC"/>
    <w:rsid w:val="6B314728"/>
    <w:rsid w:val="6DDD0084"/>
    <w:rsid w:val="6E3223A1"/>
    <w:rsid w:val="6E4E7688"/>
    <w:rsid w:val="6EDC38F6"/>
    <w:rsid w:val="6F6A45D6"/>
    <w:rsid w:val="6FBD0563"/>
    <w:rsid w:val="6FC97935"/>
    <w:rsid w:val="70A37B08"/>
    <w:rsid w:val="70A6276B"/>
    <w:rsid w:val="713730CB"/>
    <w:rsid w:val="71D021EE"/>
    <w:rsid w:val="72F46C33"/>
    <w:rsid w:val="73477091"/>
    <w:rsid w:val="73FA40A1"/>
    <w:rsid w:val="74105C32"/>
    <w:rsid w:val="757516F1"/>
    <w:rsid w:val="761E739F"/>
    <w:rsid w:val="762E34C2"/>
    <w:rsid w:val="76B105C1"/>
    <w:rsid w:val="774751DD"/>
    <w:rsid w:val="778242B6"/>
    <w:rsid w:val="78AB5672"/>
    <w:rsid w:val="7A0F7F77"/>
    <w:rsid w:val="7AD3080E"/>
    <w:rsid w:val="7B140D9E"/>
    <w:rsid w:val="7C7B11FB"/>
    <w:rsid w:val="7CAB365C"/>
    <w:rsid w:val="7D733399"/>
    <w:rsid w:val="7E4F4797"/>
    <w:rsid w:val="7E5F5088"/>
    <w:rsid w:val="7ECF121B"/>
    <w:rsid w:val="7FD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font91"/>
    <w:basedOn w:val="7"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12">
    <w:name w:val="font81"/>
    <w:basedOn w:val="7"/>
    <w:uiPriority w:val="0"/>
    <w:rPr>
      <w:rFonts w:hint="default" w:ascii="方正书宋_GBK" w:hAnsi="方正书宋_GBK" w:eastAsia="方正书宋_GBK" w:cs="方正书宋_GBK"/>
      <w:b/>
      <w:color w:val="000000"/>
      <w:sz w:val="12"/>
      <w:szCs w:val="12"/>
      <w:u w:val="none"/>
    </w:rPr>
  </w:style>
  <w:style w:type="character" w:customStyle="1" w:styleId="13">
    <w:name w:val="font101"/>
    <w:basedOn w:val="7"/>
    <w:uiPriority w:val="0"/>
    <w:rPr>
      <w:rFonts w:hint="default" w:ascii="方正仿宋_GBK" w:hAnsi="方正仿宋_GBK" w:eastAsia="方正仿宋_GBK" w:cs="方正仿宋_GBK"/>
      <w:color w:val="000000"/>
      <w:sz w:val="12"/>
      <w:szCs w:val="12"/>
      <w:u w:val="none"/>
    </w:rPr>
  </w:style>
  <w:style w:type="character" w:customStyle="1" w:styleId="14">
    <w:name w:val="font121"/>
    <w:basedOn w:val="7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5">
    <w:name w:val="font01"/>
    <w:basedOn w:val="7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12"/>
    <w:basedOn w:val="7"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7">
    <w:name w:val="font111"/>
    <w:basedOn w:val="7"/>
    <w:uiPriority w:val="0"/>
    <w:rPr>
      <w:rFonts w:hint="default" w:ascii="方正书宋_GBK" w:hAnsi="方正书宋_GBK" w:eastAsia="方正书宋_GBK" w:cs="方正书宋_GBK"/>
      <w:b/>
      <w:color w:val="000000"/>
      <w:sz w:val="16"/>
      <w:szCs w:val="16"/>
      <w:u w:val="none"/>
    </w:rPr>
  </w:style>
  <w:style w:type="character" w:customStyle="1" w:styleId="18">
    <w:name w:val="font11"/>
    <w:basedOn w:val="7"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9">
    <w:name w:val="font51"/>
    <w:basedOn w:val="7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gkk</Company>
  <Pages>3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2016-09-02T07:02:00Z</dcterms:created>
  <dc:creator>jia</dc:creator>
  <cp:lastModifiedBy>Administrator</cp:lastModifiedBy>
  <dcterms:modified xsi:type="dcterms:W3CDTF">2024-06-20T06:59:15Z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