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2023</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部门所属单位</w:t>
      </w:r>
      <w:r>
        <w:rPr>
          <w:rFonts w:hint="eastAsia" w:ascii="黑体" w:hAnsi="黑体" w:eastAsia="黑体" w:cs="黑体"/>
          <w:b/>
          <w:bCs/>
          <w:color w:val="000000"/>
          <w:sz w:val="44"/>
          <w:szCs w:val="44"/>
        </w:rPr>
        <w:t>预算信息公开目录</w:t>
      </w:r>
    </w:p>
    <w:p>
      <w:pPr>
        <w:jc w:val="center"/>
        <w:rPr>
          <w:rFonts w:eastAsia="Times New Roman"/>
        </w:rPr>
      </w:pPr>
      <w:r>
        <w:rPr>
          <w:rFonts w:ascii="黑体" w:hAnsi="黑体" w:eastAsia="黑体" w:cs="黑体"/>
          <w:b/>
          <w:bCs/>
          <w:color w:val="000000"/>
          <w:sz w:val="30"/>
          <w:szCs w:val="30"/>
        </w:rPr>
        <w:t xml:space="preserve"> </w:t>
      </w:r>
    </w:p>
    <w:p>
      <w:pPr>
        <w:jc w:val="center"/>
        <w:rPr>
          <w:rFonts w:eastAsia="Times New Roman"/>
        </w:rPr>
      </w:pPr>
      <w:r>
        <w:rPr>
          <w:rFonts w:hint="eastAsia" w:ascii="黑体" w:hAnsi="黑体" w:eastAsia="黑体" w:cs="黑体"/>
          <w:b/>
          <w:bCs/>
          <w:color w:val="000000"/>
          <w:sz w:val="30"/>
          <w:szCs w:val="30"/>
        </w:rPr>
        <w:t>第一部分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lang w:val="en-US" w:eastAsia="zh-CN"/>
        </w:rPr>
        <w:t>单位</w:t>
      </w:r>
      <w:r>
        <w:rPr>
          <w:rFonts w:hint="eastAsia" w:ascii="黑体" w:hAnsi="黑体" w:eastAsia="黑体" w:cs="黑体"/>
          <w:b/>
          <w:bCs/>
          <w:color w:val="000000"/>
          <w:sz w:val="30"/>
          <w:szCs w:val="30"/>
        </w:rPr>
        <w:t>预算</w:t>
      </w:r>
    </w:p>
    <w:p>
      <w:pPr>
        <w:rPr>
          <w:rFonts w:eastAsia="Times New Roman"/>
        </w:rPr>
      </w:pPr>
      <w:r>
        <w:rPr>
          <w:rFonts w:hint="eastAsia" w:ascii="方正楷体_GBK" w:hAnsi="方正楷体_GBK" w:eastAsia="方正楷体_GBK" w:cs="方正楷体_GBK"/>
          <w:b/>
          <w:bCs/>
          <w:color w:val="000000"/>
          <w:sz w:val="28"/>
          <w:szCs w:val="28"/>
          <w:lang w:val="en-US" w:eastAsia="zh-CN"/>
        </w:rPr>
        <w:t>单位</w:t>
      </w:r>
      <w:r>
        <w:rPr>
          <w:rFonts w:hint="eastAsia" w:ascii="方正楷体_GBK" w:hAnsi="方正楷体_GBK" w:eastAsia="方正楷体_GBK" w:cs="方正楷体_GBK"/>
          <w:b/>
          <w:bCs/>
          <w:color w:val="000000"/>
          <w:sz w:val="28"/>
          <w:szCs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rPr>
          <w:rFonts w:hint="eastAsia" w:cs="方正仿宋_GBK"/>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cs="方正仿宋_GBK"/>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rPr>
          <w:rFonts w:hint="eastAsia" w:cs="方正仿宋_GBK"/>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cs="方正仿宋_GBK"/>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rPr>
          <w:rFonts w:hint="eastAsia" w:cs="方正仿宋_GBK"/>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rPr>
          <w:rFonts w:hint="eastAsia" w:cs="方正仿宋_GBK"/>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rPr>
          <w:rFonts w:hint="eastAsia" w:cs="方正仿宋_GBK"/>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rPr>
          <w:rFonts w:hint="eastAsia" w:cs="方正仿宋_GBK"/>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rPr>
          <w:rFonts w:hint="eastAsia" w:cs="方正仿宋_GBK"/>
        </w:rPr>
        <w:t>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lang w:val="en-US" w:eastAsia="zh-CN"/>
        </w:rPr>
        <w:t>单位</w:t>
      </w:r>
      <w:r>
        <w:rPr>
          <w:rFonts w:hint="eastAsia" w:ascii="方正楷体_GBK" w:hAnsi="方正楷体_GBK" w:eastAsia="方正楷体_GBK" w:cs="方正楷体_GBK"/>
          <w:b/>
          <w:bCs/>
          <w:color w:val="000000"/>
          <w:sz w:val="28"/>
          <w:szCs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w:t>
      </w:r>
      <w:r>
        <w:rPr>
          <w:rFonts w:hint="eastAsia" w:cs="方正仿宋_GBK"/>
          <w:lang w:val="en-US" w:eastAsia="zh-CN"/>
        </w:rPr>
        <w:t>单位</w:t>
      </w:r>
      <w:r>
        <w:rPr>
          <w:rFonts w:hint="eastAsia" w:cs="方正仿宋_GBK"/>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w:t>
      </w:r>
      <w:r>
        <w:rPr>
          <w:rFonts w:hint="eastAsia" w:cs="方正仿宋_GBK"/>
          <w:lang w:val="en-US" w:eastAsia="zh-CN"/>
        </w:rPr>
        <w:t>单位</w:t>
      </w:r>
      <w:r>
        <w:rPr>
          <w:rFonts w:hint="eastAsia" w:cs="方正仿宋_GBK"/>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szCs w:val="72"/>
        </w:rPr>
        <w:t>第</w:t>
      </w:r>
      <w:r>
        <w:rPr>
          <w:rFonts w:hint="eastAsia" w:ascii="方正小标宋_GBK" w:hAnsi="方正小标宋_GBK" w:eastAsia="方正小标宋_GBK" w:cs="方正小标宋_GBK"/>
          <w:color w:val="000000"/>
          <w:sz w:val="72"/>
          <w:szCs w:val="72"/>
          <w:lang w:val="en-US" w:eastAsia="zh-CN"/>
        </w:rPr>
        <w:t>一</w:t>
      </w:r>
      <w:bookmarkStart w:id="1" w:name="_GoBack"/>
      <w:bookmarkEnd w:id="1"/>
      <w:r>
        <w:rPr>
          <w:rFonts w:hint="eastAsia" w:ascii="方正小标宋_GBK" w:hAnsi="方正小标宋_GBK" w:eastAsia="方正小标宋_GBK" w:cs="方正小标宋_GBK"/>
          <w:color w:val="000000"/>
          <w:sz w:val="72"/>
          <w:szCs w:val="72"/>
        </w:rPr>
        <w:t>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pPr>
        <w:jc w:val="center"/>
        <w:outlineLvl w:val="3"/>
      </w:pPr>
      <w:bookmarkStart w:id="0" w:name="_Toc_4_4_0000000019"/>
      <w:r>
        <w:rPr>
          <w:rFonts w:hint="eastAsia" w:ascii="方正小标宋_GBK" w:hAnsi="方正小标宋_GBK" w:eastAsia="方正小标宋_GBK" w:cs="方正小标宋_GBK"/>
          <w:color w:val="000000"/>
          <w:sz w:val="44"/>
          <w:szCs w:val="44"/>
        </w:rPr>
        <w:t>一、医保部门秦皇岛市山海关区医疗保障局本级收支预算</w:t>
      </w:r>
      <w:bookmarkEnd w:id="0"/>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433.48</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384.43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433.48</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433.48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433.48</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433.48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433.48</w:t>
            </w:r>
          </w:p>
        </w:tc>
        <w:tc>
          <w:tcPr>
            <w:tcW w:w="1134" w:type="dxa"/>
            <w:vAlign w:val="center"/>
          </w:tcPr>
          <w:p>
            <w:pPr>
              <w:pStyle w:val="17"/>
            </w:pPr>
            <w:r>
              <w:t>433.48</w:t>
            </w:r>
          </w:p>
        </w:tc>
        <w:tc>
          <w:tcPr>
            <w:tcW w:w="1134" w:type="dxa"/>
            <w:vAlign w:val="center"/>
          </w:tcPr>
          <w:p>
            <w:pPr>
              <w:pStyle w:val="17"/>
            </w:pPr>
            <w:r>
              <w:t>433.48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29.35</w:t>
            </w:r>
          </w:p>
        </w:tc>
        <w:tc>
          <w:tcPr>
            <w:tcW w:w="1134" w:type="dxa"/>
            <w:vAlign w:val="center"/>
          </w:tcPr>
          <w:p>
            <w:pPr>
              <w:pStyle w:val="13"/>
            </w:pPr>
            <w:r>
              <w:t>29.35</w:t>
            </w:r>
          </w:p>
        </w:tc>
        <w:tc>
          <w:tcPr>
            <w:tcW w:w="1134" w:type="dxa"/>
            <w:vAlign w:val="center"/>
          </w:tcPr>
          <w:p>
            <w:pPr>
              <w:pStyle w:val="13"/>
            </w:pPr>
            <w:r>
              <w:t>29.35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rPr>
                <w:rFonts w:cs="Times New Roman"/>
              </w:rPr>
            </w:pPr>
            <w:r>
              <w:rPr>
                <w:rFonts w:hint="eastAsia"/>
              </w:rPr>
              <w:t>人力资源和社会保障管理事务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2080199</w:t>
            </w:r>
          </w:p>
        </w:tc>
        <w:tc>
          <w:tcPr>
            <w:tcW w:w="1559" w:type="dxa"/>
            <w:vAlign w:val="center"/>
          </w:tcPr>
          <w:p>
            <w:pPr>
              <w:pStyle w:val="14"/>
              <w:rPr>
                <w:rFonts w:cs="Times New Roman"/>
              </w:rPr>
            </w:pPr>
            <w:r>
              <w:rPr>
                <w:rFonts w:hint="eastAsia"/>
              </w:rPr>
              <w:t>其他人力资源和社会保障管理事务支出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28.35</w:t>
            </w:r>
          </w:p>
        </w:tc>
        <w:tc>
          <w:tcPr>
            <w:tcW w:w="1134" w:type="dxa"/>
            <w:vAlign w:val="center"/>
          </w:tcPr>
          <w:p>
            <w:pPr>
              <w:pStyle w:val="13"/>
            </w:pPr>
            <w:r>
              <w:t>28.35</w:t>
            </w:r>
          </w:p>
        </w:tc>
        <w:tc>
          <w:tcPr>
            <w:tcW w:w="1134" w:type="dxa"/>
            <w:vAlign w:val="center"/>
          </w:tcPr>
          <w:p>
            <w:pPr>
              <w:pStyle w:val="13"/>
            </w:pPr>
            <w:r>
              <w:t>28.35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2.74</w:t>
            </w:r>
          </w:p>
        </w:tc>
        <w:tc>
          <w:tcPr>
            <w:tcW w:w="1134" w:type="dxa"/>
            <w:vAlign w:val="center"/>
          </w:tcPr>
          <w:p>
            <w:pPr>
              <w:pStyle w:val="13"/>
            </w:pPr>
            <w:r>
              <w:t>2.74</w:t>
            </w:r>
          </w:p>
        </w:tc>
        <w:tc>
          <w:tcPr>
            <w:tcW w:w="1134" w:type="dxa"/>
            <w:vAlign w:val="center"/>
          </w:tcPr>
          <w:p>
            <w:pPr>
              <w:pStyle w:val="13"/>
            </w:pPr>
            <w:r>
              <w:t>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25.61</w:t>
            </w:r>
          </w:p>
        </w:tc>
        <w:tc>
          <w:tcPr>
            <w:tcW w:w="1134" w:type="dxa"/>
            <w:vAlign w:val="center"/>
          </w:tcPr>
          <w:p>
            <w:pPr>
              <w:pStyle w:val="13"/>
            </w:pPr>
            <w:r>
              <w:t>25.61</w:t>
            </w:r>
          </w:p>
        </w:tc>
        <w:tc>
          <w:tcPr>
            <w:tcW w:w="1134" w:type="dxa"/>
            <w:vAlign w:val="center"/>
          </w:tcPr>
          <w:p>
            <w:pPr>
              <w:pStyle w:val="13"/>
            </w:pPr>
            <w:r>
              <w:t>25.61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384.43</w:t>
            </w:r>
          </w:p>
        </w:tc>
        <w:tc>
          <w:tcPr>
            <w:tcW w:w="1134" w:type="dxa"/>
            <w:vAlign w:val="center"/>
          </w:tcPr>
          <w:p>
            <w:pPr>
              <w:pStyle w:val="13"/>
            </w:pPr>
            <w:r>
              <w:t>384.43</w:t>
            </w:r>
          </w:p>
        </w:tc>
        <w:tc>
          <w:tcPr>
            <w:tcW w:w="1134" w:type="dxa"/>
            <w:vAlign w:val="center"/>
          </w:tcPr>
          <w:p>
            <w:pPr>
              <w:pStyle w:val="13"/>
            </w:pPr>
            <w:r>
              <w:t>384.43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rPr>
                <w:rFonts w:cs="Times New Roman"/>
              </w:rPr>
            </w:pPr>
            <w:r>
              <w:rPr>
                <w:rFonts w:hint="eastAsia"/>
              </w:rPr>
              <w:t>行政事业单位医疗</w:t>
            </w:r>
          </w:p>
        </w:tc>
        <w:tc>
          <w:tcPr>
            <w:tcW w:w="1134" w:type="dxa"/>
            <w:vAlign w:val="center"/>
          </w:tcPr>
          <w:p>
            <w:pPr>
              <w:pStyle w:val="13"/>
            </w:pPr>
            <w:r>
              <w:t>22.28</w:t>
            </w:r>
          </w:p>
        </w:tc>
        <w:tc>
          <w:tcPr>
            <w:tcW w:w="1134" w:type="dxa"/>
            <w:vAlign w:val="center"/>
          </w:tcPr>
          <w:p>
            <w:pPr>
              <w:pStyle w:val="13"/>
            </w:pPr>
            <w:r>
              <w:t>22.28</w:t>
            </w:r>
          </w:p>
        </w:tc>
        <w:tc>
          <w:tcPr>
            <w:tcW w:w="1134" w:type="dxa"/>
            <w:vAlign w:val="center"/>
          </w:tcPr>
          <w:p>
            <w:pPr>
              <w:pStyle w:val="13"/>
            </w:pPr>
            <w:r>
              <w:t>22.28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rPr>
                <w:rFonts w:cs="Times New Roman"/>
              </w:rPr>
            </w:pPr>
            <w:r>
              <w:rPr>
                <w:rFonts w:hint="eastAsia"/>
              </w:rPr>
              <w:t>行政单位医疗</w:t>
            </w:r>
          </w:p>
        </w:tc>
        <w:tc>
          <w:tcPr>
            <w:tcW w:w="1134" w:type="dxa"/>
            <w:vAlign w:val="center"/>
          </w:tcPr>
          <w:p>
            <w:pPr>
              <w:pStyle w:val="13"/>
            </w:pPr>
            <w:r>
              <w:t>10.18</w:t>
            </w:r>
          </w:p>
        </w:tc>
        <w:tc>
          <w:tcPr>
            <w:tcW w:w="1134" w:type="dxa"/>
            <w:vAlign w:val="center"/>
          </w:tcPr>
          <w:p>
            <w:pPr>
              <w:pStyle w:val="13"/>
            </w:pPr>
            <w:r>
              <w:t>10.18</w:t>
            </w:r>
          </w:p>
        </w:tc>
        <w:tc>
          <w:tcPr>
            <w:tcW w:w="1134" w:type="dxa"/>
            <w:vAlign w:val="center"/>
          </w:tcPr>
          <w:p>
            <w:pPr>
              <w:pStyle w:val="13"/>
            </w:pPr>
            <w:r>
              <w:t>10.18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rPr>
                <w:rFonts w:cs="Times New Roman"/>
              </w:rPr>
            </w:pPr>
            <w:r>
              <w:rPr>
                <w:rFonts w:hint="eastAsia"/>
              </w:rPr>
              <w:t>公务员医疗补助</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21015</w:t>
            </w:r>
          </w:p>
        </w:tc>
        <w:tc>
          <w:tcPr>
            <w:tcW w:w="1559" w:type="dxa"/>
            <w:vAlign w:val="center"/>
          </w:tcPr>
          <w:p>
            <w:pPr>
              <w:pStyle w:val="14"/>
              <w:rPr>
                <w:rFonts w:cs="Times New Roman"/>
              </w:rPr>
            </w:pPr>
            <w:r>
              <w:rPr>
                <w:rFonts w:hint="eastAsia"/>
              </w:rPr>
              <w:t>医疗保障管理事务</w:t>
            </w:r>
          </w:p>
        </w:tc>
        <w:tc>
          <w:tcPr>
            <w:tcW w:w="1134" w:type="dxa"/>
            <w:vAlign w:val="center"/>
          </w:tcPr>
          <w:p>
            <w:pPr>
              <w:pStyle w:val="13"/>
            </w:pPr>
            <w:r>
              <w:t>362.15</w:t>
            </w:r>
          </w:p>
        </w:tc>
        <w:tc>
          <w:tcPr>
            <w:tcW w:w="1134" w:type="dxa"/>
            <w:vAlign w:val="center"/>
          </w:tcPr>
          <w:p>
            <w:pPr>
              <w:pStyle w:val="13"/>
            </w:pPr>
            <w:r>
              <w:t>362.15</w:t>
            </w:r>
          </w:p>
        </w:tc>
        <w:tc>
          <w:tcPr>
            <w:tcW w:w="1134" w:type="dxa"/>
            <w:vAlign w:val="center"/>
          </w:tcPr>
          <w:p>
            <w:pPr>
              <w:pStyle w:val="13"/>
            </w:pPr>
            <w:r>
              <w:t>362.15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2101501</w:t>
            </w:r>
          </w:p>
        </w:tc>
        <w:tc>
          <w:tcPr>
            <w:tcW w:w="1559" w:type="dxa"/>
            <w:vAlign w:val="center"/>
          </w:tcPr>
          <w:p>
            <w:pPr>
              <w:pStyle w:val="14"/>
              <w:rPr>
                <w:rFonts w:cs="Times New Roman"/>
              </w:rPr>
            </w:pPr>
            <w:r>
              <w:rPr>
                <w:rFonts w:hint="eastAsia"/>
              </w:rPr>
              <w:t>行政运行</w:t>
            </w:r>
          </w:p>
        </w:tc>
        <w:tc>
          <w:tcPr>
            <w:tcW w:w="1134" w:type="dxa"/>
            <w:vAlign w:val="center"/>
          </w:tcPr>
          <w:p>
            <w:pPr>
              <w:pStyle w:val="13"/>
            </w:pPr>
            <w:r>
              <w:t>197.15</w:t>
            </w:r>
          </w:p>
        </w:tc>
        <w:tc>
          <w:tcPr>
            <w:tcW w:w="1134" w:type="dxa"/>
            <w:vAlign w:val="center"/>
          </w:tcPr>
          <w:p>
            <w:pPr>
              <w:pStyle w:val="13"/>
            </w:pPr>
            <w:r>
              <w:t>197.15</w:t>
            </w:r>
          </w:p>
        </w:tc>
        <w:tc>
          <w:tcPr>
            <w:tcW w:w="1134" w:type="dxa"/>
            <w:vAlign w:val="center"/>
          </w:tcPr>
          <w:p>
            <w:pPr>
              <w:pStyle w:val="13"/>
            </w:pPr>
            <w:r>
              <w:t>197.15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2101599</w:t>
            </w:r>
          </w:p>
        </w:tc>
        <w:tc>
          <w:tcPr>
            <w:tcW w:w="1559" w:type="dxa"/>
            <w:vAlign w:val="center"/>
          </w:tcPr>
          <w:p>
            <w:pPr>
              <w:pStyle w:val="14"/>
              <w:rPr>
                <w:rFonts w:cs="Times New Roman"/>
              </w:rPr>
            </w:pPr>
            <w:r>
              <w:rPr>
                <w:rFonts w:hint="eastAsia"/>
              </w:rPr>
              <w:t>其他医疗保障管理事务支出</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r>
              <w:t>165.00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rPr>
                <w:rFonts w:cs="Times New Roman"/>
              </w:rPr>
            </w:pPr>
            <w:r>
              <w:rPr>
                <w:rFonts w:hint="eastAsia"/>
              </w:rPr>
              <w:t>住房保障支出</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rPr>
                <w:rFonts w:cs="Times New Roman"/>
              </w:rPr>
            </w:pPr>
            <w:r>
              <w:rPr>
                <w:rFonts w:hint="eastAsia"/>
              </w:rPr>
              <w:t>住房改革支出</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rPr>
                <w:rFonts w:cs="Times New Roman"/>
              </w:rPr>
            </w:pPr>
            <w:r>
              <w:rPr>
                <w:rFonts w:hint="eastAsia"/>
              </w:rPr>
              <w:t>住房公积金</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r>
              <w:t>19.70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433.48</w:t>
            </w:r>
          </w:p>
        </w:tc>
        <w:tc>
          <w:tcPr>
            <w:tcW w:w="1361" w:type="dxa"/>
            <w:vAlign w:val="center"/>
          </w:tcPr>
          <w:p>
            <w:pPr>
              <w:pStyle w:val="17"/>
            </w:pPr>
            <w:r>
              <w:t>267.48</w:t>
            </w:r>
          </w:p>
        </w:tc>
        <w:tc>
          <w:tcPr>
            <w:tcW w:w="1361" w:type="dxa"/>
            <w:vAlign w:val="center"/>
          </w:tcPr>
          <w:p>
            <w:pPr>
              <w:pStyle w:val="17"/>
            </w:pPr>
            <w:r>
              <w:t>166.00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29.35</w:t>
            </w:r>
          </w:p>
        </w:tc>
        <w:tc>
          <w:tcPr>
            <w:tcW w:w="1361" w:type="dxa"/>
            <w:vAlign w:val="center"/>
          </w:tcPr>
          <w:p>
            <w:pPr>
              <w:pStyle w:val="13"/>
            </w:pPr>
            <w:r>
              <w:t>28.35</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rPr>
                <w:rFonts w:cs="Times New Roman"/>
              </w:rPr>
            </w:pPr>
            <w:r>
              <w:rPr>
                <w:rFonts w:hint="eastAsia"/>
              </w:rPr>
              <w:t>人力资源和社会保障管理事务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2080199</w:t>
            </w:r>
          </w:p>
        </w:tc>
        <w:tc>
          <w:tcPr>
            <w:tcW w:w="4535" w:type="dxa"/>
            <w:vAlign w:val="center"/>
          </w:tcPr>
          <w:p>
            <w:pPr>
              <w:pStyle w:val="14"/>
              <w:rPr>
                <w:rFonts w:cs="Times New Roman"/>
              </w:rPr>
            </w:pPr>
            <w:r>
              <w:rPr>
                <w:rFonts w:hint="eastAsia"/>
              </w:rPr>
              <w:t>其他人力资源和社会保障管理事务支出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28.35</w:t>
            </w:r>
          </w:p>
        </w:tc>
        <w:tc>
          <w:tcPr>
            <w:tcW w:w="1361" w:type="dxa"/>
            <w:vAlign w:val="center"/>
          </w:tcPr>
          <w:p>
            <w:pPr>
              <w:pStyle w:val="13"/>
            </w:pPr>
            <w:r>
              <w:t>28.35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2.74</w:t>
            </w:r>
          </w:p>
        </w:tc>
        <w:tc>
          <w:tcPr>
            <w:tcW w:w="1361" w:type="dxa"/>
            <w:vAlign w:val="center"/>
          </w:tcPr>
          <w:p>
            <w:pPr>
              <w:pStyle w:val="13"/>
            </w:pPr>
            <w:r>
              <w:t>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25.61</w:t>
            </w:r>
          </w:p>
        </w:tc>
        <w:tc>
          <w:tcPr>
            <w:tcW w:w="1361" w:type="dxa"/>
            <w:vAlign w:val="center"/>
          </w:tcPr>
          <w:p>
            <w:pPr>
              <w:pStyle w:val="13"/>
            </w:pPr>
            <w:r>
              <w:t>25.61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384.43</w:t>
            </w:r>
          </w:p>
        </w:tc>
        <w:tc>
          <w:tcPr>
            <w:tcW w:w="1361" w:type="dxa"/>
            <w:vAlign w:val="center"/>
          </w:tcPr>
          <w:p>
            <w:pPr>
              <w:pStyle w:val="13"/>
            </w:pPr>
            <w:r>
              <w:t>219.43</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1361" w:type="dxa"/>
            <w:vAlign w:val="center"/>
          </w:tcPr>
          <w:p>
            <w:pPr>
              <w:pStyle w:val="13"/>
            </w:pPr>
            <w:r>
              <w:t>22.28</w:t>
            </w:r>
          </w:p>
        </w:tc>
        <w:tc>
          <w:tcPr>
            <w:tcW w:w="1361" w:type="dxa"/>
            <w:vAlign w:val="center"/>
          </w:tcPr>
          <w:p>
            <w:pPr>
              <w:pStyle w:val="13"/>
            </w:pPr>
            <w:r>
              <w:t>22.28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1361" w:type="dxa"/>
            <w:vAlign w:val="center"/>
          </w:tcPr>
          <w:p>
            <w:pPr>
              <w:pStyle w:val="13"/>
            </w:pPr>
            <w:r>
              <w:t>10.18</w:t>
            </w:r>
          </w:p>
        </w:tc>
        <w:tc>
          <w:tcPr>
            <w:tcW w:w="1361" w:type="dxa"/>
            <w:vAlign w:val="center"/>
          </w:tcPr>
          <w:p>
            <w:pPr>
              <w:pStyle w:val="13"/>
            </w:pPr>
            <w:r>
              <w:t>10.18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1361" w:type="dxa"/>
            <w:vAlign w:val="center"/>
          </w:tcPr>
          <w:p>
            <w:pPr>
              <w:pStyle w:val="13"/>
            </w:pPr>
            <w:r>
              <w:t>12.10</w:t>
            </w: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21015</w:t>
            </w:r>
          </w:p>
        </w:tc>
        <w:tc>
          <w:tcPr>
            <w:tcW w:w="4535" w:type="dxa"/>
            <w:vAlign w:val="center"/>
          </w:tcPr>
          <w:p>
            <w:pPr>
              <w:pStyle w:val="14"/>
              <w:rPr>
                <w:rFonts w:cs="Times New Roman"/>
              </w:rPr>
            </w:pPr>
            <w:r>
              <w:rPr>
                <w:rFonts w:hint="eastAsia"/>
              </w:rPr>
              <w:t>医疗保障管理事务</w:t>
            </w:r>
          </w:p>
        </w:tc>
        <w:tc>
          <w:tcPr>
            <w:tcW w:w="1361" w:type="dxa"/>
            <w:vAlign w:val="center"/>
          </w:tcPr>
          <w:p>
            <w:pPr>
              <w:pStyle w:val="13"/>
            </w:pPr>
            <w:r>
              <w:t>362.15</w:t>
            </w:r>
          </w:p>
        </w:tc>
        <w:tc>
          <w:tcPr>
            <w:tcW w:w="1361" w:type="dxa"/>
            <w:vAlign w:val="center"/>
          </w:tcPr>
          <w:p>
            <w:pPr>
              <w:pStyle w:val="13"/>
            </w:pPr>
            <w:r>
              <w:t>197.15</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2101501</w:t>
            </w:r>
          </w:p>
        </w:tc>
        <w:tc>
          <w:tcPr>
            <w:tcW w:w="4535" w:type="dxa"/>
            <w:vAlign w:val="center"/>
          </w:tcPr>
          <w:p>
            <w:pPr>
              <w:pStyle w:val="14"/>
              <w:rPr>
                <w:rFonts w:cs="Times New Roman"/>
              </w:rPr>
            </w:pPr>
            <w:r>
              <w:rPr>
                <w:rFonts w:hint="eastAsia"/>
              </w:rPr>
              <w:t>行政运行</w:t>
            </w:r>
          </w:p>
        </w:tc>
        <w:tc>
          <w:tcPr>
            <w:tcW w:w="1361" w:type="dxa"/>
            <w:vAlign w:val="center"/>
          </w:tcPr>
          <w:p>
            <w:pPr>
              <w:pStyle w:val="13"/>
            </w:pPr>
            <w:r>
              <w:t>197.15</w:t>
            </w:r>
          </w:p>
        </w:tc>
        <w:tc>
          <w:tcPr>
            <w:tcW w:w="1361" w:type="dxa"/>
            <w:vAlign w:val="center"/>
          </w:tcPr>
          <w:p>
            <w:pPr>
              <w:pStyle w:val="13"/>
            </w:pPr>
            <w:r>
              <w:t>197.15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2101599</w:t>
            </w:r>
          </w:p>
        </w:tc>
        <w:tc>
          <w:tcPr>
            <w:tcW w:w="4535" w:type="dxa"/>
            <w:vAlign w:val="center"/>
          </w:tcPr>
          <w:p>
            <w:pPr>
              <w:pStyle w:val="14"/>
              <w:rPr>
                <w:rFonts w:cs="Times New Roman"/>
              </w:rPr>
            </w:pPr>
            <w:r>
              <w:rPr>
                <w:rFonts w:hint="eastAsia"/>
              </w:rPr>
              <w:t>其他医疗保障管理事务支出</w:t>
            </w: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r>
              <w:t>165.00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1361" w:type="dxa"/>
            <w:vAlign w:val="center"/>
          </w:tcPr>
          <w:p>
            <w:pPr>
              <w:pStyle w:val="13"/>
            </w:pPr>
            <w:r>
              <w:t>19.70</w:t>
            </w:r>
          </w:p>
        </w:tc>
        <w:tc>
          <w:tcPr>
            <w:tcW w:w="1361" w:type="dxa"/>
            <w:vAlign w:val="center"/>
          </w:tcPr>
          <w:p>
            <w:pPr>
              <w:pStyle w:val="13"/>
            </w:pPr>
            <w:r>
              <w:t>19.70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1361" w:type="dxa"/>
            <w:vAlign w:val="center"/>
          </w:tcPr>
          <w:p>
            <w:pPr>
              <w:pStyle w:val="13"/>
            </w:pPr>
            <w:r>
              <w:t>19.70</w:t>
            </w:r>
          </w:p>
        </w:tc>
        <w:tc>
          <w:tcPr>
            <w:tcW w:w="1361" w:type="dxa"/>
            <w:vAlign w:val="center"/>
          </w:tcPr>
          <w:p>
            <w:pPr>
              <w:pStyle w:val="13"/>
            </w:pPr>
            <w:r>
              <w:t>19.70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1361" w:type="dxa"/>
            <w:vAlign w:val="center"/>
          </w:tcPr>
          <w:p>
            <w:pPr>
              <w:pStyle w:val="13"/>
            </w:pPr>
            <w:r>
              <w:t>19.70</w:t>
            </w:r>
          </w:p>
        </w:tc>
        <w:tc>
          <w:tcPr>
            <w:tcW w:w="1361" w:type="dxa"/>
            <w:vAlign w:val="center"/>
          </w:tcPr>
          <w:p>
            <w:pPr>
              <w:pStyle w:val="13"/>
            </w:pPr>
            <w:r>
              <w:t>19.70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433.48</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29.35</w:t>
            </w:r>
          </w:p>
        </w:tc>
        <w:tc>
          <w:tcPr>
            <w:tcW w:w="1474" w:type="dxa"/>
            <w:vAlign w:val="center"/>
          </w:tcPr>
          <w:p>
            <w:pPr>
              <w:pStyle w:val="13"/>
            </w:pPr>
            <w:r>
              <w:t>29.35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384.43</w:t>
            </w:r>
          </w:p>
        </w:tc>
        <w:tc>
          <w:tcPr>
            <w:tcW w:w="1474" w:type="dxa"/>
            <w:vAlign w:val="center"/>
          </w:tcPr>
          <w:p>
            <w:pPr>
              <w:pStyle w:val="13"/>
            </w:pPr>
            <w:r>
              <w:t>384.43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pPr>
            <w:r>
              <w:t>19.70</w:t>
            </w:r>
          </w:p>
        </w:tc>
        <w:tc>
          <w:tcPr>
            <w:tcW w:w="1474" w:type="dxa"/>
            <w:vAlign w:val="center"/>
          </w:tcPr>
          <w:p>
            <w:pPr>
              <w:pStyle w:val="13"/>
            </w:pPr>
            <w:r>
              <w:t>19.70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433.48</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433.48</w:t>
            </w:r>
          </w:p>
        </w:tc>
        <w:tc>
          <w:tcPr>
            <w:tcW w:w="1474" w:type="dxa"/>
            <w:vAlign w:val="center"/>
          </w:tcPr>
          <w:p>
            <w:pPr>
              <w:pStyle w:val="17"/>
            </w:pPr>
            <w:r>
              <w:t>433.48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433.48</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433.48</w:t>
            </w:r>
          </w:p>
        </w:tc>
        <w:tc>
          <w:tcPr>
            <w:tcW w:w="1474" w:type="dxa"/>
            <w:vAlign w:val="center"/>
          </w:tcPr>
          <w:p>
            <w:pPr>
              <w:pStyle w:val="17"/>
            </w:pPr>
            <w:r>
              <w:t>433.48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433.48</w:t>
            </w:r>
          </w:p>
        </w:tc>
        <w:tc>
          <w:tcPr>
            <w:tcW w:w="2551" w:type="dxa"/>
            <w:vAlign w:val="center"/>
          </w:tcPr>
          <w:p>
            <w:pPr>
              <w:pStyle w:val="17"/>
            </w:pPr>
            <w:r>
              <w:t>267.48</w:t>
            </w:r>
          </w:p>
        </w:tc>
        <w:tc>
          <w:tcPr>
            <w:tcW w:w="2551" w:type="dxa"/>
            <w:vAlign w:val="center"/>
          </w:tcPr>
          <w:p>
            <w:pPr>
              <w:pStyle w:val="17"/>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29.35</w:t>
            </w:r>
          </w:p>
        </w:tc>
        <w:tc>
          <w:tcPr>
            <w:tcW w:w="2551" w:type="dxa"/>
            <w:vAlign w:val="center"/>
          </w:tcPr>
          <w:p>
            <w:pPr>
              <w:pStyle w:val="13"/>
            </w:pPr>
            <w:r>
              <w:t>28.35</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rPr>
                <w:rFonts w:cs="Times New Roman"/>
              </w:rPr>
            </w:pPr>
            <w:r>
              <w:rPr>
                <w:rFonts w:hint="eastAsia"/>
              </w:rPr>
              <w:t>人力资源和社会保障管理事务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2080199</w:t>
            </w:r>
          </w:p>
        </w:tc>
        <w:tc>
          <w:tcPr>
            <w:tcW w:w="4535" w:type="dxa"/>
            <w:vAlign w:val="center"/>
          </w:tcPr>
          <w:p>
            <w:pPr>
              <w:pStyle w:val="14"/>
              <w:rPr>
                <w:rFonts w:cs="Times New Roman"/>
              </w:rPr>
            </w:pPr>
            <w:r>
              <w:rPr>
                <w:rFonts w:hint="eastAsia"/>
              </w:rPr>
              <w:t>其他人力资源和社会保障管理事务支出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28.35</w:t>
            </w:r>
          </w:p>
        </w:tc>
        <w:tc>
          <w:tcPr>
            <w:tcW w:w="2551" w:type="dxa"/>
            <w:vAlign w:val="center"/>
          </w:tcPr>
          <w:p>
            <w:pPr>
              <w:pStyle w:val="13"/>
            </w:pPr>
            <w:r>
              <w:t>28.35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2.74</w:t>
            </w:r>
          </w:p>
        </w:tc>
        <w:tc>
          <w:tcPr>
            <w:tcW w:w="2551" w:type="dxa"/>
            <w:vAlign w:val="center"/>
          </w:tcPr>
          <w:p>
            <w:pPr>
              <w:pStyle w:val="13"/>
            </w:pPr>
            <w:r>
              <w:t>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25.61</w:t>
            </w:r>
          </w:p>
        </w:tc>
        <w:tc>
          <w:tcPr>
            <w:tcW w:w="2551" w:type="dxa"/>
            <w:vAlign w:val="center"/>
          </w:tcPr>
          <w:p>
            <w:pPr>
              <w:pStyle w:val="13"/>
            </w:pPr>
            <w:r>
              <w:t>25.61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384.43</w:t>
            </w:r>
          </w:p>
        </w:tc>
        <w:tc>
          <w:tcPr>
            <w:tcW w:w="2551" w:type="dxa"/>
            <w:vAlign w:val="center"/>
          </w:tcPr>
          <w:p>
            <w:pPr>
              <w:pStyle w:val="13"/>
            </w:pPr>
            <w:r>
              <w:t>219.43</w:t>
            </w:r>
          </w:p>
        </w:tc>
        <w:tc>
          <w:tcPr>
            <w:tcW w:w="2551"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2551" w:type="dxa"/>
            <w:vAlign w:val="center"/>
          </w:tcPr>
          <w:p>
            <w:pPr>
              <w:pStyle w:val="13"/>
            </w:pPr>
            <w:r>
              <w:t>22.28</w:t>
            </w:r>
          </w:p>
        </w:tc>
        <w:tc>
          <w:tcPr>
            <w:tcW w:w="2551" w:type="dxa"/>
            <w:vAlign w:val="center"/>
          </w:tcPr>
          <w:p>
            <w:pPr>
              <w:pStyle w:val="13"/>
            </w:pPr>
            <w:r>
              <w:t>22.28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2551" w:type="dxa"/>
            <w:vAlign w:val="center"/>
          </w:tcPr>
          <w:p>
            <w:pPr>
              <w:pStyle w:val="13"/>
            </w:pPr>
            <w:r>
              <w:t>10.18</w:t>
            </w:r>
          </w:p>
        </w:tc>
        <w:tc>
          <w:tcPr>
            <w:tcW w:w="2551" w:type="dxa"/>
            <w:vAlign w:val="center"/>
          </w:tcPr>
          <w:p>
            <w:pPr>
              <w:pStyle w:val="13"/>
            </w:pPr>
            <w:r>
              <w:t>10.18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2551" w:type="dxa"/>
            <w:vAlign w:val="center"/>
          </w:tcPr>
          <w:p>
            <w:pPr>
              <w:pStyle w:val="13"/>
            </w:pPr>
            <w:r>
              <w:t>12.10</w:t>
            </w:r>
          </w:p>
        </w:tc>
        <w:tc>
          <w:tcPr>
            <w:tcW w:w="2551" w:type="dxa"/>
            <w:vAlign w:val="center"/>
          </w:tcPr>
          <w:p>
            <w:pPr>
              <w:pStyle w:val="13"/>
            </w:pPr>
            <w:r>
              <w:t>12.10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21015</w:t>
            </w:r>
          </w:p>
        </w:tc>
        <w:tc>
          <w:tcPr>
            <w:tcW w:w="4535" w:type="dxa"/>
            <w:vAlign w:val="center"/>
          </w:tcPr>
          <w:p>
            <w:pPr>
              <w:pStyle w:val="14"/>
              <w:rPr>
                <w:rFonts w:cs="Times New Roman"/>
              </w:rPr>
            </w:pPr>
            <w:r>
              <w:rPr>
                <w:rFonts w:hint="eastAsia"/>
              </w:rPr>
              <w:t>医疗保障管理事务</w:t>
            </w:r>
          </w:p>
        </w:tc>
        <w:tc>
          <w:tcPr>
            <w:tcW w:w="2551" w:type="dxa"/>
            <w:vAlign w:val="center"/>
          </w:tcPr>
          <w:p>
            <w:pPr>
              <w:pStyle w:val="13"/>
            </w:pPr>
            <w:r>
              <w:t>362.15</w:t>
            </w:r>
          </w:p>
        </w:tc>
        <w:tc>
          <w:tcPr>
            <w:tcW w:w="2551" w:type="dxa"/>
            <w:vAlign w:val="center"/>
          </w:tcPr>
          <w:p>
            <w:pPr>
              <w:pStyle w:val="13"/>
            </w:pPr>
            <w:r>
              <w:t>197.15</w:t>
            </w:r>
          </w:p>
        </w:tc>
        <w:tc>
          <w:tcPr>
            <w:tcW w:w="2551"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2101501</w:t>
            </w:r>
          </w:p>
        </w:tc>
        <w:tc>
          <w:tcPr>
            <w:tcW w:w="4535" w:type="dxa"/>
            <w:vAlign w:val="center"/>
          </w:tcPr>
          <w:p>
            <w:pPr>
              <w:pStyle w:val="14"/>
              <w:rPr>
                <w:rFonts w:cs="Times New Roman"/>
              </w:rPr>
            </w:pPr>
            <w:r>
              <w:rPr>
                <w:rFonts w:hint="eastAsia"/>
              </w:rPr>
              <w:t>行政运行</w:t>
            </w:r>
          </w:p>
        </w:tc>
        <w:tc>
          <w:tcPr>
            <w:tcW w:w="2551" w:type="dxa"/>
            <w:vAlign w:val="center"/>
          </w:tcPr>
          <w:p>
            <w:pPr>
              <w:pStyle w:val="13"/>
            </w:pPr>
            <w:r>
              <w:t>197.15</w:t>
            </w:r>
          </w:p>
        </w:tc>
        <w:tc>
          <w:tcPr>
            <w:tcW w:w="2551" w:type="dxa"/>
            <w:vAlign w:val="center"/>
          </w:tcPr>
          <w:p>
            <w:pPr>
              <w:pStyle w:val="13"/>
            </w:pPr>
            <w:r>
              <w:t>197.15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2101599</w:t>
            </w:r>
          </w:p>
        </w:tc>
        <w:tc>
          <w:tcPr>
            <w:tcW w:w="4535" w:type="dxa"/>
            <w:vAlign w:val="center"/>
          </w:tcPr>
          <w:p>
            <w:pPr>
              <w:pStyle w:val="14"/>
              <w:rPr>
                <w:rFonts w:cs="Times New Roman"/>
              </w:rPr>
            </w:pPr>
            <w:r>
              <w:rPr>
                <w:rFonts w:hint="eastAsia"/>
              </w:rPr>
              <w:t>其他医疗保障管理事务支出</w:t>
            </w:r>
          </w:p>
        </w:tc>
        <w:tc>
          <w:tcPr>
            <w:tcW w:w="2551" w:type="dxa"/>
            <w:vAlign w:val="center"/>
          </w:tcPr>
          <w:p>
            <w:pPr>
              <w:pStyle w:val="13"/>
            </w:pPr>
            <w:r>
              <w:t>165.00</w:t>
            </w:r>
          </w:p>
        </w:tc>
        <w:tc>
          <w:tcPr>
            <w:tcW w:w="2551" w:type="dxa"/>
            <w:vAlign w:val="center"/>
          </w:tcPr>
          <w:p>
            <w:pPr>
              <w:pStyle w:val="13"/>
            </w:pPr>
          </w:p>
        </w:tc>
        <w:tc>
          <w:tcPr>
            <w:tcW w:w="2551"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2551" w:type="dxa"/>
            <w:vAlign w:val="center"/>
          </w:tcPr>
          <w:p>
            <w:pPr>
              <w:pStyle w:val="13"/>
            </w:pPr>
            <w:r>
              <w:t>19.70</w:t>
            </w:r>
          </w:p>
        </w:tc>
        <w:tc>
          <w:tcPr>
            <w:tcW w:w="2551" w:type="dxa"/>
            <w:vAlign w:val="center"/>
          </w:tcPr>
          <w:p>
            <w:pPr>
              <w:pStyle w:val="13"/>
            </w:pPr>
            <w:r>
              <w:t>19.70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2551" w:type="dxa"/>
            <w:vAlign w:val="center"/>
          </w:tcPr>
          <w:p>
            <w:pPr>
              <w:pStyle w:val="13"/>
            </w:pPr>
            <w:r>
              <w:t>19.70</w:t>
            </w:r>
          </w:p>
        </w:tc>
        <w:tc>
          <w:tcPr>
            <w:tcW w:w="2551" w:type="dxa"/>
            <w:vAlign w:val="center"/>
          </w:tcPr>
          <w:p>
            <w:pPr>
              <w:pStyle w:val="13"/>
            </w:pPr>
            <w:r>
              <w:t>19.70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19.70</w:t>
            </w:r>
          </w:p>
        </w:tc>
        <w:tc>
          <w:tcPr>
            <w:tcW w:w="2551" w:type="dxa"/>
            <w:vAlign w:val="center"/>
          </w:tcPr>
          <w:p>
            <w:pPr>
              <w:pStyle w:val="13"/>
            </w:pPr>
            <w:r>
              <w:t>19.70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267.48</w:t>
            </w:r>
          </w:p>
        </w:tc>
        <w:tc>
          <w:tcPr>
            <w:tcW w:w="2551" w:type="dxa"/>
            <w:vAlign w:val="center"/>
          </w:tcPr>
          <w:p>
            <w:pPr>
              <w:pStyle w:val="17"/>
            </w:pPr>
            <w:r>
              <w:t>248.55</w:t>
            </w:r>
          </w:p>
        </w:tc>
        <w:tc>
          <w:tcPr>
            <w:tcW w:w="2551" w:type="dxa"/>
            <w:vAlign w:val="center"/>
          </w:tcPr>
          <w:p>
            <w:pPr>
              <w:pStyle w:val="17"/>
            </w:pPr>
            <w:r>
              <w:t>18.92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245.55</w:t>
            </w:r>
          </w:p>
        </w:tc>
        <w:tc>
          <w:tcPr>
            <w:tcW w:w="2551" w:type="dxa"/>
            <w:vAlign w:val="center"/>
          </w:tcPr>
          <w:p>
            <w:pPr>
              <w:pStyle w:val="13"/>
            </w:pPr>
            <w:r>
              <w:t>245.55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82.06</w:t>
            </w:r>
          </w:p>
        </w:tc>
        <w:tc>
          <w:tcPr>
            <w:tcW w:w="2551" w:type="dxa"/>
            <w:vAlign w:val="center"/>
          </w:tcPr>
          <w:p>
            <w:pPr>
              <w:pStyle w:val="13"/>
            </w:pPr>
            <w:r>
              <w:t>82.06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29.48</w:t>
            </w:r>
          </w:p>
        </w:tc>
        <w:tc>
          <w:tcPr>
            <w:tcW w:w="2551" w:type="dxa"/>
            <w:vAlign w:val="center"/>
          </w:tcPr>
          <w:p>
            <w:pPr>
              <w:pStyle w:val="13"/>
            </w:pPr>
            <w:r>
              <w:t>29.48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15.11</w:t>
            </w:r>
          </w:p>
        </w:tc>
        <w:tc>
          <w:tcPr>
            <w:tcW w:w="2551" w:type="dxa"/>
            <w:vAlign w:val="center"/>
          </w:tcPr>
          <w:p>
            <w:pPr>
              <w:pStyle w:val="13"/>
            </w:pPr>
            <w:r>
              <w:t>15.11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rPr>
                <w:rFonts w:cs="Times New Roman"/>
              </w:rPr>
            </w:pPr>
            <w:r>
              <w:rPr>
                <w:rFonts w:hint="eastAsia"/>
              </w:rPr>
              <w:t>绩效工资</w:t>
            </w:r>
          </w:p>
        </w:tc>
        <w:tc>
          <w:tcPr>
            <w:tcW w:w="2551" w:type="dxa"/>
            <w:vAlign w:val="center"/>
          </w:tcPr>
          <w:p>
            <w:pPr>
              <w:pStyle w:val="13"/>
            </w:pPr>
            <w:r>
              <w:t>49.79</w:t>
            </w:r>
          </w:p>
        </w:tc>
        <w:tc>
          <w:tcPr>
            <w:tcW w:w="2551" w:type="dxa"/>
            <w:vAlign w:val="center"/>
          </w:tcPr>
          <w:p>
            <w:pPr>
              <w:pStyle w:val="13"/>
            </w:pPr>
            <w:r>
              <w:t>49.79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25.61</w:t>
            </w:r>
          </w:p>
        </w:tc>
        <w:tc>
          <w:tcPr>
            <w:tcW w:w="2551" w:type="dxa"/>
            <w:vAlign w:val="center"/>
          </w:tcPr>
          <w:p>
            <w:pPr>
              <w:pStyle w:val="13"/>
            </w:pPr>
            <w:r>
              <w:t>25.61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rPr>
                <w:rFonts w:cs="Times New Roman"/>
              </w:rPr>
            </w:pPr>
            <w:r>
              <w:rPr>
                <w:rFonts w:hint="eastAsia"/>
              </w:rPr>
              <w:t>职工基本医疗保险缴费</w:t>
            </w:r>
          </w:p>
        </w:tc>
        <w:tc>
          <w:tcPr>
            <w:tcW w:w="2551" w:type="dxa"/>
            <w:vAlign w:val="center"/>
          </w:tcPr>
          <w:p>
            <w:pPr>
              <w:pStyle w:val="13"/>
            </w:pPr>
            <w:r>
              <w:t>10.18</w:t>
            </w:r>
          </w:p>
        </w:tc>
        <w:tc>
          <w:tcPr>
            <w:tcW w:w="2551" w:type="dxa"/>
            <w:vAlign w:val="center"/>
          </w:tcPr>
          <w:p>
            <w:pPr>
              <w:pStyle w:val="13"/>
            </w:pPr>
            <w:r>
              <w:t>10.18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rPr>
                <w:rFonts w:cs="Times New Roman"/>
              </w:rPr>
            </w:pPr>
            <w:r>
              <w:rPr>
                <w:rFonts w:hint="eastAsia"/>
              </w:rPr>
              <w:t>公务员医疗补助缴费</w:t>
            </w:r>
          </w:p>
        </w:tc>
        <w:tc>
          <w:tcPr>
            <w:tcW w:w="2551" w:type="dxa"/>
            <w:vAlign w:val="center"/>
          </w:tcPr>
          <w:p>
            <w:pPr>
              <w:pStyle w:val="13"/>
            </w:pPr>
            <w:r>
              <w:t>12.10</w:t>
            </w:r>
          </w:p>
        </w:tc>
        <w:tc>
          <w:tcPr>
            <w:tcW w:w="2551" w:type="dxa"/>
            <w:vAlign w:val="center"/>
          </w:tcPr>
          <w:p>
            <w:pPr>
              <w:pStyle w:val="13"/>
            </w:pPr>
            <w:r>
              <w:t>12.10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rPr>
                <w:rFonts w:cs="Times New Roman"/>
              </w:rPr>
            </w:pPr>
            <w:r>
              <w:rPr>
                <w:rFonts w:hint="eastAsia"/>
              </w:rPr>
              <w:t>其他社会保障缴费</w:t>
            </w:r>
          </w:p>
        </w:tc>
        <w:tc>
          <w:tcPr>
            <w:tcW w:w="2551" w:type="dxa"/>
            <w:vAlign w:val="center"/>
          </w:tcPr>
          <w:p>
            <w:pPr>
              <w:pStyle w:val="13"/>
            </w:pPr>
            <w:r>
              <w:t>1.52</w:t>
            </w:r>
          </w:p>
        </w:tc>
        <w:tc>
          <w:tcPr>
            <w:tcW w:w="2551" w:type="dxa"/>
            <w:vAlign w:val="center"/>
          </w:tcPr>
          <w:p>
            <w:pPr>
              <w:pStyle w:val="13"/>
            </w:pPr>
            <w:r>
              <w:t>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19.70</w:t>
            </w:r>
          </w:p>
        </w:tc>
        <w:tc>
          <w:tcPr>
            <w:tcW w:w="2551" w:type="dxa"/>
            <w:vAlign w:val="center"/>
          </w:tcPr>
          <w:p>
            <w:pPr>
              <w:pStyle w:val="13"/>
            </w:pPr>
            <w:r>
              <w:t>19.70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18.92</w:t>
            </w:r>
          </w:p>
        </w:tc>
        <w:tc>
          <w:tcPr>
            <w:tcW w:w="2551" w:type="dxa"/>
            <w:vAlign w:val="center"/>
          </w:tcPr>
          <w:p>
            <w:pPr>
              <w:pStyle w:val="13"/>
            </w:pPr>
          </w:p>
        </w:tc>
        <w:tc>
          <w:tcPr>
            <w:tcW w:w="2551" w:type="dxa"/>
            <w:vAlign w:val="center"/>
          </w:tcPr>
          <w:p>
            <w:pPr>
              <w:pStyle w:val="13"/>
            </w:pPr>
            <w:r>
              <w:t>18.92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rPr>
                <w:rFonts w:cs="Times New Roman"/>
              </w:rPr>
            </w:pPr>
            <w:r>
              <w:rPr>
                <w:rFonts w:hint="eastAsia"/>
              </w:rPr>
              <w:t>办公费</w:t>
            </w:r>
          </w:p>
        </w:tc>
        <w:tc>
          <w:tcPr>
            <w:tcW w:w="2551" w:type="dxa"/>
            <w:vAlign w:val="center"/>
          </w:tcPr>
          <w:p>
            <w:pPr>
              <w:pStyle w:val="13"/>
            </w:pPr>
            <w:r>
              <w:t>3.73</w:t>
            </w:r>
          </w:p>
        </w:tc>
        <w:tc>
          <w:tcPr>
            <w:tcW w:w="2551" w:type="dxa"/>
            <w:vAlign w:val="center"/>
          </w:tcPr>
          <w:p>
            <w:pPr>
              <w:pStyle w:val="13"/>
            </w:pPr>
          </w:p>
        </w:tc>
        <w:tc>
          <w:tcPr>
            <w:tcW w:w="2551" w:type="dxa"/>
            <w:vAlign w:val="center"/>
          </w:tcPr>
          <w:p>
            <w:pPr>
              <w:pStyle w:val="13"/>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rPr>
                <w:rFonts w:cs="Times New Roman"/>
              </w:rPr>
            </w:pPr>
            <w:r>
              <w:rPr>
                <w:rFonts w:hint="eastAsia"/>
              </w:rPr>
              <w:t>邮电费</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rPr>
                <w:rFonts w:cs="Times New Roman"/>
              </w:rPr>
            </w:pPr>
            <w:r>
              <w:rPr>
                <w:rFonts w:hint="eastAsia"/>
              </w:rPr>
              <w:t>取暖费</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rPr>
                <w:rFonts w:cs="Times New Roman"/>
              </w:rPr>
            </w:pPr>
            <w:r>
              <w:rPr>
                <w:rFonts w:hint="eastAsia"/>
              </w:rPr>
              <w:t>培训费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rPr>
                <w:rFonts w:cs="Times New Roman"/>
              </w:rPr>
            </w:pPr>
            <w:r>
              <w:rPr>
                <w:rFonts w:hint="eastAsia"/>
              </w:rP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rPr>
                <w:rFonts w:cs="Times New Roman"/>
              </w:rPr>
            </w:pPr>
            <w:r>
              <w:rPr>
                <w:rFonts w:hint="eastAsia"/>
              </w:rPr>
              <w:t>工会经费</w:t>
            </w:r>
          </w:p>
        </w:tc>
        <w:tc>
          <w:tcPr>
            <w:tcW w:w="2551" w:type="dxa"/>
            <w:vAlign w:val="center"/>
          </w:tcPr>
          <w:p>
            <w:pPr>
              <w:pStyle w:val="13"/>
            </w:pPr>
            <w:r>
              <w:t>3.02</w:t>
            </w:r>
          </w:p>
        </w:tc>
        <w:tc>
          <w:tcPr>
            <w:tcW w:w="2551" w:type="dxa"/>
            <w:vAlign w:val="center"/>
          </w:tcPr>
          <w:p>
            <w:pPr>
              <w:pStyle w:val="13"/>
            </w:pPr>
          </w:p>
        </w:tc>
        <w:tc>
          <w:tcPr>
            <w:tcW w:w="2551" w:type="dxa"/>
            <w:vAlign w:val="center"/>
          </w:tcPr>
          <w:p>
            <w:pPr>
              <w:pStyle w:val="13"/>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rPr>
                <w:rFonts w:cs="Times New Roman"/>
              </w:rPr>
            </w:pPr>
            <w:r>
              <w:rPr>
                <w:rFonts w:hint="eastAsia"/>
              </w:rPr>
              <w:t>福利费</w:t>
            </w:r>
          </w:p>
        </w:tc>
        <w:tc>
          <w:tcPr>
            <w:tcW w:w="2551" w:type="dxa"/>
            <w:vAlign w:val="center"/>
          </w:tcPr>
          <w:p>
            <w:pPr>
              <w:pStyle w:val="13"/>
            </w:pPr>
            <w:r>
              <w:t>2.05</w:t>
            </w:r>
          </w:p>
        </w:tc>
        <w:tc>
          <w:tcPr>
            <w:tcW w:w="2551" w:type="dxa"/>
            <w:vAlign w:val="center"/>
          </w:tcPr>
          <w:p>
            <w:pPr>
              <w:pStyle w:val="13"/>
            </w:pPr>
          </w:p>
        </w:tc>
        <w:tc>
          <w:tcPr>
            <w:tcW w:w="2551" w:type="dxa"/>
            <w:vAlign w:val="center"/>
          </w:tcPr>
          <w:p>
            <w:pPr>
              <w:pStyle w:val="13"/>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rPr>
                <w:rFonts w:cs="Times New Roman"/>
              </w:rPr>
            </w:pPr>
            <w:r>
              <w:rPr>
                <w:rFonts w:hint="eastAsia"/>
              </w:rP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rPr>
                <w:rFonts w:cs="Times New Roman"/>
              </w:rPr>
            </w:pPr>
            <w:r>
              <w:rPr>
                <w:rFonts w:hint="eastAsia"/>
              </w:rP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rPr>
                <w:rFonts w:cs="Times New Roman"/>
              </w:rPr>
            </w:pPr>
            <w:r>
              <w:rPr>
                <w:rFonts w:hint="eastAsia"/>
              </w:rPr>
              <w:t>其他对个人和家庭的补助</w:t>
            </w:r>
          </w:p>
        </w:tc>
        <w:tc>
          <w:tcPr>
            <w:tcW w:w="2551" w:type="dxa"/>
            <w:vAlign w:val="center"/>
          </w:tcPr>
          <w:p>
            <w:pPr>
              <w:pStyle w:val="13"/>
            </w:pPr>
            <w:r>
              <w:t>0.43</w:t>
            </w:r>
          </w:p>
        </w:tc>
        <w:tc>
          <w:tcPr>
            <w:tcW w:w="2551" w:type="dxa"/>
            <w:vAlign w:val="center"/>
          </w:tcPr>
          <w:p>
            <w:pPr>
              <w:pStyle w:val="13"/>
            </w:pPr>
            <w:r>
              <w:t>0.43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4"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“三公”经费小计</w:t>
            </w:r>
          </w:p>
        </w:tc>
        <w:tc>
          <w:tcPr>
            <w:tcW w:w="2381" w:type="dxa"/>
            <w:vAlign w:val="center"/>
          </w:tcPr>
          <w:p>
            <w:pPr>
              <w:pStyle w:val="17"/>
            </w:pPr>
            <w:r>
              <w:t>0.07</w:t>
            </w:r>
          </w:p>
        </w:tc>
        <w:tc>
          <w:tcPr>
            <w:tcW w:w="2381" w:type="dxa"/>
            <w:vAlign w:val="center"/>
          </w:tcPr>
          <w:p>
            <w:pPr>
              <w:pStyle w:val="17"/>
            </w:pPr>
            <w:r>
              <w:t>0.07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一、因公出国（境）费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二、公务用车购置及运维费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t xml:space="preserve">    </w:t>
            </w:r>
            <w:r>
              <w:rPr>
                <w:rFonts w:hint="eastAsia"/>
              </w:rPr>
              <w:t>其中：公务用车购置费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t xml:space="preserve">          </w:t>
            </w:r>
            <w:r>
              <w:rPr>
                <w:rFonts w:hint="eastAsia"/>
              </w:rPr>
              <w:t>公务用车运行维护费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rPr>
                <w:rFonts w:hint="eastAsia"/>
              </w:rPr>
              <w:t>三、公务接待费</w:t>
            </w:r>
          </w:p>
        </w:tc>
        <w:tc>
          <w:tcPr>
            <w:tcW w:w="2381" w:type="dxa"/>
            <w:vAlign w:val="center"/>
          </w:tcPr>
          <w:p>
            <w:pPr>
              <w:pStyle w:val="13"/>
            </w:pPr>
            <w:r>
              <w:t>0.07</w:t>
            </w:r>
          </w:p>
        </w:tc>
        <w:tc>
          <w:tcPr>
            <w:tcW w:w="2381" w:type="dxa"/>
            <w:vAlign w:val="center"/>
          </w:tcPr>
          <w:p>
            <w:pPr>
              <w:pStyle w:val="13"/>
            </w:pPr>
            <w:r>
              <w:t>0.07</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szCs w:val="44"/>
        </w:rPr>
        <w:t>医保部门秦皇岛市山海关区医疗保障局本级</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按照《预算法》、《地方预决算公开操作规程》和《关于进一步推进预算公开工作的实施意见》规定，现将医保部门秦皇岛市山海关区医疗保障局本级</w:t>
      </w:r>
      <w:r>
        <w:rPr>
          <w:rFonts w:eastAsia="方正仿宋_GBK"/>
          <w:color w:val="000000"/>
          <w:sz w:val="28"/>
          <w:szCs w:val="28"/>
        </w:rPr>
        <w:t>2023</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27"/>
      </w:pPr>
      <w:r>
        <w:rPr>
          <w:rFonts w:hint="eastAsia" w:cs="方正仿宋_GBK"/>
        </w:rPr>
        <w:t>单位职责</w:t>
      </w:r>
      <w:r>
        <w:t>:</w:t>
      </w:r>
    </w:p>
    <w:p>
      <w:pPr>
        <w:pStyle w:val="27"/>
      </w:pPr>
      <w:r>
        <w:rPr>
          <w:rFonts w:hint="eastAsia" w:cs="方正仿宋_GBK"/>
        </w:rPr>
        <w:t>根据《医保局职能配置、内设机构和人员编制规定》，</w:t>
      </w:r>
      <w:r>
        <w:t xml:space="preserve"> </w:t>
      </w:r>
      <w:r>
        <w:rPr>
          <w:rFonts w:hint="eastAsia" w:cs="方正仿宋_GBK"/>
        </w:rPr>
        <w:t>医保部门的主要职责是：</w:t>
      </w:r>
    </w:p>
    <w:p>
      <w:pPr>
        <w:pStyle w:val="27"/>
      </w:pPr>
      <w:r>
        <w:t>(</w:t>
      </w:r>
      <w:r>
        <w:rPr>
          <w:rFonts w:hint="eastAsia" w:cs="方正仿宋_GBK"/>
        </w:rPr>
        <w:t>一</w:t>
      </w:r>
      <w:r>
        <w:t>)</w:t>
      </w:r>
      <w:r>
        <w:rPr>
          <w:rFonts w:hint="eastAsia" w:cs="方正仿宋_GBK"/>
        </w:rPr>
        <w:t>拟订并贯彻落实全区城镇职工和城乡居民医疗保险、生育保险、医疗救助等医疗保障规范性文件以及政策、制度、规划和标准。</w:t>
      </w:r>
    </w:p>
    <w:p>
      <w:pPr>
        <w:pStyle w:val="27"/>
      </w:pPr>
      <w:r>
        <w:t>(</w:t>
      </w:r>
      <w:r>
        <w:rPr>
          <w:rFonts w:hint="eastAsia" w:cs="方正仿宋_GBK"/>
        </w:rPr>
        <w:t>二</w:t>
      </w:r>
      <w:r>
        <w:t>)</w:t>
      </w:r>
      <w:r>
        <w:rPr>
          <w:rFonts w:hint="eastAsia" w:cs="方正仿宋_GBK"/>
        </w:rPr>
        <w:t>拟订并贯彻落实全区医疗保险基金监督管理办法</w:t>
      </w:r>
      <w:r>
        <w:t>,</w:t>
      </w:r>
      <w:r>
        <w:rPr>
          <w:rFonts w:hint="eastAsia" w:cs="方正仿宋_GBK"/>
        </w:rPr>
        <w:t>建立健全医疗保障基金安全防控机制</w:t>
      </w:r>
      <w:r>
        <w:t>,</w:t>
      </w:r>
      <w:r>
        <w:rPr>
          <w:rFonts w:hint="eastAsia" w:cs="方正仿宋_GBK"/>
        </w:rPr>
        <w:t>组织建设智能监控平台</w:t>
      </w:r>
      <w:r>
        <w:t>,</w:t>
      </w:r>
      <w:r>
        <w:rPr>
          <w:rFonts w:hint="eastAsia" w:cs="方正仿宋_GBK"/>
        </w:rPr>
        <w:t>推进医疗保障基金支付方式改革</w:t>
      </w:r>
      <w:r>
        <w:t>,</w:t>
      </w:r>
      <w:r>
        <w:rPr>
          <w:rFonts w:hint="eastAsia" w:cs="方正仿宋_GBK"/>
        </w:rPr>
        <w:t>并组织实施。</w:t>
      </w:r>
    </w:p>
    <w:p>
      <w:pPr>
        <w:pStyle w:val="27"/>
      </w:pPr>
      <w:r>
        <w:t>(</w:t>
      </w:r>
      <w:r>
        <w:rPr>
          <w:rFonts w:hint="eastAsia" w:cs="方正仿宋_GBK"/>
        </w:rPr>
        <w:t>三</w:t>
      </w:r>
      <w:r>
        <w:t>)</w:t>
      </w:r>
      <w:r>
        <w:rPr>
          <w:rFonts w:hint="eastAsia" w:cs="方正仿宋_GBK"/>
        </w:rPr>
        <w:t>组织制定全区城镇职工、城乡居民参保筹资和保障待遇政策</w:t>
      </w:r>
      <w:r>
        <w:t>,</w:t>
      </w:r>
      <w:r>
        <w:rPr>
          <w:rFonts w:hint="eastAsia" w:cs="方正仿宋_GBK"/>
        </w:rPr>
        <w:t>统筹城乡医疗保障政策标准</w:t>
      </w:r>
      <w:r>
        <w:t>,</w:t>
      </w:r>
      <w:r>
        <w:rPr>
          <w:rFonts w:hint="eastAsia" w:cs="方正仿宋_GBK"/>
        </w:rPr>
        <w:t>建立健全与筹资水平相适应的待遇调整机制。拟订并贯彻落实长期护理保险制度方案及政策标准并推进实施。</w:t>
      </w:r>
    </w:p>
    <w:p>
      <w:pPr>
        <w:pStyle w:val="27"/>
      </w:pPr>
      <w:r>
        <w:t>(</w:t>
      </w:r>
      <w:r>
        <w:rPr>
          <w:rFonts w:hint="eastAsia" w:cs="方正仿宋_GBK"/>
        </w:rPr>
        <w:t>四</w:t>
      </w:r>
      <w:r>
        <w:t>)</w:t>
      </w:r>
      <w:r>
        <w:rPr>
          <w:rFonts w:hint="eastAsia" w:cs="方正仿宋_GBK"/>
        </w:rPr>
        <w:t>根据省、市医保目录及时组织调整全区城乡统一的药品、医用耗材、医疗服务项目、医疗服务设施等医保目录和支付标准</w:t>
      </w:r>
      <w:r>
        <w:t>,</w:t>
      </w:r>
      <w:r>
        <w:rPr>
          <w:rFonts w:hint="eastAsia" w:cs="方正仿宋_GBK"/>
        </w:rPr>
        <w:t>建立动态调整机制</w:t>
      </w:r>
      <w:r>
        <w:t>,</w:t>
      </w:r>
      <w:r>
        <w:rPr>
          <w:rFonts w:hint="eastAsia" w:cs="方正仿宋_GBK"/>
        </w:rPr>
        <w:t>制定医保目录准入谈判规则并组织实施。</w:t>
      </w:r>
    </w:p>
    <w:p>
      <w:pPr>
        <w:pStyle w:val="27"/>
      </w:pPr>
      <w:r>
        <w:t>(</w:t>
      </w:r>
      <w:r>
        <w:rPr>
          <w:rFonts w:hint="eastAsia" w:cs="方正仿宋_GBK"/>
        </w:rPr>
        <w:t>五</w:t>
      </w:r>
      <w:r>
        <w:t>)</w:t>
      </w:r>
      <w:r>
        <w:rPr>
          <w:rFonts w:hint="eastAsia" w:cs="方正仿宋_GBK"/>
        </w:rPr>
        <w:t>组织制定全区药品、医用耗材价格和医疗服务项目医疗服务设施收费等政策。建立医保支付医药服务价格合理确定和动态调整机制</w:t>
      </w:r>
      <w:r>
        <w:t>,</w:t>
      </w:r>
      <w:r>
        <w:rPr>
          <w:rFonts w:hint="eastAsia" w:cs="方正仿宋_GBK"/>
        </w:rPr>
        <w:t>依法管理药品、医用耗材、医疗服务价格政策执行情况。建立完善药品、医用耗材和医疗服务价格监测信息发布制度。</w:t>
      </w:r>
    </w:p>
    <w:p>
      <w:pPr>
        <w:pStyle w:val="27"/>
      </w:pPr>
      <w:r>
        <w:t>(</w:t>
      </w:r>
      <w:r>
        <w:rPr>
          <w:rFonts w:hint="eastAsia" w:cs="方正仿宋_GBK"/>
        </w:rPr>
        <w:t>六</w:t>
      </w:r>
      <w:r>
        <w:t>)</w:t>
      </w:r>
      <w:r>
        <w:rPr>
          <w:rFonts w:hint="eastAsia" w:cs="方正仿宋_GBK"/>
        </w:rPr>
        <w:t>制定全区药品、医用耗材的招标采购政策并监督实施</w:t>
      </w:r>
      <w:r>
        <w:t>,</w:t>
      </w:r>
      <w:r>
        <w:rPr>
          <w:rFonts w:hint="eastAsia" w:cs="方正仿宋_GBK"/>
        </w:rPr>
        <w:t>指导药品、医用耗材招标采购平台建设。</w:t>
      </w:r>
    </w:p>
    <w:p>
      <w:pPr>
        <w:pStyle w:val="27"/>
      </w:pPr>
      <w:r>
        <w:t>(</w:t>
      </w:r>
      <w:r>
        <w:rPr>
          <w:rFonts w:hint="eastAsia" w:cs="方正仿宋_GBK"/>
        </w:rPr>
        <w:t>七</w:t>
      </w:r>
      <w:r>
        <w:t>)</w:t>
      </w:r>
      <w:r>
        <w:rPr>
          <w:rFonts w:hint="eastAsia" w:cs="方正仿宋_GBK"/>
        </w:rPr>
        <w:t>制定全区定点医药机构协议和支付管理办法并组织实施</w:t>
      </w:r>
      <w:r>
        <w:t>;</w:t>
      </w:r>
      <w:r>
        <w:rPr>
          <w:rFonts w:hint="eastAsia" w:cs="方正仿宋_GBK"/>
        </w:rPr>
        <w:t>建立健全医疗保障信用评价体系和信息披露制度</w:t>
      </w:r>
      <w:r>
        <w:t>,</w:t>
      </w:r>
      <w:r>
        <w:rPr>
          <w:rFonts w:hint="eastAsia" w:cs="方正仿宋_GBK"/>
        </w:rPr>
        <w:t>监督管理定点医药机构的医疗服务行为、医疗费用和医药价格</w:t>
      </w:r>
      <w:r>
        <w:t>,</w:t>
      </w:r>
      <w:r>
        <w:rPr>
          <w:rFonts w:hint="eastAsia" w:cs="方正仿宋_GBK"/>
        </w:rPr>
        <w:t>依法查处医疗保障领域违法违规行为。</w:t>
      </w:r>
    </w:p>
    <w:p>
      <w:pPr>
        <w:pStyle w:val="27"/>
      </w:pPr>
      <w:r>
        <w:t>(</w:t>
      </w:r>
      <w:r>
        <w:rPr>
          <w:rFonts w:hint="eastAsia" w:cs="方正仿宋_GBK"/>
        </w:rPr>
        <w:t>八</w:t>
      </w:r>
      <w:r>
        <w:t>)</w:t>
      </w:r>
      <w:r>
        <w:rPr>
          <w:rFonts w:hint="eastAsia" w:cs="方正仿宋_GBK"/>
        </w:rPr>
        <w:t>负责医疗保障经办管理、公共服务体系和信息化建设。</w:t>
      </w:r>
    </w:p>
    <w:p>
      <w:pPr>
        <w:pStyle w:val="27"/>
      </w:pPr>
      <w:r>
        <w:rPr>
          <w:rFonts w:hint="eastAsia" w:cs="方正仿宋_GBK"/>
        </w:rPr>
        <w:t>组织制定和完善异地就医管理和费用结算政策并组织实施。建立健全医疗保障关系转移接续制度。</w:t>
      </w:r>
    </w:p>
    <w:p>
      <w:pPr>
        <w:pStyle w:val="27"/>
      </w:pPr>
      <w:r>
        <w:rPr>
          <w:rFonts w:hint="eastAsia" w:cs="方正仿宋_GBK"/>
        </w:rPr>
        <w:t>（九）综合协调局机关及所属各单位的政务、事务、信息化工作。开展相关业务和政策培训。</w:t>
      </w:r>
    </w:p>
    <w:p>
      <w:pPr>
        <w:pStyle w:val="27"/>
      </w:pPr>
      <w:r>
        <w:rPr>
          <w:rFonts w:hint="eastAsia" w:cs="方正仿宋_GBK"/>
        </w:rPr>
        <w:t>（十）完成区委、区政府交办的其他任务。</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医保部门秦皇岛市山海关区医疗保障局本级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正科级</w:t>
            </w:r>
          </w:p>
        </w:tc>
        <w:tc>
          <w:tcPr>
            <w:tcW w:w="3827" w:type="dxa"/>
            <w:vAlign w:val="center"/>
          </w:tcPr>
          <w:p>
            <w:pPr>
              <w:pStyle w:val="15"/>
              <w:rPr>
                <w:rFonts w:cs="Times New Roman"/>
              </w:rPr>
            </w:pPr>
            <w:r>
              <w:rPr>
                <w:rFonts w:hint="eastAsia"/>
              </w:rPr>
              <w:t>财政拨款</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spacing w:line="500" w:lineRule="exact"/>
        <w:ind w:firstLine="560"/>
      </w:pPr>
      <w:r>
        <w:rPr>
          <w:rFonts w:hint="eastAsia" w:eastAsia="方正仿宋_GBK" w:cs="方正仿宋_GBK"/>
          <w:color w:val="000000"/>
          <w:sz w:val="28"/>
          <w:szCs w:val="28"/>
        </w:rPr>
        <w:t>按照预算管理有关规定，目前我省单位预算的编制实行综合预算管理，即全部收入和支出都反映在预算中。</w:t>
      </w:r>
    </w:p>
    <w:p>
      <w:pPr>
        <w:pStyle w:val="28"/>
      </w:pPr>
      <w:r>
        <w:rPr>
          <w:rFonts w:hint="eastAsia" w:cs="方正仿宋_GBK"/>
        </w:rPr>
        <w:t>二、单位预算安排的总体情况</w:t>
      </w:r>
    </w:p>
    <w:p>
      <w:pPr>
        <w:pStyle w:val="28"/>
      </w:pPr>
      <w:r>
        <w:rPr>
          <w:rFonts w:hint="eastAsia" w:cs="方正仿宋_GBK"/>
        </w:rPr>
        <w:t>按照预算管理有关规定，目前我区部门预算的编制实行综合预算制度，即全部收入和支出都反映在预算中。山海关区医保局收支包含在部门预算中。</w:t>
      </w:r>
    </w:p>
    <w:p>
      <w:pPr>
        <w:pStyle w:val="28"/>
      </w:pPr>
      <w:r>
        <w:t>1</w:t>
      </w:r>
      <w:r>
        <w:rPr>
          <w:rFonts w:hint="eastAsia" w:cs="方正仿宋_GBK"/>
        </w:rPr>
        <w:t>、收入说明</w:t>
      </w:r>
    </w:p>
    <w:p>
      <w:pPr>
        <w:pStyle w:val="28"/>
      </w:pPr>
      <w:r>
        <w:t>2022</w:t>
      </w:r>
      <w:r>
        <w:rPr>
          <w:rFonts w:hint="eastAsia" w:cs="方正仿宋_GBK"/>
        </w:rPr>
        <w:t>年预算收入</w:t>
      </w:r>
      <w:r>
        <w:t>433.48</w:t>
      </w:r>
      <w:r>
        <w:rPr>
          <w:rFonts w:hint="eastAsia" w:cs="方正仿宋_GBK"/>
        </w:rPr>
        <w:t>万元，其中：一般公共预算收入</w:t>
      </w:r>
      <w:r>
        <w:t>433.48</w:t>
      </w:r>
      <w:r>
        <w:rPr>
          <w:rFonts w:hint="eastAsia" w:cs="方正仿宋_GBK"/>
        </w:rPr>
        <w:t>万元，基金预算收入</w:t>
      </w:r>
      <w:r>
        <w:t>0</w:t>
      </w:r>
      <w:r>
        <w:rPr>
          <w:rFonts w:hint="eastAsia" w:cs="方正仿宋_GBK"/>
        </w:rPr>
        <w:t>元，财政专户核拨收入</w:t>
      </w:r>
      <w:r>
        <w:t>0</w:t>
      </w:r>
      <w:r>
        <w:rPr>
          <w:rFonts w:hint="eastAsia" w:cs="方正仿宋_GBK"/>
        </w:rPr>
        <w:t>元，其他来源收</w:t>
      </w:r>
      <w:r>
        <w:t>0</w:t>
      </w:r>
      <w:r>
        <w:rPr>
          <w:rFonts w:hint="eastAsia" w:cs="方正仿宋_GBK"/>
        </w:rPr>
        <w:t>元。</w:t>
      </w:r>
    </w:p>
    <w:p>
      <w:pPr>
        <w:pStyle w:val="28"/>
      </w:pPr>
      <w:r>
        <w:t>2</w:t>
      </w:r>
      <w:r>
        <w:rPr>
          <w:rFonts w:hint="eastAsia" w:cs="方正仿宋_GBK"/>
        </w:rPr>
        <w:t>、支出说明</w:t>
      </w:r>
    </w:p>
    <w:p>
      <w:pPr>
        <w:pStyle w:val="28"/>
      </w:pPr>
      <w:r>
        <w:rPr>
          <w:rFonts w:hint="eastAsia" w:cs="方正仿宋_GBK"/>
        </w:rPr>
        <w:t>收支预算总表支出栏、基本支出表、项目支出表按经济分类和支出功能分类科目编制，反映山海关区</w:t>
      </w:r>
      <w:r>
        <w:t>2023</w:t>
      </w:r>
      <w:r>
        <w:rPr>
          <w:rFonts w:hint="eastAsia" w:cs="方正仿宋_GBK"/>
        </w:rPr>
        <w:t>年度单位预算中支出预算的总体情况。</w:t>
      </w:r>
      <w:r>
        <w:t>2023</w:t>
      </w:r>
      <w:r>
        <w:rPr>
          <w:rFonts w:hint="eastAsia" w:cs="方正仿宋_GBK"/>
        </w:rPr>
        <w:t>年预算支出为</w:t>
      </w:r>
      <w:r>
        <w:t>433.48</w:t>
      </w:r>
      <w:r>
        <w:rPr>
          <w:rFonts w:hint="eastAsia" w:cs="方正仿宋_GBK"/>
        </w:rPr>
        <w:t>万元，其中：基本支出</w:t>
      </w:r>
      <w:r>
        <w:t>267.48</w:t>
      </w:r>
      <w:r>
        <w:rPr>
          <w:rFonts w:hint="eastAsia" w:cs="方正仿宋_GBK"/>
        </w:rPr>
        <w:t>元，主要是人员经费</w:t>
      </w:r>
      <w:r>
        <w:t>248.55</w:t>
      </w:r>
      <w:r>
        <w:rPr>
          <w:rFonts w:hint="eastAsia" w:cs="方正仿宋_GBK"/>
        </w:rPr>
        <w:t>万元和日常公用经费</w:t>
      </w:r>
      <w:r>
        <w:t>18.92</w:t>
      </w:r>
      <w:r>
        <w:rPr>
          <w:rFonts w:hint="eastAsia" w:cs="方正仿宋_GBK"/>
        </w:rPr>
        <w:t>万元；项目支出</w:t>
      </w:r>
      <w:r>
        <w:t>166</w:t>
      </w:r>
      <w:r>
        <w:rPr>
          <w:rFonts w:hint="eastAsia" w:cs="方正仿宋_GBK"/>
        </w:rPr>
        <w:t>万元，主要为卫生健康支出</w:t>
      </w:r>
      <w:r>
        <w:t>165</w:t>
      </w:r>
      <w:r>
        <w:rPr>
          <w:rFonts w:hint="eastAsia" w:cs="方正仿宋_GBK"/>
        </w:rPr>
        <w:t>万元。</w:t>
      </w:r>
    </w:p>
    <w:p>
      <w:pPr>
        <w:pStyle w:val="28"/>
      </w:pPr>
      <w:r>
        <w:t>3</w:t>
      </w:r>
      <w:r>
        <w:rPr>
          <w:rFonts w:hint="eastAsia" w:cs="方正仿宋_GBK"/>
        </w:rPr>
        <w:t>、比上年增减情况</w:t>
      </w:r>
    </w:p>
    <w:p>
      <w:pPr>
        <w:pStyle w:val="28"/>
      </w:pPr>
      <w:r>
        <w:t>2023</w:t>
      </w:r>
      <w:r>
        <w:rPr>
          <w:rFonts w:hint="eastAsia" w:cs="方正仿宋_GBK"/>
        </w:rPr>
        <w:t>年预算支出安排</w:t>
      </w:r>
      <w:r>
        <w:t>433.48</w:t>
      </w:r>
      <w:r>
        <w:rPr>
          <w:rFonts w:hint="eastAsia" w:cs="方正仿宋_GBK"/>
        </w:rPr>
        <w:t>万元，较</w:t>
      </w:r>
      <w:r>
        <w:t>2022</w:t>
      </w:r>
      <w:r>
        <w:rPr>
          <w:rFonts w:hint="eastAsia" w:cs="方正仿宋_GBK"/>
        </w:rPr>
        <w:t>年预算</w:t>
      </w:r>
      <w:r>
        <w:t>397.47</w:t>
      </w:r>
      <w:r>
        <w:rPr>
          <w:rFonts w:hint="eastAsia" w:cs="方正仿宋_GBK"/>
        </w:rPr>
        <w:t>万元相比，增加</w:t>
      </w:r>
      <w:r>
        <w:t>36.01</w:t>
      </w:r>
      <w:r>
        <w:rPr>
          <w:rFonts w:hint="eastAsia" w:cs="方正仿宋_GBK"/>
        </w:rPr>
        <w:t>万元，其中：基本支出增加了</w:t>
      </w:r>
      <w:r>
        <w:t>33.01</w:t>
      </w:r>
      <w:r>
        <w:rPr>
          <w:rFonts w:hint="eastAsia" w:cs="方正仿宋_GBK"/>
        </w:rPr>
        <w:t>万元，主要为人员经费支出增加；项目支出增加了</w:t>
      </w:r>
      <w:r>
        <w:t>3</w:t>
      </w:r>
      <w:r>
        <w:rPr>
          <w:rFonts w:hint="eastAsia" w:cs="方正仿宋_GBK"/>
        </w:rPr>
        <w:t>万元，主要为新增保险核查费项目。</w:t>
      </w:r>
    </w:p>
    <w:p>
      <w:pPr>
        <w:spacing w:before="10" w:after="10"/>
        <w:ind w:firstLine="640"/>
        <w:outlineLvl w:val="5"/>
      </w:pPr>
      <w:r>
        <w:rPr>
          <w:rFonts w:hint="eastAsia" w:ascii="黑体" w:hAnsi="黑体" w:eastAsia="黑体" w:cs="黑体"/>
          <w:color w:val="000000"/>
          <w:sz w:val="32"/>
          <w:szCs w:val="32"/>
        </w:rPr>
        <w:t>三、机关运行经费安排情况</w:t>
      </w:r>
    </w:p>
    <w:p>
      <w:pPr>
        <w:pStyle w:val="29"/>
      </w:pPr>
      <w:r>
        <w:rPr>
          <w:rFonts w:hint="eastAsia" w:cs="方正仿宋_GBK"/>
        </w:rPr>
        <w:t>三、机关运行经费安排情况</w:t>
      </w:r>
    </w:p>
    <w:p>
      <w:pPr>
        <w:pStyle w:val="29"/>
      </w:pPr>
      <w:r>
        <w:rPr>
          <w:rFonts w:hint="eastAsia" w:cs="方正仿宋_GBK"/>
        </w:rPr>
        <w:t>机关运行经费共计安排</w:t>
      </w:r>
      <w:r>
        <w:t>18.92</w:t>
      </w:r>
      <w:r>
        <w:rPr>
          <w:rFonts w:hint="eastAsia" w:cs="方正仿宋_GBK"/>
        </w:rPr>
        <w:t>万元，主要用于办公费</w:t>
      </w:r>
      <w:r>
        <w:t>3.73</w:t>
      </w:r>
      <w:r>
        <w:rPr>
          <w:rFonts w:hint="eastAsia" w:cs="方正仿宋_GBK"/>
        </w:rPr>
        <w:t>万元、邮电费</w:t>
      </w:r>
      <w:r>
        <w:t>0.42</w:t>
      </w:r>
      <w:r>
        <w:rPr>
          <w:rFonts w:hint="eastAsia" w:cs="方正仿宋_GBK"/>
        </w:rPr>
        <w:t>万元、维修（护）费</w:t>
      </w:r>
      <w:r>
        <w:t>0.5</w:t>
      </w:r>
      <w:r>
        <w:rPr>
          <w:rFonts w:hint="eastAsia" w:cs="方正仿宋_GBK"/>
        </w:rPr>
        <w:t>万元、公务交通补贴</w:t>
      </w:r>
      <w:r>
        <w:t>3.6</w:t>
      </w:r>
      <w:r>
        <w:rPr>
          <w:rFonts w:hint="eastAsia" w:cs="方正仿宋_GBK"/>
        </w:rPr>
        <w:t>万元、办公取暖费</w:t>
      </w:r>
      <w:r>
        <w:t>4.7</w:t>
      </w:r>
      <w:r>
        <w:rPr>
          <w:rFonts w:hint="eastAsia" w:cs="方正仿宋_GBK"/>
        </w:rPr>
        <w:t>万元、离退休干部经费</w:t>
      </w:r>
      <w:r>
        <w:t>0.24</w:t>
      </w:r>
      <w:r>
        <w:rPr>
          <w:rFonts w:hint="eastAsia" w:cs="方正仿宋_GBK"/>
        </w:rPr>
        <w:t>万元、培训费</w:t>
      </w:r>
      <w:r>
        <w:t>0.18</w:t>
      </w:r>
      <w:r>
        <w:rPr>
          <w:rFonts w:hint="eastAsia" w:cs="方正仿宋_GBK"/>
        </w:rPr>
        <w:t>万元、公务接待费</w:t>
      </w:r>
      <w:r>
        <w:t>0.07</w:t>
      </w:r>
      <w:r>
        <w:rPr>
          <w:rFonts w:hint="eastAsia" w:cs="方正仿宋_GBK"/>
        </w:rPr>
        <w:t>万元、工会经费</w:t>
      </w:r>
      <w:r>
        <w:t>3.02</w:t>
      </w:r>
      <w:r>
        <w:rPr>
          <w:rFonts w:hint="eastAsia" w:cs="方正仿宋_GBK"/>
        </w:rPr>
        <w:t>万元、福利费</w:t>
      </w:r>
      <w:r>
        <w:t>2.05</w:t>
      </w:r>
      <w:r>
        <w:rPr>
          <w:rFonts w:hint="eastAsia" w:cs="方正仿宋_GBK"/>
        </w:rPr>
        <w:t>万元、党组织活动经费</w:t>
      </w:r>
      <w:r>
        <w:t>0.17</w:t>
      </w:r>
      <w:r>
        <w:rPr>
          <w:rFonts w:hint="eastAsia" w:cs="方正仿宋_GBK"/>
        </w:rPr>
        <w:t>万元、在职干部党建工作经费</w:t>
      </w:r>
      <w:r>
        <w:t>0.15</w:t>
      </w:r>
      <w:r>
        <w:rPr>
          <w:rFonts w:hint="eastAsia" w:cs="方正仿宋_GBK"/>
        </w:rPr>
        <w:t>万元、离退休干部党建工作经费</w:t>
      </w:r>
      <w:r>
        <w:t>0.01</w:t>
      </w:r>
      <w:r>
        <w:rPr>
          <w:rFonts w:hint="eastAsia" w:cs="方正仿宋_GBK"/>
        </w:rPr>
        <w:t>万元、网络运行维护费</w:t>
      </w:r>
      <w:r>
        <w:t>0.15</w:t>
      </w:r>
      <w:r>
        <w:rPr>
          <w:rFonts w:hint="eastAsia" w:cs="方正仿宋_GBK"/>
        </w:rPr>
        <w:t>万元和不可预见费</w:t>
      </w:r>
      <w:r>
        <w:t>0.1</w:t>
      </w:r>
      <w:r>
        <w:rPr>
          <w:rFonts w:hint="eastAsia" w:cs="方正仿宋_GBK"/>
        </w:rPr>
        <w:t>万元。等日常运行支出。</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30"/>
      </w:pPr>
      <w:r>
        <w:rPr>
          <w:rFonts w:hint="eastAsia" w:cs="方正仿宋_GBK"/>
        </w:rPr>
        <w:t>四、财政拨款</w:t>
      </w:r>
      <w:r>
        <w:t>“</w:t>
      </w:r>
      <w:r>
        <w:rPr>
          <w:rFonts w:hint="eastAsia" w:cs="方正仿宋_GBK"/>
        </w:rPr>
        <w:t>三公</w:t>
      </w:r>
      <w:r>
        <w:t>”</w:t>
      </w:r>
      <w:r>
        <w:rPr>
          <w:rFonts w:hint="eastAsia" w:cs="方正仿宋_GBK"/>
        </w:rPr>
        <w:t>经费预算情况及增减变化原因</w:t>
      </w:r>
    </w:p>
    <w:p>
      <w:pPr>
        <w:pStyle w:val="30"/>
      </w:pPr>
      <w:r>
        <w:t>2023</w:t>
      </w:r>
      <w:r>
        <w:rPr>
          <w:rFonts w:hint="eastAsia" w:cs="方正仿宋_GBK"/>
        </w:rPr>
        <w:t>年，我局财政拨款</w:t>
      </w:r>
      <w:r>
        <w:t>“</w:t>
      </w:r>
      <w:r>
        <w:rPr>
          <w:rFonts w:hint="eastAsia" w:cs="方正仿宋_GBK"/>
        </w:rPr>
        <w:t>三公</w:t>
      </w:r>
      <w:r>
        <w:t>”</w:t>
      </w:r>
      <w:r>
        <w:rPr>
          <w:rFonts w:hint="eastAsia" w:cs="方正仿宋_GBK"/>
        </w:rPr>
        <w:t>经费预算安排</w:t>
      </w:r>
      <w:r>
        <w:t>0.07</w:t>
      </w:r>
      <w:r>
        <w:rPr>
          <w:rFonts w:hint="eastAsia" w:cs="方正仿宋_GBK"/>
        </w:rPr>
        <w:t>万元，与上年持平无增减变化。其中：因公出国（境）费</w:t>
      </w:r>
      <w:r>
        <w:t>0</w:t>
      </w:r>
      <w:r>
        <w:rPr>
          <w:rFonts w:hint="eastAsia" w:cs="方正仿宋_GBK"/>
        </w:rPr>
        <w:t>万元，与上年持平，无增减变化；公务用车购置费</w:t>
      </w:r>
      <w:r>
        <w:t>0</w:t>
      </w:r>
      <w:r>
        <w:rPr>
          <w:rFonts w:hint="eastAsia" w:cs="方正仿宋_GBK"/>
        </w:rPr>
        <w:t>万元，与上年持平，无增减变化；主要原因是严格按照三公经费预算要求，切实落实勤俭节约各项规定，严格控制支出。公务用车运行维护费</w:t>
      </w:r>
      <w:r>
        <w:t>0</w:t>
      </w:r>
      <w:r>
        <w:rPr>
          <w:rFonts w:hint="eastAsia" w:cs="方正仿宋_GBK"/>
        </w:rPr>
        <w:t>元，公务接待费</w:t>
      </w:r>
      <w:r>
        <w:t>0.07</w:t>
      </w:r>
      <w:r>
        <w:rPr>
          <w:rFonts w:hint="eastAsia" w:cs="方正仿宋_GBK"/>
        </w:rPr>
        <w:t>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五、预算绩效信息</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、基金专项审计及业务费绩效目标表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按时支付基金专项审计及业务费</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2835" w:type="dxa"/>
            <w:vAlign w:val="center"/>
          </w:tcPr>
          <w:p>
            <w:pPr>
              <w:pStyle w:val="14"/>
              <w:rPr>
                <w:rFonts w:cs="Times New Roman"/>
              </w:rPr>
            </w:pPr>
            <w:r>
              <w:rPr>
                <w:rFonts w:hint="eastAsia"/>
              </w:rPr>
              <w:t>按时缴纳费用</w:t>
            </w:r>
          </w:p>
        </w:tc>
        <w:tc>
          <w:tcPr>
            <w:tcW w:w="2551" w:type="dxa"/>
            <w:vAlign w:val="center"/>
          </w:tcPr>
          <w:p>
            <w:pPr>
              <w:pStyle w:val="14"/>
            </w:pPr>
            <w:r>
              <w:t>100%</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完成质量</w:t>
            </w:r>
          </w:p>
        </w:tc>
        <w:tc>
          <w:tcPr>
            <w:tcW w:w="2835" w:type="dxa"/>
            <w:vAlign w:val="center"/>
          </w:tcPr>
          <w:p>
            <w:pPr>
              <w:pStyle w:val="14"/>
              <w:rPr>
                <w:rFonts w:cs="Times New Roman"/>
              </w:rPr>
            </w:pPr>
            <w:r>
              <w:rPr>
                <w:rFonts w:hint="eastAsia"/>
              </w:rPr>
              <w:t>足额缴纳</w:t>
            </w:r>
          </w:p>
        </w:tc>
        <w:tc>
          <w:tcPr>
            <w:tcW w:w="2551" w:type="dxa"/>
            <w:vAlign w:val="center"/>
          </w:tcPr>
          <w:p>
            <w:pPr>
              <w:pStyle w:val="14"/>
            </w:pPr>
            <w:r>
              <w:t>100%</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资金支付及时率</w:t>
            </w:r>
          </w:p>
        </w:tc>
        <w:tc>
          <w:tcPr>
            <w:tcW w:w="2835" w:type="dxa"/>
            <w:vAlign w:val="center"/>
          </w:tcPr>
          <w:p>
            <w:pPr>
              <w:pStyle w:val="14"/>
              <w:rPr>
                <w:rFonts w:cs="Times New Roman"/>
              </w:rPr>
            </w:pPr>
            <w:r>
              <w:rPr>
                <w:rFonts w:hint="eastAsia"/>
              </w:rPr>
              <w:t>资金支付及时率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控制在预算资金内</w:t>
            </w:r>
          </w:p>
        </w:tc>
        <w:tc>
          <w:tcPr>
            <w:tcW w:w="2835" w:type="dxa"/>
            <w:vAlign w:val="center"/>
          </w:tcPr>
          <w:p>
            <w:pPr>
              <w:pStyle w:val="14"/>
              <w:rPr>
                <w:rFonts w:cs="Times New Roman"/>
              </w:rPr>
            </w:pPr>
            <w:r>
              <w:rPr>
                <w:rFonts w:hint="eastAsia"/>
              </w:rPr>
              <w:t>控制在预算资金内</w:t>
            </w:r>
          </w:p>
        </w:tc>
        <w:tc>
          <w:tcPr>
            <w:tcW w:w="2551" w:type="dxa"/>
            <w:vAlign w:val="center"/>
          </w:tcPr>
          <w:p>
            <w:pPr>
              <w:pStyle w:val="14"/>
              <w:rPr>
                <w:rFonts w:cs="Times New Roman"/>
              </w:rPr>
            </w:pPr>
            <w:r>
              <w:rPr>
                <w:rFonts w:hint="eastAsia"/>
              </w:rPr>
              <w:t>按要求控制在预算内</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资金使用效益</w:t>
            </w:r>
          </w:p>
        </w:tc>
        <w:tc>
          <w:tcPr>
            <w:tcW w:w="2835" w:type="dxa"/>
            <w:vAlign w:val="center"/>
          </w:tcPr>
          <w:p>
            <w:pPr>
              <w:pStyle w:val="14"/>
              <w:rPr>
                <w:rFonts w:cs="Times New Roman"/>
              </w:rPr>
            </w:pPr>
            <w:r>
              <w:rPr>
                <w:rFonts w:hint="eastAsia"/>
              </w:rPr>
              <w:t>资金支出情况</w:t>
            </w:r>
          </w:p>
        </w:tc>
        <w:tc>
          <w:tcPr>
            <w:tcW w:w="2551" w:type="dxa"/>
            <w:vAlign w:val="center"/>
          </w:tcPr>
          <w:p>
            <w:pPr>
              <w:pStyle w:val="14"/>
              <w:rPr>
                <w:rFonts w:cs="Times New Roman"/>
              </w:rPr>
            </w:pPr>
            <w:r>
              <w:rPr>
                <w:rFonts w:hint="eastAsia"/>
              </w:rPr>
              <w:t>按要求支出</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业务工作稳定性</w:t>
            </w:r>
          </w:p>
        </w:tc>
        <w:tc>
          <w:tcPr>
            <w:tcW w:w="2835" w:type="dxa"/>
            <w:vAlign w:val="center"/>
          </w:tcPr>
          <w:p>
            <w:pPr>
              <w:pStyle w:val="14"/>
              <w:rPr>
                <w:rFonts w:cs="Times New Roman"/>
              </w:rPr>
            </w:pPr>
            <w:r>
              <w:rPr>
                <w:rFonts w:hint="eastAsia"/>
              </w:rPr>
              <w:t>通过日常工作稳定运转</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职工满意度</w:t>
            </w:r>
          </w:p>
        </w:tc>
        <w:tc>
          <w:tcPr>
            <w:tcW w:w="2835" w:type="dxa"/>
            <w:vAlign w:val="center"/>
          </w:tcPr>
          <w:p>
            <w:pPr>
              <w:pStyle w:val="14"/>
              <w:rPr>
                <w:rFonts w:cs="Times New Roman"/>
              </w:rPr>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、全民参保业务经费绩效目标表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按时支付全民参保业务经费</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2835" w:type="dxa"/>
            <w:vAlign w:val="center"/>
          </w:tcPr>
          <w:p>
            <w:pPr>
              <w:pStyle w:val="14"/>
              <w:rPr>
                <w:rFonts w:cs="Times New Roman"/>
              </w:rPr>
            </w:pPr>
            <w:r>
              <w:rPr>
                <w:rFonts w:hint="eastAsia"/>
              </w:rPr>
              <w:t>按要求按时支付</w:t>
            </w:r>
          </w:p>
        </w:tc>
        <w:tc>
          <w:tcPr>
            <w:tcW w:w="2551" w:type="dxa"/>
            <w:vAlign w:val="center"/>
          </w:tcPr>
          <w:p>
            <w:pPr>
              <w:pStyle w:val="14"/>
            </w:pPr>
            <w:r>
              <w:t>100%</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完成质量</w:t>
            </w:r>
          </w:p>
        </w:tc>
        <w:tc>
          <w:tcPr>
            <w:tcW w:w="2835" w:type="dxa"/>
            <w:vAlign w:val="center"/>
          </w:tcPr>
          <w:p>
            <w:pPr>
              <w:pStyle w:val="14"/>
              <w:rPr>
                <w:rFonts w:cs="Times New Roman"/>
              </w:rPr>
            </w:pPr>
            <w:r>
              <w:rPr>
                <w:rFonts w:hint="eastAsia"/>
              </w:rPr>
              <w:t>按要求足额支付</w:t>
            </w:r>
          </w:p>
        </w:tc>
        <w:tc>
          <w:tcPr>
            <w:tcW w:w="2551" w:type="dxa"/>
            <w:vAlign w:val="center"/>
          </w:tcPr>
          <w:p>
            <w:pPr>
              <w:pStyle w:val="14"/>
            </w:pPr>
            <w:r>
              <w:t>100%</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资金支付及时率</w:t>
            </w:r>
          </w:p>
        </w:tc>
        <w:tc>
          <w:tcPr>
            <w:tcW w:w="2835" w:type="dxa"/>
            <w:vAlign w:val="center"/>
          </w:tcPr>
          <w:p>
            <w:pPr>
              <w:pStyle w:val="14"/>
              <w:rPr>
                <w:rFonts w:cs="Times New Roman"/>
              </w:rPr>
            </w:pPr>
            <w:r>
              <w:rPr>
                <w:rFonts w:hint="eastAsia"/>
              </w:rPr>
              <w:t>资金支付及时率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控制在预算资金内</w:t>
            </w:r>
          </w:p>
        </w:tc>
        <w:tc>
          <w:tcPr>
            <w:tcW w:w="2835" w:type="dxa"/>
            <w:vAlign w:val="center"/>
          </w:tcPr>
          <w:p>
            <w:pPr>
              <w:pStyle w:val="14"/>
              <w:rPr>
                <w:rFonts w:cs="Times New Roman"/>
              </w:rPr>
            </w:pPr>
            <w:r>
              <w:rPr>
                <w:rFonts w:hint="eastAsia"/>
              </w:rPr>
              <w:t>控制在预算资金内</w:t>
            </w:r>
          </w:p>
        </w:tc>
        <w:tc>
          <w:tcPr>
            <w:tcW w:w="2551" w:type="dxa"/>
            <w:vAlign w:val="center"/>
          </w:tcPr>
          <w:p>
            <w:pPr>
              <w:pStyle w:val="14"/>
              <w:rPr>
                <w:rFonts w:cs="Times New Roman"/>
              </w:rPr>
            </w:pPr>
            <w:r>
              <w:rPr>
                <w:rFonts w:hint="eastAsia"/>
              </w:rPr>
              <w:t>按要求控制在预算内</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资金使用效益</w:t>
            </w:r>
          </w:p>
        </w:tc>
        <w:tc>
          <w:tcPr>
            <w:tcW w:w="2835" w:type="dxa"/>
            <w:vAlign w:val="center"/>
          </w:tcPr>
          <w:p>
            <w:pPr>
              <w:pStyle w:val="14"/>
              <w:rPr>
                <w:rFonts w:cs="Times New Roman"/>
              </w:rPr>
            </w:pPr>
            <w:r>
              <w:rPr>
                <w:rFonts w:hint="eastAsia"/>
              </w:rPr>
              <w:t>资金支出情况</w:t>
            </w:r>
          </w:p>
        </w:tc>
        <w:tc>
          <w:tcPr>
            <w:tcW w:w="2551" w:type="dxa"/>
            <w:vAlign w:val="center"/>
          </w:tcPr>
          <w:p>
            <w:pPr>
              <w:pStyle w:val="14"/>
              <w:rPr>
                <w:rFonts w:cs="Times New Roman"/>
              </w:rPr>
            </w:pPr>
            <w:r>
              <w:rPr>
                <w:rFonts w:hint="eastAsia"/>
              </w:rPr>
              <w:t>按要求支出</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业务工作稳定性</w:t>
            </w:r>
          </w:p>
        </w:tc>
        <w:tc>
          <w:tcPr>
            <w:tcW w:w="2835" w:type="dxa"/>
            <w:vAlign w:val="center"/>
          </w:tcPr>
          <w:p>
            <w:pPr>
              <w:pStyle w:val="14"/>
              <w:rPr>
                <w:rFonts w:cs="Times New Roman"/>
              </w:rPr>
            </w:pPr>
            <w:r>
              <w:rPr>
                <w:rFonts w:hint="eastAsia"/>
              </w:rPr>
              <w:t>通过日常工作稳定运转</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满意率</w:t>
            </w:r>
          </w:p>
        </w:tc>
        <w:tc>
          <w:tcPr>
            <w:tcW w:w="2835" w:type="dxa"/>
            <w:vAlign w:val="center"/>
          </w:tcPr>
          <w:p>
            <w:pPr>
              <w:pStyle w:val="14"/>
              <w:rPr>
                <w:rFonts w:cs="Times New Roman"/>
              </w:rPr>
            </w:pPr>
            <w:r>
              <w:rPr>
                <w:rFonts w:hint="eastAsia"/>
              </w:rPr>
              <w:t>满意率</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按时支付人事代理专项补贴</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2835" w:type="dxa"/>
            <w:vAlign w:val="center"/>
          </w:tcPr>
          <w:p>
            <w:pPr>
              <w:pStyle w:val="14"/>
              <w:rPr>
                <w:rFonts w:cs="Times New Roman"/>
              </w:rPr>
            </w:pPr>
            <w:r>
              <w:rPr>
                <w:rFonts w:hint="eastAsia"/>
              </w:rPr>
              <w:t>按要求按时发放</w:t>
            </w:r>
          </w:p>
        </w:tc>
        <w:tc>
          <w:tcPr>
            <w:tcW w:w="2551" w:type="dxa"/>
            <w:vAlign w:val="center"/>
          </w:tcPr>
          <w:p>
            <w:pPr>
              <w:pStyle w:val="14"/>
            </w:pPr>
            <w:r>
              <w:t>100%</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完成质量</w:t>
            </w:r>
          </w:p>
        </w:tc>
        <w:tc>
          <w:tcPr>
            <w:tcW w:w="2835" w:type="dxa"/>
            <w:vAlign w:val="center"/>
          </w:tcPr>
          <w:p>
            <w:pPr>
              <w:pStyle w:val="14"/>
              <w:rPr>
                <w:rFonts w:cs="Times New Roman"/>
              </w:rPr>
            </w:pPr>
            <w:r>
              <w:rPr>
                <w:rFonts w:hint="eastAsia"/>
              </w:rPr>
              <w:t>按要求足额发放</w:t>
            </w:r>
          </w:p>
        </w:tc>
        <w:tc>
          <w:tcPr>
            <w:tcW w:w="2551" w:type="dxa"/>
            <w:vAlign w:val="center"/>
          </w:tcPr>
          <w:p>
            <w:pPr>
              <w:pStyle w:val="14"/>
            </w:pPr>
            <w:r>
              <w:t>100%</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资金支付及时率</w:t>
            </w:r>
          </w:p>
        </w:tc>
        <w:tc>
          <w:tcPr>
            <w:tcW w:w="2835" w:type="dxa"/>
            <w:vAlign w:val="center"/>
          </w:tcPr>
          <w:p>
            <w:pPr>
              <w:pStyle w:val="14"/>
              <w:rPr>
                <w:rFonts w:cs="Times New Roman"/>
              </w:rPr>
            </w:pPr>
            <w:r>
              <w:rPr>
                <w:rFonts w:hint="eastAsia"/>
              </w:rPr>
              <w:t>资金支付及时率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控制在预算资金内</w:t>
            </w:r>
          </w:p>
        </w:tc>
        <w:tc>
          <w:tcPr>
            <w:tcW w:w="2835" w:type="dxa"/>
            <w:vAlign w:val="center"/>
          </w:tcPr>
          <w:p>
            <w:pPr>
              <w:pStyle w:val="14"/>
              <w:rPr>
                <w:rFonts w:cs="Times New Roman"/>
              </w:rPr>
            </w:pPr>
            <w:r>
              <w:rPr>
                <w:rFonts w:hint="eastAsia"/>
              </w:rPr>
              <w:t>控制在预算资金内</w:t>
            </w:r>
          </w:p>
        </w:tc>
        <w:tc>
          <w:tcPr>
            <w:tcW w:w="2551" w:type="dxa"/>
            <w:vAlign w:val="center"/>
          </w:tcPr>
          <w:p>
            <w:pPr>
              <w:pStyle w:val="14"/>
              <w:rPr>
                <w:rFonts w:cs="Times New Roman"/>
              </w:rPr>
            </w:pPr>
            <w:r>
              <w:rPr>
                <w:rFonts w:hint="eastAsia"/>
              </w:rPr>
              <w:t>按要求控制在预算内</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资金使用效益</w:t>
            </w:r>
          </w:p>
        </w:tc>
        <w:tc>
          <w:tcPr>
            <w:tcW w:w="2835" w:type="dxa"/>
            <w:vAlign w:val="center"/>
          </w:tcPr>
          <w:p>
            <w:pPr>
              <w:pStyle w:val="14"/>
              <w:rPr>
                <w:rFonts w:cs="Times New Roman"/>
              </w:rPr>
            </w:pPr>
            <w:r>
              <w:rPr>
                <w:rFonts w:hint="eastAsia"/>
              </w:rPr>
              <w:t>资金支出情况</w:t>
            </w:r>
          </w:p>
        </w:tc>
        <w:tc>
          <w:tcPr>
            <w:tcW w:w="2551" w:type="dxa"/>
            <w:vAlign w:val="center"/>
          </w:tcPr>
          <w:p>
            <w:pPr>
              <w:pStyle w:val="14"/>
              <w:rPr>
                <w:rFonts w:cs="Times New Roman"/>
              </w:rPr>
            </w:pPr>
            <w:r>
              <w:rPr>
                <w:rFonts w:hint="eastAsia"/>
              </w:rPr>
              <w:t>按要求支出</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业务工作稳定性</w:t>
            </w:r>
          </w:p>
        </w:tc>
        <w:tc>
          <w:tcPr>
            <w:tcW w:w="2835" w:type="dxa"/>
            <w:vAlign w:val="center"/>
          </w:tcPr>
          <w:p>
            <w:pPr>
              <w:pStyle w:val="14"/>
              <w:rPr>
                <w:rFonts w:cs="Times New Roman"/>
              </w:rPr>
            </w:pPr>
            <w:r>
              <w:rPr>
                <w:rFonts w:hint="eastAsia"/>
              </w:rPr>
              <w:t>通过日常工作稳定运转</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职工满意度</w:t>
            </w:r>
          </w:p>
        </w:tc>
        <w:tc>
          <w:tcPr>
            <w:tcW w:w="2835" w:type="dxa"/>
            <w:vAlign w:val="center"/>
          </w:tcPr>
          <w:p>
            <w:pPr>
              <w:pStyle w:val="14"/>
              <w:rPr>
                <w:rFonts w:cs="Times New Roman"/>
              </w:rPr>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劳动合同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、提前下达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年省级城乡基本医疗保险代办员补助秦财社【</w:t>
      </w:r>
      <w:r>
        <w:rPr>
          <w:rFonts w:ascii="方正仿宋_GBK" w:hAnsi="方正仿宋_GBK" w:eastAsia="方正仿宋_GBK" w:cs="方正仿宋_GBK"/>
          <w:b/>
          <w:bCs/>
          <w:color w:val="000000"/>
          <w:sz w:val="28"/>
          <w:szCs w:val="28"/>
        </w:rPr>
        <w:t>2022</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753</w:t>
      </w:r>
      <w:r>
        <w:rPr>
          <w:rFonts w:hint="eastAsia" w:ascii="方正仿宋_GBK" w:hAnsi="方正仿宋_GBK" w:eastAsia="方正仿宋_GBK" w:cs="方正仿宋_GBK"/>
          <w:b/>
          <w:bCs/>
          <w:color w:val="000000"/>
          <w:sz w:val="28"/>
          <w:szCs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用于支付城乡居民医疗保险代办员资金补助</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基本医疗保险参保人数</w:t>
            </w:r>
          </w:p>
        </w:tc>
        <w:tc>
          <w:tcPr>
            <w:tcW w:w="2835" w:type="dxa"/>
            <w:vAlign w:val="center"/>
          </w:tcPr>
          <w:p>
            <w:pPr>
              <w:pStyle w:val="14"/>
              <w:rPr>
                <w:rFonts w:cs="Times New Roman"/>
              </w:rPr>
            </w:pPr>
            <w:r>
              <w:rPr>
                <w:rFonts w:hint="eastAsia"/>
              </w:rPr>
              <w:t>基本医疗保险参保人数</w:t>
            </w:r>
          </w:p>
        </w:tc>
        <w:tc>
          <w:tcPr>
            <w:tcW w:w="2551" w:type="dxa"/>
            <w:vAlign w:val="center"/>
          </w:tcPr>
          <w:p>
            <w:pPr>
              <w:pStyle w:val="14"/>
            </w:pPr>
            <w:r>
              <w:t>100%</w:t>
            </w:r>
          </w:p>
        </w:tc>
        <w:tc>
          <w:tcPr>
            <w:tcW w:w="2268" w:type="dxa"/>
            <w:vAlign w:val="center"/>
          </w:tcPr>
          <w:p>
            <w:pPr>
              <w:pStyle w:val="14"/>
              <w:rPr>
                <w:rFonts w:cs="Times New Roman"/>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代办员配备情况</w:t>
            </w:r>
          </w:p>
        </w:tc>
        <w:tc>
          <w:tcPr>
            <w:tcW w:w="2835" w:type="dxa"/>
            <w:vAlign w:val="center"/>
          </w:tcPr>
          <w:p>
            <w:pPr>
              <w:pStyle w:val="14"/>
              <w:rPr>
                <w:rFonts w:cs="Times New Roman"/>
              </w:rPr>
            </w:pPr>
            <w:r>
              <w:rPr>
                <w:rFonts w:hint="eastAsia"/>
              </w:rPr>
              <w:t>代办员配备人数</w:t>
            </w:r>
          </w:p>
        </w:tc>
        <w:tc>
          <w:tcPr>
            <w:tcW w:w="2551" w:type="dxa"/>
            <w:vAlign w:val="center"/>
          </w:tcPr>
          <w:p>
            <w:pPr>
              <w:pStyle w:val="14"/>
            </w:pPr>
            <w:r>
              <w:t>100%</w:t>
            </w:r>
          </w:p>
        </w:tc>
        <w:tc>
          <w:tcPr>
            <w:tcW w:w="2268" w:type="dxa"/>
            <w:vAlign w:val="center"/>
          </w:tcPr>
          <w:p>
            <w:pPr>
              <w:pStyle w:val="14"/>
            </w:pPr>
            <w:r>
              <w:rPr>
                <w:rFonts w:hint="eastAsia"/>
              </w:rPr>
              <w:t>大于等于</w:t>
            </w: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财政资金到位金额</w:t>
            </w:r>
          </w:p>
        </w:tc>
        <w:tc>
          <w:tcPr>
            <w:tcW w:w="2835" w:type="dxa"/>
            <w:vAlign w:val="center"/>
          </w:tcPr>
          <w:p>
            <w:pPr>
              <w:pStyle w:val="14"/>
              <w:rPr>
                <w:rFonts w:cs="Times New Roman"/>
              </w:rPr>
            </w:pPr>
            <w:r>
              <w:rPr>
                <w:rFonts w:hint="eastAsia"/>
              </w:rPr>
              <w:t>省级实际拨款金额</w:t>
            </w:r>
          </w:p>
        </w:tc>
        <w:tc>
          <w:tcPr>
            <w:tcW w:w="2551" w:type="dxa"/>
            <w:vAlign w:val="center"/>
          </w:tcPr>
          <w:p>
            <w:pPr>
              <w:pStyle w:val="14"/>
            </w:pPr>
            <w:r>
              <w:t>100%</w:t>
            </w:r>
          </w:p>
        </w:tc>
        <w:tc>
          <w:tcPr>
            <w:tcW w:w="2268" w:type="dxa"/>
            <w:vAlign w:val="center"/>
          </w:tcPr>
          <w:p>
            <w:pPr>
              <w:pStyle w:val="14"/>
              <w:rPr>
                <w:rFonts w:cs="Times New Roman"/>
              </w:rPr>
            </w:pPr>
            <w:r>
              <w:t>1</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财政资金到位金额</w:t>
            </w:r>
          </w:p>
        </w:tc>
        <w:tc>
          <w:tcPr>
            <w:tcW w:w="2835" w:type="dxa"/>
            <w:vAlign w:val="center"/>
          </w:tcPr>
          <w:p>
            <w:pPr>
              <w:pStyle w:val="14"/>
              <w:rPr>
                <w:rFonts w:cs="Times New Roman"/>
              </w:rPr>
            </w:pPr>
            <w:r>
              <w:rPr>
                <w:rFonts w:hint="eastAsia"/>
              </w:rPr>
              <w:t>省级实际下拨资金的金额</w:t>
            </w:r>
          </w:p>
        </w:tc>
        <w:tc>
          <w:tcPr>
            <w:tcW w:w="2551" w:type="dxa"/>
            <w:vAlign w:val="center"/>
          </w:tcPr>
          <w:p>
            <w:pPr>
              <w:pStyle w:val="14"/>
              <w:rPr>
                <w:rFonts w:cs="Times New Roman"/>
              </w:rPr>
            </w:pPr>
            <w:r>
              <w:rPr>
                <w:rFonts w:hint="eastAsia"/>
              </w:rPr>
              <w:t>预算年度上年底</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医保重要政策知晓率</w:t>
            </w:r>
          </w:p>
        </w:tc>
        <w:tc>
          <w:tcPr>
            <w:tcW w:w="2835" w:type="dxa"/>
            <w:vAlign w:val="center"/>
          </w:tcPr>
          <w:p>
            <w:pPr>
              <w:pStyle w:val="14"/>
              <w:rPr>
                <w:rFonts w:cs="Times New Roman"/>
              </w:rPr>
            </w:pPr>
            <w:r>
              <w:rPr>
                <w:rFonts w:hint="eastAsia"/>
              </w:rPr>
              <w:t>是否知晓医保重要政策</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提供经办服务</w:t>
            </w:r>
          </w:p>
        </w:tc>
        <w:tc>
          <w:tcPr>
            <w:tcW w:w="2835" w:type="dxa"/>
            <w:vAlign w:val="center"/>
          </w:tcPr>
          <w:p>
            <w:pPr>
              <w:pStyle w:val="14"/>
              <w:rPr>
                <w:rFonts w:cs="Times New Roman"/>
              </w:rPr>
            </w:pPr>
            <w:r>
              <w:rPr>
                <w:rFonts w:hint="eastAsia"/>
              </w:rPr>
              <w:t>提升办理与服务水平</w:t>
            </w:r>
          </w:p>
        </w:tc>
        <w:tc>
          <w:tcPr>
            <w:tcW w:w="2551" w:type="dxa"/>
            <w:vAlign w:val="center"/>
          </w:tcPr>
          <w:p>
            <w:pPr>
              <w:pStyle w:val="14"/>
              <w:rPr>
                <w:rFonts w:cs="Times New Roman"/>
              </w:rPr>
            </w:pPr>
            <w:r>
              <w:rPr>
                <w:rFonts w:hint="eastAsia"/>
              </w:rPr>
              <w:t>保持经办服务顺利开展</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满意度</w:t>
            </w:r>
          </w:p>
        </w:tc>
        <w:tc>
          <w:tcPr>
            <w:tcW w:w="2835" w:type="dxa"/>
            <w:vAlign w:val="center"/>
          </w:tcPr>
          <w:p>
            <w:pPr>
              <w:pStyle w:val="14"/>
              <w:rPr>
                <w:rFonts w:cs="Times New Roman"/>
              </w:rPr>
            </w:pPr>
            <w:r>
              <w:rPr>
                <w:rFonts w:hint="eastAsia"/>
              </w:rPr>
              <w:t>群众对成城乡基本医疗保险代办员服务满意度</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秦财社【</w:t>
            </w:r>
            <w:r>
              <w:t>2022</w:t>
            </w:r>
            <w:r>
              <w:rPr>
                <w:rFonts w:hint="eastAsia"/>
              </w:rPr>
              <w:t>】</w:t>
            </w:r>
            <w:r>
              <w:t>753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、意外伤害险核查费绩效目标表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按时在支付意外伤害险核查费</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2835" w:type="dxa"/>
            <w:vAlign w:val="center"/>
          </w:tcPr>
          <w:p>
            <w:pPr>
              <w:pStyle w:val="14"/>
              <w:rPr>
                <w:rFonts w:cs="Times New Roman"/>
              </w:rPr>
            </w:pPr>
            <w:r>
              <w:rPr>
                <w:rFonts w:hint="eastAsia"/>
              </w:rPr>
              <w:t>按时缴纳费用</w:t>
            </w:r>
          </w:p>
        </w:tc>
        <w:tc>
          <w:tcPr>
            <w:tcW w:w="2551" w:type="dxa"/>
            <w:vAlign w:val="center"/>
          </w:tcPr>
          <w:p>
            <w:pPr>
              <w:pStyle w:val="14"/>
            </w:pPr>
            <w:r>
              <w:t>100%</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完成质量</w:t>
            </w:r>
          </w:p>
        </w:tc>
        <w:tc>
          <w:tcPr>
            <w:tcW w:w="2835" w:type="dxa"/>
            <w:vAlign w:val="center"/>
          </w:tcPr>
          <w:p>
            <w:pPr>
              <w:pStyle w:val="14"/>
              <w:rPr>
                <w:rFonts w:cs="Times New Roman"/>
              </w:rPr>
            </w:pPr>
            <w:r>
              <w:rPr>
                <w:rFonts w:hint="eastAsia"/>
              </w:rPr>
              <w:t>足额缴纳</w:t>
            </w:r>
          </w:p>
        </w:tc>
        <w:tc>
          <w:tcPr>
            <w:tcW w:w="2551" w:type="dxa"/>
            <w:vAlign w:val="center"/>
          </w:tcPr>
          <w:p>
            <w:pPr>
              <w:pStyle w:val="14"/>
            </w:pPr>
            <w:r>
              <w:t>100%</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资金支付及时率</w:t>
            </w:r>
          </w:p>
        </w:tc>
        <w:tc>
          <w:tcPr>
            <w:tcW w:w="2835" w:type="dxa"/>
            <w:vAlign w:val="center"/>
          </w:tcPr>
          <w:p>
            <w:pPr>
              <w:pStyle w:val="14"/>
              <w:rPr>
                <w:rFonts w:cs="Times New Roman"/>
              </w:rPr>
            </w:pPr>
            <w:r>
              <w:rPr>
                <w:rFonts w:hint="eastAsia"/>
              </w:rPr>
              <w:t>资金支付及时率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控制在预算资金内</w:t>
            </w:r>
          </w:p>
        </w:tc>
        <w:tc>
          <w:tcPr>
            <w:tcW w:w="2835" w:type="dxa"/>
            <w:vAlign w:val="center"/>
          </w:tcPr>
          <w:p>
            <w:pPr>
              <w:pStyle w:val="14"/>
              <w:rPr>
                <w:rFonts w:cs="Times New Roman"/>
              </w:rPr>
            </w:pPr>
            <w:r>
              <w:rPr>
                <w:rFonts w:hint="eastAsia"/>
              </w:rPr>
              <w:t>控制在预算资金内</w:t>
            </w:r>
          </w:p>
        </w:tc>
        <w:tc>
          <w:tcPr>
            <w:tcW w:w="2551" w:type="dxa"/>
            <w:vAlign w:val="center"/>
          </w:tcPr>
          <w:p>
            <w:pPr>
              <w:pStyle w:val="14"/>
              <w:rPr>
                <w:rFonts w:cs="Times New Roman"/>
              </w:rPr>
            </w:pPr>
            <w:r>
              <w:rPr>
                <w:rFonts w:hint="eastAsia"/>
              </w:rPr>
              <w:t>按要求控制在预算内</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资金使用效益</w:t>
            </w:r>
          </w:p>
        </w:tc>
        <w:tc>
          <w:tcPr>
            <w:tcW w:w="2835" w:type="dxa"/>
            <w:vAlign w:val="center"/>
          </w:tcPr>
          <w:p>
            <w:pPr>
              <w:pStyle w:val="14"/>
              <w:rPr>
                <w:rFonts w:cs="Times New Roman"/>
              </w:rPr>
            </w:pPr>
            <w:r>
              <w:rPr>
                <w:rFonts w:hint="eastAsia"/>
              </w:rPr>
              <w:t>资金支出情况</w:t>
            </w:r>
          </w:p>
        </w:tc>
        <w:tc>
          <w:tcPr>
            <w:tcW w:w="2551" w:type="dxa"/>
            <w:vAlign w:val="center"/>
          </w:tcPr>
          <w:p>
            <w:pPr>
              <w:pStyle w:val="14"/>
              <w:rPr>
                <w:rFonts w:cs="Times New Roman"/>
              </w:rPr>
            </w:pPr>
            <w:r>
              <w:rPr>
                <w:rFonts w:hint="eastAsia"/>
              </w:rPr>
              <w:t>按要求支出</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业务工作稳定性</w:t>
            </w:r>
          </w:p>
        </w:tc>
        <w:tc>
          <w:tcPr>
            <w:tcW w:w="2835" w:type="dxa"/>
            <w:vAlign w:val="center"/>
          </w:tcPr>
          <w:p>
            <w:pPr>
              <w:pStyle w:val="14"/>
              <w:rPr>
                <w:rFonts w:cs="Times New Roman"/>
              </w:rPr>
            </w:pPr>
            <w:r>
              <w:rPr>
                <w:rFonts w:hint="eastAsia"/>
              </w:rPr>
              <w:t>通过日常工作稳定运转</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职工满意度</w:t>
            </w:r>
          </w:p>
        </w:tc>
        <w:tc>
          <w:tcPr>
            <w:tcW w:w="2835" w:type="dxa"/>
            <w:vAlign w:val="center"/>
          </w:tcPr>
          <w:p>
            <w:pPr>
              <w:pStyle w:val="14"/>
              <w:rPr>
                <w:rFonts w:cs="Times New Roman"/>
              </w:rPr>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按时发放专项补贴</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2835" w:type="dxa"/>
            <w:vAlign w:val="center"/>
          </w:tcPr>
          <w:p>
            <w:pPr>
              <w:pStyle w:val="14"/>
              <w:rPr>
                <w:rFonts w:cs="Times New Roman"/>
              </w:rPr>
            </w:pPr>
            <w:r>
              <w:rPr>
                <w:rFonts w:hint="eastAsia"/>
              </w:rPr>
              <w:t>按时支付资金</w:t>
            </w:r>
          </w:p>
        </w:tc>
        <w:tc>
          <w:tcPr>
            <w:tcW w:w="2551" w:type="dxa"/>
            <w:vAlign w:val="center"/>
          </w:tcPr>
          <w:p>
            <w:pPr>
              <w:pStyle w:val="14"/>
            </w:pPr>
            <w:r>
              <w:t>100%</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完成质量</w:t>
            </w:r>
          </w:p>
        </w:tc>
        <w:tc>
          <w:tcPr>
            <w:tcW w:w="2835" w:type="dxa"/>
            <w:vAlign w:val="center"/>
          </w:tcPr>
          <w:p>
            <w:pPr>
              <w:pStyle w:val="14"/>
              <w:rPr>
                <w:rFonts w:cs="Times New Roman"/>
              </w:rPr>
            </w:pPr>
            <w:r>
              <w:rPr>
                <w:rFonts w:hint="eastAsia"/>
              </w:rPr>
              <w:t>足额支付资金</w:t>
            </w:r>
          </w:p>
        </w:tc>
        <w:tc>
          <w:tcPr>
            <w:tcW w:w="2551" w:type="dxa"/>
            <w:vAlign w:val="center"/>
          </w:tcPr>
          <w:p>
            <w:pPr>
              <w:pStyle w:val="14"/>
            </w:pPr>
            <w:r>
              <w:t>100%</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资金支付及时率</w:t>
            </w:r>
          </w:p>
        </w:tc>
        <w:tc>
          <w:tcPr>
            <w:tcW w:w="2835" w:type="dxa"/>
            <w:vAlign w:val="center"/>
          </w:tcPr>
          <w:p>
            <w:pPr>
              <w:pStyle w:val="14"/>
              <w:rPr>
                <w:rFonts w:cs="Times New Roman"/>
              </w:rPr>
            </w:pPr>
            <w:r>
              <w:rPr>
                <w:rFonts w:hint="eastAsia"/>
              </w:rPr>
              <w:t>资金支付及时率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控制在预算资金内</w:t>
            </w:r>
          </w:p>
        </w:tc>
        <w:tc>
          <w:tcPr>
            <w:tcW w:w="2835" w:type="dxa"/>
            <w:vAlign w:val="center"/>
          </w:tcPr>
          <w:p>
            <w:pPr>
              <w:pStyle w:val="14"/>
              <w:rPr>
                <w:rFonts w:cs="Times New Roman"/>
              </w:rPr>
            </w:pPr>
            <w:r>
              <w:rPr>
                <w:rFonts w:hint="eastAsia"/>
              </w:rPr>
              <w:t>控制在预算资金内</w:t>
            </w:r>
          </w:p>
        </w:tc>
        <w:tc>
          <w:tcPr>
            <w:tcW w:w="2551" w:type="dxa"/>
            <w:vAlign w:val="center"/>
          </w:tcPr>
          <w:p>
            <w:pPr>
              <w:pStyle w:val="14"/>
              <w:rPr>
                <w:rFonts w:cs="Times New Roman"/>
              </w:rPr>
            </w:pPr>
            <w:r>
              <w:rPr>
                <w:rFonts w:hint="eastAsia"/>
              </w:rPr>
              <w:t>按要求控制在预算内</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保障工作完成</w:t>
            </w:r>
          </w:p>
        </w:tc>
        <w:tc>
          <w:tcPr>
            <w:tcW w:w="2835" w:type="dxa"/>
            <w:vAlign w:val="center"/>
          </w:tcPr>
          <w:p>
            <w:pPr>
              <w:pStyle w:val="14"/>
              <w:rPr>
                <w:rFonts w:cs="Times New Roman"/>
              </w:rPr>
            </w:pPr>
            <w:r>
              <w:rPr>
                <w:rFonts w:hint="eastAsia"/>
              </w:rPr>
              <w:t>保障工作顺利完成</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资金使用效益</w:t>
            </w:r>
          </w:p>
        </w:tc>
        <w:tc>
          <w:tcPr>
            <w:tcW w:w="2835" w:type="dxa"/>
            <w:vAlign w:val="center"/>
          </w:tcPr>
          <w:p>
            <w:pPr>
              <w:pStyle w:val="14"/>
              <w:rPr>
                <w:rFonts w:cs="Times New Roman"/>
              </w:rPr>
            </w:pPr>
            <w:r>
              <w:rPr>
                <w:rFonts w:hint="eastAsia"/>
              </w:rPr>
              <w:t>资金支出情况</w:t>
            </w:r>
          </w:p>
        </w:tc>
        <w:tc>
          <w:tcPr>
            <w:tcW w:w="2551" w:type="dxa"/>
            <w:vAlign w:val="center"/>
          </w:tcPr>
          <w:p>
            <w:pPr>
              <w:pStyle w:val="14"/>
              <w:rPr>
                <w:rFonts w:cs="Times New Roman"/>
              </w:rPr>
            </w:pPr>
            <w:r>
              <w:rPr>
                <w:rFonts w:hint="eastAsia"/>
              </w:rPr>
              <w:t>按要求支出</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生态效益指标</w:t>
            </w:r>
          </w:p>
        </w:tc>
        <w:tc>
          <w:tcPr>
            <w:tcW w:w="2835" w:type="dxa"/>
            <w:vAlign w:val="center"/>
          </w:tcPr>
          <w:p>
            <w:pPr>
              <w:pStyle w:val="14"/>
              <w:rPr>
                <w:rFonts w:cs="Times New Roman"/>
              </w:rPr>
            </w:pPr>
            <w:r>
              <w:rPr>
                <w:rFonts w:hint="eastAsia"/>
              </w:rPr>
              <w:t>业务工作稳定性</w:t>
            </w:r>
          </w:p>
        </w:tc>
        <w:tc>
          <w:tcPr>
            <w:tcW w:w="2835" w:type="dxa"/>
            <w:vAlign w:val="center"/>
          </w:tcPr>
          <w:p>
            <w:pPr>
              <w:pStyle w:val="14"/>
              <w:rPr>
                <w:rFonts w:cs="Times New Roman"/>
              </w:rPr>
            </w:pPr>
            <w:r>
              <w:rPr>
                <w:rFonts w:hint="eastAsia"/>
              </w:rPr>
              <w:t>通过日常工作稳定运转</w:t>
            </w:r>
          </w:p>
        </w:tc>
        <w:tc>
          <w:tcPr>
            <w:tcW w:w="2551" w:type="dxa"/>
            <w:vAlign w:val="center"/>
          </w:tcPr>
          <w:p>
            <w:pPr>
              <w:pStyle w:val="14"/>
              <w:rPr>
                <w:rFonts w:cs="Times New Roman"/>
              </w:rPr>
            </w:pPr>
            <w:r>
              <w:rPr>
                <w:rFonts w:hint="eastAsia"/>
              </w:rPr>
              <w:t>进一步推动</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保障社会发展</w:t>
            </w:r>
          </w:p>
        </w:tc>
        <w:tc>
          <w:tcPr>
            <w:tcW w:w="2835" w:type="dxa"/>
            <w:vAlign w:val="center"/>
          </w:tcPr>
          <w:p>
            <w:pPr>
              <w:pStyle w:val="14"/>
              <w:rPr>
                <w:rFonts w:cs="Times New Roman"/>
              </w:rPr>
            </w:pPr>
            <w:r>
              <w:rPr>
                <w:rFonts w:hint="eastAsia"/>
              </w:rPr>
              <w:t>保障社会发展有效提供后勤保障</w:t>
            </w:r>
          </w:p>
        </w:tc>
        <w:tc>
          <w:tcPr>
            <w:tcW w:w="2551" w:type="dxa"/>
            <w:vAlign w:val="center"/>
          </w:tcPr>
          <w:p>
            <w:pPr>
              <w:pStyle w:val="14"/>
              <w:rPr>
                <w:rFonts w:cs="Times New Roman"/>
              </w:rPr>
            </w:pPr>
            <w:r>
              <w:rPr>
                <w:rFonts w:hint="eastAsia"/>
              </w:rPr>
              <w:t>进一步保障</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职工满意度</w:t>
            </w:r>
          </w:p>
        </w:tc>
        <w:tc>
          <w:tcPr>
            <w:tcW w:w="2835" w:type="dxa"/>
            <w:vAlign w:val="center"/>
          </w:tcPr>
          <w:p>
            <w:pPr>
              <w:pStyle w:val="14"/>
              <w:rPr>
                <w:rFonts w:cs="Times New Roman"/>
              </w:rPr>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rPr>
                <w:rFonts w:cs="Times New Roman"/>
              </w:rPr>
            </w:pPr>
            <w:r>
              <w:rPr>
                <w:rFonts w:hint="eastAsia"/>
              </w:rPr>
              <w:t>常纪【</w:t>
            </w:r>
            <w:r>
              <w:t>2011</w:t>
            </w:r>
            <w:r>
              <w:rPr>
                <w:rFonts w:hint="eastAsia"/>
              </w:rPr>
              <w:t>】</w:t>
            </w:r>
            <w:r>
              <w:t>4</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年，医保部门秦皇岛市山海关区医疗保障局本级安排政府采购预算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医保部门秦皇岛市山海关区医疗保障局本级上年末固定资产金额为</w:t>
      </w:r>
      <w:r>
        <w:rPr>
          <w:rFonts w:eastAsia="方正仿宋_GBK"/>
          <w:color w:val="000000"/>
          <w:sz w:val="28"/>
          <w:szCs w:val="28"/>
        </w:rPr>
        <w:t>15.51</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450001</w:t>
            </w:r>
            <w:r>
              <w:rPr>
                <w:rFonts w:hint="eastAsia"/>
              </w:rPr>
              <w:t>医保部门秦皇岛市山海关区医疗保障局本级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资产总额</w:t>
            </w:r>
          </w:p>
        </w:tc>
        <w:tc>
          <w:tcPr>
            <w:tcW w:w="2835" w:type="dxa"/>
            <w:vAlign w:val="center"/>
          </w:tcPr>
          <w:p>
            <w:pPr>
              <w:pStyle w:val="15"/>
              <w:rPr>
                <w:rFonts w:cs="Times New Roman"/>
              </w:rPr>
            </w:pPr>
          </w:p>
        </w:tc>
        <w:tc>
          <w:tcPr>
            <w:tcW w:w="2835" w:type="dxa"/>
            <w:vAlign w:val="center"/>
          </w:tcPr>
          <w:p>
            <w:pPr>
              <w:pStyle w:val="13"/>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1</w:t>
            </w:r>
            <w:r>
              <w:rPr>
                <w:rFonts w:hint="eastAsia"/>
              </w:rPr>
              <w:t>、房屋（平方米）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　　其中：办公用房（平方米）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2</w:t>
            </w:r>
            <w:r>
              <w:rPr>
                <w:rFonts w:hint="eastAsia"/>
              </w:rPr>
              <w:t>、车辆（台、辆）</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3</w:t>
            </w:r>
            <w:r>
              <w:rPr>
                <w:rFonts w:hint="eastAsia"/>
              </w:rPr>
              <w:t>、单价在</w:t>
            </w:r>
            <w:r>
              <w:t>20</w:t>
            </w:r>
            <w:r>
              <w:rPr>
                <w:rFonts w:hint="eastAsia"/>
              </w:rPr>
              <w:t>万元以上的设备</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4</w:t>
            </w:r>
            <w:r>
              <w:rPr>
                <w:rFonts w:hint="eastAsia"/>
              </w:rPr>
              <w:t>、其他固定资产</w:t>
            </w:r>
          </w:p>
        </w:tc>
        <w:tc>
          <w:tcPr>
            <w:tcW w:w="2835" w:type="dxa"/>
            <w:vAlign w:val="center"/>
          </w:tcPr>
          <w:p>
            <w:pPr>
              <w:pStyle w:val="15"/>
            </w:pPr>
            <w:r>
              <w:t>27</w:t>
            </w:r>
          </w:p>
        </w:tc>
        <w:tc>
          <w:tcPr>
            <w:tcW w:w="2835" w:type="dxa"/>
            <w:vAlign w:val="center"/>
          </w:tcPr>
          <w:p>
            <w:pPr>
              <w:pStyle w:val="13"/>
            </w:pPr>
            <w:r>
              <w:t>15.51</w:t>
            </w:r>
          </w:p>
        </w:tc>
      </w:tr>
    </w:tbl>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xZGU1NzcyODk1N2EwMzc1ODg4YTdiOGU3Y2M3Y2YifQ=="/>
  </w:docVars>
  <w:rsids>
    <w:rsidRoot w:val="005D42C4"/>
    <w:rsid w:val="005D42C4"/>
    <w:rsid w:val="006B7F58"/>
    <w:rsid w:val="00A37474"/>
    <w:rsid w:val="00B50182"/>
    <w:rsid w:val="00F50243"/>
    <w:rsid w:val="01EF33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iPriority w:val="99"/>
    <w:pPr>
      <w:ind w:left="480"/>
    </w:pPr>
  </w:style>
  <w:style w:type="paragraph" w:styleId="3">
    <w:name w:val="toc 1"/>
    <w:basedOn w:val="1"/>
    <w:next w:val="1"/>
    <w:semiHidden/>
    <w:uiPriority w:val="99"/>
    <w:pPr>
      <w:spacing w:before="120"/>
      <w:ind w:firstLine="560"/>
    </w:pPr>
    <w:rPr>
      <w:rFonts w:eastAsia="方正仿宋_GBK"/>
      <w:color w:val="000000"/>
      <w:sz w:val="28"/>
      <w:szCs w:val="28"/>
    </w:rPr>
  </w:style>
  <w:style w:type="paragraph" w:styleId="4">
    <w:name w:val="toc 4"/>
    <w:basedOn w:val="1"/>
    <w:next w:val="1"/>
    <w:semiHidden/>
    <w:uiPriority w:val="99"/>
    <w:pPr>
      <w:ind w:left="720"/>
    </w:pPr>
  </w:style>
  <w:style w:type="paragraph" w:styleId="5">
    <w:name w:val="toc 2"/>
    <w:basedOn w:val="1"/>
    <w:next w:val="1"/>
    <w:semiHidden/>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uiPriority w:val="99"/>
    <w:rPr>
      <w:rFonts w:ascii="方正书宋_GBK" w:hAnsi="方正书宋_GBK" w:eastAsia="方正书宋_GBK" w:cs="方正书宋_GBK"/>
      <w:sz w:val="21"/>
      <w:szCs w:val="21"/>
    </w:rPr>
  </w:style>
  <w:style w:type="paragraph" w:customStyle="1" w:styleId="15">
    <w:name w:val="单元格样式3"/>
    <w:basedOn w:val="1"/>
    <w:uiPriority w:val="99"/>
    <w:pPr>
      <w:jc w:val="center"/>
    </w:pPr>
    <w:rPr>
      <w:rFonts w:ascii="方正书宋_GBK" w:hAnsi="方正书宋_GBK" w:eastAsia="方正书宋_GBK" w:cs="方正书宋_GBK"/>
      <w:sz w:val="21"/>
      <w:szCs w:val="21"/>
    </w:rPr>
  </w:style>
  <w:style w:type="paragraph" w:customStyle="1" w:styleId="16">
    <w:name w:val="单元格样式6"/>
    <w:basedOn w:val="1"/>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szCs w:val="28"/>
    </w:rPr>
  </w:style>
  <w:style w:type="paragraph" w:customStyle="1" w:styleId="23">
    <w:name w:val="插入文本样式-插入总体目标文件"/>
    <w:basedOn w:val="1"/>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64</Pages>
  <Words>20556</Words>
  <Characters>24764</Characters>
  <Lines>0</Lines>
  <Paragraphs>0</Paragraphs>
  <TotalTime>3</TotalTime>
  <ScaleCrop>false</ScaleCrop>
  <LinksUpToDate>false</LinksUpToDate>
  <CharactersWithSpaces>25082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2023-02-01T02:46:00Z</dcterms:created>
  <dc:creator>Microsoft</dc:creator>
  <cp:lastModifiedBy>msi</cp:lastModifiedBy>
  <dcterms:modified xsi:type="dcterms:W3CDTF">2023-02-08T02:20:22Z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665E269481EC4B66AC77C19EE2B12258</vt:lpwstr>
  </property>
</Properties>
</file>