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F1" w:rsidRPr="00B6227D" w:rsidRDefault="00D54659" w:rsidP="00B6227D">
      <w:pPr>
        <w:pStyle w:val="Normal"/>
        <w:rPr>
          <w:rFonts w:ascii="仿宋" w:eastAsia="仿宋" w:hAnsi="仿宋" w:hint="eastAsia"/>
          <w:sz w:val="44"/>
          <w:lang w:eastAsia="zh-CN"/>
        </w:rPr>
      </w:pPr>
      <w:r>
        <w:rPr>
          <w:sz w:val="44"/>
          <w:lang w:eastAsia="zh-CN"/>
        </w:rPr>
        <w:t xml:space="preserve">　</w:t>
      </w:r>
      <w:r w:rsidR="00B6227D">
        <w:rPr>
          <w:rFonts w:ascii="仿宋" w:eastAsia="仿宋" w:hAnsi="仿宋" w:hint="eastAsia"/>
          <w:sz w:val="44"/>
          <w:lang w:eastAsia="zh-CN"/>
        </w:rPr>
        <w:t xml:space="preserve"> </w:t>
      </w:r>
      <w:r w:rsidR="00A469F1">
        <w:rPr>
          <w:rFonts w:ascii="黑体" w:eastAsia="黑体" w:hAnsi="黑体" w:cs="黑体" w:hint="eastAsia"/>
          <w:color w:val="000000"/>
          <w:sz w:val="32"/>
        </w:rPr>
        <w:t>绩效预算信息</w:t>
      </w:r>
    </w:p>
    <w:p w:rsidR="00A469F1" w:rsidRDefault="00A469F1" w:rsidP="00A469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Chars="200" w:firstLine="640"/>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第一部分 部门整体绩效目标</w:t>
      </w:r>
    </w:p>
    <w:p w:rsidR="00A469F1" w:rsidRDefault="00A469F1" w:rsidP="00A469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（一）总体绩效目标：</w:t>
      </w:r>
    </w:p>
    <w:p w:rsidR="00A469F1" w:rsidRDefault="00A469F1" w:rsidP="00A469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依法维护国家安全和社会稳定，严格各类严重刑事犯罪，妥善审理经济转型过程中引发的各类矛盾纠纷，积极推进我区建设，营造良好的法制环境。</w:t>
      </w:r>
    </w:p>
    <w:p w:rsidR="00A469F1" w:rsidRDefault="00A469F1" w:rsidP="00A469F1">
      <w:pPr>
        <w:pStyle w:val="Normal"/>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改革涉诉信访工作，推动涉诉信访问题在法制轨道内解决，落实司法为民措施，保护被侵权人的合法权益，促使国家机关依法行使职权。</w:t>
      </w:r>
    </w:p>
    <w:p w:rsidR="00A469F1" w:rsidRDefault="00A469F1" w:rsidP="00A469F1">
      <w:pPr>
        <w:pStyle w:val="Normal"/>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提高队伍素质和执法能力，高质高效完成各项工作。</w:t>
      </w:r>
    </w:p>
    <w:p w:rsidR="00A469F1" w:rsidRDefault="00A469F1" w:rsidP="00A469F1">
      <w:pPr>
        <w:pStyle w:val="Normal"/>
        <w:spacing w:line="360" w:lineRule="auto"/>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（二）分项绩效目标：</w:t>
      </w:r>
    </w:p>
    <w:p w:rsidR="00A469F1" w:rsidRDefault="00A469F1" w:rsidP="00A469F1">
      <w:pPr>
        <w:pStyle w:val="Normal"/>
        <w:spacing w:line="360" w:lineRule="auto"/>
        <w:ind w:firstLineChars="200" w:firstLine="640"/>
        <w:rPr>
          <w:rFonts w:ascii="仿宋_GB2312" w:eastAsia="仿宋_GB2312" w:hAnsi="仿宋_GB2312" w:cs="仿宋_GB2312" w:hint="eastAsia"/>
          <w:sz w:val="32"/>
          <w:lang w:eastAsia="zh-CN"/>
        </w:rPr>
      </w:pPr>
      <w:r>
        <w:rPr>
          <w:rFonts w:ascii="仿宋_GB2312" w:eastAsia="仿宋_GB2312" w:hAnsi="仿宋_GB2312" w:cs="仿宋_GB2312" w:hint="eastAsia"/>
          <w:sz w:val="32"/>
          <w:lang w:eastAsia="zh-CN"/>
        </w:rPr>
        <w:t>依法审判第一、二审刑事、民事、行政案件和最高人民法院交由审判的案件；依法审理刑事、民事、行政再审案件，人民检察院提出抗诉的案件，减刑、假释案件，死刑、死缓复核案件；对经二审、复核判处死刑的案件，依法报请最高法院核准。依法惩治刑事犯罪，监督行政机关依法行政，促进社会和谐，维护社会稳定，服务全区工作大局，发挥服务保障职能.绩效指标评价标准主要为审限结案率、案件结案率、平均审理天数，审限结案率的计算方法是</w:t>
      </w:r>
      <w:r>
        <w:rPr>
          <w:rFonts w:ascii="仿宋_GB2312" w:eastAsia="仿宋_GB2312" w:hAnsi="仿宋_GB2312" w:cs="仿宋_GB2312" w:hint="eastAsia"/>
          <w:sz w:val="32"/>
          <w:lang w:eastAsia="zh-CN"/>
        </w:rPr>
        <w:lastRenderedPageBreak/>
        <w:t>法定审限内结案数占结案数的比例，达到96%以上为优，94%以上为良，92%以上为中，92%以下为差；案件结案率的计算发放是案件判决数占审判案件总数的比例，达到85%以上为优，80%以上为良，75%以上为中，75%以下为差；平均审理天数的计算方法是全部案件的审理天数与结案总数的比例（天/件），小于50天为优，小于55天为良，小于60天为中，大于60为差。</w:t>
      </w:r>
    </w:p>
    <w:p w:rsidR="00A469F1" w:rsidRDefault="00A469F1" w:rsidP="00A469F1">
      <w:pPr>
        <w:pStyle w:val="Normal"/>
        <w:spacing w:line="360" w:lineRule="auto"/>
        <w:ind w:firstLineChars="200" w:firstLine="640"/>
        <w:rPr>
          <w:rFonts w:ascii="仿宋_GB2312" w:eastAsia="仿宋_GB2312" w:hAnsi="仿宋_GB2312" w:cs="仿宋_GB2312" w:hint="eastAsia"/>
          <w:sz w:val="32"/>
          <w:lang w:eastAsia="zh-CN"/>
        </w:rPr>
      </w:pPr>
      <w:r>
        <w:rPr>
          <w:rFonts w:ascii="仿宋_GB2312" w:eastAsia="仿宋_GB2312" w:hAnsi="仿宋_GB2312" w:cs="仿宋_GB2312" w:hint="eastAsia"/>
          <w:sz w:val="32"/>
          <w:lang w:eastAsia="zh-CN"/>
        </w:rPr>
        <w:t>执行本院已经发生法律效力的法律文书和法律规定由本院执行的其他生效法律文书及委托执行案件。积极推进执行工作，切实保障群众合法权益，维护社会公平正义。绩效指标评价标准主要为执行案件结案率、执行公开率、提前执结率，执行案件结案率的计算方法是实际执行案件结案数占应由本院执行的案件数的比例，达到80%以上为优，70%以上为良，60%以上为中，60%以下为差；执行公开率的计算方法是执行案件公开数占执结案件数的比例，达到100%以上为优，95%以上为良，90%以上为中，90%以下为差；提前执结率的计算方法是比执结规定提前的时间与执结规定的时间</w:t>
      </w:r>
      <w:r>
        <w:rPr>
          <w:rFonts w:ascii="仿宋_GB2312" w:eastAsia="仿宋_GB2312" w:hAnsi="仿宋_GB2312" w:cs="仿宋_GB2312" w:hint="eastAsia"/>
          <w:sz w:val="32"/>
          <w:lang w:eastAsia="zh-CN"/>
        </w:rPr>
        <w:lastRenderedPageBreak/>
        <w:t>的比例，达到10%以上为优，达到5%以上为良，正常为中，超出规定时间为差。</w:t>
      </w:r>
    </w:p>
    <w:p w:rsidR="00A469F1" w:rsidRDefault="00A469F1" w:rsidP="00A469F1">
      <w:pPr>
        <w:pStyle w:val="Normal"/>
        <w:spacing w:line="360" w:lineRule="auto"/>
        <w:ind w:firstLineChars="200" w:firstLine="640"/>
        <w:rPr>
          <w:rFonts w:ascii="仿宋_GB2312" w:eastAsia="仿宋_GB2312" w:hAnsi="仿宋_GB2312" w:cs="仿宋_GB2312" w:hint="eastAsia"/>
          <w:sz w:val="32"/>
          <w:lang w:eastAsia="zh-CN"/>
        </w:rPr>
      </w:pPr>
      <w:r>
        <w:rPr>
          <w:rFonts w:ascii="仿宋_GB2312" w:eastAsia="仿宋_GB2312" w:hAnsi="仿宋_GB2312" w:cs="仿宋_GB2312" w:hint="eastAsia"/>
          <w:sz w:val="32"/>
          <w:lang w:eastAsia="zh-CN"/>
        </w:rPr>
        <w:t>规范、保障、促进审判执行工作，包括：案件信息管理、案件质量评估、案件质量评查、审判流程管理、审判运势分析等。完善审判质效评估体系，促进审判质效、健全司法权力运行机制，提升司法公信力。绩效指标评价标准主要为案件信息合格率、审判流程公开率、审判流程合规率，案件信息合格率的计算方法是正确案件信息数占全部案件信息数的比例，达到95%以上为优，90%以上为良，85%以上为中，85%以下为差；审判流程公开率的计算方法是审判流程公开案件占全部案件的比例，达到95%以上为优，90%以上为良，85%以上为中，85%以下为差；审判流程合规率的计算方法是纳入审判管理流程案件占全部案件的比例，达到100%以上为优，95%以上为良，90%以上为中，90%以下为差。</w:t>
      </w:r>
    </w:p>
    <w:p w:rsidR="00A469F1" w:rsidRDefault="00A469F1" w:rsidP="00A469F1">
      <w:pPr>
        <w:pStyle w:val="Normal"/>
        <w:spacing w:line="360" w:lineRule="auto"/>
        <w:ind w:firstLineChars="200" w:firstLine="640"/>
        <w:rPr>
          <w:rFonts w:ascii="仿宋_GB2312" w:eastAsia="仿宋_GB2312" w:hAnsi="仿宋_GB2312" w:cs="仿宋_GB2312" w:hint="eastAsia"/>
          <w:sz w:val="32"/>
          <w:lang w:eastAsia="zh-CN"/>
        </w:rPr>
      </w:pPr>
      <w:r>
        <w:rPr>
          <w:rFonts w:ascii="仿宋_GB2312" w:eastAsia="仿宋_GB2312" w:hAnsi="仿宋_GB2312" w:cs="仿宋_GB2312" w:hint="eastAsia"/>
          <w:sz w:val="32"/>
          <w:lang w:eastAsia="zh-CN"/>
        </w:rPr>
        <w:t>开展司法技术辅助工作。对审判工作技术咨询、技术审核服务，主要工作包括：对外委托鉴定、评估、审计、拍卖、组织专家审核</w:t>
      </w:r>
      <w:r>
        <w:rPr>
          <w:rFonts w:ascii="仿宋_GB2312" w:eastAsia="仿宋_GB2312" w:hAnsi="仿宋_GB2312" w:cs="仿宋_GB2312" w:hint="eastAsia"/>
          <w:sz w:val="32"/>
          <w:lang w:eastAsia="zh-CN"/>
        </w:rPr>
        <w:lastRenderedPageBreak/>
        <w:t>等。为案件审判提供技术支撑，提高办案质量。绩效指标评价标准主要为司法鉴定工作办结率、司法技术辅助工作完成率、司法鉴定流程合规率，司法鉴定工作办结率的计算方法是在规定时限内完成委托鉴定数占委托鉴定总数的比例，达到80%以上为优，70%以上为良，60%以上为中，60%以下为差；司法技术辅助工作完成率的计算方法是年度内已开展司法技术辅助工作数量占申请开展司法技术辅助工作量的比例，达到95%以上为优，90%以上为良，85%以上为中，85%以下为差；司法鉴定流程合规率的计算方法是纳入司法鉴定流程案件占全部申请鉴定案件的比例，达到90%以上为优，85%以上为良，80%以上为中，80%以下为差。</w:t>
      </w:r>
    </w:p>
    <w:p w:rsidR="00A469F1" w:rsidRDefault="00A469F1" w:rsidP="00A469F1">
      <w:pPr>
        <w:spacing w:line="360" w:lineRule="auto"/>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完成涉法涉诉类上访案件的息诉罢访工作，做好“两会”、重大活动期间的维稳工作，接待分流越级进京上访人员、协助处理到最高院的集体访和闹访人员的稳控遣返工作。保障信访工作正常进行，提高信访案件结案率、信访受理满意度，维护国家机关的正常工作秩序，做好稳控工作。绩效指标评价标准主要为信访案件结案率、</w:t>
      </w:r>
      <w:r>
        <w:rPr>
          <w:rFonts w:ascii="仿宋_GB2312" w:eastAsia="仿宋_GB2312" w:hAnsi="仿宋_GB2312" w:cs="仿宋_GB2312" w:hint="eastAsia"/>
          <w:sz w:val="32"/>
        </w:rPr>
        <w:lastRenderedPageBreak/>
        <w:t>信访处理满意度、申请再审和申诉案件结案率，信访案件结案率的计算方法是已按程序处理信访案件数量占受理信访案件数量的比例，达到80%以上为优，70%以上为良，60%以上为中，60%以下为差；信访处理满意度的计算方法是调查了解上访人对信访处理的满意情况，达到80%以上为优，70%以上为良，60%以上为中，60%以下为差；申请再审和申诉案件结案率的计算方法是结案数与受理数的比例，达到80%以上为优，70%以上为良，60%以上为中，60%以下为差。</w:t>
      </w:r>
    </w:p>
    <w:p w:rsidR="00A469F1" w:rsidRDefault="00A469F1" w:rsidP="00A469F1">
      <w:pPr>
        <w:spacing w:line="360" w:lineRule="auto"/>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对受到侵害但无法获得有效赔偿的当事人给予资助。不断完善司法救助，切实保护民生，让人民群众感受到司法以人为本，享受到司法人文关怀。绩效指标评价标准主要为司法救助工作完成率、化解矛盾率、结案率，司法救助工作完成率的计算方法是年度内批复到位的司法救助资金发放额占批复到位的救助资金总额的比例，达到95%以上为优，90%以上为良，85%以上为中，85%以下为差；化解矛盾率的计算方法是司法救助案件化解矛盾的数量占司法</w:t>
      </w:r>
      <w:r>
        <w:rPr>
          <w:rFonts w:ascii="仿宋_GB2312" w:eastAsia="仿宋_GB2312" w:hAnsi="仿宋_GB2312" w:cs="仿宋_GB2312" w:hint="eastAsia"/>
          <w:sz w:val="32"/>
        </w:rPr>
        <w:lastRenderedPageBreak/>
        <w:t>救助案件数的比例，达到80%以上为优，70%以上为良，60%以上为中，60%以下为差；结案率的计算方法是司法救助已结案件量占全部立案的司法救助案件量的比例，达到90%以上为优，80%以上为良，60%以上为中，60%以下为差。</w:t>
      </w:r>
    </w:p>
    <w:p w:rsidR="00A469F1" w:rsidRDefault="00A469F1" w:rsidP="00A469F1">
      <w:pPr>
        <w:spacing w:line="360" w:lineRule="auto"/>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依法办理国家赔偿案件，执行赔偿委员会决定事项，审查处理赔偿告诉申诉案件。主要工作包括调查、取证，审理。保护被侵害人的合法权益，促进行政机关、司法机关依法履行职责。绩效指标评价标准主要为结案时间提前率、国家赔偿案件结案率、平均审理天数。结案时间提前率的计算方法是提前审限时间占规定时间的比例，达到10%以上为优，5%以上为良，正常为中，超出规定时间为差；国家赔偿案件结案率的计算方法是已按程序处理国家赔偿案件与全年受理国家赔偿案件比例，达到90%以上为优，85%以上为良，80%以上为中，80%以下为差；平均审理天数的计算方法是全部国家赔偿案件的审理天数与国家赔偿案件结案总数的比例（天</w:t>
      </w:r>
      <w:r>
        <w:rPr>
          <w:rFonts w:ascii="仿宋_GB2312" w:eastAsia="仿宋_GB2312" w:hAnsi="仿宋_GB2312" w:cs="仿宋_GB2312" w:hint="eastAsia"/>
          <w:sz w:val="32"/>
        </w:rPr>
        <w:lastRenderedPageBreak/>
        <w:t>/件），小于80天为优，小于90天为良，小于100天为中，大于100天为差。</w:t>
      </w:r>
    </w:p>
    <w:p w:rsidR="00A469F1" w:rsidRDefault="00A469F1" w:rsidP="00A469F1">
      <w:pPr>
        <w:spacing w:line="360" w:lineRule="auto"/>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加强法院系统队伍建设，加强法院基础设施及信息化建设，加强培训及法院文化建设；总结人民法院审判业务工作经验，建立绩效考核制度，加强对外宣传以及舆论引导，树立法院良好形象。不断提高队伍素质和执法能力，推进信息公开，提升审判质效，改进司法工作作风，树立法院良好形象。绩效指标评价标准主要为政府采购覆盖面、综合业务管理工作完成率、各项保障工作完成率，政府采购覆盖面的计算方法是实际政府采购项目数占按规定应列入政府采购的项目数的比例，达到100%以上为优，95%以上为良，90%以上为中，90%以下为差；综合业务管理工作完成率的计算方法是综合业务管理工作完成情况占综合业务管理工作计划的比例，达到100%以上为优，95%以上为良，90%以上为中，90%以下为差；各项保障工作完成率的计算方法是各项后勤保障工作完成情况占各</w:t>
      </w:r>
      <w:r>
        <w:rPr>
          <w:rFonts w:ascii="仿宋_GB2312" w:eastAsia="仿宋_GB2312" w:hAnsi="仿宋_GB2312" w:cs="仿宋_GB2312" w:hint="eastAsia"/>
          <w:sz w:val="32"/>
        </w:rPr>
        <w:lastRenderedPageBreak/>
        <w:t>项后勤保障工作计划的比例，达到100%以上为优，95%以上为良，90%以上为中，90%以下为差。</w:t>
      </w:r>
    </w:p>
    <w:p w:rsidR="00A469F1" w:rsidRDefault="00A469F1" w:rsidP="00A469F1">
      <w:pPr>
        <w:spacing w:line="360" w:lineRule="auto"/>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领导全省人民法院的监察工作；管理全省法院司法行政工作；承办其它应由省高级人民法院负责的工作。高质高效完成年度各项工作。绩效指标评价标准主要为政府采购覆盖面、综合事务管理工作完成率、各项保障工作完成率。政府采购覆盖面的计算方法是实际政府采购项目数占按规定应列入政府采购的项目数的比例，达到100%以上为优，95%以上为良，90%以上为中，90%以下为差；综合事务管理工作完成率的计算方法是综合事务管理工作完成情况占综合事务管理工作计划的比例，达到100%以上为优，95%以上为良，90%以上为中，90%以下为差；各项保障工作完成率的计算方法是各项后勤保障工作完成情况占各项后勤保障工作计划的比例，达到100%以上为优，95%以上为良，90%以上为中，90%以下为差。</w:t>
      </w:r>
    </w:p>
    <w:p w:rsidR="00A469F1" w:rsidRDefault="00A469F1" w:rsidP="00A469F1">
      <w:pPr>
        <w:spacing w:line="360" w:lineRule="auto"/>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lastRenderedPageBreak/>
        <w:t>用于法院其他活动支出， 保障法院其他工作正常开展。绩效指标评价标准主要为资金到位率、使用合规率、各项保障工作完成率，资金到位率是资金实际到位情况占工作计划的比例，达到90%以上为优，85%以上为良，80%以上为中，80%以下为差；使用合规率是按规定用途使用，达到90%以上为优，85%以上为良，80%以上为中，80%以下为差；各项保障工作完成率是各项后勤保障工作完成情况占各项后勤保障工作计划的比例，达到90%以上为优，85%以上为良，80%以上为中，80%以下为差。</w:t>
      </w:r>
    </w:p>
    <w:p w:rsidR="00A469F1" w:rsidRDefault="00A469F1" w:rsidP="00A469F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（三）工作保障措施：</w:t>
      </w:r>
    </w:p>
    <w:p w:rsidR="00A469F1" w:rsidRDefault="00A469F1" w:rsidP="00A469F1">
      <w:pPr>
        <w:spacing w:line="360" w:lineRule="auto"/>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建设人民法庭，服务社会主义新农村。人民法庭处于解决矛盾纠纷的前沿阵地，在建设社会主义新农村的形式下，人民法庭建设只能加强不能削弱。</w:t>
      </w:r>
    </w:p>
    <w:p w:rsidR="00A469F1" w:rsidRDefault="00A469F1" w:rsidP="00A469F1">
      <w:pPr>
        <w:pStyle w:val="Normal"/>
        <w:spacing w:line="360" w:lineRule="auto"/>
        <w:ind w:firstLineChars="200" w:firstLine="640"/>
        <w:rPr>
          <w:rFonts w:ascii="仿宋_GB2312" w:eastAsia="仿宋_GB2312" w:hAnsi="仿宋_GB2312" w:cs="仿宋_GB2312" w:hint="eastAsia"/>
          <w:sz w:val="32"/>
          <w:lang w:eastAsia="zh-CN"/>
        </w:rPr>
      </w:pPr>
      <w:r>
        <w:rPr>
          <w:rFonts w:ascii="仿宋_GB2312" w:eastAsia="仿宋_GB2312" w:hAnsi="仿宋_GB2312" w:cs="仿宋_GB2312" w:hint="eastAsia"/>
          <w:sz w:val="32"/>
          <w:lang w:eastAsia="zh-CN"/>
        </w:rPr>
        <w:t>加强审判管理与改革，提高案件质量和效率。完善审判质效指标体系，建立审判高效运行机制和考核机制，增强审判人员责任意识和危机意识，充分发挥考核手段的调控和引导作用，促进审判人</w:t>
      </w:r>
      <w:r>
        <w:rPr>
          <w:rFonts w:ascii="仿宋_GB2312" w:eastAsia="仿宋_GB2312" w:hAnsi="仿宋_GB2312" w:cs="仿宋_GB2312" w:hint="eastAsia"/>
          <w:sz w:val="32"/>
          <w:lang w:eastAsia="zh-CN"/>
        </w:rPr>
        <w:lastRenderedPageBreak/>
        <w:t>员提高办案质量。加强对影响审判质效的关键环节和突出问题进行改革，完善以公正、高效、便民、廉洁为核心的审判工作运行、管理和评价机制。坚持以内部改革为切入点和着力点，循序渐进，注重实效。</w:t>
      </w:r>
    </w:p>
    <w:p w:rsidR="00A469F1" w:rsidRDefault="00A469F1" w:rsidP="00A469F1">
      <w:pPr>
        <w:pStyle w:val="Normal"/>
        <w:spacing w:line="360" w:lineRule="auto"/>
        <w:ind w:firstLineChars="200" w:firstLine="640"/>
        <w:rPr>
          <w:rFonts w:ascii="仿宋_GB2312" w:eastAsia="仿宋_GB2312" w:hAnsi="仿宋_GB2312" w:cs="仿宋_GB2312" w:hint="eastAsia"/>
          <w:sz w:val="32"/>
          <w:lang w:eastAsia="zh-CN"/>
        </w:rPr>
      </w:pPr>
      <w:r>
        <w:rPr>
          <w:rFonts w:ascii="仿宋_GB2312" w:eastAsia="仿宋_GB2312" w:hAnsi="仿宋_GB2312" w:cs="仿宋_GB2312" w:hint="eastAsia"/>
          <w:sz w:val="32"/>
          <w:lang w:eastAsia="zh-CN"/>
        </w:rPr>
        <w:t>构建多元化矛盾解决机制，维护社会稳定。</w:t>
      </w:r>
    </w:p>
    <w:p w:rsidR="00A469F1" w:rsidRDefault="00A469F1" w:rsidP="00A469F1">
      <w:pPr>
        <w:pStyle w:val="Normal"/>
        <w:spacing w:line="360" w:lineRule="auto"/>
        <w:ind w:firstLineChars="200" w:firstLine="640"/>
        <w:rPr>
          <w:rFonts w:ascii="仿宋_GB2312" w:eastAsia="仿宋_GB2312" w:hAnsi="仿宋_GB2312" w:cs="仿宋_GB2312" w:hint="eastAsia"/>
          <w:sz w:val="32"/>
          <w:lang w:eastAsia="zh-CN"/>
        </w:rPr>
      </w:pPr>
      <w:r>
        <w:rPr>
          <w:rFonts w:ascii="仿宋_GB2312" w:eastAsia="仿宋_GB2312" w:hAnsi="仿宋_GB2312" w:cs="仿宋_GB2312" w:hint="eastAsia"/>
          <w:sz w:val="32"/>
          <w:lang w:eastAsia="zh-CN"/>
        </w:rPr>
        <w:t>积极开展以法制宣传、社区矫正和青少年维权建设等为主要内容的社会治安综合治理工作，提高社会知法、守法、用法水平。</w:t>
      </w: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4358AB" w:rsidRDefault="00B6227D" w:rsidP="00B673B5">
      <w:pPr>
        <w:spacing w:line="220" w:lineRule="atLeast"/>
        <w:ind w:firstLineChars="200" w:firstLine="640"/>
        <w:rPr>
          <w:rFonts w:ascii="仿宋_GB2312" w:eastAsia="仿宋_GB2312" w:hAnsi="仿宋" w:hint="eastAsia"/>
          <w:sz w:val="32"/>
          <w:szCs w:val="32"/>
        </w:rPr>
      </w:pPr>
      <w:r w:rsidRPr="00B673B5">
        <w:rPr>
          <w:rFonts w:ascii="仿宋_GB2312" w:eastAsia="仿宋_GB2312" w:hAnsi="仿宋" w:hint="eastAsia"/>
          <w:sz w:val="32"/>
          <w:szCs w:val="32"/>
        </w:rPr>
        <w:lastRenderedPageBreak/>
        <w:t>第二部门、预算项目绩效目标</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836"/>
        <w:gridCol w:w="837"/>
        <w:gridCol w:w="644"/>
        <w:gridCol w:w="666"/>
        <w:gridCol w:w="1001"/>
        <w:gridCol w:w="837"/>
        <w:gridCol w:w="1040"/>
      </w:tblGrid>
      <w:tr w:rsidR="00B673B5" w:rsidRPr="00B673B5" w:rsidTr="00B673B5">
        <w:trPr>
          <w:trHeight w:val="600"/>
        </w:trPr>
        <w:tc>
          <w:tcPr>
            <w:tcW w:w="0" w:type="auto"/>
            <w:gridSpan w:val="10"/>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t>预算项目绩效表</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161-0602-JBN-DE5E</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电子卷宗扫描服务费</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B673B5">
        <w:trPr>
          <w:trHeight w:val="6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根据工作需要，所需电子卷宗扫描服务费</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用于电子卷宗所需支出</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办理案件数</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办理案件数</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办理案件数</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办理案件数</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成本控制率(%)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成本控制率(%)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成本控制率(%)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成本控制率(%)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工作完成率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工作完成率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工作完成率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工作完成率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B673B5">
      <w:pPr>
        <w:spacing w:line="220" w:lineRule="atLeast"/>
        <w:ind w:firstLineChars="200" w:firstLine="640"/>
        <w:rPr>
          <w:rFonts w:ascii="仿宋_GB2312" w:eastAsia="仿宋_GB2312" w:hAnsi="仿宋" w:hint="eastAsia"/>
          <w:sz w:val="32"/>
          <w:szCs w:val="32"/>
        </w:rPr>
      </w:pPr>
    </w:p>
    <w:p w:rsidR="00EA5F7C" w:rsidRDefault="00EA5F7C" w:rsidP="00B673B5">
      <w:pPr>
        <w:spacing w:line="220" w:lineRule="atLeast"/>
        <w:ind w:firstLineChars="200" w:firstLine="640"/>
        <w:rPr>
          <w:rFonts w:ascii="仿宋_GB2312" w:eastAsia="仿宋_GB2312" w:hAnsi="仿宋" w:hint="eastAsia"/>
          <w:sz w:val="32"/>
          <w:szCs w:val="32"/>
        </w:rPr>
      </w:pPr>
    </w:p>
    <w:p w:rsidR="00EA5F7C" w:rsidRPr="00B673B5" w:rsidRDefault="00EA5F7C" w:rsidP="00B673B5">
      <w:pPr>
        <w:spacing w:line="220" w:lineRule="atLeast"/>
        <w:ind w:firstLineChars="200" w:firstLine="640"/>
        <w:rPr>
          <w:rFonts w:ascii="仿宋_GB2312" w:eastAsia="仿宋_GB2312" w:hAnsi="仿宋" w:hint="eastAsia"/>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836"/>
        <w:gridCol w:w="837"/>
        <w:gridCol w:w="644"/>
        <w:gridCol w:w="666"/>
        <w:gridCol w:w="1001"/>
        <w:gridCol w:w="837"/>
        <w:gridCol w:w="1040"/>
      </w:tblGrid>
      <w:tr w:rsidR="00B673B5" w:rsidRPr="00B673B5" w:rsidTr="00B673B5">
        <w:trPr>
          <w:trHeight w:val="600"/>
        </w:trPr>
        <w:tc>
          <w:tcPr>
            <w:tcW w:w="0" w:type="auto"/>
            <w:gridSpan w:val="10"/>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161-0602-JBN-R9XT</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车辆保险费</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B673B5">
        <w:trPr>
          <w:trHeight w:val="6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根据工作需要安排所需资金</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确保工作顺利开展</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EA5F7C" w:rsidRDefault="00EA5F7C" w:rsidP="00D31D50">
      <w:pPr>
        <w:spacing w:line="220" w:lineRule="atLeast"/>
        <w:rPr>
          <w:rFonts w:ascii="仿宋_GB2312" w:eastAsia="仿宋_GB2312" w:hAnsi="仿宋" w:hint="eastAsia"/>
          <w:sz w:val="32"/>
          <w:szCs w:val="32"/>
        </w:rPr>
      </w:pPr>
    </w:p>
    <w:p w:rsidR="00EA5F7C" w:rsidRDefault="00EA5F7C" w:rsidP="00D31D50">
      <w:pPr>
        <w:spacing w:line="220" w:lineRule="atLeast"/>
        <w:rPr>
          <w:rFonts w:ascii="仿宋_GB2312" w:eastAsia="仿宋_GB2312" w:hAnsi="仿宋" w:hint="eastAsia"/>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836"/>
        <w:gridCol w:w="837"/>
        <w:gridCol w:w="644"/>
        <w:gridCol w:w="666"/>
        <w:gridCol w:w="1001"/>
        <w:gridCol w:w="837"/>
        <w:gridCol w:w="1040"/>
      </w:tblGrid>
      <w:tr w:rsidR="00B673B5" w:rsidRPr="00B673B5" w:rsidTr="00B673B5">
        <w:trPr>
          <w:trHeight w:val="600"/>
        </w:trPr>
        <w:tc>
          <w:tcPr>
            <w:tcW w:w="0" w:type="auto"/>
            <w:gridSpan w:val="10"/>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161-0602-JBN-OUW6</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审判业务费</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B673B5">
        <w:trPr>
          <w:trHeight w:val="6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根据工作需要，所需安排资金</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保障工作顺利开展</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D31D50">
      <w:pPr>
        <w:spacing w:line="220" w:lineRule="atLeast"/>
        <w:rPr>
          <w:rFonts w:ascii="仿宋_GB2312" w:eastAsia="仿宋_GB2312" w:hAnsi="仿宋" w:hint="eastAsia"/>
          <w:sz w:val="32"/>
          <w:szCs w:val="32"/>
        </w:rPr>
      </w:pPr>
    </w:p>
    <w:p w:rsidR="00EA5F7C" w:rsidRDefault="00EA5F7C" w:rsidP="00D31D50">
      <w:pPr>
        <w:spacing w:line="220" w:lineRule="atLeast"/>
        <w:rPr>
          <w:rFonts w:ascii="仿宋_GB2312" w:eastAsia="仿宋_GB2312" w:hAnsi="仿宋" w:hint="eastAsia"/>
          <w:sz w:val="32"/>
          <w:szCs w:val="32"/>
        </w:rPr>
      </w:pPr>
    </w:p>
    <w:p w:rsidR="00EA5F7C" w:rsidRDefault="00EA5F7C" w:rsidP="00D31D50">
      <w:pPr>
        <w:spacing w:line="220" w:lineRule="atLeast"/>
        <w:rPr>
          <w:rFonts w:ascii="仿宋_GB2312" w:eastAsia="仿宋_GB2312" w:hAnsi="仿宋" w:hint="eastAsia"/>
          <w:sz w:val="32"/>
          <w:szCs w:val="32"/>
        </w:rPr>
      </w:pPr>
    </w:p>
    <w:p w:rsidR="00EA5F7C" w:rsidRDefault="00EA5F7C" w:rsidP="00D31D50">
      <w:pPr>
        <w:spacing w:line="220" w:lineRule="atLeast"/>
        <w:rPr>
          <w:rFonts w:ascii="仿宋_GB2312" w:eastAsia="仿宋_GB2312" w:hAnsi="仿宋" w:hint="eastAsia"/>
          <w:sz w:val="32"/>
          <w:szCs w:val="32"/>
        </w:rPr>
      </w:pPr>
    </w:p>
    <w:tbl>
      <w:tblPr>
        <w:tblW w:w="0" w:type="auto"/>
        <w:tblInd w:w="93" w:type="dxa"/>
        <w:tblLook w:val="04A0"/>
      </w:tblPr>
      <w:tblGrid>
        <w:gridCol w:w="666"/>
        <w:gridCol w:w="1120"/>
        <w:gridCol w:w="1836"/>
        <w:gridCol w:w="836"/>
        <w:gridCol w:w="837"/>
        <w:gridCol w:w="644"/>
        <w:gridCol w:w="666"/>
        <w:gridCol w:w="1001"/>
        <w:gridCol w:w="837"/>
        <w:gridCol w:w="1040"/>
      </w:tblGrid>
      <w:tr w:rsidR="00B673B5" w:rsidRPr="00B673B5" w:rsidTr="00B673B5">
        <w:trPr>
          <w:trHeight w:val="600"/>
        </w:trPr>
        <w:tc>
          <w:tcPr>
            <w:tcW w:w="0" w:type="auto"/>
            <w:gridSpan w:val="10"/>
            <w:tcBorders>
              <w:top w:val="single" w:sz="4" w:space="0" w:color="000000"/>
              <w:left w:val="single" w:sz="4" w:space="0" w:color="000000"/>
              <w:bottom w:val="single" w:sz="4" w:space="0" w:color="000000"/>
              <w:right w:val="single" w:sz="4" w:space="0" w:color="000000"/>
            </w:tcBorders>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161-0602-JBN-U4A1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法律文书印刷费</w:t>
            </w:r>
          </w:p>
        </w:tc>
      </w:tr>
      <w:tr w:rsidR="00B673B5" w:rsidRPr="00B673B5" w:rsidTr="00EA5F7C">
        <w:trPr>
          <w:trHeight w:val="37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EA5F7C">
        <w:trPr>
          <w:trHeight w:val="3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根据工作需要，所需资金</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保障工作顺利开展</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B673B5" w:rsidRPr="00B673B5" w:rsidTr="00B673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r>
      <w:tr w:rsidR="00B673B5" w:rsidRPr="00B673B5" w:rsidTr="00B673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r>
      <w:tr w:rsidR="00B673B5" w:rsidRPr="00B673B5" w:rsidTr="00B673B5">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r>
      <w:tr w:rsidR="00B673B5" w:rsidRPr="00B673B5" w:rsidTr="00B673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B673B5" w:rsidRPr="00B673B5" w:rsidTr="00B673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836"/>
        <w:gridCol w:w="837"/>
        <w:gridCol w:w="644"/>
        <w:gridCol w:w="666"/>
        <w:gridCol w:w="1001"/>
        <w:gridCol w:w="837"/>
        <w:gridCol w:w="1040"/>
      </w:tblGrid>
      <w:tr w:rsidR="00B673B5" w:rsidRPr="00B673B5" w:rsidTr="00B673B5">
        <w:trPr>
          <w:trHeight w:val="600"/>
        </w:trPr>
        <w:tc>
          <w:tcPr>
            <w:tcW w:w="0" w:type="auto"/>
            <w:gridSpan w:val="10"/>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161-0602-JBN-K20E</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法院业务配套资金</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B673B5">
        <w:trPr>
          <w:trHeight w:val="6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根据工作要求，所需安排资金</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保障工作正常开展</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正常使用率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1120"/>
        <w:gridCol w:w="1836"/>
        <w:gridCol w:w="881"/>
        <w:gridCol w:w="881"/>
        <w:gridCol w:w="582"/>
        <w:gridCol w:w="666"/>
        <w:gridCol w:w="895"/>
        <w:gridCol w:w="881"/>
        <w:gridCol w:w="1074"/>
      </w:tblGrid>
      <w:tr w:rsidR="00B673B5" w:rsidRPr="00B673B5" w:rsidTr="00B673B5">
        <w:trPr>
          <w:trHeight w:val="600"/>
        </w:trPr>
        <w:tc>
          <w:tcPr>
            <w:tcW w:w="0" w:type="auto"/>
            <w:gridSpan w:val="10"/>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161-0602-JBN-INBO</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省院培训费</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B673B5">
        <w:trPr>
          <w:trHeight w:val="6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根据政策要求，所需安排资金</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保障工作高质完成</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案件结案率(%)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工作任务完成及时率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工作任务完成及时率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工作任务完成及时率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工作任务完成及时率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819"/>
        <w:gridCol w:w="819"/>
        <w:gridCol w:w="657"/>
        <w:gridCol w:w="666"/>
        <w:gridCol w:w="1023"/>
        <w:gridCol w:w="821"/>
        <w:gridCol w:w="1056"/>
      </w:tblGrid>
      <w:tr w:rsidR="00B673B5" w:rsidRPr="00B673B5" w:rsidTr="00B673B5">
        <w:trPr>
          <w:trHeight w:val="600"/>
        </w:trPr>
        <w:tc>
          <w:tcPr>
            <w:tcW w:w="0" w:type="auto"/>
            <w:gridSpan w:val="10"/>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161-0602-JBN-HOEH</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职业化建设经费</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B673B5">
        <w:trPr>
          <w:trHeight w:val="6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根据政策要求，安排所需资金</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加强法院工作正常开展</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结案率(%)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结案率(%)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结案率(%)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案件办理率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项目成本</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完工及时率</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提供优质服务</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89.00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B673B5" w:rsidRPr="00B673B5" w:rsidTr="00B673B5">
        <w:trPr>
          <w:trHeight w:val="375"/>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满意度</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群众满意度</w:t>
            </w: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群众满意度</w:t>
            </w: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满意度</w:t>
            </w: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B673B5" w:rsidRPr="00B673B5" w:rsidTr="00B673B5">
        <w:trPr>
          <w:trHeight w:val="300"/>
        </w:trPr>
        <w:tc>
          <w:tcPr>
            <w:tcW w:w="0" w:type="auto"/>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0" w:type="auto"/>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p w:rsidR="00B673B5" w:rsidRDefault="00B673B5" w:rsidP="00D31D50">
      <w:pPr>
        <w:spacing w:line="220" w:lineRule="atLeast"/>
        <w:rPr>
          <w:rFonts w:ascii="仿宋_GB2312" w:eastAsia="仿宋_GB2312" w:hAnsi="仿宋" w:hint="eastAsia"/>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5"/>
        <w:gridCol w:w="1002"/>
        <w:gridCol w:w="1276"/>
        <w:gridCol w:w="1417"/>
        <w:gridCol w:w="1164"/>
        <w:gridCol w:w="538"/>
        <w:gridCol w:w="818"/>
        <w:gridCol w:w="741"/>
        <w:gridCol w:w="992"/>
        <w:gridCol w:w="963"/>
      </w:tblGrid>
      <w:tr w:rsidR="00B673B5" w:rsidRPr="00B673B5" w:rsidTr="00EA5F7C">
        <w:trPr>
          <w:trHeight w:val="416"/>
        </w:trPr>
        <w:tc>
          <w:tcPr>
            <w:tcW w:w="5000" w:type="pct"/>
            <w:gridSpan w:val="10"/>
            <w:shd w:val="clear" w:color="000000" w:fill="E4ECF7"/>
            <w:vAlign w:val="center"/>
            <w:hideMark/>
          </w:tcPr>
          <w:p w:rsidR="00B673B5" w:rsidRPr="00B673B5" w:rsidRDefault="00B673B5" w:rsidP="00B673B5">
            <w:pPr>
              <w:adjustRightInd/>
              <w:snapToGrid/>
              <w:spacing w:after="0"/>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B673B5" w:rsidRPr="00B673B5" w:rsidTr="00EA5F7C">
        <w:trPr>
          <w:trHeight w:val="679"/>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w:t>
            </w:r>
          </w:p>
        </w:tc>
        <w:tc>
          <w:tcPr>
            <w:tcW w:w="1189" w:type="pct"/>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1347" w:type="pct"/>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161-0602-JBN-7W4L</w:t>
            </w:r>
          </w:p>
        </w:tc>
        <w:tc>
          <w:tcPr>
            <w:tcW w:w="281" w:type="pct"/>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1835" w:type="pct"/>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诉讼服务中心建设</w:t>
            </w:r>
          </w:p>
        </w:tc>
      </w:tr>
      <w:tr w:rsidR="00B673B5"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2.00</w:t>
            </w:r>
          </w:p>
        </w:tc>
        <w:tc>
          <w:tcPr>
            <w:tcW w:w="1189" w:type="pct"/>
            <w:gridSpan w:val="2"/>
            <w:shd w:val="clear" w:color="auto" w:fill="auto"/>
            <w:noWrap/>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1347" w:type="pct"/>
            <w:gridSpan w:val="2"/>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【161】法院部门</w:t>
            </w:r>
          </w:p>
        </w:tc>
        <w:tc>
          <w:tcPr>
            <w:tcW w:w="281" w:type="pct"/>
            <w:shd w:val="clear" w:color="auto" w:fill="auto"/>
            <w:vAlign w:val="center"/>
            <w:hideMark/>
          </w:tcPr>
          <w:p w:rsidR="00B673B5" w:rsidRPr="00B673B5" w:rsidRDefault="00B673B5" w:rsidP="00B673B5">
            <w:pPr>
              <w:adjustRightInd/>
              <w:snapToGrid/>
              <w:spacing w:after="0"/>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1835" w:type="pct"/>
            <w:gridSpan w:val="4"/>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B673B5" w:rsidRPr="00B673B5" w:rsidTr="00EA5F7C">
        <w:trPr>
          <w:trHeight w:val="600"/>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3.00</w:t>
            </w:r>
          </w:p>
        </w:tc>
        <w:tc>
          <w:tcPr>
            <w:tcW w:w="2537" w:type="pct"/>
            <w:gridSpan w:val="4"/>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2116" w:type="pct"/>
            <w:gridSpan w:val="5"/>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p>
        </w:tc>
      </w:tr>
      <w:tr w:rsidR="00B673B5"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4.00</w:t>
            </w:r>
          </w:p>
        </w:tc>
        <w:tc>
          <w:tcPr>
            <w:tcW w:w="523" w:type="pct"/>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4130" w:type="pct"/>
            <w:gridSpan w:val="8"/>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B673B5"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5.00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目标1</w:t>
            </w:r>
          </w:p>
        </w:tc>
        <w:tc>
          <w:tcPr>
            <w:tcW w:w="3463" w:type="pct"/>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根据工作要求，所需安排资金</w:t>
            </w:r>
          </w:p>
        </w:tc>
      </w:tr>
      <w:tr w:rsidR="00B673B5"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6.00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目标2</w:t>
            </w:r>
          </w:p>
        </w:tc>
        <w:tc>
          <w:tcPr>
            <w:tcW w:w="3463" w:type="pct"/>
            <w:gridSpan w:val="7"/>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用于法院建设经费</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7.00</w:t>
            </w:r>
          </w:p>
        </w:tc>
        <w:tc>
          <w:tcPr>
            <w:tcW w:w="523" w:type="pct"/>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666" w:type="pct"/>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740" w:type="pct"/>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607" w:type="pct"/>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1095" w:type="pct"/>
            <w:gridSpan w:val="3"/>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518" w:type="pct"/>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503" w:type="pct"/>
            <w:vMerge w:val="restar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8.00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740"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07"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281" w:type="pc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427" w:type="pc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387" w:type="pct"/>
            <w:shd w:val="clear" w:color="auto" w:fill="auto"/>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518"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50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r>
      <w:tr w:rsidR="00EA5F7C" w:rsidRPr="00B673B5" w:rsidTr="00EA5F7C">
        <w:trPr>
          <w:trHeight w:val="300"/>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9.00</w:t>
            </w:r>
          </w:p>
        </w:tc>
        <w:tc>
          <w:tcPr>
            <w:tcW w:w="523" w:type="pct"/>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数量指标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资金保障率</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资金保障率</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用于法院建设经费</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资金保障率</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10.00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质量指标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计划完成率</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计划完成率</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根据省院安排所需资金</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计划完成率</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11.00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时效指标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项目申请与立项按期完成率</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项目申请与立项按期完成率</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根据政策要求所需安排资金</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项目申请与立项按期完成率</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12.00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成本指标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按预算资金完成率</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按预算资金完成率</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根据政策要求所需安排资金</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按预算资金完成率</w:t>
            </w:r>
          </w:p>
        </w:tc>
      </w:tr>
      <w:tr w:rsidR="00EA5F7C" w:rsidRPr="00B673B5" w:rsidTr="00EA5F7C">
        <w:trPr>
          <w:trHeight w:val="692"/>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13.00</w:t>
            </w:r>
          </w:p>
        </w:tc>
        <w:tc>
          <w:tcPr>
            <w:tcW w:w="523" w:type="pct"/>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经济效益指标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资金的使用效率</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资金的使用效率</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用于法院建设经费</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资金的使用效率</w:t>
            </w:r>
          </w:p>
        </w:tc>
      </w:tr>
      <w:tr w:rsidR="00EA5F7C" w:rsidRPr="00B673B5" w:rsidTr="00EA5F7C">
        <w:trPr>
          <w:trHeight w:val="1018"/>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14.00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社会效益指标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被羁押人员每百人各类安全事故发生率控制数</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被羁押人员每百人各类安全事故发生率控制数</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5.00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事故发生率</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被羁押人员每百人各类安全事故发生率控制数</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15.00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生态效益指标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89.00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生态影响</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16.00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89.00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增强影响力</w:t>
            </w:r>
          </w:p>
        </w:tc>
      </w:tr>
      <w:tr w:rsidR="00EA5F7C" w:rsidRPr="00B673B5" w:rsidTr="00EA5F7C">
        <w:trPr>
          <w:trHeight w:val="375"/>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17.00</w:t>
            </w:r>
          </w:p>
        </w:tc>
        <w:tc>
          <w:tcPr>
            <w:tcW w:w="523" w:type="pct"/>
            <w:vMerge w:val="restar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666"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法院建设经费</w:t>
            </w: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r w:rsidRPr="00B673B5">
              <w:rPr>
                <w:rFonts w:ascii="宋体" w:eastAsia="宋体" w:hAnsi="宋体" w:cs="宋体" w:hint="eastAsia"/>
                <w:sz w:val="18"/>
                <w:szCs w:val="18"/>
              </w:rPr>
              <w:t>满意率</w:t>
            </w:r>
          </w:p>
        </w:tc>
      </w:tr>
      <w:tr w:rsidR="00EA5F7C" w:rsidRPr="00B673B5" w:rsidTr="00EA5F7C">
        <w:trPr>
          <w:trHeight w:val="300"/>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18.00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r w:rsidR="00EA5F7C" w:rsidRPr="00B673B5" w:rsidTr="00EA5F7C">
        <w:trPr>
          <w:trHeight w:val="300"/>
        </w:trPr>
        <w:tc>
          <w:tcPr>
            <w:tcW w:w="347" w:type="pct"/>
            <w:shd w:val="clear" w:color="auto" w:fill="auto"/>
            <w:noWrap/>
            <w:vAlign w:val="center"/>
            <w:hideMark/>
          </w:tcPr>
          <w:p w:rsidR="00B673B5" w:rsidRPr="00B673B5" w:rsidRDefault="00B673B5" w:rsidP="00B673B5">
            <w:pPr>
              <w:adjustRightInd/>
              <w:snapToGrid/>
              <w:spacing w:after="0"/>
              <w:jc w:val="center"/>
              <w:rPr>
                <w:rFonts w:ascii="宋体" w:eastAsia="宋体" w:hAnsi="宋体" w:cs="宋体"/>
                <w:sz w:val="18"/>
                <w:szCs w:val="18"/>
              </w:rPr>
            </w:pPr>
            <w:r w:rsidRPr="00B673B5">
              <w:rPr>
                <w:rFonts w:ascii="宋体" w:eastAsia="宋体" w:hAnsi="宋体" w:cs="宋体" w:hint="eastAsia"/>
                <w:sz w:val="18"/>
                <w:szCs w:val="18"/>
              </w:rPr>
              <w:t>19.00</w:t>
            </w:r>
          </w:p>
        </w:tc>
        <w:tc>
          <w:tcPr>
            <w:tcW w:w="523" w:type="pct"/>
            <w:vMerge/>
            <w:vAlign w:val="center"/>
            <w:hideMark/>
          </w:tcPr>
          <w:p w:rsidR="00B673B5" w:rsidRPr="00B673B5" w:rsidRDefault="00B673B5" w:rsidP="00B673B5">
            <w:pPr>
              <w:adjustRightInd/>
              <w:snapToGrid/>
              <w:spacing w:after="0"/>
              <w:rPr>
                <w:rFonts w:ascii="宋体" w:eastAsia="宋体" w:hAnsi="宋体" w:cs="宋体"/>
                <w:b/>
                <w:bCs/>
                <w:sz w:val="18"/>
                <w:szCs w:val="18"/>
              </w:rPr>
            </w:pPr>
          </w:p>
        </w:tc>
        <w:tc>
          <w:tcPr>
            <w:tcW w:w="666"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740"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60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281" w:type="pct"/>
            <w:shd w:val="clear" w:color="auto" w:fill="auto"/>
            <w:noWrap/>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427" w:type="pct"/>
            <w:shd w:val="clear" w:color="auto" w:fill="auto"/>
            <w:noWrap/>
            <w:vAlign w:val="center"/>
            <w:hideMark/>
          </w:tcPr>
          <w:p w:rsidR="00B673B5" w:rsidRPr="00B673B5" w:rsidRDefault="00B673B5" w:rsidP="00B673B5">
            <w:pPr>
              <w:adjustRightInd/>
              <w:snapToGrid/>
              <w:spacing w:after="0"/>
              <w:jc w:val="right"/>
              <w:rPr>
                <w:rFonts w:ascii="宋体" w:eastAsia="宋体" w:hAnsi="宋体" w:cs="宋体"/>
                <w:sz w:val="18"/>
                <w:szCs w:val="18"/>
              </w:rPr>
            </w:pPr>
          </w:p>
        </w:tc>
        <w:tc>
          <w:tcPr>
            <w:tcW w:w="387"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518"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c>
          <w:tcPr>
            <w:tcW w:w="503" w:type="pct"/>
            <w:shd w:val="clear" w:color="auto" w:fill="auto"/>
            <w:vAlign w:val="center"/>
            <w:hideMark/>
          </w:tcPr>
          <w:p w:rsidR="00B673B5" w:rsidRPr="00B673B5" w:rsidRDefault="00B673B5" w:rsidP="00B673B5">
            <w:pPr>
              <w:adjustRightInd/>
              <w:snapToGrid/>
              <w:spacing w:after="0"/>
              <w:rPr>
                <w:rFonts w:ascii="宋体" w:eastAsia="宋体" w:hAnsi="宋体" w:cs="宋体"/>
                <w:sz w:val="18"/>
                <w:szCs w:val="18"/>
              </w:rPr>
            </w:pPr>
          </w:p>
        </w:tc>
      </w:tr>
    </w:tbl>
    <w:p w:rsidR="00B673B5" w:rsidRDefault="00B673B5" w:rsidP="00D31D50">
      <w:pPr>
        <w:spacing w:line="220" w:lineRule="atLeast"/>
        <w:rPr>
          <w:rFonts w:ascii="仿宋_GB2312" w:eastAsia="仿宋_GB2312" w:hAnsi="仿宋" w:hint="eastAsia"/>
          <w:sz w:val="32"/>
          <w:szCs w:val="32"/>
        </w:rPr>
      </w:pPr>
    </w:p>
    <w:p w:rsidR="00EA5F7C" w:rsidRDefault="00EA5F7C" w:rsidP="00D31D50">
      <w:pPr>
        <w:spacing w:line="220" w:lineRule="atLeast"/>
        <w:rPr>
          <w:rFonts w:ascii="仿宋_GB2312" w:eastAsia="仿宋_GB2312" w:hAnsi="仿宋" w:hint="eastAsia"/>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836"/>
        <w:gridCol w:w="837"/>
        <w:gridCol w:w="644"/>
        <w:gridCol w:w="666"/>
        <w:gridCol w:w="1001"/>
        <w:gridCol w:w="837"/>
        <w:gridCol w:w="1040"/>
      </w:tblGrid>
      <w:tr w:rsidR="00EA5F7C" w:rsidRPr="00EA5F7C" w:rsidTr="00EA5F7C">
        <w:trPr>
          <w:trHeight w:val="600"/>
        </w:trPr>
        <w:tc>
          <w:tcPr>
            <w:tcW w:w="0" w:type="auto"/>
            <w:gridSpan w:val="10"/>
            <w:shd w:val="clear" w:color="000000" w:fill="E4ECF7"/>
            <w:vAlign w:val="center"/>
            <w:hideMark/>
          </w:tcPr>
          <w:p w:rsidR="00EA5F7C" w:rsidRPr="00EA5F7C" w:rsidRDefault="00EA5F7C" w:rsidP="00EA5F7C">
            <w:pPr>
              <w:adjustRightInd/>
              <w:snapToGrid/>
              <w:spacing w:after="0"/>
              <w:jc w:val="center"/>
              <w:rPr>
                <w:rFonts w:ascii="宋体" w:eastAsia="宋体" w:hAnsi="宋体" w:cs="宋体"/>
                <w:sz w:val="44"/>
                <w:szCs w:val="44"/>
              </w:rPr>
            </w:pPr>
            <w:r w:rsidRPr="00EA5F7C">
              <w:rPr>
                <w:rFonts w:ascii="宋体" w:eastAsia="宋体" w:hAnsi="宋体" w:cs="宋体" w:hint="eastAsia"/>
                <w:sz w:val="44"/>
                <w:szCs w:val="44"/>
              </w:rPr>
              <w:t>预算项目绩效表</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1.00</w:t>
            </w:r>
          </w:p>
        </w:tc>
        <w:tc>
          <w:tcPr>
            <w:tcW w:w="0" w:type="auto"/>
            <w:gridSpan w:val="2"/>
            <w:shd w:val="clear" w:color="auto" w:fill="auto"/>
            <w:noWrap/>
            <w:vAlign w:val="center"/>
            <w:hideMark/>
          </w:tcPr>
          <w:p w:rsidR="00EA5F7C" w:rsidRPr="00EA5F7C" w:rsidRDefault="00EA5F7C" w:rsidP="00EA5F7C">
            <w:pPr>
              <w:adjustRightInd/>
              <w:snapToGrid/>
              <w:spacing w:after="0"/>
              <w:rPr>
                <w:rFonts w:ascii="宋体" w:eastAsia="宋体" w:hAnsi="宋体" w:cs="宋体"/>
                <w:b/>
                <w:bCs/>
                <w:sz w:val="18"/>
                <w:szCs w:val="18"/>
              </w:rPr>
            </w:pPr>
            <w:r w:rsidRPr="00EA5F7C">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161-0602-JBN-OWYU</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b/>
                <w:bCs/>
                <w:sz w:val="18"/>
                <w:szCs w:val="18"/>
              </w:rPr>
            </w:pPr>
            <w:r w:rsidRPr="00EA5F7C">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司法公开建设经费</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2.00</w:t>
            </w:r>
          </w:p>
        </w:tc>
        <w:tc>
          <w:tcPr>
            <w:tcW w:w="0" w:type="auto"/>
            <w:gridSpan w:val="2"/>
            <w:shd w:val="clear" w:color="auto" w:fill="auto"/>
            <w:noWrap/>
            <w:vAlign w:val="center"/>
            <w:hideMark/>
          </w:tcPr>
          <w:p w:rsidR="00EA5F7C" w:rsidRPr="00EA5F7C" w:rsidRDefault="00EA5F7C" w:rsidP="00EA5F7C">
            <w:pPr>
              <w:adjustRightInd/>
              <w:snapToGrid/>
              <w:spacing w:after="0"/>
              <w:rPr>
                <w:rFonts w:ascii="宋体" w:eastAsia="宋体" w:hAnsi="宋体" w:cs="宋体"/>
                <w:b/>
                <w:bCs/>
                <w:sz w:val="18"/>
                <w:szCs w:val="18"/>
              </w:rPr>
            </w:pPr>
            <w:r w:rsidRPr="00EA5F7C">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【161】法院部门</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b/>
                <w:bCs/>
                <w:sz w:val="18"/>
                <w:szCs w:val="18"/>
              </w:rPr>
            </w:pPr>
            <w:r w:rsidRPr="00EA5F7C">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【161001】秦皇岛市山海关区人民法院本级</w:t>
            </w:r>
          </w:p>
        </w:tc>
      </w:tr>
      <w:tr w:rsidR="00EA5F7C" w:rsidRPr="00EA5F7C" w:rsidTr="00EA5F7C">
        <w:trPr>
          <w:trHeight w:val="600"/>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3.00</w:t>
            </w:r>
          </w:p>
        </w:tc>
        <w:tc>
          <w:tcPr>
            <w:tcW w:w="0" w:type="auto"/>
            <w:gridSpan w:val="4"/>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4.00</w:t>
            </w:r>
          </w:p>
        </w:tc>
        <w:tc>
          <w:tcPr>
            <w:tcW w:w="0" w:type="auto"/>
            <w:vMerge w:val="restart"/>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绩效目标</w:t>
            </w:r>
          </w:p>
        </w:tc>
        <w:tc>
          <w:tcPr>
            <w:tcW w:w="0" w:type="auto"/>
            <w:gridSpan w:val="8"/>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中长期目标（2021年-9998年）</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5.00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目标1</w:t>
            </w:r>
          </w:p>
        </w:tc>
        <w:tc>
          <w:tcPr>
            <w:tcW w:w="0" w:type="auto"/>
            <w:gridSpan w:val="7"/>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根据政策要求，所需资金</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6.00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目标2</w:t>
            </w:r>
          </w:p>
        </w:tc>
        <w:tc>
          <w:tcPr>
            <w:tcW w:w="0" w:type="auto"/>
            <w:gridSpan w:val="7"/>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保障工作顺利开展</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7.00</w:t>
            </w:r>
          </w:p>
        </w:tc>
        <w:tc>
          <w:tcPr>
            <w:tcW w:w="0" w:type="auto"/>
            <w:vMerge w:val="restart"/>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二级指标</w:t>
            </w:r>
          </w:p>
        </w:tc>
        <w:tc>
          <w:tcPr>
            <w:tcW w:w="0" w:type="auto"/>
            <w:vMerge w:val="restart"/>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三级指标</w:t>
            </w:r>
          </w:p>
        </w:tc>
        <w:tc>
          <w:tcPr>
            <w:tcW w:w="0" w:type="auto"/>
            <w:vMerge w:val="restart"/>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指标说明</w:t>
            </w:r>
          </w:p>
        </w:tc>
        <w:tc>
          <w:tcPr>
            <w:tcW w:w="0" w:type="auto"/>
            <w:gridSpan w:val="3"/>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指标值</w:t>
            </w:r>
          </w:p>
        </w:tc>
        <w:tc>
          <w:tcPr>
            <w:tcW w:w="0" w:type="auto"/>
            <w:vMerge w:val="restart"/>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评（扣）分标准</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8.00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符号</w:t>
            </w:r>
          </w:p>
        </w:tc>
        <w:tc>
          <w:tcPr>
            <w:tcW w:w="0" w:type="auto"/>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值</w:t>
            </w:r>
          </w:p>
        </w:tc>
        <w:tc>
          <w:tcPr>
            <w:tcW w:w="0" w:type="auto"/>
            <w:shd w:val="clear" w:color="auto" w:fill="auto"/>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单位（文字描述）</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r>
      <w:tr w:rsidR="00EA5F7C" w:rsidRPr="00EA5F7C" w:rsidTr="00EA5F7C">
        <w:trPr>
          <w:trHeight w:val="300"/>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9.00</w:t>
            </w:r>
          </w:p>
        </w:tc>
        <w:tc>
          <w:tcPr>
            <w:tcW w:w="0" w:type="auto"/>
            <w:vMerge w:val="restart"/>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产出指标</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数量指标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案件结案率(%)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案件结案率(%)</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案件结案率(%)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案件结案率(%)</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10.00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质量指标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正常使用率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正常使用率</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正常使用率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正常使用率</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11.00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成本指标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项目成本</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项目成本</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项目成本</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项目成本</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12.00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时效指标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完工及时率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完工及时率</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完工及时率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完工及时率</w:t>
            </w:r>
          </w:p>
        </w:tc>
      </w:tr>
      <w:tr w:rsidR="00EA5F7C" w:rsidRPr="00EA5F7C" w:rsidTr="00EA5F7C">
        <w:trPr>
          <w:trHeight w:val="300"/>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13.00</w:t>
            </w:r>
          </w:p>
        </w:tc>
        <w:tc>
          <w:tcPr>
            <w:tcW w:w="0" w:type="auto"/>
            <w:vMerge w:val="restart"/>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效益指标</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可持续影响指标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增强影响力</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增强影响力</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增强影响力</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增强影响力</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14.00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经济效益指标</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15.00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生态效益指标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生态影响</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生态影响</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生态影响</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生态影响</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16.00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社会效益指标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提供优质服务</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提供优质服务</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提供优质服务</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提供优质服务</w:t>
            </w:r>
          </w:p>
        </w:tc>
      </w:tr>
      <w:tr w:rsidR="00EA5F7C" w:rsidRPr="00EA5F7C" w:rsidTr="00EA5F7C">
        <w:trPr>
          <w:trHeight w:val="375"/>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17.00</w:t>
            </w:r>
          </w:p>
        </w:tc>
        <w:tc>
          <w:tcPr>
            <w:tcW w:w="0" w:type="auto"/>
            <w:vMerge w:val="restart"/>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b/>
                <w:bCs/>
                <w:sz w:val="18"/>
                <w:szCs w:val="18"/>
              </w:rPr>
            </w:pPr>
            <w:r w:rsidRPr="00EA5F7C">
              <w:rPr>
                <w:rFonts w:ascii="宋体" w:eastAsia="宋体" w:hAnsi="宋体" w:cs="宋体" w:hint="eastAsia"/>
                <w:b/>
                <w:bCs/>
                <w:sz w:val="18"/>
                <w:szCs w:val="18"/>
              </w:rPr>
              <w:t>满意度指标</w:t>
            </w:r>
          </w:p>
        </w:tc>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服务对象满意度指标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满意率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满意率</w:t>
            </w: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满意率</w:t>
            </w: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r w:rsidRPr="00EA5F7C">
              <w:rPr>
                <w:rFonts w:ascii="宋体" w:eastAsia="宋体" w:hAnsi="宋体" w:cs="宋体" w:hint="eastAsia"/>
                <w:sz w:val="18"/>
                <w:szCs w:val="18"/>
              </w:rPr>
              <w:t>满意率</w:t>
            </w:r>
          </w:p>
        </w:tc>
      </w:tr>
      <w:tr w:rsidR="00EA5F7C" w:rsidRPr="00EA5F7C" w:rsidTr="00EA5F7C">
        <w:trPr>
          <w:trHeight w:val="300"/>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18.00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r>
      <w:tr w:rsidR="00EA5F7C" w:rsidRPr="00EA5F7C" w:rsidTr="00EA5F7C">
        <w:trPr>
          <w:trHeight w:val="300"/>
        </w:trPr>
        <w:tc>
          <w:tcPr>
            <w:tcW w:w="0" w:type="auto"/>
            <w:shd w:val="clear" w:color="auto" w:fill="auto"/>
            <w:noWrap/>
            <w:vAlign w:val="center"/>
            <w:hideMark/>
          </w:tcPr>
          <w:p w:rsidR="00EA5F7C" w:rsidRPr="00EA5F7C" w:rsidRDefault="00EA5F7C" w:rsidP="00EA5F7C">
            <w:pPr>
              <w:adjustRightInd/>
              <w:snapToGrid/>
              <w:spacing w:after="0"/>
              <w:jc w:val="center"/>
              <w:rPr>
                <w:rFonts w:ascii="宋体" w:eastAsia="宋体" w:hAnsi="宋体" w:cs="宋体"/>
                <w:sz w:val="18"/>
                <w:szCs w:val="18"/>
              </w:rPr>
            </w:pPr>
            <w:r w:rsidRPr="00EA5F7C">
              <w:rPr>
                <w:rFonts w:ascii="宋体" w:eastAsia="宋体" w:hAnsi="宋体" w:cs="宋体" w:hint="eastAsia"/>
                <w:sz w:val="18"/>
                <w:szCs w:val="18"/>
              </w:rPr>
              <w:t>19.00</w:t>
            </w:r>
          </w:p>
        </w:tc>
        <w:tc>
          <w:tcPr>
            <w:tcW w:w="0" w:type="auto"/>
            <w:vMerge/>
            <w:vAlign w:val="center"/>
            <w:hideMark/>
          </w:tcPr>
          <w:p w:rsidR="00EA5F7C" w:rsidRPr="00EA5F7C" w:rsidRDefault="00EA5F7C" w:rsidP="00EA5F7C">
            <w:pPr>
              <w:adjustRightInd/>
              <w:snapToGrid/>
              <w:spacing w:after="0"/>
              <w:rPr>
                <w:rFonts w:ascii="宋体" w:eastAsia="宋体" w:hAnsi="宋体" w:cs="宋体"/>
                <w:b/>
                <w:bCs/>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noWrap/>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noWrap/>
            <w:vAlign w:val="center"/>
            <w:hideMark/>
          </w:tcPr>
          <w:p w:rsidR="00EA5F7C" w:rsidRPr="00EA5F7C" w:rsidRDefault="00EA5F7C" w:rsidP="00EA5F7C">
            <w:pPr>
              <w:adjustRightInd/>
              <w:snapToGrid/>
              <w:spacing w:after="0"/>
              <w:jc w:val="right"/>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c>
          <w:tcPr>
            <w:tcW w:w="0" w:type="auto"/>
            <w:shd w:val="clear" w:color="auto" w:fill="auto"/>
            <w:vAlign w:val="center"/>
            <w:hideMark/>
          </w:tcPr>
          <w:p w:rsidR="00EA5F7C" w:rsidRPr="00EA5F7C" w:rsidRDefault="00EA5F7C" w:rsidP="00EA5F7C">
            <w:pPr>
              <w:adjustRightInd/>
              <w:snapToGrid/>
              <w:spacing w:after="0"/>
              <w:rPr>
                <w:rFonts w:ascii="宋体" w:eastAsia="宋体" w:hAnsi="宋体" w:cs="宋体"/>
                <w:sz w:val="18"/>
                <w:szCs w:val="18"/>
              </w:rPr>
            </w:pPr>
          </w:p>
        </w:tc>
      </w:tr>
    </w:tbl>
    <w:p w:rsidR="00EA5F7C" w:rsidRPr="00B673B5" w:rsidRDefault="00EA5F7C" w:rsidP="00D31D50">
      <w:pPr>
        <w:spacing w:line="220" w:lineRule="atLeast"/>
        <w:rPr>
          <w:rFonts w:ascii="仿宋_GB2312" w:eastAsia="仿宋_GB2312" w:hAnsi="仿宋" w:hint="eastAsia"/>
          <w:sz w:val="32"/>
          <w:szCs w:val="32"/>
        </w:rPr>
      </w:pPr>
    </w:p>
    <w:sectPr w:rsidR="00EA5F7C" w:rsidRPr="00B673B5">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AB1" w:rsidRDefault="001A3AB1" w:rsidP="00D54659">
      <w:pPr>
        <w:spacing w:after="0"/>
      </w:pPr>
      <w:r>
        <w:separator/>
      </w:r>
    </w:p>
  </w:endnote>
  <w:endnote w:type="continuationSeparator" w:id="0">
    <w:p w:rsidR="001A3AB1" w:rsidRDefault="001A3AB1" w:rsidP="00D546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AB1" w:rsidRDefault="001A3AB1" w:rsidP="00D54659">
      <w:pPr>
        <w:spacing w:after="0"/>
      </w:pPr>
      <w:r>
        <w:separator/>
      </w:r>
    </w:p>
  </w:footnote>
  <w:footnote w:type="continuationSeparator" w:id="0">
    <w:p w:rsidR="001A3AB1" w:rsidRDefault="001A3AB1" w:rsidP="00D5465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A3AB1"/>
    <w:rsid w:val="00323B43"/>
    <w:rsid w:val="003D37D8"/>
    <w:rsid w:val="00426133"/>
    <w:rsid w:val="004358AB"/>
    <w:rsid w:val="00767F8A"/>
    <w:rsid w:val="008B7726"/>
    <w:rsid w:val="009B67C4"/>
    <w:rsid w:val="00A469F1"/>
    <w:rsid w:val="00B6227D"/>
    <w:rsid w:val="00B673B5"/>
    <w:rsid w:val="00D31D50"/>
    <w:rsid w:val="00D54659"/>
    <w:rsid w:val="00EA5F7C"/>
    <w:rsid w:val="00FA1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465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54659"/>
    <w:rPr>
      <w:rFonts w:ascii="Tahoma" w:hAnsi="Tahoma"/>
      <w:sz w:val="18"/>
      <w:szCs w:val="18"/>
    </w:rPr>
  </w:style>
  <w:style w:type="paragraph" w:styleId="a4">
    <w:name w:val="footer"/>
    <w:basedOn w:val="a"/>
    <w:link w:val="Char0"/>
    <w:uiPriority w:val="99"/>
    <w:semiHidden/>
    <w:unhideWhenUsed/>
    <w:rsid w:val="00D54659"/>
    <w:pPr>
      <w:tabs>
        <w:tab w:val="center" w:pos="4153"/>
        <w:tab w:val="right" w:pos="8306"/>
      </w:tabs>
    </w:pPr>
    <w:rPr>
      <w:sz w:val="18"/>
      <w:szCs w:val="18"/>
    </w:rPr>
  </w:style>
  <w:style w:type="character" w:customStyle="1" w:styleId="Char0">
    <w:name w:val="页脚 Char"/>
    <w:basedOn w:val="a0"/>
    <w:link w:val="a4"/>
    <w:uiPriority w:val="99"/>
    <w:semiHidden/>
    <w:rsid w:val="00D54659"/>
    <w:rPr>
      <w:rFonts w:ascii="Tahoma" w:hAnsi="Tahoma"/>
      <w:sz w:val="18"/>
      <w:szCs w:val="18"/>
    </w:rPr>
  </w:style>
  <w:style w:type="paragraph" w:customStyle="1" w:styleId="Normal">
    <w:name w:val="[Normal]"/>
    <w:uiPriority w:val="6"/>
    <w:rsid w:val="00D54659"/>
    <w:pPr>
      <w:spacing w:after="0" w:line="240" w:lineRule="auto"/>
    </w:pPr>
    <w:rPr>
      <w:rFonts w:ascii="宋体" w:eastAsia="宋体" w:hAnsi="宋体" w:cs="Times New Roman"/>
      <w:noProof/>
      <w:sz w:val="24"/>
      <w:szCs w:val="20"/>
      <w:lang w:eastAsia="en-US"/>
    </w:rPr>
  </w:style>
</w:styles>
</file>

<file path=word/webSettings.xml><?xml version="1.0" encoding="utf-8"?>
<w:webSettings xmlns:r="http://schemas.openxmlformats.org/officeDocument/2006/relationships" xmlns:w="http://schemas.openxmlformats.org/wordprocessingml/2006/main">
  <w:divs>
    <w:div w:id="187911204">
      <w:bodyDiv w:val="1"/>
      <w:marLeft w:val="0"/>
      <w:marRight w:val="0"/>
      <w:marTop w:val="0"/>
      <w:marBottom w:val="0"/>
      <w:divBdr>
        <w:top w:val="none" w:sz="0" w:space="0" w:color="auto"/>
        <w:left w:val="none" w:sz="0" w:space="0" w:color="auto"/>
        <w:bottom w:val="none" w:sz="0" w:space="0" w:color="auto"/>
        <w:right w:val="none" w:sz="0" w:space="0" w:color="auto"/>
      </w:divBdr>
    </w:div>
    <w:div w:id="488668954">
      <w:bodyDiv w:val="1"/>
      <w:marLeft w:val="0"/>
      <w:marRight w:val="0"/>
      <w:marTop w:val="0"/>
      <w:marBottom w:val="0"/>
      <w:divBdr>
        <w:top w:val="none" w:sz="0" w:space="0" w:color="auto"/>
        <w:left w:val="none" w:sz="0" w:space="0" w:color="auto"/>
        <w:bottom w:val="none" w:sz="0" w:space="0" w:color="auto"/>
        <w:right w:val="none" w:sz="0" w:space="0" w:color="auto"/>
      </w:divBdr>
    </w:div>
    <w:div w:id="518546095">
      <w:bodyDiv w:val="1"/>
      <w:marLeft w:val="0"/>
      <w:marRight w:val="0"/>
      <w:marTop w:val="0"/>
      <w:marBottom w:val="0"/>
      <w:divBdr>
        <w:top w:val="none" w:sz="0" w:space="0" w:color="auto"/>
        <w:left w:val="none" w:sz="0" w:space="0" w:color="auto"/>
        <w:bottom w:val="none" w:sz="0" w:space="0" w:color="auto"/>
        <w:right w:val="none" w:sz="0" w:space="0" w:color="auto"/>
      </w:divBdr>
    </w:div>
    <w:div w:id="1202132946">
      <w:bodyDiv w:val="1"/>
      <w:marLeft w:val="0"/>
      <w:marRight w:val="0"/>
      <w:marTop w:val="0"/>
      <w:marBottom w:val="0"/>
      <w:divBdr>
        <w:top w:val="none" w:sz="0" w:space="0" w:color="auto"/>
        <w:left w:val="none" w:sz="0" w:space="0" w:color="auto"/>
        <w:bottom w:val="none" w:sz="0" w:space="0" w:color="auto"/>
        <w:right w:val="none" w:sz="0" w:space="0" w:color="auto"/>
      </w:divBdr>
    </w:div>
    <w:div w:id="1247417268">
      <w:bodyDiv w:val="1"/>
      <w:marLeft w:val="0"/>
      <w:marRight w:val="0"/>
      <w:marTop w:val="0"/>
      <w:marBottom w:val="0"/>
      <w:divBdr>
        <w:top w:val="none" w:sz="0" w:space="0" w:color="auto"/>
        <w:left w:val="none" w:sz="0" w:space="0" w:color="auto"/>
        <w:bottom w:val="none" w:sz="0" w:space="0" w:color="auto"/>
        <w:right w:val="none" w:sz="0" w:space="0" w:color="auto"/>
      </w:divBdr>
    </w:div>
    <w:div w:id="1383477774">
      <w:bodyDiv w:val="1"/>
      <w:marLeft w:val="0"/>
      <w:marRight w:val="0"/>
      <w:marTop w:val="0"/>
      <w:marBottom w:val="0"/>
      <w:divBdr>
        <w:top w:val="none" w:sz="0" w:space="0" w:color="auto"/>
        <w:left w:val="none" w:sz="0" w:space="0" w:color="auto"/>
        <w:bottom w:val="none" w:sz="0" w:space="0" w:color="auto"/>
        <w:right w:val="none" w:sz="0" w:space="0" w:color="auto"/>
      </w:divBdr>
    </w:div>
    <w:div w:id="1415662529">
      <w:bodyDiv w:val="1"/>
      <w:marLeft w:val="0"/>
      <w:marRight w:val="0"/>
      <w:marTop w:val="0"/>
      <w:marBottom w:val="0"/>
      <w:divBdr>
        <w:top w:val="none" w:sz="0" w:space="0" w:color="auto"/>
        <w:left w:val="none" w:sz="0" w:space="0" w:color="auto"/>
        <w:bottom w:val="none" w:sz="0" w:space="0" w:color="auto"/>
        <w:right w:val="none" w:sz="0" w:space="0" w:color="auto"/>
      </w:divBdr>
    </w:div>
    <w:div w:id="1637102597">
      <w:bodyDiv w:val="1"/>
      <w:marLeft w:val="0"/>
      <w:marRight w:val="0"/>
      <w:marTop w:val="0"/>
      <w:marBottom w:val="0"/>
      <w:divBdr>
        <w:top w:val="none" w:sz="0" w:space="0" w:color="auto"/>
        <w:left w:val="none" w:sz="0" w:space="0" w:color="auto"/>
        <w:bottom w:val="none" w:sz="0" w:space="0" w:color="auto"/>
        <w:right w:val="none" w:sz="0" w:space="0" w:color="auto"/>
      </w:divBdr>
    </w:div>
    <w:div w:id="1685786157">
      <w:bodyDiv w:val="1"/>
      <w:marLeft w:val="0"/>
      <w:marRight w:val="0"/>
      <w:marTop w:val="0"/>
      <w:marBottom w:val="0"/>
      <w:divBdr>
        <w:top w:val="none" w:sz="0" w:space="0" w:color="auto"/>
        <w:left w:val="none" w:sz="0" w:space="0" w:color="auto"/>
        <w:bottom w:val="none" w:sz="0" w:space="0" w:color="auto"/>
        <w:right w:val="none" w:sz="0" w:space="0" w:color="auto"/>
      </w:divBdr>
    </w:div>
    <w:div w:id="1738937301">
      <w:bodyDiv w:val="1"/>
      <w:marLeft w:val="0"/>
      <w:marRight w:val="0"/>
      <w:marTop w:val="0"/>
      <w:marBottom w:val="0"/>
      <w:divBdr>
        <w:top w:val="none" w:sz="0" w:space="0" w:color="auto"/>
        <w:left w:val="none" w:sz="0" w:space="0" w:color="auto"/>
        <w:bottom w:val="none" w:sz="0" w:space="0" w:color="auto"/>
        <w:right w:val="none" w:sz="0" w:space="0" w:color="auto"/>
      </w:divBdr>
    </w:div>
    <w:div w:id="19771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1651</Words>
  <Characters>9411</Characters>
  <Application>Microsoft Office Word</Application>
  <DocSecurity>0</DocSecurity>
  <Lines>78</Lines>
  <Paragraphs>22</Paragraphs>
  <ScaleCrop>false</ScaleCrop>
  <Company>微软中国</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2021-02-07T03:23:00Z</dcterms:created>
  <dcterms:modified xsi:type="dcterms:W3CDTF">2021-02-07T03:23:00Z</dcterms:modified>
</cp:coreProperties>
</file>