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秦皇岛市山海关区档案馆</w:t>
      </w:r>
      <w:r>
        <w:rPr>
          <w:rFonts w:ascii="黑体" w:hAnsi="黑体" w:eastAsia="黑体" w:cs="黑体"/>
          <w:b/>
          <w:color w:val="000000"/>
          <w:sz w:val="44"/>
        </w:rPr>
        <w:t>2024年部门预算信息公开目录</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241档案馆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118.87</w:t>
            </w:r>
          </w:p>
        </w:tc>
        <w:tc>
          <w:tcPr>
            <w:tcW w:w="4535" w:type="dxa"/>
            <w:vAlign w:val="center"/>
          </w:tcPr>
          <w:p>
            <w:pPr>
              <w:pStyle w:val="12"/>
            </w:pPr>
            <w:r>
              <w:t>一、一般公共服务支出</w:t>
            </w:r>
          </w:p>
        </w:tc>
        <w:tc>
          <w:tcPr>
            <w:tcW w:w="2126" w:type="dxa"/>
            <w:vAlign w:val="center"/>
          </w:tcPr>
          <w:p>
            <w:pPr>
              <w:pStyle w:val="11"/>
            </w:pPr>
            <w:r>
              <w:t>90.73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118.87</w:t>
            </w:r>
          </w:p>
        </w:tc>
        <w:tc>
          <w:tcPr>
            <w:tcW w:w="4535" w:type="dxa"/>
            <w:vAlign w:val="center"/>
          </w:tcPr>
          <w:p>
            <w:pPr>
              <w:pStyle w:val="14"/>
            </w:pPr>
            <w:r>
              <w:t>本年支出合计</w:t>
            </w:r>
          </w:p>
        </w:tc>
        <w:tc>
          <w:tcPr>
            <w:tcW w:w="2126" w:type="dxa"/>
            <w:vAlign w:val="center"/>
          </w:tcPr>
          <w:p>
            <w:pPr>
              <w:pStyle w:val="15"/>
            </w:pPr>
            <w:r>
              <w:t>118.87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118.87</w:t>
            </w:r>
          </w:p>
        </w:tc>
        <w:tc>
          <w:tcPr>
            <w:tcW w:w="4535" w:type="dxa"/>
            <w:vAlign w:val="center"/>
          </w:tcPr>
          <w:p>
            <w:pPr>
              <w:pStyle w:val="14"/>
            </w:pPr>
            <w:r>
              <w:t>支出总计</w:t>
            </w:r>
          </w:p>
        </w:tc>
        <w:tc>
          <w:tcPr>
            <w:tcW w:w="2126" w:type="dxa"/>
            <w:vAlign w:val="center"/>
          </w:tcPr>
          <w:p>
            <w:pPr>
              <w:pStyle w:val="15"/>
            </w:pPr>
            <w:r>
              <w:t>118.87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118.87</w:t>
            </w:r>
          </w:p>
        </w:tc>
        <w:tc>
          <w:tcPr>
            <w:tcW w:w="1134" w:type="dxa"/>
            <w:vAlign w:val="center"/>
          </w:tcPr>
          <w:p>
            <w:pPr>
              <w:pStyle w:val="15"/>
            </w:pPr>
            <w:r>
              <w:t>118.87</w:t>
            </w:r>
          </w:p>
        </w:tc>
        <w:tc>
          <w:tcPr>
            <w:tcW w:w="1134" w:type="dxa"/>
            <w:vAlign w:val="center"/>
          </w:tcPr>
          <w:p>
            <w:pPr>
              <w:pStyle w:val="15"/>
            </w:pPr>
            <w:r>
              <w:t>118.87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90.73</w:t>
            </w:r>
          </w:p>
        </w:tc>
        <w:tc>
          <w:tcPr>
            <w:tcW w:w="1134" w:type="dxa"/>
            <w:vAlign w:val="center"/>
          </w:tcPr>
          <w:p>
            <w:pPr>
              <w:pStyle w:val="11"/>
            </w:pPr>
            <w:r>
              <w:t>90.73</w:t>
            </w:r>
          </w:p>
        </w:tc>
        <w:tc>
          <w:tcPr>
            <w:tcW w:w="1134" w:type="dxa"/>
            <w:vAlign w:val="center"/>
          </w:tcPr>
          <w:p>
            <w:pPr>
              <w:pStyle w:val="11"/>
            </w:pPr>
            <w:r>
              <w:t>90.73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90.73</w:t>
            </w:r>
          </w:p>
        </w:tc>
        <w:tc>
          <w:tcPr>
            <w:tcW w:w="1134" w:type="dxa"/>
            <w:vAlign w:val="center"/>
          </w:tcPr>
          <w:p>
            <w:pPr>
              <w:pStyle w:val="11"/>
            </w:pPr>
            <w:r>
              <w:t>90.73</w:t>
            </w:r>
          </w:p>
        </w:tc>
        <w:tc>
          <w:tcPr>
            <w:tcW w:w="1134" w:type="dxa"/>
            <w:vAlign w:val="center"/>
          </w:tcPr>
          <w:p>
            <w:pPr>
              <w:pStyle w:val="11"/>
            </w:pPr>
            <w:r>
              <w:t>90.73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74.83</w:t>
            </w:r>
          </w:p>
        </w:tc>
        <w:tc>
          <w:tcPr>
            <w:tcW w:w="1134" w:type="dxa"/>
            <w:vAlign w:val="center"/>
          </w:tcPr>
          <w:p>
            <w:pPr>
              <w:pStyle w:val="11"/>
            </w:pPr>
            <w:r>
              <w:t>74.83</w:t>
            </w:r>
          </w:p>
        </w:tc>
        <w:tc>
          <w:tcPr>
            <w:tcW w:w="1134" w:type="dxa"/>
            <w:vAlign w:val="center"/>
          </w:tcPr>
          <w:p>
            <w:pPr>
              <w:pStyle w:val="11"/>
            </w:pPr>
            <w:r>
              <w:t>74.83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2012699</w:t>
            </w:r>
          </w:p>
        </w:tc>
        <w:tc>
          <w:tcPr>
            <w:tcW w:w="1559" w:type="dxa"/>
            <w:vAlign w:val="center"/>
          </w:tcPr>
          <w:p>
            <w:pPr>
              <w:pStyle w:val="12"/>
            </w:pPr>
            <w:r>
              <w:t>其他档案事务支出</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r>
              <w:t>10.90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14.63</w:t>
            </w:r>
          </w:p>
        </w:tc>
        <w:tc>
          <w:tcPr>
            <w:tcW w:w="1134" w:type="dxa"/>
            <w:vAlign w:val="center"/>
          </w:tcPr>
          <w:p>
            <w:pPr>
              <w:pStyle w:val="11"/>
            </w:pPr>
            <w:r>
              <w:t>14.63</w:t>
            </w:r>
          </w:p>
        </w:tc>
        <w:tc>
          <w:tcPr>
            <w:tcW w:w="1134" w:type="dxa"/>
            <w:vAlign w:val="center"/>
          </w:tcPr>
          <w:p>
            <w:pPr>
              <w:pStyle w:val="11"/>
            </w:pPr>
            <w:r>
              <w:t>14.63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14.63</w:t>
            </w:r>
          </w:p>
        </w:tc>
        <w:tc>
          <w:tcPr>
            <w:tcW w:w="1134" w:type="dxa"/>
            <w:vAlign w:val="center"/>
          </w:tcPr>
          <w:p>
            <w:pPr>
              <w:pStyle w:val="11"/>
            </w:pPr>
            <w:r>
              <w:t>14.63</w:t>
            </w:r>
          </w:p>
        </w:tc>
        <w:tc>
          <w:tcPr>
            <w:tcW w:w="1134" w:type="dxa"/>
            <w:vAlign w:val="center"/>
          </w:tcPr>
          <w:p>
            <w:pPr>
              <w:pStyle w:val="11"/>
            </w:pPr>
            <w:r>
              <w:t>14.63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4.49</w:t>
            </w:r>
          </w:p>
        </w:tc>
        <w:tc>
          <w:tcPr>
            <w:tcW w:w="1134" w:type="dxa"/>
            <w:vAlign w:val="center"/>
          </w:tcPr>
          <w:p>
            <w:pPr>
              <w:pStyle w:val="11"/>
            </w:pPr>
            <w:r>
              <w:t>4.49</w:t>
            </w:r>
          </w:p>
        </w:tc>
        <w:tc>
          <w:tcPr>
            <w:tcW w:w="1134" w:type="dxa"/>
            <w:vAlign w:val="center"/>
          </w:tcPr>
          <w:p>
            <w:pPr>
              <w:pStyle w:val="11"/>
            </w:pPr>
            <w:r>
              <w:t>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r>
              <w:t>10.14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r>
              <w:t>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4.08</w:t>
            </w:r>
          </w:p>
        </w:tc>
        <w:tc>
          <w:tcPr>
            <w:tcW w:w="1134" w:type="dxa"/>
            <w:vAlign w:val="center"/>
          </w:tcPr>
          <w:p>
            <w:pPr>
              <w:pStyle w:val="11"/>
            </w:pPr>
            <w:r>
              <w:t>4.08</w:t>
            </w:r>
          </w:p>
        </w:tc>
        <w:tc>
          <w:tcPr>
            <w:tcW w:w="1134" w:type="dxa"/>
            <w:vAlign w:val="center"/>
          </w:tcPr>
          <w:p>
            <w:pPr>
              <w:pStyle w:val="11"/>
            </w:pPr>
            <w:r>
              <w:t>4.08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r>
              <w:t>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241档案馆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118.87</w:t>
            </w:r>
          </w:p>
        </w:tc>
        <w:tc>
          <w:tcPr>
            <w:tcW w:w="1361" w:type="dxa"/>
            <w:vAlign w:val="center"/>
          </w:tcPr>
          <w:p>
            <w:pPr>
              <w:pStyle w:val="15"/>
            </w:pPr>
            <w:r>
              <w:t>102.97</w:t>
            </w:r>
          </w:p>
        </w:tc>
        <w:tc>
          <w:tcPr>
            <w:tcW w:w="1361" w:type="dxa"/>
            <w:vAlign w:val="center"/>
          </w:tcPr>
          <w:p>
            <w:pPr>
              <w:pStyle w:val="15"/>
            </w:pPr>
            <w:r>
              <w:t>15.90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90.73</w:t>
            </w:r>
          </w:p>
        </w:tc>
        <w:tc>
          <w:tcPr>
            <w:tcW w:w="1361" w:type="dxa"/>
            <w:vAlign w:val="center"/>
          </w:tcPr>
          <w:p>
            <w:pPr>
              <w:pStyle w:val="11"/>
            </w:pPr>
            <w:r>
              <w:t>74.83</w:t>
            </w:r>
          </w:p>
        </w:tc>
        <w:tc>
          <w:tcPr>
            <w:tcW w:w="1361" w:type="dxa"/>
            <w:vAlign w:val="center"/>
          </w:tcPr>
          <w:p>
            <w:pPr>
              <w:pStyle w:val="11"/>
            </w:pPr>
            <w:r>
              <w:t>15.90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90.73</w:t>
            </w:r>
          </w:p>
        </w:tc>
        <w:tc>
          <w:tcPr>
            <w:tcW w:w="1361" w:type="dxa"/>
            <w:vAlign w:val="center"/>
          </w:tcPr>
          <w:p>
            <w:pPr>
              <w:pStyle w:val="11"/>
            </w:pPr>
            <w:r>
              <w:t>74.83</w:t>
            </w:r>
          </w:p>
        </w:tc>
        <w:tc>
          <w:tcPr>
            <w:tcW w:w="1361" w:type="dxa"/>
            <w:vAlign w:val="center"/>
          </w:tcPr>
          <w:p>
            <w:pPr>
              <w:pStyle w:val="11"/>
            </w:pPr>
            <w:r>
              <w:t>15.90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74.83</w:t>
            </w:r>
          </w:p>
        </w:tc>
        <w:tc>
          <w:tcPr>
            <w:tcW w:w="1361" w:type="dxa"/>
            <w:vAlign w:val="center"/>
          </w:tcPr>
          <w:p>
            <w:pPr>
              <w:pStyle w:val="11"/>
            </w:pPr>
            <w:r>
              <w:t>74.83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2012699</w:t>
            </w:r>
          </w:p>
        </w:tc>
        <w:tc>
          <w:tcPr>
            <w:tcW w:w="4535" w:type="dxa"/>
            <w:vAlign w:val="center"/>
          </w:tcPr>
          <w:p>
            <w:pPr>
              <w:pStyle w:val="12"/>
            </w:pPr>
            <w:r>
              <w:t>其他档案事务支出</w:t>
            </w:r>
          </w:p>
        </w:tc>
        <w:tc>
          <w:tcPr>
            <w:tcW w:w="1361" w:type="dxa"/>
            <w:vAlign w:val="center"/>
          </w:tcPr>
          <w:p>
            <w:pPr>
              <w:pStyle w:val="11"/>
            </w:pPr>
            <w:r>
              <w:t>10.90</w:t>
            </w:r>
          </w:p>
        </w:tc>
        <w:tc>
          <w:tcPr>
            <w:tcW w:w="1361" w:type="dxa"/>
            <w:vAlign w:val="center"/>
          </w:tcPr>
          <w:p>
            <w:pPr>
              <w:pStyle w:val="11"/>
            </w:pPr>
          </w:p>
        </w:tc>
        <w:tc>
          <w:tcPr>
            <w:tcW w:w="1361" w:type="dxa"/>
            <w:vAlign w:val="center"/>
          </w:tcPr>
          <w:p>
            <w:pPr>
              <w:pStyle w:val="11"/>
            </w:pPr>
            <w:r>
              <w:t>10.90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14.63</w:t>
            </w:r>
          </w:p>
        </w:tc>
        <w:tc>
          <w:tcPr>
            <w:tcW w:w="1361" w:type="dxa"/>
            <w:vAlign w:val="center"/>
          </w:tcPr>
          <w:p>
            <w:pPr>
              <w:pStyle w:val="11"/>
            </w:pPr>
            <w:r>
              <w:t>14.63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14.63</w:t>
            </w:r>
          </w:p>
        </w:tc>
        <w:tc>
          <w:tcPr>
            <w:tcW w:w="1361" w:type="dxa"/>
            <w:vAlign w:val="center"/>
          </w:tcPr>
          <w:p>
            <w:pPr>
              <w:pStyle w:val="11"/>
            </w:pPr>
            <w:r>
              <w:t>14.63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4.49</w:t>
            </w:r>
          </w:p>
        </w:tc>
        <w:tc>
          <w:tcPr>
            <w:tcW w:w="1361" w:type="dxa"/>
            <w:vAlign w:val="center"/>
          </w:tcPr>
          <w:p>
            <w:pPr>
              <w:pStyle w:val="11"/>
            </w:pPr>
            <w:r>
              <w:t>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10.14</w:t>
            </w:r>
          </w:p>
        </w:tc>
        <w:tc>
          <w:tcPr>
            <w:tcW w:w="1361" w:type="dxa"/>
            <w:vAlign w:val="center"/>
          </w:tcPr>
          <w:p>
            <w:pPr>
              <w:pStyle w:val="11"/>
            </w:pPr>
            <w:r>
              <w:t>10.14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5.72</w:t>
            </w:r>
          </w:p>
        </w:tc>
        <w:tc>
          <w:tcPr>
            <w:tcW w:w="1361" w:type="dxa"/>
            <w:vAlign w:val="center"/>
          </w:tcPr>
          <w:p>
            <w:pPr>
              <w:pStyle w:val="11"/>
            </w:pPr>
            <w:r>
              <w:t>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5.72</w:t>
            </w:r>
          </w:p>
        </w:tc>
        <w:tc>
          <w:tcPr>
            <w:tcW w:w="1361" w:type="dxa"/>
            <w:vAlign w:val="center"/>
          </w:tcPr>
          <w:p>
            <w:pPr>
              <w:pStyle w:val="11"/>
            </w:pPr>
            <w:r>
              <w:t>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4.08</w:t>
            </w:r>
          </w:p>
        </w:tc>
        <w:tc>
          <w:tcPr>
            <w:tcW w:w="1361" w:type="dxa"/>
            <w:vAlign w:val="center"/>
          </w:tcPr>
          <w:p>
            <w:pPr>
              <w:pStyle w:val="11"/>
            </w:pPr>
            <w:r>
              <w:t>4.08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1.64</w:t>
            </w:r>
          </w:p>
        </w:tc>
        <w:tc>
          <w:tcPr>
            <w:tcW w:w="1361" w:type="dxa"/>
            <w:vAlign w:val="center"/>
          </w:tcPr>
          <w:p>
            <w:pPr>
              <w:pStyle w:val="11"/>
            </w:pPr>
            <w:r>
              <w:t>1.64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7.79</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7.79</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7.79</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241档案馆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118.87</w:t>
            </w:r>
          </w:p>
        </w:tc>
        <w:tc>
          <w:tcPr>
            <w:tcW w:w="3402" w:type="dxa"/>
            <w:vAlign w:val="center"/>
          </w:tcPr>
          <w:p>
            <w:pPr>
              <w:pStyle w:val="12"/>
            </w:pPr>
            <w:r>
              <w:t>一、一般公共服务支出</w:t>
            </w:r>
          </w:p>
        </w:tc>
        <w:tc>
          <w:tcPr>
            <w:tcW w:w="1474" w:type="dxa"/>
            <w:vAlign w:val="center"/>
          </w:tcPr>
          <w:p>
            <w:pPr>
              <w:pStyle w:val="11"/>
            </w:pPr>
            <w:r>
              <w:t>90.73</w:t>
            </w:r>
          </w:p>
        </w:tc>
        <w:tc>
          <w:tcPr>
            <w:tcW w:w="1474" w:type="dxa"/>
            <w:vAlign w:val="center"/>
          </w:tcPr>
          <w:p>
            <w:pPr>
              <w:pStyle w:val="11"/>
            </w:pPr>
            <w:r>
              <w:t>90.73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14.63</w:t>
            </w:r>
          </w:p>
        </w:tc>
        <w:tc>
          <w:tcPr>
            <w:tcW w:w="1474" w:type="dxa"/>
            <w:vAlign w:val="center"/>
          </w:tcPr>
          <w:p>
            <w:pPr>
              <w:pStyle w:val="11"/>
            </w:pPr>
            <w:r>
              <w:t>14.63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5.72</w:t>
            </w:r>
          </w:p>
        </w:tc>
        <w:tc>
          <w:tcPr>
            <w:tcW w:w="1474" w:type="dxa"/>
            <w:vAlign w:val="center"/>
          </w:tcPr>
          <w:p>
            <w:pPr>
              <w:pStyle w:val="11"/>
            </w:pPr>
            <w:r>
              <w:t>5.72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7.79</w:t>
            </w:r>
          </w:p>
        </w:tc>
        <w:tc>
          <w:tcPr>
            <w:tcW w:w="1474" w:type="dxa"/>
            <w:vAlign w:val="center"/>
          </w:tcPr>
          <w:p>
            <w:pPr>
              <w:pStyle w:val="11"/>
            </w:pPr>
            <w:r>
              <w:t>7.79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118.87</w:t>
            </w:r>
          </w:p>
        </w:tc>
        <w:tc>
          <w:tcPr>
            <w:tcW w:w="3402" w:type="dxa"/>
            <w:vAlign w:val="center"/>
          </w:tcPr>
          <w:p>
            <w:pPr>
              <w:pStyle w:val="14"/>
            </w:pPr>
            <w:r>
              <w:t>本年支出合计</w:t>
            </w:r>
          </w:p>
        </w:tc>
        <w:tc>
          <w:tcPr>
            <w:tcW w:w="1474" w:type="dxa"/>
            <w:vAlign w:val="center"/>
          </w:tcPr>
          <w:p>
            <w:pPr>
              <w:pStyle w:val="15"/>
            </w:pPr>
            <w:r>
              <w:t>118.87</w:t>
            </w:r>
          </w:p>
        </w:tc>
        <w:tc>
          <w:tcPr>
            <w:tcW w:w="1474" w:type="dxa"/>
            <w:vAlign w:val="center"/>
          </w:tcPr>
          <w:p>
            <w:pPr>
              <w:pStyle w:val="15"/>
            </w:pPr>
            <w:r>
              <w:t>118.87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118.87</w:t>
            </w:r>
          </w:p>
        </w:tc>
        <w:tc>
          <w:tcPr>
            <w:tcW w:w="3402" w:type="dxa"/>
            <w:vAlign w:val="center"/>
          </w:tcPr>
          <w:p>
            <w:pPr>
              <w:pStyle w:val="14"/>
            </w:pPr>
            <w:r>
              <w:t>支出总计</w:t>
            </w:r>
          </w:p>
        </w:tc>
        <w:tc>
          <w:tcPr>
            <w:tcW w:w="1474" w:type="dxa"/>
            <w:vAlign w:val="center"/>
          </w:tcPr>
          <w:p>
            <w:pPr>
              <w:pStyle w:val="15"/>
            </w:pPr>
            <w:r>
              <w:t>118.87</w:t>
            </w:r>
          </w:p>
        </w:tc>
        <w:tc>
          <w:tcPr>
            <w:tcW w:w="1474" w:type="dxa"/>
            <w:vAlign w:val="center"/>
          </w:tcPr>
          <w:p>
            <w:pPr>
              <w:pStyle w:val="15"/>
            </w:pPr>
            <w:r>
              <w:t>118.87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118.87</w:t>
            </w:r>
          </w:p>
        </w:tc>
        <w:tc>
          <w:tcPr>
            <w:tcW w:w="2551" w:type="dxa"/>
            <w:vAlign w:val="center"/>
          </w:tcPr>
          <w:p>
            <w:pPr>
              <w:pStyle w:val="15"/>
            </w:pPr>
            <w:r>
              <w:t>102.97</w:t>
            </w:r>
          </w:p>
        </w:tc>
        <w:tc>
          <w:tcPr>
            <w:tcW w:w="2551" w:type="dxa"/>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90.73</w:t>
            </w:r>
          </w:p>
        </w:tc>
        <w:tc>
          <w:tcPr>
            <w:tcW w:w="2551" w:type="dxa"/>
            <w:vAlign w:val="center"/>
          </w:tcPr>
          <w:p>
            <w:pPr>
              <w:pStyle w:val="11"/>
            </w:pPr>
            <w:r>
              <w:t>74.83</w:t>
            </w:r>
          </w:p>
        </w:tc>
        <w:tc>
          <w:tcPr>
            <w:tcW w:w="2551" w:type="dxa"/>
            <w:vAlign w:val="center"/>
          </w:tcPr>
          <w:p>
            <w:pPr>
              <w:pStyle w:val="11"/>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90.73</w:t>
            </w:r>
          </w:p>
        </w:tc>
        <w:tc>
          <w:tcPr>
            <w:tcW w:w="2551" w:type="dxa"/>
            <w:vAlign w:val="center"/>
          </w:tcPr>
          <w:p>
            <w:pPr>
              <w:pStyle w:val="11"/>
            </w:pPr>
            <w:r>
              <w:t>74.83</w:t>
            </w:r>
          </w:p>
        </w:tc>
        <w:tc>
          <w:tcPr>
            <w:tcW w:w="2551" w:type="dxa"/>
            <w:vAlign w:val="center"/>
          </w:tcPr>
          <w:p>
            <w:pPr>
              <w:pStyle w:val="11"/>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74.83</w:t>
            </w:r>
          </w:p>
        </w:tc>
        <w:tc>
          <w:tcPr>
            <w:tcW w:w="2551" w:type="dxa"/>
            <w:vAlign w:val="center"/>
          </w:tcPr>
          <w:p>
            <w:pPr>
              <w:pStyle w:val="11"/>
            </w:pPr>
            <w:r>
              <w:t>74.83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2012699</w:t>
            </w:r>
          </w:p>
        </w:tc>
        <w:tc>
          <w:tcPr>
            <w:tcW w:w="4535" w:type="dxa"/>
            <w:vAlign w:val="center"/>
          </w:tcPr>
          <w:p>
            <w:pPr>
              <w:pStyle w:val="12"/>
            </w:pPr>
            <w:r>
              <w:t>其他档案事务支出</w:t>
            </w:r>
          </w:p>
        </w:tc>
        <w:tc>
          <w:tcPr>
            <w:tcW w:w="2551" w:type="dxa"/>
            <w:vAlign w:val="center"/>
          </w:tcPr>
          <w:p>
            <w:pPr>
              <w:pStyle w:val="11"/>
            </w:pPr>
            <w:r>
              <w:t>10.90</w:t>
            </w:r>
          </w:p>
        </w:tc>
        <w:tc>
          <w:tcPr>
            <w:tcW w:w="2551" w:type="dxa"/>
            <w:vAlign w:val="center"/>
          </w:tcPr>
          <w:p>
            <w:pPr>
              <w:pStyle w:val="11"/>
            </w:pPr>
          </w:p>
        </w:tc>
        <w:tc>
          <w:tcPr>
            <w:tcW w:w="2551"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14.63</w:t>
            </w:r>
          </w:p>
        </w:tc>
        <w:tc>
          <w:tcPr>
            <w:tcW w:w="2551" w:type="dxa"/>
            <w:vAlign w:val="center"/>
          </w:tcPr>
          <w:p>
            <w:pPr>
              <w:pStyle w:val="11"/>
            </w:pPr>
            <w:r>
              <w:t>14.63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14.63</w:t>
            </w:r>
          </w:p>
        </w:tc>
        <w:tc>
          <w:tcPr>
            <w:tcW w:w="2551" w:type="dxa"/>
            <w:vAlign w:val="center"/>
          </w:tcPr>
          <w:p>
            <w:pPr>
              <w:pStyle w:val="11"/>
            </w:pPr>
            <w:r>
              <w:t>14.63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4.49</w:t>
            </w:r>
          </w:p>
        </w:tc>
        <w:tc>
          <w:tcPr>
            <w:tcW w:w="2551" w:type="dxa"/>
            <w:vAlign w:val="center"/>
          </w:tcPr>
          <w:p>
            <w:pPr>
              <w:pStyle w:val="11"/>
            </w:pPr>
            <w:r>
              <w:t>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10.14</w:t>
            </w:r>
          </w:p>
        </w:tc>
        <w:tc>
          <w:tcPr>
            <w:tcW w:w="2551" w:type="dxa"/>
            <w:vAlign w:val="center"/>
          </w:tcPr>
          <w:p>
            <w:pPr>
              <w:pStyle w:val="11"/>
            </w:pPr>
            <w:r>
              <w:t>10.14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5.72</w:t>
            </w:r>
          </w:p>
        </w:tc>
        <w:tc>
          <w:tcPr>
            <w:tcW w:w="2551" w:type="dxa"/>
            <w:vAlign w:val="center"/>
          </w:tcPr>
          <w:p>
            <w:pPr>
              <w:pStyle w:val="11"/>
            </w:pPr>
            <w:r>
              <w:t>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5.72</w:t>
            </w:r>
          </w:p>
        </w:tc>
        <w:tc>
          <w:tcPr>
            <w:tcW w:w="2551" w:type="dxa"/>
            <w:vAlign w:val="center"/>
          </w:tcPr>
          <w:p>
            <w:pPr>
              <w:pStyle w:val="11"/>
            </w:pPr>
            <w:r>
              <w:t>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102.97</w:t>
            </w:r>
          </w:p>
        </w:tc>
        <w:tc>
          <w:tcPr>
            <w:tcW w:w="2551" w:type="dxa"/>
            <w:vAlign w:val="center"/>
          </w:tcPr>
          <w:p>
            <w:pPr>
              <w:pStyle w:val="15"/>
            </w:pPr>
            <w:r>
              <w:t>98.54</w:t>
            </w:r>
          </w:p>
        </w:tc>
        <w:tc>
          <w:tcPr>
            <w:tcW w:w="2551" w:type="dxa"/>
            <w:vAlign w:val="center"/>
          </w:tcPr>
          <w:p>
            <w:pPr>
              <w:pStyle w:val="15"/>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94.28</w:t>
            </w:r>
          </w:p>
        </w:tc>
        <w:tc>
          <w:tcPr>
            <w:tcW w:w="2551" w:type="dxa"/>
            <w:vAlign w:val="center"/>
          </w:tcPr>
          <w:p>
            <w:pPr>
              <w:pStyle w:val="11"/>
            </w:pPr>
            <w:r>
              <w:t>94.28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34.39</w:t>
            </w:r>
          </w:p>
        </w:tc>
        <w:tc>
          <w:tcPr>
            <w:tcW w:w="2551" w:type="dxa"/>
            <w:vAlign w:val="center"/>
          </w:tcPr>
          <w:p>
            <w:pPr>
              <w:pStyle w:val="11"/>
            </w:pPr>
            <w:r>
              <w:t>34.39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30.52</w:t>
            </w:r>
          </w:p>
        </w:tc>
        <w:tc>
          <w:tcPr>
            <w:tcW w:w="2551" w:type="dxa"/>
            <w:vAlign w:val="center"/>
          </w:tcPr>
          <w:p>
            <w:pPr>
              <w:pStyle w:val="11"/>
            </w:pPr>
            <w:r>
              <w:t>30.52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10.14</w:t>
            </w:r>
          </w:p>
        </w:tc>
        <w:tc>
          <w:tcPr>
            <w:tcW w:w="2551" w:type="dxa"/>
            <w:vAlign w:val="center"/>
          </w:tcPr>
          <w:p>
            <w:pPr>
              <w:pStyle w:val="11"/>
            </w:pPr>
            <w:r>
              <w:t>10.14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1.19</w:t>
            </w:r>
          </w:p>
        </w:tc>
        <w:tc>
          <w:tcPr>
            <w:tcW w:w="2551" w:type="dxa"/>
            <w:vAlign w:val="center"/>
          </w:tcPr>
          <w:p>
            <w:pPr>
              <w:pStyle w:val="11"/>
            </w:pPr>
          </w:p>
        </w:tc>
        <w:tc>
          <w:tcPr>
            <w:tcW w:w="2551" w:type="dxa"/>
            <w:vAlign w:val="center"/>
          </w:tcPr>
          <w:p>
            <w:pPr>
              <w:pStyle w:val="11"/>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241档案馆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241档案馆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档案馆2024年部门预算信息公开情况说明</w:t>
      </w:r>
    </w:p>
    <w:p>
      <w:pPr>
        <w:jc w:val="center"/>
      </w:pPr>
      <w:r>
        <w:rPr>
          <w:rFonts w:ascii="方正小标宋_GBK" w:hAnsi="方正小标宋_GBK" w:eastAsia="方正小标宋_GBK" w:cs="方正小标宋_GBK"/>
          <w:color w:val="000000"/>
          <w:sz w:val="44"/>
        </w:rPr>
        <w:t>档案馆2024年部门预算信息公开情况说明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秦皇岛市山海关区</w:t>
      </w:r>
      <w:r>
        <w:rPr>
          <w:rFonts w:eastAsia="方正仿宋_GBK"/>
          <w:color w:val="000000"/>
          <w:sz w:val="28"/>
        </w:rPr>
        <w:t>档案馆2024年部门预算公开如下：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山海关区档案馆部门职责说明：</w:t>
      </w:r>
      <w:bookmarkStart w:id="20" w:name="_GoBack"/>
      <w:bookmarkEnd w:id="20"/>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（一）档案收集与整理</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绩效指标及标准：文件级目录数据完成量，为利用打好基础；档案完成百分比，档案整理、移交、接收、管理、保存的比率。</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（二）档案保管与抢救</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绩效指标及标准：档案设施设备完好率，建立健全人防、物防、技防三位一体的档案安全防范体系；档案资料完好率，确保受损档案得到及时抢救，能有效提供利用。</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（三）档案征集</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绩效指标及标准：征集档案数量（件），征集重大活动和名人档案。</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（四）档案科研</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绩效指标及标准：馆藏磁带和录像数字化转换率，磁带和录像档案科学管理，方便利用。</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（五）档案数字化</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绩效指标及标准：数字化档案数 （页），加快存量档案数字化和增量档案电子化步伐。</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（六）档案编研</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绩效指标及标准：档案编研完成量（万字），满足社会利用的需要，为更好的认识、研究、开发和建设山海关提供直观而翔实的资料。</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（七）档案利用</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绩效指标及标准：调阅档案数量（卷、件）取得经济或社会效益，紧贴区委、政府的中心工作，强化档案服务经济、政治、文化、社会、生态文明建设和党的建设的功能；发挥档案馆资政惠民作用。</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（八）档案接收</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绩效指标及标准：接收数量（卷、件），丰富馆藏资源，确保馆藏能够真实、系统、全面地反映本地发展进程。</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（九）综合事务管理</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绩效指标及标准：安全率，保障机关工作正常高效运转。</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（十）档案指导</w:t>
      </w:r>
    </w:p>
    <w:p>
      <w:pPr>
        <w:pStyle w:val="35"/>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pPr>
      <w:r>
        <w:t>绩效指标及标准：指导单位数量(个)，全区档案规范管理，严防档案流失。</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秦皇岛市山海关区档案馆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18"/>
      </w:pPr>
      <w:r>
        <w:t>按照预算管理有关规定，目前</w:t>
      </w:r>
      <w:r>
        <w:rPr>
          <w:rFonts w:hint="eastAsia"/>
          <w:lang w:eastAsia="zh-CN"/>
        </w:rPr>
        <w:t>我区</w:t>
      </w:r>
      <w:r>
        <w:t>部门预算的编制实行综合预算管理，即全部收入和支出都反映在预算中。</w:t>
      </w:r>
      <w:r>
        <w:rPr>
          <w:rFonts w:hint="eastAsia"/>
          <w:lang w:eastAsia="zh-CN"/>
        </w:rPr>
        <w:t>秦皇岛市山海关区</w:t>
      </w:r>
      <w:r>
        <w:t>档案馆的收支包含在部门预算中。</w:t>
      </w:r>
    </w:p>
    <w:p>
      <w:pPr>
        <w:pStyle w:val="18"/>
      </w:pPr>
      <w:r>
        <w:t>1、收入说明</w:t>
      </w:r>
    </w:p>
    <w:p>
      <w:pPr>
        <w:pStyle w:val="18"/>
      </w:pPr>
      <w:r>
        <w:t>反映本部门当年全部收入。2024年预算收入118.87万元，其中：一般公共预算收入118.87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w:t>
      </w:r>
      <w:r>
        <w:rPr>
          <w:rFonts w:hint="eastAsia"/>
          <w:lang w:eastAsia="zh-CN"/>
        </w:rPr>
        <w:t>山海关区</w:t>
      </w:r>
      <w:r>
        <w:t>档案馆年度部门预算中支出预算的总体情况。2024年支出预算118.87万元，其中基本支出102.97万元，包括人员经费98.54万元和日常公用经费4.43万元；项目支出15.90万元，主要为人事代理专项补助10.90万元和日常管理维护费5.00万元。</w:t>
      </w:r>
    </w:p>
    <w:p>
      <w:pPr>
        <w:pStyle w:val="18"/>
      </w:pPr>
      <w:r>
        <w:t>3、比上年增减情况</w:t>
      </w:r>
    </w:p>
    <w:p>
      <w:pPr>
        <w:pStyle w:val="18"/>
      </w:pPr>
      <w:r>
        <w:t>2024年预算收支安排118.87万元，较2023年预算增加13.19万元，其中：基本支出增加13.29万元，主要为基本支出中工资福利支出，原因为我单位去年8月调入1人。项目支出减少0.10万元，主要为人事代理专项补助减少0.10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color w:val="auto"/>
        </w:rPr>
      </w:pPr>
      <w:r>
        <w:rPr>
          <w:color w:val="auto"/>
        </w:rPr>
        <w:t>2024年，我部门机关运行经费共计安排4.43万元，主要用于办公费</w:t>
      </w:r>
      <w:r>
        <w:rPr>
          <w:rFonts w:hint="eastAsia"/>
          <w:color w:val="auto"/>
          <w:lang w:val="en-US" w:eastAsia="zh-CN"/>
        </w:rPr>
        <w:t>0.66</w:t>
      </w:r>
      <w:r>
        <w:rPr>
          <w:color w:val="auto"/>
        </w:rPr>
        <w:t>万元、邮电费0.6</w:t>
      </w:r>
      <w:r>
        <w:rPr>
          <w:rFonts w:hint="eastAsia"/>
          <w:color w:val="auto"/>
          <w:lang w:val="en-US" w:eastAsia="zh-CN"/>
        </w:rPr>
        <w:t>7</w:t>
      </w:r>
      <w:r>
        <w:rPr>
          <w:color w:val="auto"/>
        </w:rPr>
        <w:t>万元、差旅费0.</w:t>
      </w:r>
      <w:r>
        <w:rPr>
          <w:rFonts w:hint="eastAsia"/>
          <w:color w:val="auto"/>
          <w:lang w:val="en-US" w:eastAsia="zh-CN"/>
        </w:rPr>
        <w:t>30</w:t>
      </w:r>
      <w:r>
        <w:rPr>
          <w:color w:val="auto"/>
        </w:rPr>
        <w:t>万元、</w:t>
      </w:r>
      <w:r>
        <w:rPr>
          <w:rFonts w:hint="eastAsia"/>
          <w:color w:val="auto"/>
          <w:lang w:eastAsia="zh-CN"/>
        </w:rPr>
        <w:t>离退休干部经费</w:t>
      </w:r>
      <w:r>
        <w:rPr>
          <w:rFonts w:hint="eastAsia"/>
          <w:color w:val="auto"/>
          <w:lang w:val="en-US" w:eastAsia="zh-CN"/>
        </w:rPr>
        <w:t>0.50万元、</w:t>
      </w:r>
      <w:r>
        <w:rPr>
          <w:color w:val="auto"/>
        </w:rPr>
        <w:t>工会经费</w:t>
      </w:r>
      <w:r>
        <w:rPr>
          <w:rFonts w:hint="eastAsia"/>
          <w:color w:val="auto"/>
          <w:lang w:val="en-US" w:eastAsia="zh-CN"/>
        </w:rPr>
        <w:t>1.19</w:t>
      </w:r>
      <w:r>
        <w:rPr>
          <w:color w:val="auto"/>
        </w:rPr>
        <w:t>万元、福利费</w:t>
      </w:r>
      <w:r>
        <w:rPr>
          <w:rFonts w:hint="eastAsia"/>
          <w:color w:val="auto"/>
          <w:lang w:val="en-US" w:eastAsia="zh-CN"/>
        </w:rPr>
        <w:t>0.86</w:t>
      </w:r>
      <w:r>
        <w:rPr>
          <w:color w:val="auto"/>
        </w:rPr>
        <w:t>万元、党建工作经费0.0</w:t>
      </w:r>
      <w:r>
        <w:rPr>
          <w:rFonts w:hint="eastAsia"/>
          <w:color w:val="auto"/>
          <w:lang w:val="en-US" w:eastAsia="zh-CN"/>
        </w:rPr>
        <w:t>6</w:t>
      </w:r>
      <w:r>
        <w:rPr>
          <w:color w:val="auto"/>
        </w:rPr>
        <w:t>万元、网络运行维护费0.15万元、不可预见费0.0</w:t>
      </w:r>
      <w:r>
        <w:rPr>
          <w:rFonts w:hint="eastAsia"/>
          <w:color w:val="auto"/>
          <w:lang w:val="en-US" w:eastAsia="zh-CN"/>
        </w:rPr>
        <w:t>4</w:t>
      </w:r>
      <w:r>
        <w:rPr>
          <w:color w:val="auto"/>
        </w:rPr>
        <w:t>万元</w:t>
      </w:r>
      <w:r>
        <w:rPr>
          <w:rFonts w:hint="eastAsia"/>
          <w:color w:val="auto"/>
          <w:lang w:eastAsia="zh-CN"/>
        </w:rPr>
        <w:t>等日常运行支出</w:t>
      </w:r>
      <w:r>
        <w:rPr>
          <w:color w:val="auto"/>
        </w:rPr>
        <w:t>。</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单位负责档案指导、收集、接收、征集、抢救、保管与开发利用，主管全区档案事业，并对区内机关、团体、企事业单位和其他组织的档案工作实行监督和指导；推进机关团体企事业单位档案工作目标管理认定工作；做好档案资源建设和保管，优化馆藏，做好重点档案抢救、保护和信息化管理工作。提供档案查阅和利用，培育档案文化产业，发展档案科研工作，推进全区档案信息化工作。</w:t>
      </w:r>
    </w:p>
    <w:p>
      <w:pPr>
        <w:pStyle w:val="21"/>
      </w:pPr>
      <w:r>
        <w:t>将年度发展规划目标列如下：</w:t>
      </w:r>
    </w:p>
    <w:p>
      <w:pPr>
        <w:pStyle w:val="21"/>
      </w:pPr>
      <w:r>
        <w:t>（一）依据规定对档案进行接收和整理，对相关单位纸质、电子、专题档案进行收集、整理和保存。</w:t>
      </w:r>
    </w:p>
    <w:p>
      <w:pPr>
        <w:pStyle w:val="21"/>
      </w:pPr>
      <w:r>
        <w:t>（二）加强档案库房管理，提高全区档案馆室建设水平,做好重点档案抢救和保护。落实《关于加强和改进新形势下全省档案工作的意见》中，国家综合档案馆日常管理费用每卷（件）档案每年不低于2元的标准，并严格按照国家有关政策落实从事有毒作业人员的相关待遇。</w:t>
      </w:r>
    </w:p>
    <w:p>
      <w:pPr>
        <w:pStyle w:val="21"/>
      </w:pPr>
      <w:r>
        <w:t>（三）依据规定征集社会上的重要档案资料及名人档案资料，将采集到的各类信息统一进行科学分类、整理和立卷。</w:t>
      </w:r>
    </w:p>
    <w:p>
      <w:pPr>
        <w:pStyle w:val="21"/>
      </w:pPr>
      <w:r>
        <w:t>（四）积极组织开展有助于档案事业发展的科研项目。</w:t>
      </w:r>
    </w:p>
    <w:p>
      <w:pPr>
        <w:pStyle w:val="21"/>
      </w:pPr>
      <w:r>
        <w:t>（五）加快数字档案馆建设，加强全区档案信息化，各类数据库建设，数字化加工、转换、备份，信息安全等级保护工作以及数字化设备和网络平台的维护。</w:t>
      </w:r>
    </w:p>
    <w:p>
      <w:pPr>
        <w:pStyle w:val="21"/>
      </w:pPr>
      <w:r>
        <w:t>（六）加强馆藏档案资源的深度发掘，内部或外部出版有价值的编研资料。</w:t>
      </w:r>
    </w:p>
    <w:p>
      <w:pPr>
        <w:pStyle w:val="21"/>
      </w:pPr>
      <w:r>
        <w:t>（七）树立“大服务”理念，免费提供档案查阅利用；做好档案资料及政府信息公开文件的咨询、利用和信息反馈工作。</w:t>
      </w:r>
    </w:p>
    <w:p>
      <w:pPr>
        <w:pStyle w:val="21"/>
      </w:pPr>
      <w:r>
        <w:t>（八）依法开展到期档案的接收。</w:t>
      </w:r>
    </w:p>
    <w:p>
      <w:pPr>
        <w:pStyle w:val="21"/>
      </w:pPr>
      <w:r>
        <w:t>（九）建立统一规范的业务指导工作流程，做好区直机关单位，社区、农村、企业等档案的指导工作；督导完成档案目标管理认定工作；对重点建设项目全程监管。</w:t>
      </w:r>
    </w:p>
    <w:p>
      <w:pPr>
        <w:pStyle w:val="21"/>
      </w:pPr>
      <w:r>
        <w:t>（十）维护档案馆库房设备以及机关设施，保障正常运转。</w:t>
      </w:r>
    </w:p>
    <w:p>
      <w:pPr>
        <w:pStyle w:val="21"/>
      </w:pPr>
    </w:p>
    <w:p>
      <w:pPr>
        <w:spacing w:line="500" w:lineRule="exact"/>
        <w:ind w:firstLine="560"/>
      </w:pPr>
      <w:r>
        <w:rPr>
          <w:rFonts w:eastAsia="方正仿宋_GBK"/>
          <w:color w:val="000000"/>
          <w:sz w:val="28"/>
        </w:rPr>
        <w:t>（二）分项绩效目标</w:t>
      </w:r>
    </w:p>
    <w:p>
      <w:pPr>
        <w:pStyle w:val="22"/>
      </w:pPr>
      <w:r>
        <w:t>（一）档案收集与整理</w:t>
      </w:r>
    </w:p>
    <w:p>
      <w:pPr>
        <w:pStyle w:val="22"/>
      </w:pPr>
      <w:r>
        <w:t>绩效指标及标准：丰富馆藏内容，满足工作考察、历史研究、编史修志等方面的需求，提高档案利用价值。</w:t>
      </w:r>
    </w:p>
    <w:p>
      <w:pPr>
        <w:pStyle w:val="22"/>
      </w:pPr>
      <w:r>
        <w:t>（二）档案保管与抢救</w:t>
      </w:r>
    </w:p>
    <w:p>
      <w:pPr>
        <w:pStyle w:val="22"/>
      </w:pPr>
      <w:r>
        <w:t>绩效指标及标准：定期调控和记录库房温室度，库房建设符合国家标准，分区合理，设备不出现故障，档案保管环境和保障条件进一步优化，维护档案状况，确保机关和档案绝对安全。按时更换防有害生物药物和灭火器，完善和配齐监控设备等档案基础设备。</w:t>
      </w:r>
    </w:p>
    <w:p>
      <w:pPr>
        <w:pStyle w:val="22"/>
      </w:pPr>
      <w:r>
        <w:t>（三）档案征集</w:t>
      </w:r>
    </w:p>
    <w:p>
      <w:pPr>
        <w:pStyle w:val="22"/>
      </w:pPr>
      <w:r>
        <w:t>绩效指标及标准：围绕重大活动、重要历史事件、本地历史文化和自然遗产、知名人士等领域开展特色档案征集。</w:t>
      </w:r>
    </w:p>
    <w:p>
      <w:pPr>
        <w:pStyle w:val="22"/>
      </w:pPr>
      <w:r>
        <w:t>（四）档案科研</w:t>
      </w:r>
    </w:p>
    <w:p>
      <w:pPr>
        <w:pStyle w:val="22"/>
      </w:pPr>
      <w:r>
        <w:t>绩效指标及标准：馆藏声像档案（磁带和录像）通过技术手段，实现数字化和光盘载体保管。</w:t>
      </w:r>
    </w:p>
    <w:p>
      <w:pPr>
        <w:pStyle w:val="22"/>
      </w:pPr>
      <w:r>
        <w:t>（五）档案数字化</w:t>
      </w:r>
    </w:p>
    <w:p>
      <w:pPr>
        <w:pStyle w:val="22"/>
      </w:pPr>
      <w:r>
        <w:t>绩效指标及标准：建成档案目录数据库、原文数据库、多媒体数据库及专题数据库，实现数字化档案代替原件提供利用。</w:t>
      </w:r>
    </w:p>
    <w:p>
      <w:pPr>
        <w:pStyle w:val="22"/>
      </w:pPr>
      <w:r>
        <w:t>（六）档案编研</w:t>
      </w:r>
    </w:p>
    <w:p>
      <w:pPr>
        <w:pStyle w:val="22"/>
      </w:pPr>
      <w:r>
        <w:t>绩效指标及标准：向社会提供编研成果，使利用者看到档案的价值。</w:t>
      </w:r>
    </w:p>
    <w:p>
      <w:pPr>
        <w:pStyle w:val="22"/>
      </w:pPr>
      <w:r>
        <w:t>（七）档案利用</w:t>
      </w:r>
    </w:p>
    <w:p>
      <w:pPr>
        <w:pStyle w:val="22"/>
      </w:pPr>
      <w:r>
        <w:t>绩效指标及标准：发挥档案利用中心、政府公开信息查阅中心的职能，简化利用手续，免除利用收费。</w:t>
      </w:r>
    </w:p>
    <w:p>
      <w:pPr>
        <w:pStyle w:val="22"/>
      </w:pPr>
      <w:r>
        <w:t>（八）档案接收</w:t>
      </w:r>
    </w:p>
    <w:p>
      <w:pPr>
        <w:pStyle w:val="22"/>
      </w:pPr>
      <w:r>
        <w:t>绩效指标及标准：结合民生档案优先入馆的原则，加大接收力度。</w:t>
      </w:r>
    </w:p>
    <w:p>
      <w:pPr>
        <w:pStyle w:val="22"/>
      </w:pPr>
      <w:r>
        <w:t>（九）综合事务管理</w:t>
      </w:r>
    </w:p>
    <w:p>
      <w:pPr>
        <w:pStyle w:val="22"/>
      </w:pPr>
      <w:r>
        <w:t>绩效指标及标准：保障机关工作正常高效运转。</w:t>
      </w:r>
    </w:p>
    <w:p>
      <w:pPr>
        <w:pStyle w:val="22"/>
      </w:pPr>
      <w:r>
        <w:t>（十）档案指导</w:t>
      </w:r>
    </w:p>
    <w:p>
      <w:pPr>
        <w:pStyle w:val="22"/>
      </w:pPr>
      <w:r>
        <w:t>绩效指标及标准：做好档案馆收集档案范围细则及各单位归档范围和保管期限表的编制。</w:t>
      </w:r>
    </w:p>
    <w:p>
      <w:pPr>
        <w:pStyle w:val="22"/>
      </w:pPr>
    </w:p>
    <w:p>
      <w:pPr>
        <w:spacing w:line="500" w:lineRule="exact"/>
        <w:ind w:firstLine="560"/>
      </w:pPr>
      <w:r>
        <w:rPr>
          <w:rFonts w:eastAsia="方正仿宋_GBK"/>
          <w:color w:val="000000"/>
          <w:sz w:val="28"/>
        </w:rPr>
        <w:t>（三）工作保障措施</w:t>
      </w:r>
    </w:p>
    <w:p>
      <w:pPr>
        <w:pStyle w:val="23"/>
      </w:pPr>
      <w:r>
        <w:t>（一）档案收集与整理</w:t>
      </w:r>
    </w:p>
    <w:p>
      <w:pPr>
        <w:pStyle w:val="23"/>
      </w:pPr>
      <w:r>
        <w:t>绩效指标及标准：丰富馆藏内容，满足工作考察、历史研究、编史修志等方面的需求，提高档案利用价值。</w:t>
      </w:r>
    </w:p>
    <w:p>
      <w:pPr>
        <w:pStyle w:val="23"/>
      </w:pPr>
      <w:r>
        <w:t>（二）档案保管与抢救</w:t>
      </w:r>
    </w:p>
    <w:p>
      <w:pPr>
        <w:pStyle w:val="23"/>
        <w:rPr>
          <w:rFonts w:hint="eastAsia"/>
          <w:lang w:eastAsia="zh-CN"/>
        </w:rPr>
      </w:pPr>
      <w:r>
        <w:t>绩效指标及标准：定期调控和记录库房温室度</w:t>
      </w:r>
      <w:r>
        <w:rPr>
          <w:rFonts w:hint="eastAsia"/>
          <w:lang w:eastAsia="zh-CN"/>
        </w:rPr>
        <w:t>。</w:t>
      </w:r>
    </w:p>
    <w:p>
      <w:pPr>
        <w:pStyle w:val="23"/>
      </w:pPr>
      <w:r>
        <w:t>山海关区档案馆实现本年度发展规划目标的保障措施</w:t>
      </w:r>
    </w:p>
    <w:p>
      <w:pPr>
        <w:pStyle w:val="23"/>
      </w:pPr>
      <w:r>
        <w:t>档案事业发展要树立创新、协调、绿色、开放、共享的发展理念，继续实施“以人为本、服务为先、安全第一”战略，深入推进“三个体系”建设，加快完善档案治理体系、提升档案治理能力。</w:t>
      </w:r>
    </w:p>
    <w:p>
      <w:pPr>
        <w:pStyle w:val="23"/>
      </w:pPr>
      <w:r>
        <w:t>明确了发展规划目标的保障措施：一是大力推进依法治档。严格执行档案法律规范，加强档案监督力度，提升全社会档案法治意识。二是加强档案基础设施建设，规范档案室基础设施建设。三是大力推进档案资源体系建设。进一步丰富和优化档案馆藏资源，规范机关、企事业单位档案资源建设，加强对项目档案的监督管理，积极推进农业农村档案工作，加强乡镇和城市社区档案工作。四是深化档案开放开发工作。做好档案依法开放工作，加强档案编研工作，做好国家重点档案开发利用工作，提升档案公共服务水平。新建的综合档案馆要有反映本地历史文化、体现馆藏档案特色的陈列展。五是加快档案信息化建设步伐。各级综合档案馆基本完成馆藏传统载体档案数字化，基本实现档案资源“存量数字化、增量电子化”，提高电子档案管理水平，积极推进数字档案馆（室）和档案信息网站建设。六是强化档案安全保障。强化档案安全体系建设，构筑人防、物防、技防相结合的“三位一体”防范体系，加强档案抢救保护、档案信息安全管理工作。七是切实加强档案队伍建设。强化档案干部培训，着力提高档案干部队伍素质，打造一支政治强、业务精、作风硬、纪律严的高素质档案干部队伍。</w:t>
      </w:r>
    </w:p>
    <w:p>
      <w:pPr>
        <w:pStyle w:val="23"/>
      </w:pPr>
      <w:r>
        <w:t>从加强组织领导、完善实施机制、落实经费保障、强化督促检查和加强宣传工作方面提出了保障措施。要求各地各部门把档案工作纳入本地区、本部门事业发展规划、年度工作计划以及绩效目标考核管理，把档案馆建设纳入基础设施建设项目，加大公共财政对档案事业发展投入力度，落实责任机制，明确工作任务，严格落实责任，分解目标，逐年推进。</w:t>
      </w:r>
    </w:p>
    <w:p>
      <w:pPr>
        <w:pStyle w:val="23"/>
      </w:pPr>
    </w:p>
    <w:p>
      <w:pPr>
        <w:pStyle w:val="23"/>
      </w:pPr>
    </w:p>
    <w:p>
      <w:pPr>
        <w:pStyle w:val="23"/>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1、日常管理维护费绩效目标表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13030324P004633100026</w:t>
            </w:r>
          </w:p>
        </w:tc>
        <w:tc>
          <w:tcPr>
            <w:tcW w:w="2835" w:type="dxa"/>
            <w:vAlign w:val="center"/>
          </w:tcPr>
          <w:p>
            <w:pPr>
              <w:pStyle w:val="10"/>
            </w:pPr>
            <w:r>
              <w:t>项目名称</w:t>
            </w:r>
          </w:p>
        </w:tc>
        <w:tc>
          <w:tcPr>
            <w:tcW w:w="6094" w:type="dxa"/>
            <w:gridSpan w:val="3"/>
            <w:vAlign w:val="center"/>
          </w:tcPr>
          <w:p>
            <w:pPr>
              <w:pStyle w:val="12"/>
            </w:pPr>
            <w:r>
              <w:t>日常管理维护费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为档案管理工作顺利开展提供保障、保证按时完成年度工作计划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1.为档案管理工作顺利开展提供保障、保证按时完成年度工作计划</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馆藏档案数量</w:t>
            </w:r>
          </w:p>
        </w:tc>
        <w:tc>
          <w:tcPr>
            <w:tcW w:w="5386" w:type="dxa"/>
            <w:vAlign w:val="center"/>
          </w:tcPr>
          <w:p>
            <w:pPr>
              <w:pStyle w:val="12"/>
            </w:pPr>
            <w:r>
              <w:t>每卷档案维护费</w:t>
            </w:r>
          </w:p>
        </w:tc>
        <w:tc>
          <w:tcPr>
            <w:tcW w:w="2268" w:type="dxa"/>
            <w:vAlign w:val="center"/>
          </w:tcPr>
          <w:p>
            <w:pPr>
              <w:pStyle w:val="12"/>
            </w:pPr>
            <w:r>
              <w:t>≥2元</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任务完成率</w:t>
            </w:r>
          </w:p>
        </w:tc>
        <w:tc>
          <w:tcPr>
            <w:tcW w:w="2268" w:type="dxa"/>
            <w:vAlign w:val="center"/>
          </w:tcPr>
          <w:p>
            <w:pPr>
              <w:pStyle w:val="12"/>
            </w:pPr>
            <w:r>
              <w:t>100%</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完成档案查询、装具购买</w:t>
            </w:r>
          </w:p>
        </w:tc>
        <w:tc>
          <w:tcPr>
            <w:tcW w:w="2268" w:type="dxa"/>
            <w:vAlign w:val="center"/>
          </w:tcPr>
          <w:p>
            <w:pPr>
              <w:pStyle w:val="12"/>
            </w:pPr>
            <w:r>
              <w:t>100%</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档案收集、保管</w:t>
            </w:r>
          </w:p>
        </w:tc>
        <w:tc>
          <w:tcPr>
            <w:tcW w:w="5386" w:type="dxa"/>
            <w:vAlign w:val="center"/>
          </w:tcPr>
          <w:p>
            <w:pPr>
              <w:pStyle w:val="12"/>
            </w:pPr>
            <w:r>
              <w:t>控制项目预算数</w:t>
            </w:r>
          </w:p>
        </w:tc>
        <w:tc>
          <w:tcPr>
            <w:tcW w:w="2268" w:type="dxa"/>
            <w:vAlign w:val="center"/>
          </w:tcPr>
          <w:p>
            <w:pPr>
              <w:pStyle w:val="12"/>
            </w:pPr>
            <w:r>
              <w:t>≤5万元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保障档案工作顺利开展</w:t>
            </w:r>
          </w:p>
        </w:tc>
        <w:tc>
          <w:tcPr>
            <w:tcW w:w="5386" w:type="dxa"/>
            <w:vAlign w:val="center"/>
          </w:tcPr>
          <w:p>
            <w:pPr>
              <w:pStyle w:val="12"/>
            </w:pPr>
            <w:r>
              <w:t>积极推动档案工作，圆满完成年度任务</w:t>
            </w:r>
          </w:p>
        </w:tc>
        <w:tc>
          <w:tcPr>
            <w:tcW w:w="2268" w:type="dxa"/>
            <w:vAlign w:val="center"/>
          </w:tcPr>
          <w:p>
            <w:pPr>
              <w:pStyle w:val="12"/>
            </w:pPr>
            <w:r>
              <w:t>进一步提供保障</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达到群众满意度</w:t>
            </w:r>
          </w:p>
        </w:tc>
        <w:tc>
          <w:tcPr>
            <w:tcW w:w="2268" w:type="dxa"/>
            <w:vAlign w:val="center"/>
          </w:tcPr>
          <w:p>
            <w:pPr>
              <w:pStyle w:val="12"/>
            </w:pPr>
            <w:r>
              <w:t>≥95%</w:t>
            </w:r>
          </w:p>
        </w:tc>
        <w:tc>
          <w:tcPr>
            <w:tcW w:w="1276" w:type="dxa"/>
            <w:vAlign w:val="center"/>
          </w:tcPr>
          <w:p>
            <w:pPr>
              <w:pStyle w:val="12"/>
            </w:pPr>
            <w:r>
              <w:t>年度工作总结</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2、人事代理专项补助绩效目标表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13030324P003975101128</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10.90</w:t>
            </w:r>
          </w:p>
        </w:tc>
        <w:tc>
          <w:tcPr>
            <w:tcW w:w="2835" w:type="dxa"/>
            <w:vAlign w:val="center"/>
          </w:tcPr>
          <w:p>
            <w:pPr>
              <w:pStyle w:val="10"/>
            </w:pPr>
            <w:r>
              <w:t>其中：财政    资金</w:t>
            </w:r>
          </w:p>
        </w:tc>
        <w:tc>
          <w:tcPr>
            <w:tcW w:w="2551" w:type="dxa"/>
            <w:vAlign w:val="center"/>
          </w:tcPr>
          <w:p>
            <w:pPr>
              <w:pStyle w:val="12"/>
            </w:pPr>
            <w:r>
              <w:t>10.90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保障本单位1名人事代理工资保险及时拨付，保障单位正常运作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2.63</w:t>
            </w:r>
          </w:p>
        </w:tc>
        <w:tc>
          <w:tcPr>
            <w:tcW w:w="2835" w:type="dxa"/>
            <w:vAlign w:val="center"/>
          </w:tcPr>
          <w:p>
            <w:pPr>
              <w:pStyle w:val="13"/>
            </w:pPr>
            <w:r>
              <w:t>5.25</w:t>
            </w:r>
          </w:p>
        </w:tc>
        <w:tc>
          <w:tcPr>
            <w:tcW w:w="2551" w:type="dxa"/>
            <w:vAlign w:val="center"/>
          </w:tcPr>
          <w:p>
            <w:pPr>
              <w:pStyle w:val="13"/>
            </w:pPr>
            <w:r>
              <w:t>7.88</w:t>
            </w:r>
          </w:p>
        </w:tc>
        <w:tc>
          <w:tcPr>
            <w:tcW w:w="3543" w:type="dxa"/>
            <w:gridSpan w:val="2"/>
            <w:vAlign w:val="center"/>
          </w:tcPr>
          <w:p>
            <w:pPr>
              <w:pStyle w:val="13"/>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1.保障本单位1名人事代理工资保险及时拨付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人事代理人员数量</w:t>
            </w:r>
          </w:p>
        </w:tc>
        <w:tc>
          <w:tcPr>
            <w:tcW w:w="5386" w:type="dxa"/>
            <w:vAlign w:val="center"/>
          </w:tcPr>
          <w:p>
            <w:pPr>
              <w:pStyle w:val="12"/>
            </w:pPr>
            <w:r>
              <w:t>单位实际人事代理人员数量</w:t>
            </w:r>
          </w:p>
        </w:tc>
        <w:tc>
          <w:tcPr>
            <w:tcW w:w="2268" w:type="dxa"/>
            <w:vAlign w:val="center"/>
          </w:tcPr>
          <w:p>
            <w:pPr>
              <w:pStyle w:val="12"/>
            </w:pPr>
            <w:r>
              <w:t>1人</w:t>
            </w:r>
          </w:p>
        </w:tc>
        <w:tc>
          <w:tcPr>
            <w:tcW w:w="1276" w:type="dxa"/>
            <w:vAlign w:val="center"/>
          </w:tcPr>
          <w:p>
            <w:pPr>
              <w:pStyle w:val="12"/>
            </w:pPr>
            <w:r>
              <w:t>单位实有人事代理人员数量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人事代理专项补助支付及时率</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不超预算</w:t>
            </w:r>
          </w:p>
        </w:tc>
        <w:tc>
          <w:tcPr>
            <w:tcW w:w="1276" w:type="dxa"/>
            <w:vAlign w:val="center"/>
          </w:tcPr>
          <w:p>
            <w:pPr>
              <w:pStyle w:val="12"/>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保障档案工作顺利开展</w:t>
            </w:r>
          </w:p>
        </w:tc>
        <w:tc>
          <w:tcPr>
            <w:tcW w:w="5386" w:type="dxa"/>
            <w:vAlign w:val="center"/>
          </w:tcPr>
          <w:p>
            <w:pPr>
              <w:pStyle w:val="12"/>
            </w:pPr>
            <w:r>
              <w:t>积极推动档案工作，及时完成年度工作任务</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w:t>
            </w:r>
          </w:p>
        </w:tc>
        <w:tc>
          <w:tcPr>
            <w:tcW w:w="1276" w:type="dxa"/>
            <w:vAlign w:val="center"/>
          </w:tcPr>
          <w:p>
            <w:pPr>
              <w:pStyle w:val="12"/>
            </w:pPr>
            <w:r>
              <w:t>年度工作总结</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241档案馆</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档案馆秦皇岛市山海关区档案馆本级小计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4.43</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档案馆（含所属单位）上年末固定资产金额为</w:t>
      </w:r>
      <w:r>
        <w:rPr>
          <w:rFonts w:hint="eastAsia" w:eastAsia="方正仿宋_GBK"/>
          <w:color w:val="000000"/>
          <w:sz w:val="28"/>
          <w:lang w:val="en-US" w:eastAsia="zh-CN"/>
        </w:rPr>
        <w:t>56.47</w:t>
      </w:r>
      <w:r>
        <w:rPr>
          <w:rFonts w:eastAsia="方正仿宋_GBK"/>
          <w:color w:val="000000"/>
          <w:sz w:val="28"/>
        </w:rPr>
        <w:t>万元（详见下表）。</w:t>
      </w:r>
      <w:r>
        <w:rPr>
          <w:rFonts w:hint="eastAsia" w:ascii="Times New Roman" w:hAnsi="Times New Roman" w:eastAsia="方正仿宋_GBK" w:cs="Times New Roman"/>
          <w:sz w:val="28"/>
          <w:szCs w:val="24"/>
          <w:lang w:val="en-US" w:eastAsia="uk-UA" w:bidi="ar-SA"/>
        </w:rPr>
        <w:t>本年度无新增固定资产预算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241档案馆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rFonts w:ascii="方正书宋_GBK" w:hAnsi="方正书宋_GBK" w:eastAsia="方正书宋_GBK" w:cs="方正书宋_GBK"/>
                <w:b/>
                <w:sz w:val="21"/>
                <w:szCs w:val="24"/>
                <w:lang w:val="en-US" w:eastAsia="uk-UA" w:bidi="ar-SA"/>
              </w:rPr>
            </w:pPr>
            <w:r>
              <w:t>项   目</w:t>
            </w:r>
          </w:p>
        </w:tc>
        <w:tc>
          <w:tcPr>
            <w:tcW w:w="2835" w:type="dxa"/>
            <w:vAlign w:val="center"/>
          </w:tcPr>
          <w:p>
            <w:pPr>
              <w:pStyle w:val="10"/>
              <w:rPr>
                <w:rFonts w:ascii="方正书宋_GBK" w:hAnsi="方正书宋_GBK" w:eastAsia="方正书宋_GBK" w:cs="方正书宋_GBK"/>
                <w:b/>
                <w:sz w:val="21"/>
                <w:szCs w:val="24"/>
                <w:lang w:val="en-US" w:eastAsia="uk-UA" w:bidi="ar-SA"/>
              </w:rPr>
            </w:pPr>
            <w:r>
              <w:t>数量</w:t>
            </w:r>
          </w:p>
        </w:tc>
        <w:tc>
          <w:tcPr>
            <w:tcW w:w="2835" w:type="dxa"/>
            <w:vAlign w:val="center"/>
          </w:tcPr>
          <w:p>
            <w:pPr>
              <w:pStyle w:val="1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资产总额</w:t>
            </w:r>
          </w:p>
        </w:tc>
        <w:tc>
          <w:tcPr>
            <w:tcW w:w="2835" w:type="dxa"/>
            <w:vAlign w:val="center"/>
          </w:tcPr>
          <w:p>
            <w:pPr>
              <w:pStyle w:val="13"/>
              <w:rPr>
                <w:rFonts w:hint="default" w:ascii="方正书宋_GBK" w:hAnsi="方正书宋_GBK" w:eastAsia="方正书宋_GBK" w:cs="方正书宋_GBK"/>
                <w:sz w:val="21"/>
                <w:szCs w:val="24"/>
                <w:lang w:val="en-US" w:eastAsia="zh-CN"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kern w:val="2"/>
                <w:sz w:val="21"/>
                <w:szCs w:val="24"/>
                <w:lang w:val="en-US" w:eastAsia="zh-CN" w:bidi="ar-SA"/>
              </w:rPr>
            </w:pPr>
            <w:r>
              <w:t>1、房屋（平方米）</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p>
        </w:tc>
        <w:tc>
          <w:tcPr>
            <w:tcW w:w="0" w:type="auto"/>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kern w:val="2"/>
                <w:sz w:val="21"/>
                <w:szCs w:val="24"/>
                <w:lang w:val="en-US" w:eastAsia="zh-CN" w:bidi="ar-SA"/>
              </w:rPr>
            </w:pPr>
            <w:r>
              <w:t>　　其中：办公用房（平方米）</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p>
        </w:tc>
        <w:tc>
          <w:tcPr>
            <w:tcW w:w="0" w:type="auto"/>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kern w:val="2"/>
                <w:sz w:val="21"/>
                <w:szCs w:val="24"/>
                <w:lang w:val="en-US" w:eastAsia="zh-CN" w:bidi="ar-SA"/>
              </w:rPr>
            </w:pPr>
            <w:r>
              <w:t>2、车辆（台、辆）</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p>
        </w:tc>
        <w:tc>
          <w:tcPr>
            <w:tcW w:w="0" w:type="auto"/>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kern w:val="2"/>
                <w:sz w:val="21"/>
                <w:szCs w:val="24"/>
                <w:lang w:val="en-US" w:eastAsia="zh-CN" w:bidi="ar-SA"/>
              </w:rPr>
            </w:pPr>
            <w:r>
              <w:t>3、单价在20万元以上的设备</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p>
        </w:tc>
        <w:tc>
          <w:tcPr>
            <w:tcW w:w="0" w:type="auto"/>
            <w:vAlign w:val="center"/>
          </w:tcPr>
          <w:p>
            <w:pPr>
              <w:pStyle w:val="11"/>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4、</w:t>
            </w:r>
            <w:r>
              <w:rPr>
                <w:rFonts w:hint="eastAsia"/>
                <w:lang w:eastAsia="zh-CN"/>
              </w:rPr>
              <w:t>其他固定资产</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80</w:t>
            </w:r>
          </w:p>
        </w:tc>
        <w:tc>
          <w:tcPr>
            <w:tcW w:w="0" w:type="auto"/>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56.47</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8669C"/>
    <w:rsid w:val="00395920"/>
    <w:rsid w:val="006D4037"/>
    <w:rsid w:val="00B8669C"/>
    <w:rsid w:val="0B79740C"/>
    <w:rsid w:val="12CD2319"/>
    <w:rsid w:val="16FE1EF6"/>
    <w:rsid w:val="3E560472"/>
    <w:rsid w:val="4DA57538"/>
    <w:rsid w:val="4F1F448F"/>
    <w:rsid w:val="51CA36A8"/>
    <w:rsid w:val="53BD395F"/>
    <w:rsid w:val="63240A22"/>
    <w:rsid w:val="66E007DF"/>
    <w:rsid w:val="6B1971CF"/>
    <w:rsid w:val="76C3515A"/>
    <w:rsid w:val="7E9D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paragraph" w:customStyle="1" w:styleId="35">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2024-03-06T15:00:25Z</dcterms:created>
  <dcterms:modified xsi:type="dcterms:W3CDTF">2024-03-06T07:00:25Z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2024-03-06T15:00:20Z</dcterms:created>
  <dcterms:modified xsi:type="dcterms:W3CDTF">2024-03-06T07:00:20Z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2024-03-06T15:00:25Z</dcterms:created>
  <dcterms:modified xsi:type="dcterms:W3CDTF">2024-03-06T07:00:25Z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2024-03-06T15:00:21Z</dcterms:created>
  <dcterms:modified xsi:type="dcterms:W3CDTF">2024-03-06T07:00:21Z</dcterms:modified>
</cp:core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2024-03-06T15:00:21Z</dcterms:created>
  <dcterms:modified xsi:type="dcterms:W3CDTF">2024-03-06T07:00:21Z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2024-03-06T15:00:20Z</dcterms:created>
  <dcterms:modified xsi:type="dcterms:W3CDTF">2024-03-06T07:00:20Z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2024-03-06T15:00:25Z</dcterms:created>
  <dcterms:modified xsi:type="dcterms:W3CDTF">2024-03-06T07:00:25Z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2024-03-06T15:00:24Z</dcterms:created>
  <dcterms:modified xsi:type="dcterms:W3CDTF">2024-03-06T07:00:24Z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2024-03-06T15:00:20Z</dcterms:created>
  <dcterms:modified xsi:type="dcterms:W3CDTF">2024-03-06T07:00:19Z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2024-03-06T15:00:21Z</dcterms:created>
  <dcterms:modified xsi:type="dcterms:W3CDTF">2024-03-06T07:00:21Z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A1B752C-610D-42B7-BB56-996EA7D2DDF4}">
  <ds:schemaRefs/>
</ds:datastoreItem>
</file>

<file path=customXml/itemProps11.xml><?xml version="1.0" encoding="utf-8"?>
<ds:datastoreItem xmlns:ds="http://schemas.openxmlformats.org/officeDocument/2006/customXml" ds:itemID="{D70D9816-9EC2-4655-B88E-D155B1BDAF4D}">
  <ds:schemaRefs/>
</ds:datastoreItem>
</file>

<file path=customXml/itemProps12.xml><?xml version="1.0" encoding="utf-8"?>
<ds:datastoreItem xmlns:ds="http://schemas.openxmlformats.org/officeDocument/2006/customXml" ds:itemID="{8896AA9E-3206-4834-BE9A-B7F6FC902D79}">
  <ds:schemaRefs/>
</ds:datastoreItem>
</file>

<file path=customXml/itemProps13.xml><?xml version="1.0" encoding="utf-8"?>
<ds:datastoreItem xmlns:ds="http://schemas.openxmlformats.org/officeDocument/2006/customXml" ds:itemID="{D1F80060-4982-42E9-A909-F20423B9AE02}">
  <ds:schemaRefs/>
</ds:datastoreItem>
</file>

<file path=customXml/itemProps14.xml><?xml version="1.0" encoding="utf-8"?>
<ds:datastoreItem xmlns:ds="http://schemas.openxmlformats.org/officeDocument/2006/customXml" ds:itemID="{E0F01B1D-58D3-4D2D-BFF1-2B82165DDD46}">
  <ds:schemaRefs/>
</ds:datastoreItem>
</file>

<file path=customXml/itemProps15.xml><?xml version="1.0" encoding="utf-8"?>
<ds:datastoreItem xmlns:ds="http://schemas.openxmlformats.org/officeDocument/2006/customXml" ds:itemID="{6F83B58F-DB17-4BA6-925F-0442BD0EFC52}">
  <ds:schemaRefs/>
</ds:datastoreItem>
</file>

<file path=customXml/itemProps16.xml><?xml version="1.0" encoding="utf-8"?>
<ds:datastoreItem xmlns:ds="http://schemas.openxmlformats.org/officeDocument/2006/customXml" ds:itemID="{9D8F8405-706B-4EDD-9164-29BC7AAB8C89}">
  <ds:schemaRefs/>
</ds:datastoreItem>
</file>

<file path=customXml/itemProps17.xml><?xml version="1.0" encoding="utf-8"?>
<ds:datastoreItem xmlns:ds="http://schemas.openxmlformats.org/officeDocument/2006/customXml" ds:itemID="{CC18D18E-0E50-42AB-92B6-B8BCAE9A9430}">
  <ds:schemaRefs/>
</ds:datastoreItem>
</file>

<file path=customXml/itemProps18.xml><?xml version="1.0" encoding="utf-8"?>
<ds:datastoreItem xmlns:ds="http://schemas.openxmlformats.org/officeDocument/2006/customXml" ds:itemID="{AF027E9B-A8E9-4122-98C6-FD7046927027}">
  <ds:schemaRefs/>
</ds:datastoreItem>
</file>

<file path=customXml/itemProps19.xml><?xml version="1.0" encoding="utf-8"?>
<ds:datastoreItem xmlns:ds="http://schemas.openxmlformats.org/officeDocument/2006/customXml" ds:itemID="{DE6B1BC7-A9A0-4219-BF8E-9F8B311FF618}">
  <ds:schemaRefs/>
</ds:datastoreItem>
</file>

<file path=customXml/itemProps2.xml><?xml version="1.0" encoding="utf-8"?>
<ds:datastoreItem xmlns:ds="http://schemas.openxmlformats.org/officeDocument/2006/customXml" ds:itemID="{4A86A451-47D8-4B30-821C-12CEC1427315}">
  <ds:schemaRefs/>
</ds:datastoreItem>
</file>

<file path=customXml/itemProps20.xml><?xml version="1.0" encoding="utf-8"?>
<ds:datastoreItem xmlns:ds="http://schemas.openxmlformats.org/officeDocument/2006/customXml" ds:itemID="{D302FA71-2A02-487D-B148-377738DDBE94}">
  <ds:schemaRefs/>
</ds:datastoreItem>
</file>

<file path=customXml/itemProps21.xml><?xml version="1.0" encoding="utf-8"?>
<ds:datastoreItem xmlns:ds="http://schemas.openxmlformats.org/officeDocument/2006/customXml" ds:itemID="{9D463823-6A16-4D5B-BD7F-015E08A5E166}">
  <ds:schemaRefs/>
</ds:datastoreItem>
</file>

<file path=customXml/itemProps22.xml><?xml version="1.0" encoding="utf-8"?>
<ds:datastoreItem xmlns:ds="http://schemas.openxmlformats.org/officeDocument/2006/customXml" ds:itemID="{56E81F80-C42D-498D-9DD7-80786E5267D7}">
  <ds:schemaRefs/>
</ds:datastoreItem>
</file>

<file path=customXml/itemProps3.xml><?xml version="1.0" encoding="utf-8"?>
<ds:datastoreItem xmlns:ds="http://schemas.openxmlformats.org/officeDocument/2006/customXml" ds:itemID="{421E50EE-194F-4153-BF22-65990605A8A1}">
  <ds:schemaRefs/>
</ds:datastoreItem>
</file>

<file path=customXml/itemProps4.xml><?xml version="1.0" encoding="utf-8"?>
<ds:datastoreItem xmlns:ds="http://schemas.openxmlformats.org/officeDocument/2006/customXml" ds:itemID="{83B738ED-6DF0-4857-8415-56E646973ACC}">
  <ds:schemaRefs/>
</ds:datastoreItem>
</file>

<file path=customXml/itemProps5.xml><?xml version="1.0" encoding="utf-8"?>
<ds:datastoreItem xmlns:ds="http://schemas.openxmlformats.org/officeDocument/2006/customXml" ds:itemID="{A9BCA3B1-5C26-40F9-B193-660AF1FF4083}">
  <ds:schemaRefs/>
</ds:datastoreItem>
</file>

<file path=customXml/itemProps6.xml><?xml version="1.0" encoding="utf-8"?>
<ds:datastoreItem xmlns:ds="http://schemas.openxmlformats.org/officeDocument/2006/customXml" ds:itemID="{85A637BF-FF76-459B-843C-E86F29CC62E2}">
  <ds:schemaRefs/>
</ds:datastoreItem>
</file>

<file path=customXml/itemProps7.xml><?xml version="1.0" encoding="utf-8"?>
<ds:datastoreItem xmlns:ds="http://schemas.openxmlformats.org/officeDocument/2006/customXml" ds:itemID="{84BBFD48-6AB6-452A-BAA9-AC6B57A8C1F1}">
  <ds:schemaRefs/>
</ds:datastoreItem>
</file>

<file path=customXml/itemProps8.xml><?xml version="1.0" encoding="utf-8"?>
<ds:datastoreItem xmlns:ds="http://schemas.openxmlformats.org/officeDocument/2006/customXml" ds:itemID="{EF4DBAA9-BE61-46DB-9425-0ACA565CD367}">
  <ds:schemaRefs/>
</ds:datastoreItem>
</file>

<file path=customXml/itemProps9.xml><?xml version="1.0" encoding="utf-8"?>
<ds:datastoreItem xmlns:ds="http://schemas.openxmlformats.org/officeDocument/2006/customXml" ds:itemID="{0E4A8D20-90CE-40E8-A90F-CF501AEFD5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3282</Words>
  <Characters>18710</Characters>
  <Lines>155</Lines>
  <Paragraphs>43</Paragraphs>
  <TotalTime>0</TotalTime>
  <ScaleCrop>false</ScaleCrop>
  <LinksUpToDate>false</LinksUpToDate>
  <CharactersWithSpaces>21949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2024-03-11T02:59:00Z</dcterms:created>
  <dc:creator>Administrator</dc:creator>
  <cp:lastModifiedBy>Administrator</cp:lastModifiedBy>
  <cp:lastPrinted>2024-03-12T03:21:00Z</cp:lastPrinted>
  <dcterms:modified xsi:type="dcterms:W3CDTF">2024-04-15T02:33:13Z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