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bookmarkStart w:id="0" w:name="_Toc_4_4_0000000021"/>
      <w:r>
        <w:rPr>
          <w:rFonts w:hint="eastAsia" w:ascii="黑体" w:hAnsi="黑体" w:eastAsia="黑体" w:cs="黑体"/>
          <w:b/>
          <w:color w:val="auto"/>
          <w:sz w:val="44"/>
          <w:lang w:eastAsia="zh-CN"/>
        </w:rPr>
        <w:t>档案馆秦皇岛市山海关区档案馆本级</w:t>
      </w:r>
      <w:r>
        <w:rPr>
          <w:rFonts w:hint="eastAsia" w:ascii="黑体" w:hAnsi="黑体" w:eastAsia="黑体" w:cs="黑体"/>
          <w:b/>
          <w:color w:val="000000"/>
          <w:sz w:val="44"/>
        </w:rPr>
        <w:t>202</w:t>
      </w:r>
      <w:r>
        <w:rPr>
          <w:rFonts w:hint="eastAsia" w:ascii="黑体" w:hAnsi="黑体" w:eastAsia="黑体" w:cs="黑体"/>
          <w:b/>
          <w:color w:val="000000"/>
          <w:sz w:val="44"/>
          <w:lang w:val="en-US" w:eastAsia="zh-CN"/>
        </w:rPr>
        <w:t>4</w:t>
      </w:r>
      <w:r>
        <w:rPr>
          <w:rFonts w:hint="eastAsia" w:ascii="黑体" w:hAnsi="黑体" w:eastAsia="黑体" w:cs="黑体"/>
          <w:b/>
          <w:color w:val="000000"/>
          <w:sz w:val="44"/>
        </w:rPr>
        <w:t>年单位预算信息公开</w:t>
      </w:r>
      <w:r>
        <w:rPr>
          <w:rFonts w:hint="eastAsia" w:ascii="黑体" w:hAnsi="黑体" w:eastAsia="黑体" w:cs="黑体"/>
          <w:b/>
          <w:color w:val="000000"/>
          <w:sz w:val="44"/>
          <w:lang w:eastAsia="zh-CN"/>
        </w:rPr>
        <w:t>目录</w:t>
      </w:r>
    </w:p>
    <w:p>
      <w:pPr>
        <w:pStyle w:val="4"/>
        <w:tabs>
          <w:tab w:val="right" w:leader="dot" w:pos="14562"/>
        </w:tabs>
        <w:ind w:left="0" w:leftChars="0" w:firstLine="0" w:firstLineChars="0"/>
        <w:rPr>
          <w:color w:val="auto"/>
        </w:rPr>
      </w:pPr>
      <w:r>
        <w:fldChar w:fldCharType="begin"/>
      </w:r>
      <w:r>
        <w:instrText xml:space="preserve">TOC \o "4-4" \h \z \u</w:instrText>
      </w:r>
      <w:r>
        <w:fldChar w:fldCharType="separate"/>
      </w:r>
    </w:p>
    <w:p/>
    <w:p>
      <w:pPr>
        <w:pStyle w:val="4"/>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rPr>
          <w:color w:val="auto"/>
        </w:rPr>
        <w:fldChar w:fldCharType="begin"/>
      </w:r>
      <w:r>
        <w:rPr>
          <w:color w:val="auto"/>
        </w:rPr>
        <w:instrText xml:space="preserve"> HYPERLINK \l "_Toc_4_4_0000000019" </w:instrText>
      </w:r>
      <w:r>
        <w:rPr>
          <w:color w:val="auto"/>
        </w:rPr>
        <w:fldChar w:fldCharType="separate"/>
      </w:r>
      <w:r>
        <w:rPr>
          <w:color w:val="auto"/>
        </w:rPr>
        <w:t>一、</w:t>
      </w:r>
      <w:r>
        <w:rPr>
          <w:rFonts w:hint="eastAsia" w:ascii="仿宋_GB2312" w:hAnsi="黑体" w:eastAsia="仿宋_GB2312" w:cs="黑体"/>
          <w:b/>
          <w:color w:val="auto"/>
          <w:sz w:val="32"/>
        </w:rPr>
        <w:t>202</w:t>
      </w:r>
      <w:r>
        <w:rPr>
          <w:rFonts w:hint="eastAsia" w:ascii="仿宋_GB2312" w:hAnsi="黑体" w:eastAsia="仿宋_GB2312" w:cs="黑体"/>
          <w:b/>
          <w:color w:val="auto"/>
          <w:sz w:val="32"/>
          <w:lang w:val="en-US" w:eastAsia="zh-CN"/>
        </w:rPr>
        <w:t>4</w:t>
      </w:r>
      <w:r>
        <w:rPr>
          <w:rFonts w:hint="eastAsia" w:ascii="仿宋_GB2312" w:hAnsi="黑体" w:eastAsia="仿宋_GB2312" w:cs="黑体"/>
          <w:b/>
          <w:color w:val="auto"/>
          <w:sz w:val="32"/>
        </w:rPr>
        <w:t>年</w:t>
      </w:r>
      <w:r>
        <w:rPr>
          <w:rFonts w:hint="eastAsia" w:ascii="仿宋_GB2312" w:hAnsi="黑体" w:eastAsia="仿宋_GB2312" w:cs="黑体"/>
          <w:b/>
          <w:color w:val="auto"/>
          <w:sz w:val="32"/>
          <w:lang w:eastAsia="zh-CN"/>
        </w:rPr>
        <w:t>单位</w:t>
      </w:r>
      <w:r>
        <w:rPr>
          <w:rFonts w:hint="eastAsia" w:ascii="仿宋_GB2312" w:hAnsi="黑体" w:eastAsia="仿宋_GB2312" w:cs="黑体"/>
          <w:b/>
          <w:color w:val="auto"/>
          <w:sz w:val="32"/>
        </w:rPr>
        <w:t>预算公开表格</w:t>
      </w:r>
      <w:r>
        <w:rPr>
          <w:color w:val="auto"/>
        </w:rPr>
        <w:tab/>
      </w:r>
      <w:r>
        <w:rPr>
          <w:rFonts w:hint="eastAsia"/>
          <w:color w:val="auto"/>
          <w:lang w:val="en-US" w:eastAsia="zh-CN"/>
        </w:rPr>
        <w:t>2</w:t>
      </w:r>
      <w:r>
        <w:rPr>
          <w:color w:val="auto"/>
        </w:rPr>
        <w:fldChar w:fldCharType="end"/>
      </w:r>
    </w:p>
    <w:p/>
    <w:p>
      <w:pPr>
        <w:pStyle w:val="4"/>
        <w:tabs>
          <w:tab w:val="right" w:leader="dot" w:pos="14562"/>
        </w:tabs>
        <w:rPr>
          <w:rFonts w:hint="eastAsia" w:eastAsia="方正仿宋_GBK"/>
          <w:color w:val="auto"/>
          <w:lang w:val="en-US" w:eastAsia="zh-CN"/>
        </w:rPr>
      </w:pPr>
      <w:r>
        <w:rPr>
          <w:color w:val="auto"/>
        </w:rPr>
        <w:fldChar w:fldCharType="begin"/>
      </w:r>
      <w:r>
        <w:rPr>
          <w:color w:val="auto"/>
        </w:rPr>
        <w:instrText xml:space="preserve"> HYPERLINK \l "_Toc_4_4_0000000020" </w:instrText>
      </w:r>
      <w:r>
        <w:rPr>
          <w:color w:val="auto"/>
        </w:rPr>
        <w:fldChar w:fldCharType="separate"/>
      </w:r>
      <w:r>
        <w:rPr>
          <w:color w:val="auto"/>
        </w:rPr>
        <w:t>二、</w:t>
      </w:r>
      <w:r>
        <w:rPr>
          <w:rFonts w:hint="eastAsia" w:ascii="仿宋_GB2312" w:hAnsi="黑体" w:eastAsia="仿宋_GB2312" w:cs="黑体"/>
          <w:b/>
          <w:color w:val="auto"/>
          <w:sz w:val="32"/>
        </w:rPr>
        <w:t>202</w:t>
      </w:r>
      <w:r>
        <w:rPr>
          <w:rFonts w:hint="eastAsia" w:ascii="仿宋_GB2312" w:hAnsi="黑体" w:eastAsia="仿宋_GB2312" w:cs="黑体"/>
          <w:b/>
          <w:color w:val="auto"/>
          <w:sz w:val="32"/>
          <w:lang w:val="en-US" w:eastAsia="zh-CN"/>
        </w:rPr>
        <w:t>4</w:t>
      </w:r>
      <w:r>
        <w:rPr>
          <w:rFonts w:hint="eastAsia" w:ascii="仿宋_GB2312" w:hAnsi="黑体" w:eastAsia="仿宋_GB2312" w:cs="黑体"/>
          <w:b/>
          <w:color w:val="auto"/>
          <w:sz w:val="32"/>
        </w:rPr>
        <w:t>年</w:t>
      </w:r>
      <w:r>
        <w:rPr>
          <w:rFonts w:hint="eastAsia" w:ascii="仿宋_GB2312" w:hAnsi="黑体" w:eastAsia="仿宋_GB2312" w:cs="黑体"/>
          <w:b/>
          <w:color w:val="auto"/>
          <w:sz w:val="32"/>
          <w:lang w:eastAsia="zh-CN"/>
        </w:rPr>
        <w:t>单位</w:t>
      </w:r>
      <w:r>
        <w:rPr>
          <w:rFonts w:hint="eastAsia" w:ascii="仿宋_GB2312" w:hAnsi="黑体" w:eastAsia="仿宋_GB2312" w:cs="黑体"/>
          <w:b/>
          <w:color w:val="auto"/>
          <w:sz w:val="32"/>
        </w:rPr>
        <w:t>预算公开说明</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jc w:val="center"/>
        <w:outlineLvl w:val="3"/>
        <w:rPr>
          <w:color w:val="auto"/>
        </w:rPr>
      </w:pPr>
      <w:r>
        <w:rPr>
          <w:color w:val="auto"/>
        </w:rPr>
        <w:fldChar w:fldCharType="end"/>
      </w:r>
    </w:p>
    <w:p>
      <w:pPr>
        <w:jc w:val="center"/>
        <w:outlineLvl w:val="3"/>
      </w:pPr>
    </w:p>
    <w:p>
      <w:pPr>
        <w:pStyle w:val="22"/>
        <w:tabs>
          <w:tab w:val="right" w:leader="dot" w:pos="14562"/>
        </w:tabs>
      </w:pP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bookmarkStart w:id="1" w:name="_GoBack"/>
      <w:bookmarkEnd w:id="1"/>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r>
        <w:rPr>
          <w:rFonts w:ascii="方正小标宋_GBK" w:hAnsi="方正小标宋_GBK" w:eastAsia="方正小标宋_GBK" w:cs="方正小标宋_GBK"/>
          <w:color w:val="000000"/>
          <w:sz w:val="44"/>
        </w:rPr>
        <w:t>一、档案馆秦皇岛市山海关区档案馆本级收支预算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118.87</w:t>
            </w:r>
          </w:p>
        </w:tc>
        <w:tc>
          <w:tcPr>
            <w:tcW w:w="4535" w:type="dxa"/>
            <w:vAlign w:val="center"/>
          </w:tcPr>
          <w:p>
            <w:pPr>
              <w:pStyle w:val="12"/>
            </w:pPr>
            <w:r>
              <w:t>一、一般公共服务支出</w:t>
            </w:r>
          </w:p>
        </w:tc>
        <w:tc>
          <w:tcPr>
            <w:tcW w:w="2126" w:type="dxa"/>
            <w:vAlign w:val="center"/>
          </w:tcPr>
          <w:p>
            <w:pPr>
              <w:pStyle w:val="13"/>
            </w:pPr>
            <w:r>
              <w:t>90.73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五、单位资金</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118.87</w:t>
            </w:r>
          </w:p>
        </w:tc>
        <w:tc>
          <w:tcPr>
            <w:tcW w:w="4535" w:type="dxa"/>
            <w:vAlign w:val="center"/>
          </w:tcPr>
          <w:p>
            <w:pPr>
              <w:pStyle w:val="14"/>
            </w:pPr>
            <w:r>
              <w:t>本年支出合计</w:t>
            </w:r>
          </w:p>
        </w:tc>
        <w:tc>
          <w:tcPr>
            <w:tcW w:w="2126" w:type="dxa"/>
            <w:vAlign w:val="center"/>
          </w:tcPr>
          <w:p>
            <w:pPr>
              <w:pStyle w:val="15"/>
            </w:pPr>
            <w:r>
              <w:t>118.87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118.87</w:t>
            </w:r>
          </w:p>
        </w:tc>
        <w:tc>
          <w:tcPr>
            <w:tcW w:w="4535" w:type="dxa"/>
            <w:vAlign w:val="center"/>
          </w:tcPr>
          <w:p>
            <w:pPr>
              <w:pStyle w:val="14"/>
            </w:pPr>
            <w:r>
              <w:t>支出总计</w:t>
            </w:r>
          </w:p>
        </w:tc>
        <w:tc>
          <w:tcPr>
            <w:tcW w:w="2126" w:type="dxa"/>
            <w:vAlign w:val="center"/>
          </w:tcPr>
          <w:p>
            <w:pPr>
              <w:pStyle w:val="15"/>
            </w:pPr>
            <w:r>
              <w:t>118.87</w:t>
            </w:r>
          </w:p>
        </w:tc>
      </w:tr>
    </w:tbl>
    <w:p>
      <w:pPr>
        <w:sectPr>
          <w:headerReference r:id="rId3" w:type="default"/>
          <w:footerReference r:id="rId4" w:type="default"/>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118.87</w:t>
            </w:r>
          </w:p>
        </w:tc>
        <w:tc>
          <w:tcPr>
            <w:tcW w:w="1134" w:type="dxa"/>
            <w:vAlign w:val="center"/>
          </w:tcPr>
          <w:p>
            <w:pPr>
              <w:pStyle w:val="15"/>
            </w:pPr>
            <w:r>
              <w:t>118.87</w:t>
            </w:r>
          </w:p>
        </w:tc>
        <w:tc>
          <w:tcPr>
            <w:tcW w:w="1134" w:type="dxa"/>
            <w:vAlign w:val="center"/>
          </w:tcPr>
          <w:p>
            <w:pPr>
              <w:pStyle w:val="15"/>
            </w:pPr>
            <w:r>
              <w:t>118.87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90.73</w:t>
            </w:r>
          </w:p>
        </w:tc>
        <w:tc>
          <w:tcPr>
            <w:tcW w:w="1134" w:type="dxa"/>
            <w:vAlign w:val="center"/>
          </w:tcPr>
          <w:p>
            <w:pPr>
              <w:pStyle w:val="13"/>
            </w:pPr>
            <w:r>
              <w:t>90.73</w:t>
            </w:r>
          </w:p>
        </w:tc>
        <w:tc>
          <w:tcPr>
            <w:tcW w:w="1134" w:type="dxa"/>
            <w:vAlign w:val="center"/>
          </w:tcPr>
          <w:p>
            <w:pPr>
              <w:pStyle w:val="13"/>
            </w:pPr>
            <w:r>
              <w:t>90.73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3"/>
            </w:pPr>
            <w:r>
              <w:t>90.73</w:t>
            </w:r>
          </w:p>
        </w:tc>
        <w:tc>
          <w:tcPr>
            <w:tcW w:w="1134" w:type="dxa"/>
            <w:vAlign w:val="center"/>
          </w:tcPr>
          <w:p>
            <w:pPr>
              <w:pStyle w:val="13"/>
            </w:pPr>
            <w:r>
              <w:t>90.73</w:t>
            </w:r>
          </w:p>
        </w:tc>
        <w:tc>
          <w:tcPr>
            <w:tcW w:w="1134" w:type="dxa"/>
            <w:vAlign w:val="center"/>
          </w:tcPr>
          <w:p>
            <w:pPr>
              <w:pStyle w:val="13"/>
            </w:pPr>
            <w:r>
              <w:t>90.73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3"/>
            </w:pPr>
            <w:r>
              <w:t>74.83</w:t>
            </w:r>
          </w:p>
        </w:tc>
        <w:tc>
          <w:tcPr>
            <w:tcW w:w="1134" w:type="dxa"/>
            <w:vAlign w:val="center"/>
          </w:tcPr>
          <w:p>
            <w:pPr>
              <w:pStyle w:val="13"/>
            </w:pPr>
            <w:r>
              <w:t>74.83</w:t>
            </w:r>
          </w:p>
        </w:tc>
        <w:tc>
          <w:tcPr>
            <w:tcW w:w="1134" w:type="dxa"/>
            <w:vAlign w:val="center"/>
          </w:tcPr>
          <w:p>
            <w:pPr>
              <w:pStyle w:val="13"/>
            </w:pPr>
            <w:r>
              <w:t>74.83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2012699</w:t>
            </w:r>
          </w:p>
        </w:tc>
        <w:tc>
          <w:tcPr>
            <w:tcW w:w="1559" w:type="dxa"/>
            <w:vAlign w:val="center"/>
          </w:tcPr>
          <w:p>
            <w:pPr>
              <w:pStyle w:val="12"/>
            </w:pPr>
            <w:r>
              <w:t>其他档案事务支出</w:t>
            </w:r>
          </w:p>
        </w:tc>
        <w:tc>
          <w:tcPr>
            <w:tcW w:w="1134" w:type="dxa"/>
            <w:vAlign w:val="center"/>
          </w:tcPr>
          <w:p>
            <w:pPr>
              <w:pStyle w:val="13"/>
            </w:pPr>
            <w:r>
              <w:t>10.90</w:t>
            </w:r>
          </w:p>
        </w:tc>
        <w:tc>
          <w:tcPr>
            <w:tcW w:w="1134" w:type="dxa"/>
            <w:vAlign w:val="center"/>
          </w:tcPr>
          <w:p>
            <w:pPr>
              <w:pStyle w:val="13"/>
            </w:pPr>
            <w:r>
              <w:t>10.90</w:t>
            </w:r>
          </w:p>
        </w:tc>
        <w:tc>
          <w:tcPr>
            <w:tcW w:w="1134" w:type="dxa"/>
            <w:vAlign w:val="center"/>
          </w:tcPr>
          <w:p>
            <w:pPr>
              <w:pStyle w:val="13"/>
            </w:pPr>
            <w:r>
              <w:t>10.90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14.63</w:t>
            </w:r>
          </w:p>
        </w:tc>
        <w:tc>
          <w:tcPr>
            <w:tcW w:w="1134" w:type="dxa"/>
            <w:vAlign w:val="center"/>
          </w:tcPr>
          <w:p>
            <w:pPr>
              <w:pStyle w:val="13"/>
            </w:pPr>
            <w:r>
              <w:t>14.63</w:t>
            </w:r>
          </w:p>
        </w:tc>
        <w:tc>
          <w:tcPr>
            <w:tcW w:w="1134" w:type="dxa"/>
            <w:vAlign w:val="center"/>
          </w:tcPr>
          <w:p>
            <w:pPr>
              <w:pStyle w:val="13"/>
            </w:pPr>
            <w:r>
              <w:t>14.63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14.63</w:t>
            </w:r>
          </w:p>
        </w:tc>
        <w:tc>
          <w:tcPr>
            <w:tcW w:w="1134" w:type="dxa"/>
            <w:vAlign w:val="center"/>
          </w:tcPr>
          <w:p>
            <w:pPr>
              <w:pStyle w:val="13"/>
            </w:pPr>
            <w:r>
              <w:t>14.63</w:t>
            </w:r>
          </w:p>
        </w:tc>
        <w:tc>
          <w:tcPr>
            <w:tcW w:w="1134" w:type="dxa"/>
            <w:vAlign w:val="center"/>
          </w:tcPr>
          <w:p>
            <w:pPr>
              <w:pStyle w:val="13"/>
            </w:pPr>
            <w:r>
              <w:t>14.63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3"/>
            </w:pPr>
            <w:r>
              <w:t>4.49</w:t>
            </w:r>
          </w:p>
        </w:tc>
        <w:tc>
          <w:tcPr>
            <w:tcW w:w="1134" w:type="dxa"/>
            <w:vAlign w:val="center"/>
          </w:tcPr>
          <w:p>
            <w:pPr>
              <w:pStyle w:val="13"/>
            </w:pPr>
            <w:r>
              <w:t>4.49</w:t>
            </w:r>
          </w:p>
        </w:tc>
        <w:tc>
          <w:tcPr>
            <w:tcW w:w="1134" w:type="dxa"/>
            <w:vAlign w:val="center"/>
          </w:tcPr>
          <w:p>
            <w:pPr>
              <w:pStyle w:val="13"/>
            </w:pPr>
            <w:r>
              <w:t>4.49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10.14</w:t>
            </w:r>
          </w:p>
        </w:tc>
        <w:tc>
          <w:tcPr>
            <w:tcW w:w="1134" w:type="dxa"/>
            <w:vAlign w:val="center"/>
          </w:tcPr>
          <w:p>
            <w:pPr>
              <w:pStyle w:val="13"/>
            </w:pPr>
            <w:r>
              <w:t>10.14</w:t>
            </w:r>
          </w:p>
        </w:tc>
        <w:tc>
          <w:tcPr>
            <w:tcW w:w="1134" w:type="dxa"/>
            <w:vAlign w:val="center"/>
          </w:tcPr>
          <w:p>
            <w:pPr>
              <w:pStyle w:val="13"/>
            </w:pPr>
            <w:r>
              <w:t>10.14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5.72</w:t>
            </w:r>
          </w:p>
        </w:tc>
        <w:tc>
          <w:tcPr>
            <w:tcW w:w="1134" w:type="dxa"/>
            <w:vAlign w:val="center"/>
          </w:tcPr>
          <w:p>
            <w:pPr>
              <w:pStyle w:val="13"/>
            </w:pPr>
            <w:r>
              <w:t>5.72</w:t>
            </w:r>
          </w:p>
        </w:tc>
        <w:tc>
          <w:tcPr>
            <w:tcW w:w="1134" w:type="dxa"/>
            <w:vAlign w:val="center"/>
          </w:tcPr>
          <w:p>
            <w:pPr>
              <w:pStyle w:val="13"/>
            </w:pPr>
            <w:r>
              <w:t>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5.72</w:t>
            </w:r>
          </w:p>
        </w:tc>
        <w:tc>
          <w:tcPr>
            <w:tcW w:w="1134" w:type="dxa"/>
            <w:vAlign w:val="center"/>
          </w:tcPr>
          <w:p>
            <w:pPr>
              <w:pStyle w:val="13"/>
            </w:pPr>
            <w:r>
              <w:t>5.72</w:t>
            </w:r>
          </w:p>
        </w:tc>
        <w:tc>
          <w:tcPr>
            <w:tcW w:w="1134" w:type="dxa"/>
            <w:vAlign w:val="center"/>
          </w:tcPr>
          <w:p>
            <w:pPr>
              <w:pStyle w:val="13"/>
            </w:pPr>
            <w:r>
              <w:t>5.72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r>
              <w:t>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3"/>
            </w:pPr>
            <w:r>
              <w:t>1.64</w:t>
            </w:r>
          </w:p>
        </w:tc>
        <w:tc>
          <w:tcPr>
            <w:tcW w:w="1134" w:type="dxa"/>
            <w:vAlign w:val="center"/>
          </w:tcPr>
          <w:p>
            <w:pPr>
              <w:pStyle w:val="13"/>
            </w:pPr>
            <w:r>
              <w:t>1.64</w:t>
            </w:r>
          </w:p>
        </w:tc>
        <w:tc>
          <w:tcPr>
            <w:tcW w:w="1134" w:type="dxa"/>
            <w:vAlign w:val="center"/>
          </w:tcPr>
          <w:p>
            <w:pPr>
              <w:pStyle w:val="13"/>
            </w:pPr>
            <w:r>
              <w:t>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7.79</w:t>
            </w:r>
          </w:p>
        </w:tc>
        <w:tc>
          <w:tcPr>
            <w:tcW w:w="1134" w:type="dxa"/>
            <w:vAlign w:val="center"/>
          </w:tcPr>
          <w:p>
            <w:pPr>
              <w:pStyle w:val="13"/>
            </w:pPr>
            <w:r>
              <w:t>7.79</w:t>
            </w:r>
          </w:p>
        </w:tc>
        <w:tc>
          <w:tcPr>
            <w:tcW w:w="1134" w:type="dxa"/>
            <w:vAlign w:val="center"/>
          </w:tcPr>
          <w:p>
            <w:pPr>
              <w:pStyle w:val="13"/>
            </w:pPr>
            <w:r>
              <w:t>7.79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7.79</w:t>
            </w:r>
          </w:p>
        </w:tc>
        <w:tc>
          <w:tcPr>
            <w:tcW w:w="1134" w:type="dxa"/>
            <w:vAlign w:val="center"/>
          </w:tcPr>
          <w:p>
            <w:pPr>
              <w:pStyle w:val="13"/>
            </w:pPr>
            <w:r>
              <w:t>7.79</w:t>
            </w:r>
          </w:p>
        </w:tc>
        <w:tc>
          <w:tcPr>
            <w:tcW w:w="1134" w:type="dxa"/>
            <w:vAlign w:val="center"/>
          </w:tcPr>
          <w:p>
            <w:pPr>
              <w:pStyle w:val="13"/>
            </w:pPr>
            <w:r>
              <w:t>7.79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7.79</w:t>
            </w:r>
          </w:p>
        </w:tc>
        <w:tc>
          <w:tcPr>
            <w:tcW w:w="1134" w:type="dxa"/>
            <w:vAlign w:val="center"/>
          </w:tcPr>
          <w:p>
            <w:pPr>
              <w:pStyle w:val="13"/>
            </w:pPr>
            <w:r>
              <w:t>7.79</w:t>
            </w:r>
          </w:p>
        </w:tc>
        <w:tc>
          <w:tcPr>
            <w:tcW w:w="1134" w:type="dxa"/>
            <w:vAlign w:val="center"/>
          </w:tcPr>
          <w:p>
            <w:pPr>
              <w:pStyle w:val="13"/>
            </w:pPr>
            <w:r>
              <w:t>7.79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118.87</w:t>
            </w:r>
          </w:p>
        </w:tc>
        <w:tc>
          <w:tcPr>
            <w:tcW w:w="1361" w:type="dxa"/>
            <w:vAlign w:val="center"/>
          </w:tcPr>
          <w:p>
            <w:pPr>
              <w:pStyle w:val="15"/>
            </w:pPr>
            <w:r>
              <w:t>102.97</w:t>
            </w:r>
          </w:p>
        </w:tc>
        <w:tc>
          <w:tcPr>
            <w:tcW w:w="1361" w:type="dxa"/>
            <w:vAlign w:val="center"/>
          </w:tcPr>
          <w:p>
            <w:pPr>
              <w:pStyle w:val="15"/>
            </w:pPr>
            <w:r>
              <w:t>15.90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90.73</w:t>
            </w:r>
          </w:p>
        </w:tc>
        <w:tc>
          <w:tcPr>
            <w:tcW w:w="1361" w:type="dxa"/>
            <w:vAlign w:val="center"/>
          </w:tcPr>
          <w:p>
            <w:pPr>
              <w:pStyle w:val="13"/>
            </w:pPr>
            <w:r>
              <w:t>74.83</w:t>
            </w:r>
          </w:p>
        </w:tc>
        <w:tc>
          <w:tcPr>
            <w:tcW w:w="1361" w:type="dxa"/>
            <w:vAlign w:val="center"/>
          </w:tcPr>
          <w:p>
            <w:pPr>
              <w:pStyle w:val="13"/>
            </w:pPr>
            <w:r>
              <w:t>15.90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3"/>
            </w:pPr>
            <w:r>
              <w:t>90.73</w:t>
            </w:r>
          </w:p>
        </w:tc>
        <w:tc>
          <w:tcPr>
            <w:tcW w:w="1361" w:type="dxa"/>
            <w:vAlign w:val="center"/>
          </w:tcPr>
          <w:p>
            <w:pPr>
              <w:pStyle w:val="13"/>
            </w:pPr>
            <w:r>
              <w:t>74.83</w:t>
            </w:r>
          </w:p>
        </w:tc>
        <w:tc>
          <w:tcPr>
            <w:tcW w:w="1361" w:type="dxa"/>
            <w:vAlign w:val="center"/>
          </w:tcPr>
          <w:p>
            <w:pPr>
              <w:pStyle w:val="13"/>
            </w:pPr>
            <w:r>
              <w:t>15.90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3"/>
            </w:pPr>
            <w:r>
              <w:t>74.83</w:t>
            </w:r>
          </w:p>
        </w:tc>
        <w:tc>
          <w:tcPr>
            <w:tcW w:w="1361" w:type="dxa"/>
            <w:vAlign w:val="center"/>
          </w:tcPr>
          <w:p>
            <w:pPr>
              <w:pStyle w:val="13"/>
            </w:pPr>
            <w:r>
              <w:t>74.83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2012699</w:t>
            </w:r>
          </w:p>
        </w:tc>
        <w:tc>
          <w:tcPr>
            <w:tcW w:w="4535" w:type="dxa"/>
            <w:vAlign w:val="center"/>
          </w:tcPr>
          <w:p>
            <w:pPr>
              <w:pStyle w:val="12"/>
            </w:pPr>
            <w:r>
              <w:t>其他档案事务支出</w:t>
            </w:r>
          </w:p>
        </w:tc>
        <w:tc>
          <w:tcPr>
            <w:tcW w:w="1361" w:type="dxa"/>
            <w:vAlign w:val="center"/>
          </w:tcPr>
          <w:p>
            <w:pPr>
              <w:pStyle w:val="13"/>
            </w:pPr>
            <w:r>
              <w:t>10.90</w:t>
            </w:r>
          </w:p>
        </w:tc>
        <w:tc>
          <w:tcPr>
            <w:tcW w:w="1361" w:type="dxa"/>
            <w:vAlign w:val="center"/>
          </w:tcPr>
          <w:p>
            <w:pPr>
              <w:pStyle w:val="13"/>
            </w:pPr>
          </w:p>
        </w:tc>
        <w:tc>
          <w:tcPr>
            <w:tcW w:w="1361" w:type="dxa"/>
            <w:vAlign w:val="center"/>
          </w:tcPr>
          <w:p>
            <w:pPr>
              <w:pStyle w:val="13"/>
            </w:pPr>
            <w:r>
              <w:t>10.90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14.63</w:t>
            </w:r>
          </w:p>
        </w:tc>
        <w:tc>
          <w:tcPr>
            <w:tcW w:w="1361" w:type="dxa"/>
            <w:vAlign w:val="center"/>
          </w:tcPr>
          <w:p>
            <w:pPr>
              <w:pStyle w:val="13"/>
            </w:pPr>
            <w:r>
              <w:t>14.63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14.63</w:t>
            </w:r>
          </w:p>
        </w:tc>
        <w:tc>
          <w:tcPr>
            <w:tcW w:w="1361" w:type="dxa"/>
            <w:vAlign w:val="center"/>
          </w:tcPr>
          <w:p>
            <w:pPr>
              <w:pStyle w:val="13"/>
            </w:pPr>
            <w:r>
              <w:t>14.63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3"/>
            </w:pPr>
            <w:r>
              <w:t>4.49</w:t>
            </w:r>
          </w:p>
        </w:tc>
        <w:tc>
          <w:tcPr>
            <w:tcW w:w="1361" w:type="dxa"/>
            <w:vAlign w:val="center"/>
          </w:tcPr>
          <w:p>
            <w:pPr>
              <w:pStyle w:val="13"/>
            </w:pPr>
            <w:r>
              <w:t>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10.14</w:t>
            </w:r>
          </w:p>
        </w:tc>
        <w:tc>
          <w:tcPr>
            <w:tcW w:w="1361" w:type="dxa"/>
            <w:vAlign w:val="center"/>
          </w:tcPr>
          <w:p>
            <w:pPr>
              <w:pStyle w:val="13"/>
            </w:pPr>
            <w:r>
              <w:t>10.14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5.72</w:t>
            </w:r>
          </w:p>
        </w:tc>
        <w:tc>
          <w:tcPr>
            <w:tcW w:w="1361" w:type="dxa"/>
            <w:vAlign w:val="center"/>
          </w:tcPr>
          <w:p>
            <w:pPr>
              <w:pStyle w:val="13"/>
            </w:pPr>
            <w:r>
              <w:t>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5.72</w:t>
            </w:r>
          </w:p>
        </w:tc>
        <w:tc>
          <w:tcPr>
            <w:tcW w:w="1361" w:type="dxa"/>
            <w:vAlign w:val="center"/>
          </w:tcPr>
          <w:p>
            <w:pPr>
              <w:pStyle w:val="13"/>
            </w:pPr>
            <w:r>
              <w:t>5.72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4.08</w:t>
            </w:r>
          </w:p>
        </w:tc>
        <w:tc>
          <w:tcPr>
            <w:tcW w:w="1361" w:type="dxa"/>
            <w:vAlign w:val="center"/>
          </w:tcPr>
          <w:p>
            <w:pPr>
              <w:pStyle w:val="13"/>
            </w:pPr>
            <w:r>
              <w:t>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3"/>
            </w:pPr>
            <w:r>
              <w:t>1.64</w:t>
            </w:r>
          </w:p>
        </w:tc>
        <w:tc>
          <w:tcPr>
            <w:tcW w:w="1361" w:type="dxa"/>
            <w:vAlign w:val="center"/>
          </w:tcPr>
          <w:p>
            <w:pPr>
              <w:pStyle w:val="13"/>
            </w:pPr>
            <w:r>
              <w:t>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7.79</w:t>
            </w:r>
          </w:p>
        </w:tc>
        <w:tc>
          <w:tcPr>
            <w:tcW w:w="1361" w:type="dxa"/>
            <w:vAlign w:val="center"/>
          </w:tcPr>
          <w:p>
            <w:pPr>
              <w:pStyle w:val="13"/>
            </w:pPr>
            <w:r>
              <w:t>7.79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7.79</w:t>
            </w:r>
          </w:p>
        </w:tc>
        <w:tc>
          <w:tcPr>
            <w:tcW w:w="1361" w:type="dxa"/>
            <w:vAlign w:val="center"/>
          </w:tcPr>
          <w:p>
            <w:pPr>
              <w:pStyle w:val="13"/>
            </w:pPr>
            <w:r>
              <w:t>7.79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7.79</w:t>
            </w:r>
          </w:p>
        </w:tc>
        <w:tc>
          <w:tcPr>
            <w:tcW w:w="1361" w:type="dxa"/>
            <w:vAlign w:val="center"/>
          </w:tcPr>
          <w:p>
            <w:pPr>
              <w:pStyle w:val="13"/>
            </w:pPr>
            <w:r>
              <w:t>7.79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118.87</w:t>
            </w:r>
          </w:p>
        </w:tc>
        <w:tc>
          <w:tcPr>
            <w:tcW w:w="3402" w:type="dxa"/>
            <w:vAlign w:val="center"/>
          </w:tcPr>
          <w:p>
            <w:pPr>
              <w:pStyle w:val="12"/>
            </w:pPr>
            <w:r>
              <w:t>一、一般公共服务支出</w:t>
            </w:r>
          </w:p>
        </w:tc>
        <w:tc>
          <w:tcPr>
            <w:tcW w:w="1474" w:type="dxa"/>
            <w:vAlign w:val="center"/>
          </w:tcPr>
          <w:p>
            <w:pPr>
              <w:pStyle w:val="13"/>
            </w:pPr>
            <w:r>
              <w:t>90.73</w:t>
            </w:r>
          </w:p>
        </w:tc>
        <w:tc>
          <w:tcPr>
            <w:tcW w:w="1474" w:type="dxa"/>
            <w:vAlign w:val="center"/>
          </w:tcPr>
          <w:p>
            <w:pPr>
              <w:pStyle w:val="13"/>
            </w:pPr>
            <w:r>
              <w:t>90.73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14.63</w:t>
            </w:r>
          </w:p>
        </w:tc>
        <w:tc>
          <w:tcPr>
            <w:tcW w:w="1474" w:type="dxa"/>
            <w:vAlign w:val="center"/>
          </w:tcPr>
          <w:p>
            <w:pPr>
              <w:pStyle w:val="13"/>
            </w:pPr>
            <w:r>
              <w:t>14.63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5.72</w:t>
            </w:r>
          </w:p>
        </w:tc>
        <w:tc>
          <w:tcPr>
            <w:tcW w:w="1474" w:type="dxa"/>
            <w:vAlign w:val="center"/>
          </w:tcPr>
          <w:p>
            <w:pPr>
              <w:pStyle w:val="13"/>
            </w:pPr>
            <w:r>
              <w:t>5.72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7.79</w:t>
            </w:r>
          </w:p>
        </w:tc>
        <w:tc>
          <w:tcPr>
            <w:tcW w:w="1474" w:type="dxa"/>
            <w:vAlign w:val="center"/>
          </w:tcPr>
          <w:p>
            <w:pPr>
              <w:pStyle w:val="13"/>
            </w:pPr>
            <w:r>
              <w:t>7.79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118.87</w:t>
            </w:r>
          </w:p>
        </w:tc>
        <w:tc>
          <w:tcPr>
            <w:tcW w:w="3402" w:type="dxa"/>
            <w:vAlign w:val="center"/>
          </w:tcPr>
          <w:p>
            <w:pPr>
              <w:pStyle w:val="14"/>
            </w:pPr>
            <w:r>
              <w:t>本年支出合计</w:t>
            </w:r>
          </w:p>
        </w:tc>
        <w:tc>
          <w:tcPr>
            <w:tcW w:w="1474" w:type="dxa"/>
            <w:vAlign w:val="center"/>
          </w:tcPr>
          <w:p>
            <w:pPr>
              <w:pStyle w:val="15"/>
            </w:pPr>
            <w:r>
              <w:t>118.87</w:t>
            </w:r>
          </w:p>
        </w:tc>
        <w:tc>
          <w:tcPr>
            <w:tcW w:w="1474" w:type="dxa"/>
            <w:vAlign w:val="center"/>
          </w:tcPr>
          <w:p>
            <w:pPr>
              <w:pStyle w:val="15"/>
            </w:pPr>
            <w:r>
              <w:t>118.87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118.87</w:t>
            </w:r>
          </w:p>
        </w:tc>
        <w:tc>
          <w:tcPr>
            <w:tcW w:w="3402" w:type="dxa"/>
            <w:vAlign w:val="center"/>
          </w:tcPr>
          <w:p>
            <w:pPr>
              <w:pStyle w:val="14"/>
            </w:pPr>
            <w:r>
              <w:t>支出总计</w:t>
            </w:r>
          </w:p>
        </w:tc>
        <w:tc>
          <w:tcPr>
            <w:tcW w:w="1474" w:type="dxa"/>
            <w:vAlign w:val="center"/>
          </w:tcPr>
          <w:p>
            <w:pPr>
              <w:pStyle w:val="15"/>
            </w:pPr>
            <w:r>
              <w:t>118.87</w:t>
            </w:r>
          </w:p>
        </w:tc>
        <w:tc>
          <w:tcPr>
            <w:tcW w:w="1474" w:type="dxa"/>
            <w:vAlign w:val="center"/>
          </w:tcPr>
          <w:p>
            <w:pPr>
              <w:pStyle w:val="15"/>
            </w:pPr>
            <w:r>
              <w:t>118.87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118.87</w:t>
            </w:r>
          </w:p>
        </w:tc>
        <w:tc>
          <w:tcPr>
            <w:tcW w:w="2551" w:type="dxa"/>
            <w:vAlign w:val="center"/>
          </w:tcPr>
          <w:p>
            <w:pPr>
              <w:pStyle w:val="15"/>
            </w:pPr>
            <w:r>
              <w:t>102.97</w:t>
            </w:r>
          </w:p>
        </w:tc>
        <w:tc>
          <w:tcPr>
            <w:tcW w:w="2551" w:type="dxa"/>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90.73</w:t>
            </w:r>
          </w:p>
        </w:tc>
        <w:tc>
          <w:tcPr>
            <w:tcW w:w="2551" w:type="dxa"/>
            <w:vAlign w:val="center"/>
          </w:tcPr>
          <w:p>
            <w:pPr>
              <w:pStyle w:val="13"/>
            </w:pPr>
            <w:r>
              <w:t>74.83</w:t>
            </w:r>
          </w:p>
        </w:tc>
        <w:tc>
          <w:tcPr>
            <w:tcW w:w="2551"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3"/>
            </w:pPr>
            <w:r>
              <w:t>90.73</w:t>
            </w:r>
          </w:p>
        </w:tc>
        <w:tc>
          <w:tcPr>
            <w:tcW w:w="2551" w:type="dxa"/>
            <w:vAlign w:val="center"/>
          </w:tcPr>
          <w:p>
            <w:pPr>
              <w:pStyle w:val="13"/>
            </w:pPr>
            <w:r>
              <w:t>74.83</w:t>
            </w:r>
          </w:p>
        </w:tc>
        <w:tc>
          <w:tcPr>
            <w:tcW w:w="2551" w:type="dxa"/>
            <w:vAlign w:val="center"/>
          </w:tcPr>
          <w:p>
            <w:pPr>
              <w:pStyle w:val="13"/>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3"/>
            </w:pPr>
            <w:r>
              <w:t>74.83</w:t>
            </w:r>
          </w:p>
        </w:tc>
        <w:tc>
          <w:tcPr>
            <w:tcW w:w="2551" w:type="dxa"/>
            <w:vAlign w:val="center"/>
          </w:tcPr>
          <w:p>
            <w:pPr>
              <w:pStyle w:val="13"/>
            </w:pPr>
            <w:r>
              <w:t>74.83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2012699</w:t>
            </w:r>
          </w:p>
        </w:tc>
        <w:tc>
          <w:tcPr>
            <w:tcW w:w="4535" w:type="dxa"/>
            <w:vAlign w:val="center"/>
          </w:tcPr>
          <w:p>
            <w:pPr>
              <w:pStyle w:val="12"/>
            </w:pPr>
            <w:r>
              <w:t>其他档案事务支出</w:t>
            </w:r>
          </w:p>
        </w:tc>
        <w:tc>
          <w:tcPr>
            <w:tcW w:w="2551" w:type="dxa"/>
            <w:vAlign w:val="center"/>
          </w:tcPr>
          <w:p>
            <w:pPr>
              <w:pStyle w:val="13"/>
            </w:pPr>
            <w:r>
              <w:t>10.90</w:t>
            </w:r>
          </w:p>
        </w:tc>
        <w:tc>
          <w:tcPr>
            <w:tcW w:w="2551" w:type="dxa"/>
            <w:vAlign w:val="center"/>
          </w:tcPr>
          <w:p>
            <w:pPr>
              <w:pStyle w:val="13"/>
            </w:pPr>
          </w:p>
        </w:tc>
        <w:tc>
          <w:tcPr>
            <w:tcW w:w="2551" w:type="dxa"/>
            <w:vAlign w:val="center"/>
          </w:tcPr>
          <w:p>
            <w:pPr>
              <w:pStyle w:val="13"/>
            </w:pPr>
            <w:r>
              <w:t>10.90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14.63</w:t>
            </w:r>
          </w:p>
        </w:tc>
        <w:tc>
          <w:tcPr>
            <w:tcW w:w="2551" w:type="dxa"/>
            <w:vAlign w:val="center"/>
          </w:tcPr>
          <w:p>
            <w:pPr>
              <w:pStyle w:val="13"/>
            </w:pPr>
            <w:r>
              <w:t>14.63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14.63</w:t>
            </w:r>
          </w:p>
        </w:tc>
        <w:tc>
          <w:tcPr>
            <w:tcW w:w="2551" w:type="dxa"/>
            <w:vAlign w:val="center"/>
          </w:tcPr>
          <w:p>
            <w:pPr>
              <w:pStyle w:val="13"/>
            </w:pPr>
            <w:r>
              <w:t>14.63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4.49</w:t>
            </w:r>
          </w:p>
        </w:tc>
        <w:tc>
          <w:tcPr>
            <w:tcW w:w="2551" w:type="dxa"/>
            <w:vAlign w:val="center"/>
          </w:tcPr>
          <w:p>
            <w:pPr>
              <w:pStyle w:val="13"/>
            </w:pPr>
            <w:r>
              <w:t>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10.14</w:t>
            </w:r>
          </w:p>
        </w:tc>
        <w:tc>
          <w:tcPr>
            <w:tcW w:w="2551" w:type="dxa"/>
            <w:vAlign w:val="center"/>
          </w:tcPr>
          <w:p>
            <w:pPr>
              <w:pStyle w:val="13"/>
            </w:pPr>
            <w:r>
              <w:t>10.14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5.72</w:t>
            </w:r>
          </w:p>
        </w:tc>
        <w:tc>
          <w:tcPr>
            <w:tcW w:w="2551" w:type="dxa"/>
            <w:vAlign w:val="center"/>
          </w:tcPr>
          <w:p>
            <w:pPr>
              <w:pStyle w:val="13"/>
            </w:pPr>
            <w:r>
              <w:t>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5.72</w:t>
            </w:r>
          </w:p>
        </w:tc>
        <w:tc>
          <w:tcPr>
            <w:tcW w:w="2551" w:type="dxa"/>
            <w:vAlign w:val="center"/>
          </w:tcPr>
          <w:p>
            <w:pPr>
              <w:pStyle w:val="13"/>
            </w:pPr>
            <w:r>
              <w:t>5.72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7.79</w:t>
            </w:r>
          </w:p>
        </w:tc>
        <w:tc>
          <w:tcPr>
            <w:tcW w:w="2551" w:type="dxa"/>
            <w:vAlign w:val="center"/>
          </w:tcPr>
          <w:p>
            <w:pPr>
              <w:pStyle w:val="13"/>
            </w:pPr>
            <w:r>
              <w:t>7.79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7.79</w:t>
            </w:r>
          </w:p>
        </w:tc>
        <w:tc>
          <w:tcPr>
            <w:tcW w:w="2551" w:type="dxa"/>
            <w:vAlign w:val="center"/>
          </w:tcPr>
          <w:p>
            <w:pPr>
              <w:pStyle w:val="13"/>
            </w:pPr>
            <w:r>
              <w:t>7.79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7.79</w:t>
            </w:r>
          </w:p>
        </w:tc>
        <w:tc>
          <w:tcPr>
            <w:tcW w:w="2551" w:type="dxa"/>
            <w:vAlign w:val="center"/>
          </w:tcPr>
          <w:p>
            <w:pPr>
              <w:pStyle w:val="13"/>
            </w:pPr>
            <w:r>
              <w:t>7.79</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102.97</w:t>
            </w:r>
          </w:p>
        </w:tc>
        <w:tc>
          <w:tcPr>
            <w:tcW w:w="2551" w:type="dxa"/>
            <w:vAlign w:val="center"/>
          </w:tcPr>
          <w:p>
            <w:pPr>
              <w:pStyle w:val="15"/>
            </w:pPr>
            <w:r>
              <w:t>98.54</w:t>
            </w:r>
          </w:p>
        </w:tc>
        <w:tc>
          <w:tcPr>
            <w:tcW w:w="2551" w:type="dxa"/>
            <w:vAlign w:val="center"/>
          </w:tcPr>
          <w:p>
            <w:pPr>
              <w:pStyle w:val="15"/>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94.28</w:t>
            </w:r>
          </w:p>
        </w:tc>
        <w:tc>
          <w:tcPr>
            <w:tcW w:w="2551" w:type="dxa"/>
            <w:vAlign w:val="center"/>
          </w:tcPr>
          <w:p>
            <w:pPr>
              <w:pStyle w:val="13"/>
            </w:pPr>
            <w:r>
              <w:t>94.28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34.39</w:t>
            </w:r>
          </w:p>
        </w:tc>
        <w:tc>
          <w:tcPr>
            <w:tcW w:w="2551" w:type="dxa"/>
            <w:vAlign w:val="center"/>
          </w:tcPr>
          <w:p>
            <w:pPr>
              <w:pStyle w:val="13"/>
            </w:pPr>
            <w:r>
              <w:t>34.39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30.52</w:t>
            </w:r>
          </w:p>
        </w:tc>
        <w:tc>
          <w:tcPr>
            <w:tcW w:w="2551" w:type="dxa"/>
            <w:vAlign w:val="center"/>
          </w:tcPr>
          <w:p>
            <w:pPr>
              <w:pStyle w:val="13"/>
            </w:pPr>
            <w:r>
              <w:t>30.52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10.14</w:t>
            </w:r>
          </w:p>
        </w:tc>
        <w:tc>
          <w:tcPr>
            <w:tcW w:w="2551" w:type="dxa"/>
            <w:vAlign w:val="center"/>
          </w:tcPr>
          <w:p>
            <w:pPr>
              <w:pStyle w:val="13"/>
            </w:pPr>
            <w:r>
              <w:t>10.14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4.08</w:t>
            </w:r>
          </w:p>
        </w:tc>
        <w:tc>
          <w:tcPr>
            <w:tcW w:w="2551" w:type="dxa"/>
            <w:vAlign w:val="center"/>
          </w:tcPr>
          <w:p>
            <w:pPr>
              <w:pStyle w:val="13"/>
            </w:pPr>
            <w:r>
              <w:t>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7.79</w:t>
            </w:r>
          </w:p>
        </w:tc>
        <w:tc>
          <w:tcPr>
            <w:tcW w:w="2551" w:type="dxa"/>
            <w:vAlign w:val="center"/>
          </w:tcPr>
          <w:p>
            <w:pPr>
              <w:pStyle w:val="13"/>
            </w:pPr>
            <w:r>
              <w:t>7.79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4.43</w:t>
            </w:r>
          </w:p>
        </w:tc>
        <w:tc>
          <w:tcPr>
            <w:tcW w:w="2551" w:type="dxa"/>
            <w:vAlign w:val="center"/>
          </w:tcPr>
          <w:p>
            <w:pPr>
              <w:pStyle w:val="13"/>
            </w:pPr>
          </w:p>
        </w:tc>
        <w:tc>
          <w:tcPr>
            <w:tcW w:w="2551" w:type="dxa"/>
            <w:vAlign w:val="center"/>
          </w:tcPr>
          <w:p>
            <w:pPr>
              <w:pStyle w:val="13"/>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3"/>
            </w:pPr>
            <w:r>
              <w:t>0.15</w:t>
            </w:r>
          </w:p>
        </w:tc>
        <w:tc>
          <w:tcPr>
            <w:tcW w:w="2551" w:type="dxa"/>
            <w:vAlign w:val="center"/>
          </w:tcPr>
          <w:p>
            <w:pPr>
              <w:pStyle w:val="13"/>
            </w:pPr>
          </w:p>
        </w:tc>
        <w:tc>
          <w:tcPr>
            <w:tcW w:w="2551"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pPr>
            <w:r>
              <w:t>1.19</w:t>
            </w:r>
          </w:p>
        </w:tc>
        <w:tc>
          <w:tcPr>
            <w:tcW w:w="2551" w:type="dxa"/>
            <w:vAlign w:val="center"/>
          </w:tcPr>
          <w:p>
            <w:pPr>
              <w:pStyle w:val="13"/>
            </w:pPr>
          </w:p>
        </w:tc>
        <w:tc>
          <w:tcPr>
            <w:tcW w:w="2551" w:type="dxa"/>
            <w:vAlign w:val="center"/>
          </w:tcPr>
          <w:p>
            <w:pPr>
              <w:pStyle w:val="13"/>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0.86</w:t>
            </w:r>
          </w:p>
        </w:tc>
        <w:tc>
          <w:tcPr>
            <w:tcW w:w="2551" w:type="dxa"/>
            <w:vAlign w:val="center"/>
          </w:tcPr>
          <w:p>
            <w:pPr>
              <w:pStyle w:val="13"/>
            </w:pPr>
          </w:p>
        </w:tc>
        <w:tc>
          <w:tcPr>
            <w:tcW w:w="2551" w:type="dxa"/>
            <w:vAlign w:val="center"/>
          </w:tcPr>
          <w:p>
            <w:pPr>
              <w:pStyle w:val="13"/>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4.26</w:t>
            </w:r>
          </w:p>
        </w:tc>
        <w:tc>
          <w:tcPr>
            <w:tcW w:w="2551" w:type="dxa"/>
            <w:vAlign w:val="center"/>
          </w:tcPr>
          <w:p>
            <w:pPr>
              <w:pStyle w:val="13"/>
            </w:pPr>
            <w: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3.98</w:t>
            </w:r>
          </w:p>
        </w:tc>
        <w:tc>
          <w:tcPr>
            <w:tcW w:w="2551" w:type="dxa"/>
            <w:vAlign w:val="center"/>
          </w:tcPr>
          <w:p>
            <w:pPr>
              <w:pStyle w:val="13"/>
            </w:pPr>
            <w:r>
              <w:t>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3"/>
            </w:pPr>
            <w:r>
              <w:t>0.25</w:t>
            </w:r>
          </w:p>
        </w:tc>
        <w:tc>
          <w:tcPr>
            <w:tcW w:w="2551" w:type="dxa"/>
            <w:vAlign w:val="center"/>
          </w:tcPr>
          <w:p>
            <w:pPr>
              <w:pStyle w:val="13"/>
            </w:pPr>
            <w:r>
              <w:t>0.25</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档案馆秦皇岛市山海关区档案馆本级2024年单位预算信息公开情况说明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》、《地方预决算公开操作规程》和《关于进一步推进预算公开工作的实施意见》规定，现将档案馆秦皇岛市山海关区档案馆本级2024年单位预算公开如下：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山海关区档案馆职责说明：</w:t>
      </w:r>
    </w:p>
    <w:p>
      <w:pPr>
        <w:pStyle w:val="17"/>
      </w:pPr>
      <w:r>
        <w:t>（一）档案收集与整理</w:t>
      </w:r>
    </w:p>
    <w:p>
      <w:pPr>
        <w:pStyle w:val="17"/>
      </w:pPr>
      <w:r>
        <w:t>绩效指标及标准：文件级目录数据完成量，为利用打好基础；档案完成百分比，档案整理、移交、接收、管理、保存的比率。</w:t>
      </w:r>
    </w:p>
    <w:p>
      <w:pPr>
        <w:pStyle w:val="17"/>
      </w:pPr>
      <w:r>
        <w:t>（二）档案保管与抢救</w:t>
      </w:r>
    </w:p>
    <w:p>
      <w:pPr>
        <w:pStyle w:val="17"/>
      </w:pPr>
      <w:r>
        <w:t>绩效指标及标准：档案设施设备完好率，建立健全人防、物防、技防三位一体的档案安全防范体系；档案资料完好率，确保受损档案得到及时抢救，能有效提供利用。</w:t>
      </w:r>
    </w:p>
    <w:p>
      <w:pPr>
        <w:pStyle w:val="17"/>
      </w:pPr>
      <w:r>
        <w:t>（三）档案征集</w:t>
      </w:r>
    </w:p>
    <w:p>
      <w:pPr>
        <w:pStyle w:val="17"/>
      </w:pPr>
      <w:r>
        <w:t>绩效指标及标准：征集档案数量（件），征集重大活动和名人档案。</w:t>
      </w:r>
    </w:p>
    <w:p>
      <w:pPr>
        <w:pStyle w:val="17"/>
      </w:pPr>
      <w:r>
        <w:t>（四）档案科研</w:t>
      </w:r>
    </w:p>
    <w:p>
      <w:pPr>
        <w:pStyle w:val="17"/>
      </w:pPr>
      <w:r>
        <w:t>绩效指标及标准：馆藏磁带和录像数字化转换率，磁带和录像档案科学管理，方便利用。</w:t>
      </w:r>
    </w:p>
    <w:p>
      <w:pPr>
        <w:pStyle w:val="17"/>
      </w:pPr>
      <w:r>
        <w:t>（五）档案数字化</w:t>
      </w:r>
    </w:p>
    <w:p>
      <w:pPr>
        <w:pStyle w:val="17"/>
      </w:pPr>
      <w:r>
        <w:t>绩效指标及标准：数字化档案数 （页），加快存量档案数字化和增量档案电子化步伐。</w:t>
      </w:r>
    </w:p>
    <w:p>
      <w:pPr>
        <w:pStyle w:val="17"/>
      </w:pPr>
      <w:r>
        <w:t>（六）档案编研</w:t>
      </w:r>
    </w:p>
    <w:p>
      <w:pPr>
        <w:pStyle w:val="17"/>
      </w:pPr>
      <w:r>
        <w:t>绩效指标及标准：档案编研完成量（万字），满足社会利用的需要，为更好的认识、研究、开发和建设山海关提供直观而翔实的资料。</w:t>
      </w:r>
    </w:p>
    <w:p>
      <w:pPr>
        <w:pStyle w:val="17"/>
      </w:pPr>
      <w:r>
        <w:t>（七）档案利用</w:t>
      </w:r>
    </w:p>
    <w:p>
      <w:pPr>
        <w:pStyle w:val="17"/>
      </w:pPr>
      <w:r>
        <w:t>绩效指标及标准：调阅档案数量（卷、件）取得经济或社会效益，紧贴区委、政府的中心工作，强化档案服务经济、政治、文化、社会、生态文明建设和党的建设的功能；发挥档案馆资政惠民作用。</w:t>
      </w:r>
    </w:p>
    <w:p>
      <w:pPr>
        <w:pStyle w:val="17"/>
      </w:pPr>
      <w:r>
        <w:t>（八）档案接收</w:t>
      </w:r>
    </w:p>
    <w:p>
      <w:pPr>
        <w:pStyle w:val="17"/>
      </w:pPr>
      <w:r>
        <w:t>绩效指标及标准：接收数量（卷、件），丰富馆藏资源，确保馆藏能够真实、系统、全面地反映本地发展进程。</w:t>
      </w:r>
    </w:p>
    <w:p>
      <w:pPr>
        <w:pStyle w:val="17"/>
      </w:pPr>
      <w:r>
        <w:t>（九）综合事务管理</w:t>
      </w:r>
    </w:p>
    <w:p>
      <w:pPr>
        <w:pStyle w:val="17"/>
      </w:pPr>
      <w:r>
        <w:t>绩效指标及标准：安全率，保障机关工作正常高效运转。</w:t>
      </w:r>
    </w:p>
    <w:p>
      <w:pPr>
        <w:pStyle w:val="17"/>
      </w:pPr>
      <w:r>
        <w:t>（十）档案指导</w:t>
      </w:r>
    </w:p>
    <w:p>
      <w:pPr>
        <w:pStyle w:val="17"/>
      </w:pPr>
      <w:r>
        <w:t>绩效指标及标准：指导单位数量(个)，全区档案规范管理，严防档案流失。</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档案馆秦皇岛市山海关区档案馆本级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按照预算管理有关规定，目前我区</w:t>
      </w:r>
      <w:r>
        <w:rPr>
          <w:rFonts w:hint="eastAsia"/>
          <w:lang w:eastAsia="zh-CN"/>
        </w:rPr>
        <w:t>单位</w:t>
      </w:r>
      <w:r>
        <w:t>预算的编制实行综合预算制度，即全部收入和支出都反映在预算中。</w:t>
      </w:r>
      <w:r>
        <w:rPr>
          <w:rFonts w:eastAsia="方正仿宋_GBK"/>
          <w:color w:val="000000"/>
          <w:sz w:val="28"/>
        </w:rPr>
        <w:t>档案馆秦皇岛市山海关区档案馆本级</w:t>
      </w:r>
      <w:r>
        <w:t>的收支包含在预算中。</w:t>
      </w:r>
    </w:p>
    <w:p>
      <w:pPr>
        <w:pStyle w:val="18"/>
      </w:pPr>
      <w:r>
        <w:t>1、收入说明</w:t>
      </w:r>
    </w:p>
    <w:p>
      <w:pPr>
        <w:pStyle w:val="18"/>
      </w:pPr>
      <w:r>
        <w:t>反映本单位当年全部收入。202</w:t>
      </w:r>
      <w:r>
        <w:rPr>
          <w:rFonts w:hint="eastAsia"/>
          <w:lang w:val="en-US" w:eastAsia="zh-CN"/>
        </w:rPr>
        <w:t>4</w:t>
      </w:r>
      <w:r>
        <w:t>年预算收入为118.87万元，其中：一般公共预算收入118.87万元，基金预算收入0</w:t>
      </w:r>
      <w:r>
        <w:rPr>
          <w:rFonts w:hint="eastAsia"/>
          <w:lang w:val="en-US" w:eastAsia="zh-CN"/>
        </w:rPr>
        <w:t>.00</w:t>
      </w:r>
      <w:r>
        <w:rPr>
          <w:rFonts w:hint="eastAsia"/>
          <w:lang w:eastAsia="zh-CN"/>
        </w:rPr>
        <w:t>万</w:t>
      </w:r>
      <w:r>
        <w:t>元，财政专户核拨收入0</w:t>
      </w:r>
      <w:r>
        <w:rPr>
          <w:rFonts w:hint="eastAsia"/>
          <w:lang w:val="en-US" w:eastAsia="zh-CN"/>
        </w:rPr>
        <w:t>.00</w:t>
      </w:r>
      <w:r>
        <w:rPr>
          <w:rFonts w:hint="eastAsia"/>
          <w:lang w:eastAsia="zh-CN"/>
        </w:rPr>
        <w:t>万</w:t>
      </w:r>
      <w:r>
        <w:t>元，其他来源收入0</w:t>
      </w:r>
      <w:r>
        <w:rPr>
          <w:rFonts w:hint="eastAsia"/>
          <w:lang w:val="en-US" w:eastAsia="zh-CN"/>
        </w:rPr>
        <w:t>.00</w:t>
      </w:r>
      <w:r>
        <w:rPr>
          <w:rFonts w:hint="eastAsia"/>
          <w:lang w:eastAsia="zh-CN"/>
        </w:rPr>
        <w:t>万</w:t>
      </w:r>
      <w:r>
        <w:t>元。</w:t>
      </w:r>
    </w:p>
    <w:p>
      <w:pPr>
        <w:pStyle w:val="18"/>
      </w:pPr>
      <w:r>
        <w:t>2、支出说明</w:t>
      </w:r>
    </w:p>
    <w:p>
      <w:pPr>
        <w:pStyle w:val="18"/>
      </w:pPr>
      <w:r>
        <w:rPr>
          <w:rFonts w:hint="eastAsia"/>
          <w:lang w:val="en-US" w:eastAsia="uk-UA"/>
        </w:rPr>
        <w:t>收支预算总表支出栏、基本支出表、项目支出表按经济分类和支出功能分类科目编制，反映</w:t>
      </w:r>
      <w:r>
        <w:rPr>
          <w:rFonts w:eastAsia="方正仿宋_GBK"/>
          <w:color w:val="000000"/>
          <w:sz w:val="28"/>
        </w:rPr>
        <w:t>档案馆秦皇岛市山海关区档案馆本级</w:t>
      </w:r>
      <w:r>
        <w:rPr>
          <w:rFonts w:hint="eastAsia"/>
          <w:lang w:val="en-US" w:eastAsia="uk-UA"/>
        </w:rPr>
        <w:t>年度</w:t>
      </w:r>
      <w:r>
        <w:rPr>
          <w:rFonts w:hint="eastAsia"/>
          <w:lang w:val="en-US" w:eastAsia="zh-CN"/>
        </w:rPr>
        <w:t>单位</w:t>
      </w:r>
      <w:r>
        <w:rPr>
          <w:rFonts w:hint="eastAsia"/>
          <w:lang w:val="en-US" w:eastAsia="uk-UA"/>
        </w:rPr>
        <w:t>预算中支出预算的总体情况</w:t>
      </w:r>
      <w:r>
        <w:rPr>
          <w:rFonts w:hint="eastAsia"/>
          <w:lang w:val="en-US" w:eastAsia="zh-CN"/>
        </w:rPr>
        <w:t>。</w:t>
      </w:r>
      <w:r>
        <w:t>202</w:t>
      </w:r>
      <w:r>
        <w:rPr>
          <w:rFonts w:hint="eastAsia"/>
          <w:lang w:val="en-US" w:eastAsia="zh-CN"/>
        </w:rPr>
        <w:t>4</w:t>
      </w:r>
      <w:r>
        <w:t>年预算支出为118.87万元，其中：基本支出102.97万元，主要是人员经费98.54万元和日常公用经费4.43万元；项目支出15.90万元，主要为人事代理专项补助</w:t>
      </w:r>
      <w:r>
        <w:rPr>
          <w:rFonts w:hint="eastAsia"/>
          <w:color w:val="auto"/>
          <w:lang w:val="en-US" w:eastAsia="zh-CN"/>
        </w:rPr>
        <w:t>10.90</w:t>
      </w:r>
      <w:r>
        <w:t>万元和日常管理维护费</w:t>
      </w:r>
      <w:r>
        <w:rPr>
          <w:rFonts w:hint="eastAsia"/>
          <w:lang w:val="en-US" w:eastAsia="zh-CN"/>
        </w:rPr>
        <w:t>5.00</w:t>
      </w:r>
      <w:r>
        <w:t>万元。</w:t>
      </w:r>
    </w:p>
    <w:p>
      <w:pPr>
        <w:pStyle w:val="18"/>
      </w:pPr>
      <w:r>
        <w:t>3、比上年增减情况</w:t>
      </w:r>
    </w:p>
    <w:p>
      <w:pPr>
        <w:pStyle w:val="23"/>
      </w:pPr>
      <w:r>
        <w:t>202</w:t>
      </w:r>
      <w:r>
        <w:rPr>
          <w:rFonts w:hint="eastAsia"/>
          <w:lang w:val="en-US" w:eastAsia="zh-CN"/>
        </w:rPr>
        <w:t>4</w:t>
      </w:r>
      <w:r>
        <w:t>年预算支出安排118.87万元，较202</w:t>
      </w:r>
      <w:r>
        <w:rPr>
          <w:rFonts w:hint="eastAsia"/>
          <w:lang w:val="en-US" w:eastAsia="zh-CN"/>
        </w:rPr>
        <w:t>3</w:t>
      </w:r>
      <w:r>
        <w:t>年预算增加13.19万元，其中</w:t>
      </w:r>
      <w:r>
        <w:rPr>
          <w:rFonts w:hint="eastAsia"/>
          <w:lang w:eastAsia="zh-CN"/>
        </w:rPr>
        <w:t>：</w:t>
      </w:r>
      <w:r>
        <w:t>基本支出增加13.29万元，主要为基本支出中工资福利支出，原因为我单位去年8月调入1人。项目支出减少0.10万元，主要为人事代理专项补助减少0.10万元。</w:t>
      </w:r>
    </w:p>
    <w:p>
      <w:pPr>
        <w:spacing w:before="10" w:after="10"/>
        <w:ind w:firstLine="640"/>
        <w:outlineLvl w:val="5"/>
      </w:pPr>
      <w:r>
        <w:rPr>
          <w:rFonts w:ascii="黑体" w:hAnsi="黑体" w:eastAsia="黑体" w:cs="黑体"/>
          <w:color w:val="000000"/>
          <w:sz w:val="32"/>
        </w:rPr>
        <w:t>三、机关运行经费安排情况</w:t>
      </w:r>
    </w:p>
    <w:p>
      <w:pPr>
        <w:pStyle w:val="19"/>
        <w:rPr>
          <w:color w:val="FF0000"/>
        </w:rPr>
      </w:pPr>
      <w:r>
        <w:rPr>
          <w:rFonts w:hint="eastAsia"/>
          <w:lang w:val="en-US" w:eastAsia="zh-CN"/>
        </w:rPr>
        <w:t>2024</w:t>
      </w:r>
      <w:r>
        <w:t>年度</w:t>
      </w:r>
      <w:r>
        <w:rPr>
          <w:color w:val="auto"/>
        </w:rPr>
        <w:t>我</w:t>
      </w:r>
      <w:r>
        <w:rPr>
          <w:rFonts w:hint="eastAsia"/>
          <w:color w:val="auto"/>
          <w:lang w:eastAsia="zh-CN"/>
        </w:rPr>
        <w:t>单位</w:t>
      </w:r>
      <w:r>
        <w:rPr>
          <w:color w:val="auto"/>
        </w:rPr>
        <w:t>机关运行经费共计安排4.43万元，主要用于办公费</w:t>
      </w:r>
      <w:r>
        <w:rPr>
          <w:rFonts w:hint="eastAsia"/>
          <w:color w:val="auto"/>
          <w:lang w:val="en-US" w:eastAsia="zh-CN"/>
        </w:rPr>
        <w:t>0.66</w:t>
      </w:r>
      <w:r>
        <w:rPr>
          <w:color w:val="auto"/>
        </w:rPr>
        <w:t>万元、邮电费0.6</w:t>
      </w:r>
      <w:r>
        <w:rPr>
          <w:rFonts w:hint="eastAsia"/>
          <w:color w:val="auto"/>
          <w:lang w:val="en-US" w:eastAsia="zh-CN"/>
        </w:rPr>
        <w:t>7</w:t>
      </w:r>
      <w:r>
        <w:rPr>
          <w:color w:val="auto"/>
        </w:rPr>
        <w:t>万元、差旅费0.</w:t>
      </w:r>
      <w:r>
        <w:rPr>
          <w:rFonts w:hint="eastAsia"/>
          <w:color w:val="auto"/>
          <w:lang w:val="en-US" w:eastAsia="zh-CN"/>
        </w:rPr>
        <w:t>30</w:t>
      </w:r>
      <w:r>
        <w:rPr>
          <w:color w:val="auto"/>
        </w:rPr>
        <w:t>万元、</w:t>
      </w:r>
      <w:r>
        <w:rPr>
          <w:rFonts w:hint="eastAsia"/>
          <w:color w:val="auto"/>
          <w:lang w:eastAsia="zh-CN"/>
        </w:rPr>
        <w:t>离退休干部经费</w:t>
      </w:r>
      <w:r>
        <w:rPr>
          <w:rFonts w:hint="eastAsia"/>
          <w:color w:val="auto"/>
          <w:lang w:val="en-US" w:eastAsia="zh-CN"/>
        </w:rPr>
        <w:t>0.50万元、</w:t>
      </w:r>
      <w:r>
        <w:rPr>
          <w:color w:val="auto"/>
        </w:rPr>
        <w:t>工会经费</w:t>
      </w:r>
      <w:r>
        <w:rPr>
          <w:rFonts w:hint="eastAsia"/>
          <w:color w:val="auto"/>
          <w:lang w:val="en-US" w:eastAsia="zh-CN"/>
        </w:rPr>
        <w:t>1.19</w:t>
      </w:r>
      <w:r>
        <w:rPr>
          <w:color w:val="auto"/>
        </w:rPr>
        <w:t>万元、福利费</w:t>
      </w:r>
      <w:r>
        <w:rPr>
          <w:rFonts w:hint="eastAsia"/>
          <w:color w:val="auto"/>
          <w:lang w:val="en-US" w:eastAsia="zh-CN"/>
        </w:rPr>
        <w:t>0.86</w:t>
      </w:r>
      <w:r>
        <w:rPr>
          <w:color w:val="auto"/>
        </w:rPr>
        <w:t>万元、党建工作经费0.0</w:t>
      </w:r>
      <w:r>
        <w:rPr>
          <w:rFonts w:hint="eastAsia"/>
          <w:color w:val="auto"/>
          <w:lang w:val="en-US" w:eastAsia="zh-CN"/>
        </w:rPr>
        <w:t>6</w:t>
      </w:r>
      <w:r>
        <w:rPr>
          <w:color w:val="auto"/>
        </w:rPr>
        <w:t>万元、网络运行维护费0.15万元、不可预见费0.0</w:t>
      </w:r>
      <w:r>
        <w:rPr>
          <w:rFonts w:hint="eastAsia"/>
          <w:color w:val="auto"/>
          <w:lang w:val="en-US" w:eastAsia="zh-CN"/>
        </w:rPr>
        <w:t>4</w:t>
      </w:r>
      <w:r>
        <w:rPr>
          <w:color w:val="auto"/>
        </w:rPr>
        <w:t>万元</w:t>
      </w:r>
      <w:r>
        <w:rPr>
          <w:rFonts w:hint="eastAsia"/>
          <w:color w:val="auto"/>
          <w:lang w:eastAsia="zh-CN"/>
        </w:rPr>
        <w:t>等日常运行支出</w:t>
      </w:r>
      <w:r>
        <w:rPr>
          <w:color w:val="auto"/>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4"/>
      </w:pPr>
      <w:r>
        <w:t>2024年，我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上年持平，无增减变化。</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1、日常管理维护费绩效目标表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13030324P004633100026</w:t>
            </w:r>
          </w:p>
        </w:tc>
        <w:tc>
          <w:tcPr>
            <w:tcW w:w="2835" w:type="dxa"/>
            <w:vAlign w:val="center"/>
          </w:tcPr>
          <w:p>
            <w:pPr>
              <w:pStyle w:val="10"/>
            </w:pPr>
            <w:r>
              <w:t>项目名称</w:t>
            </w:r>
          </w:p>
        </w:tc>
        <w:tc>
          <w:tcPr>
            <w:tcW w:w="6094" w:type="dxa"/>
            <w:gridSpan w:val="3"/>
            <w:vAlign w:val="center"/>
          </w:tcPr>
          <w:p>
            <w:pPr>
              <w:pStyle w:val="12"/>
            </w:pPr>
            <w:r>
              <w:t>日常管理维护费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为档案管理工作顺利开展提供保障、保证按时完成年度工作计划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1.25</w:t>
            </w:r>
          </w:p>
        </w:tc>
        <w:tc>
          <w:tcPr>
            <w:tcW w:w="2835" w:type="dxa"/>
            <w:vAlign w:val="center"/>
          </w:tcPr>
          <w:p>
            <w:pPr>
              <w:pStyle w:val="11"/>
            </w:pPr>
            <w:r>
              <w:t>2.50</w:t>
            </w:r>
          </w:p>
        </w:tc>
        <w:tc>
          <w:tcPr>
            <w:tcW w:w="2551" w:type="dxa"/>
            <w:vAlign w:val="center"/>
          </w:tcPr>
          <w:p>
            <w:pPr>
              <w:pStyle w:val="11"/>
            </w:pPr>
            <w:r>
              <w:t>3.75</w:t>
            </w:r>
          </w:p>
        </w:tc>
        <w:tc>
          <w:tcPr>
            <w:tcW w:w="3543" w:type="dxa"/>
            <w:gridSpan w:val="2"/>
            <w:vAlign w:val="center"/>
          </w:tcPr>
          <w:p>
            <w:pPr>
              <w:pStyle w:val="11"/>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1.为档案管理工作顺利开展提供保障、保证按时完成年度工作计划</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馆藏档案数量</w:t>
            </w:r>
          </w:p>
        </w:tc>
        <w:tc>
          <w:tcPr>
            <w:tcW w:w="5386" w:type="dxa"/>
            <w:vAlign w:val="center"/>
          </w:tcPr>
          <w:p>
            <w:pPr>
              <w:pStyle w:val="12"/>
            </w:pPr>
            <w:r>
              <w:t>每卷档案维护费</w:t>
            </w:r>
          </w:p>
        </w:tc>
        <w:tc>
          <w:tcPr>
            <w:tcW w:w="2268" w:type="dxa"/>
            <w:vAlign w:val="center"/>
          </w:tcPr>
          <w:p>
            <w:pPr>
              <w:pStyle w:val="12"/>
            </w:pPr>
            <w:r>
              <w:t>≥2元</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任务完成率</w:t>
            </w:r>
          </w:p>
        </w:tc>
        <w:tc>
          <w:tcPr>
            <w:tcW w:w="5386" w:type="dxa"/>
            <w:vAlign w:val="center"/>
          </w:tcPr>
          <w:p>
            <w:pPr>
              <w:pStyle w:val="12"/>
            </w:pPr>
            <w:r>
              <w:t>任务完成率</w:t>
            </w:r>
          </w:p>
        </w:tc>
        <w:tc>
          <w:tcPr>
            <w:tcW w:w="2268" w:type="dxa"/>
            <w:vAlign w:val="center"/>
          </w:tcPr>
          <w:p>
            <w:pPr>
              <w:pStyle w:val="12"/>
            </w:pPr>
            <w:r>
              <w:t>100%</w:t>
            </w:r>
          </w:p>
        </w:tc>
        <w:tc>
          <w:tcPr>
            <w:tcW w:w="1276" w:type="dxa"/>
            <w:vAlign w:val="center"/>
          </w:tcPr>
          <w:p>
            <w:pPr>
              <w:pStyle w:val="12"/>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完成档案查询、装具购买</w:t>
            </w:r>
          </w:p>
        </w:tc>
        <w:tc>
          <w:tcPr>
            <w:tcW w:w="2268" w:type="dxa"/>
            <w:vAlign w:val="center"/>
          </w:tcPr>
          <w:p>
            <w:pPr>
              <w:pStyle w:val="12"/>
            </w:pPr>
            <w:r>
              <w:t>100%</w:t>
            </w:r>
          </w:p>
        </w:tc>
        <w:tc>
          <w:tcPr>
            <w:tcW w:w="1276" w:type="dxa"/>
            <w:vAlign w:val="center"/>
          </w:tcPr>
          <w:p>
            <w:pPr>
              <w:pStyle w:val="12"/>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档案收集、保管</w:t>
            </w:r>
          </w:p>
        </w:tc>
        <w:tc>
          <w:tcPr>
            <w:tcW w:w="5386" w:type="dxa"/>
            <w:vAlign w:val="center"/>
          </w:tcPr>
          <w:p>
            <w:pPr>
              <w:pStyle w:val="12"/>
            </w:pPr>
            <w:r>
              <w:t>控制项目预算数</w:t>
            </w:r>
          </w:p>
        </w:tc>
        <w:tc>
          <w:tcPr>
            <w:tcW w:w="2268" w:type="dxa"/>
            <w:vAlign w:val="center"/>
          </w:tcPr>
          <w:p>
            <w:pPr>
              <w:pStyle w:val="12"/>
            </w:pPr>
            <w:r>
              <w:t>≤5万元</w:t>
            </w:r>
          </w:p>
        </w:tc>
        <w:tc>
          <w:tcPr>
            <w:tcW w:w="1276"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保障档案工作顺利开展</w:t>
            </w:r>
          </w:p>
        </w:tc>
        <w:tc>
          <w:tcPr>
            <w:tcW w:w="5386" w:type="dxa"/>
            <w:vAlign w:val="center"/>
          </w:tcPr>
          <w:p>
            <w:pPr>
              <w:pStyle w:val="12"/>
            </w:pPr>
            <w:r>
              <w:t>积极推动档案工作，圆满完成年度任务</w:t>
            </w:r>
          </w:p>
        </w:tc>
        <w:tc>
          <w:tcPr>
            <w:tcW w:w="2268" w:type="dxa"/>
            <w:vAlign w:val="center"/>
          </w:tcPr>
          <w:p>
            <w:pPr>
              <w:pStyle w:val="12"/>
            </w:pPr>
            <w:r>
              <w:t>进一步提供保障</w:t>
            </w:r>
          </w:p>
        </w:tc>
        <w:tc>
          <w:tcPr>
            <w:tcW w:w="1276" w:type="dxa"/>
            <w:vAlign w:val="center"/>
          </w:tcPr>
          <w:p>
            <w:pPr>
              <w:pStyle w:val="12"/>
            </w:pPr>
            <w:r>
              <w:t>2024年年初工作谋划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达到群众满意度</w:t>
            </w:r>
          </w:p>
        </w:tc>
        <w:tc>
          <w:tcPr>
            <w:tcW w:w="2268" w:type="dxa"/>
            <w:vAlign w:val="center"/>
          </w:tcPr>
          <w:p>
            <w:pPr>
              <w:pStyle w:val="12"/>
            </w:pPr>
            <w:r>
              <w:t>≥95%</w:t>
            </w:r>
          </w:p>
        </w:tc>
        <w:tc>
          <w:tcPr>
            <w:tcW w:w="1276" w:type="dxa"/>
            <w:vAlign w:val="center"/>
          </w:tcPr>
          <w:p>
            <w:pPr>
              <w:pStyle w:val="12"/>
            </w:pPr>
            <w:r>
              <w:t>年度工作总结</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2、人事代理专项补助绩效目标表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13030324P003975101128</w:t>
            </w:r>
          </w:p>
        </w:tc>
        <w:tc>
          <w:tcPr>
            <w:tcW w:w="2835" w:type="dxa"/>
            <w:vAlign w:val="center"/>
          </w:tcPr>
          <w:p>
            <w:pPr>
              <w:pStyle w:val="10"/>
            </w:pPr>
            <w:r>
              <w:t>项目名称</w:t>
            </w:r>
          </w:p>
        </w:tc>
        <w:tc>
          <w:tcPr>
            <w:tcW w:w="6094" w:type="dxa"/>
            <w:gridSpan w:val="3"/>
            <w:vAlign w:val="center"/>
          </w:tcPr>
          <w:p>
            <w:pPr>
              <w:pStyle w:val="12"/>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10.90</w:t>
            </w:r>
          </w:p>
        </w:tc>
        <w:tc>
          <w:tcPr>
            <w:tcW w:w="2835" w:type="dxa"/>
            <w:vAlign w:val="center"/>
          </w:tcPr>
          <w:p>
            <w:pPr>
              <w:pStyle w:val="10"/>
            </w:pPr>
            <w:r>
              <w:t>其中：财政    资金</w:t>
            </w:r>
          </w:p>
        </w:tc>
        <w:tc>
          <w:tcPr>
            <w:tcW w:w="2551" w:type="dxa"/>
            <w:vAlign w:val="center"/>
          </w:tcPr>
          <w:p>
            <w:pPr>
              <w:pStyle w:val="12"/>
            </w:pPr>
            <w:r>
              <w:t>10.90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保障本单位1名人事代理工资保险及时拨付，保障单位正常运作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2.63</w:t>
            </w:r>
          </w:p>
        </w:tc>
        <w:tc>
          <w:tcPr>
            <w:tcW w:w="2835" w:type="dxa"/>
            <w:vAlign w:val="center"/>
          </w:tcPr>
          <w:p>
            <w:pPr>
              <w:pStyle w:val="11"/>
            </w:pPr>
            <w:r>
              <w:t>5.25</w:t>
            </w:r>
          </w:p>
        </w:tc>
        <w:tc>
          <w:tcPr>
            <w:tcW w:w="2551" w:type="dxa"/>
            <w:vAlign w:val="center"/>
          </w:tcPr>
          <w:p>
            <w:pPr>
              <w:pStyle w:val="11"/>
            </w:pPr>
            <w:r>
              <w:t>7.88</w:t>
            </w:r>
          </w:p>
        </w:tc>
        <w:tc>
          <w:tcPr>
            <w:tcW w:w="3543" w:type="dxa"/>
            <w:gridSpan w:val="2"/>
            <w:vAlign w:val="center"/>
          </w:tcPr>
          <w:p>
            <w:pPr>
              <w:pStyle w:val="11"/>
            </w:pPr>
            <w:r>
              <w:t>10.50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1.保障本单位1名人事代理工资保险及时拨付</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人事代理人员数量</w:t>
            </w:r>
          </w:p>
        </w:tc>
        <w:tc>
          <w:tcPr>
            <w:tcW w:w="5386" w:type="dxa"/>
            <w:vAlign w:val="center"/>
          </w:tcPr>
          <w:p>
            <w:pPr>
              <w:pStyle w:val="12"/>
            </w:pPr>
            <w:r>
              <w:t>单位实际人事代理人员数量</w:t>
            </w:r>
          </w:p>
        </w:tc>
        <w:tc>
          <w:tcPr>
            <w:tcW w:w="2268" w:type="dxa"/>
            <w:vAlign w:val="center"/>
          </w:tcPr>
          <w:p>
            <w:pPr>
              <w:pStyle w:val="12"/>
            </w:pPr>
            <w:r>
              <w:t>1人</w:t>
            </w:r>
          </w:p>
        </w:tc>
        <w:tc>
          <w:tcPr>
            <w:tcW w:w="1276" w:type="dxa"/>
            <w:vAlign w:val="center"/>
          </w:tcPr>
          <w:p>
            <w:pPr>
              <w:pStyle w:val="12"/>
            </w:pPr>
            <w:r>
              <w:t>单位实有人事代理人员数量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人事代理专项补助支付及时率</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不超预算</w:t>
            </w:r>
          </w:p>
        </w:tc>
        <w:tc>
          <w:tcPr>
            <w:tcW w:w="1276" w:type="dxa"/>
            <w:vAlign w:val="center"/>
          </w:tcPr>
          <w:p>
            <w:pPr>
              <w:pStyle w:val="12"/>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保障档案工作顺利开展</w:t>
            </w:r>
          </w:p>
        </w:tc>
        <w:tc>
          <w:tcPr>
            <w:tcW w:w="5386" w:type="dxa"/>
            <w:vAlign w:val="center"/>
          </w:tcPr>
          <w:p>
            <w:pPr>
              <w:pStyle w:val="12"/>
            </w:pPr>
            <w:r>
              <w:t>积极推动档案工作，及时完成年度工作任务</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100%</w:t>
            </w:r>
          </w:p>
        </w:tc>
        <w:tc>
          <w:tcPr>
            <w:tcW w:w="1276" w:type="dxa"/>
            <w:vAlign w:val="center"/>
          </w:tcPr>
          <w:p>
            <w:pPr>
              <w:pStyle w:val="12"/>
            </w:pPr>
            <w:r>
              <w:t>年度工作总结</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档案馆秦皇岛市山海关区档案馆本级小计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0.15</w:t>
            </w:r>
          </w:p>
        </w:tc>
        <w:tc>
          <w:tcPr>
            <w:tcW w:w="964" w:type="dxa"/>
            <w:vAlign w:val="center"/>
          </w:tcPr>
          <w:p>
            <w:pPr>
              <w:pStyle w:val="15"/>
            </w:pPr>
            <w:r>
              <w:t>0.15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2024年运转类公用经费项目（一）</w:t>
            </w:r>
          </w:p>
        </w:tc>
        <w:tc>
          <w:tcPr>
            <w:tcW w:w="964" w:type="dxa"/>
            <w:vAlign w:val="center"/>
          </w:tcPr>
          <w:p>
            <w:pPr>
              <w:pStyle w:val="13"/>
            </w:pPr>
            <w:r>
              <w:t>4.43</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1"/>
            </w:pPr>
            <w:r>
              <w:t>次</w:t>
            </w:r>
          </w:p>
        </w:tc>
        <w:tc>
          <w:tcPr>
            <w:tcW w:w="850" w:type="dxa"/>
            <w:vAlign w:val="center"/>
          </w:tcPr>
          <w:p>
            <w:pPr>
              <w:pStyle w:val="13"/>
            </w:pPr>
            <w:r>
              <w:t>1</w:t>
            </w:r>
          </w:p>
        </w:tc>
        <w:tc>
          <w:tcPr>
            <w:tcW w:w="850" w:type="dxa"/>
            <w:vAlign w:val="center"/>
          </w:tcPr>
          <w:p>
            <w:pPr>
              <w:pStyle w:val="13"/>
            </w:pPr>
            <w:r>
              <w:t>0.15</w:t>
            </w:r>
          </w:p>
        </w:tc>
        <w:tc>
          <w:tcPr>
            <w:tcW w:w="964" w:type="dxa"/>
            <w:vAlign w:val="center"/>
          </w:tcPr>
          <w:p>
            <w:pPr>
              <w:pStyle w:val="13"/>
            </w:pPr>
            <w:r>
              <w:t>0.15</w:t>
            </w:r>
          </w:p>
        </w:tc>
        <w:tc>
          <w:tcPr>
            <w:tcW w:w="964" w:type="dxa"/>
            <w:vAlign w:val="center"/>
          </w:tcPr>
          <w:p>
            <w:pPr>
              <w:pStyle w:val="13"/>
            </w:pPr>
            <w: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档案馆秦皇岛市山海关区档案馆本级上年末固定资产金额为</w:t>
      </w:r>
      <w:r>
        <w:rPr>
          <w:rFonts w:hint="eastAsia" w:eastAsia="方正仿宋_GBK"/>
          <w:color w:val="000000"/>
          <w:sz w:val="28"/>
          <w:lang w:val="en-US" w:eastAsia="zh-CN"/>
        </w:rPr>
        <w:t>56.47</w:t>
      </w:r>
      <w:r>
        <w:rPr>
          <w:rFonts w:eastAsia="方正仿宋_GBK"/>
          <w:color w:val="000000"/>
          <w:sz w:val="28"/>
        </w:rPr>
        <w:t>万元（详见下表）。</w:t>
      </w:r>
      <w:r>
        <w:rPr>
          <w:rFonts w:hint="eastAsia" w:ascii="Times New Roman" w:hAnsi="Times New Roman" w:eastAsia="方正仿宋_GBK" w:cs="Times New Roman"/>
          <w:sz w:val="28"/>
          <w:szCs w:val="24"/>
          <w:lang w:val="en-US" w:eastAsia="uk-UA" w:bidi="ar-SA"/>
        </w:rPr>
        <w:t>本年度无新增固定资产预算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241001档案馆秦皇岛市山海关区档案馆本级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kern w:val="2"/>
                <w:sz w:val="21"/>
                <w:szCs w:val="24"/>
                <w:lang w:val="en-US" w:eastAsia="zh-CN" w:bidi="ar-SA"/>
              </w:rPr>
            </w:pPr>
            <w:r>
              <w:t>资产总额</w:t>
            </w:r>
          </w:p>
        </w:tc>
        <w:tc>
          <w:tcPr>
            <w:tcW w:w="2835" w:type="dxa"/>
            <w:vAlign w:val="center"/>
          </w:tcPr>
          <w:p>
            <w:pPr>
              <w:pStyle w:val="11"/>
              <w:rPr>
                <w:rFonts w:hint="eastAsia"/>
                <w:lang w:val="en-US" w:eastAsia="zh-CN"/>
              </w:rPr>
            </w:pPr>
          </w:p>
        </w:tc>
        <w:tc>
          <w:tcPr>
            <w:tcW w:w="2835"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kern w:val="2"/>
                <w:sz w:val="21"/>
                <w:szCs w:val="24"/>
                <w:lang w:val="en-US" w:eastAsia="zh-CN" w:bidi="ar-SA"/>
              </w:rPr>
            </w:pPr>
            <w:r>
              <w:t>1、房屋（平方米）</w:t>
            </w:r>
          </w:p>
        </w:tc>
        <w:tc>
          <w:tcPr>
            <w:tcW w:w="2835" w:type="dxa"/>
            <w:vAlign w:val="center"/>
          </w:tcPr>
          <w:p>
            <w:pPr>
              <w:pStyle w:val="11"/>
              <w:rPr>
                <w:rFonts w:hint="eastAsia"/>
                <w:lang w:val="en-US" w:eastAsia="zh-CN"/>
              </w:rPr>
            </w:pPr>
          </w:p>
        </w:tc>
        <w:tc>
          <w:tcPr>
            <w:tcW w:w="2835"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kern w:val="2"/>
                <w:sz w:val="21"/>
                <w:szCs w:val="24"/>
                <w:lang w:val="en-US" w:eastAsia="zh-CN" w:bidi="ar-SA"/>
              </w:rPr>
            </w:pPr>
            <w:r>
              <w:t>　　其中：办公用房（平方米）</w:t>
            </w:r>
          </w:p>
        </w:tc>
        <w:tc>
          <w:tcPr>
            <w:tcW w:w="2835" w:type="dxa"/>
            <w:vAlign w:val="center"/>
          </w:tcPr>
          <w:p>
            <w:pPr>
              <w:pStyle w:val="11"/>
              <w:rPr>
                <w:rFonts w:hint="eastAsia"/>
                <w:lang w:val="en-US" w:eastAsia="zh-CN"/>
              </w:rPr>
            </w:pPr>
          </w:p>
        </w:tc>
        <w:tc>
          <w:tcPr>
            <w:tcW w:w="2835"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kern w:val="2"/>
                <w:sz w:val="21"/>
                <w:szCs w:val="24"/>
                <w:lang w:val="en-US" w:eastAsia="zh-CN" w:bidi="ar-SA"/>
              </w:rPr>
            </w:pPr>
            <w:r>
              <w:t>2、车辆（台、辆）</w:t>
            </w:r>
          </w:p>
        </w:tc>
        <w:tc>
          <w:tcPr>
            <w:tcW w:w="2835" w:type="dxa"/>
            <w:vAlign w:val="center"/>
          </w:tcPr>
          <w:p>
            <w:pPr>
              <w:pStyle w:val="11"/>
              <w:rPr>
                <w:rFonts w:hint="eastAsia"/>
                <w:lang w:val="en-US" w:eastAsia="zh-CN"/>
              </w:rPr>
            </w:pPr>
          </w:p>
        </w:tc>
        <w:tc>
          <w:tcPr>
            <w:tcW w:w="2835"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方正书宋_GBK" w:hAnsi="方正书宋_GBK" w:eastAsia="方正书宋_GBK" w:cs="方正书宋_GBK"/>
                <w:kern w:val="2"/>
                <w:sz w:val="21"/>
                <w:szCs w:val="24"/>
                <w:lang w:val="en-US" w:eastAsia="zh-CN" w:bidi="ar-SA"/>
              </w:rPr>
            </w:pPr>
            <w:r>
              <w:t>3、单价在20万元以上的设备</w:t>
            </w:r>
          </w:p>
        </w:tc>
        <w:tc>
          <w:tcPr>
            <w:tcW w:w="2835" w:type="dxa"/>
            <w:vAlign w:val="center"/>
          </w:tcPr>
          <w:p>
            <w:pPr>
              <w:pStyle w:val="11"/>
              <w:rPr>
                <w:rFonts w:hint="eastAsia"/>
                <w:lang w:val="en-US" w:eastAsia="zh-CN"/>
              </w:rPr>
            </w:pPr>
          </w:p>
        </w:tc>
        <w:tc>
          <w:tcPr>
            <w:tcW w:w="2835"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eastAsia="zh-CN"/>
              </w:rPr>
            </w:pPr>
            <w:r>
              <w:rPr>
                <w:rFonts w:hint="eastAsia"/>
                <w:lang w:val="en-US" w:eastAsia="zh-CN"/>
              </w:rPr>
              <w:t>4、</w:t>
            </w:r>
            <w:r>
              <w:rPr>
                <w:rFonts w:hint="eastAsia"/>
                <w:lang w:eastAsia="zh-CN"/>
              </w:rPr>
              <w:t>其他固定资产</w:t>
            </w:r>
          </w:p>
        </w:tc>
        <w:tc>
          <w:tcPr>
            <w:tcW w:w="2835" w:type="dxa"/>
            <w:vAlign w:val="center"/>
          </w:tcPr>
          <w:p>
            <w:pPr>
              <w:pStyle w:val="11"/>
              <w:rPr>
                <w:rFonts w:hint="default" w:eastAsia="方正书宋_GBK"/>
                <w:lang w:val="en-US" w:eastAsia="zh-CN"/>
              </w:rPr>
            </w:pPr>
            <w:r>
              <w:rPr>
                <w:rFonts w:hint="eastAsia"/>
                <w:lang w:val="en-US" w:eastAsia="zh-CN"/>
              </w:rPr>
              <w:t>80</w:t>
            </w:r>
          </w:p>
        </w:tc>
        <w:tc>
          <w:tcPr>
            <w:tcW w:w="2835" w:type="dxa"/>
            <w:vAlign w:val="center"/>
          </w:tcPr>
          <w:p>
            <w:pPr>
              <w:pStyle w:val="13"/>
              <w:rPr>
                <w:rFonts w:hint="default" w:eastAsia="方正书宋_GBK"/>
                <w:lang w:val="en-US" w:eastAsia="zh-CN"/>
              </w:rPr>
            </w:pPr>
            <w:r>
              <w:rPr>
                <w:rFonts w:hint="eastAsia"/>
                <w:lang w:val="en-US" w:eastAsia="zh-CN"/>
              </w:rPr>
              <w:t>56.47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B389E"/>
    <w:rsid w:val="03D67748"/>
    <w:rsid w:val="04DC429E"/>
    <w:rsid w:val="04DF1C65"/>
    <w:rsid w:val="1D31597E"/>
    <w:rsid w:val="1E7C6BB7"/>
    <w:rsid w:val="233146DC"/>
    <w:rsid w:val="30652DE8"/>
    <w:rsid w:val="31BA6186"/>
    <w:rsid w:val="4FFB389E"/>
    <w:rsid w:val="5F2D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1"/>
    <w:basedOn w:val="1"/>
    <w:qFormat/>
    <w:uiPriority w:val="0"/>
    <w:pPr>
      <w:spacing w:before="120"/>
      <w:ind w:firstLine="560"/>
    </w:pPr>
    <w:rPr>
      <w:rFonts w:eastAsia="方正仿宋_GBK"/>
      <w:color w:val="000000"/>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6065</Words>
  <Characters>7558</Characters>
  <Lines>0</Lines>
  <Paragraphs>0</Paragraphs>
  <TotalTime>3</TotalTime>
  <ScaleCrop>false</ScaleCrop>
  <LinksUpToDate>false</LinksUpToDate>
  <CharactersWithSpaces>7694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2024-03-12T02:59:00Z</dcterms:created>
  <dc:creator>Administrator</dc:creator>
  <cp:lastModifiedBy>Administrator</cp:lastModifiedBy>
  <dcterms:modified xsi:type="dcterms:W3CDTF">2024-04-15T02:54:10Z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