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outlineLvl w:val="0"/>
        <w:rPr>
          <w:sz w:val="44"/>
          <w:szCs w:val="44"/>
        </w:rPr>
      </w:pPr>
      <w:r>
        <w:rPr>
          <w:rFonts w:hint="eastAsia" w:ascii="黑体" w:hAnsi="黑体" w:eastAsia="黑体" w:cs="黑体"/>
          <w:b/>
          <w:color w:val="000000"/>
          <w:sz w:val="44"/>
          <w:szCs w:val="44"/>
        </w:rPr>
        <w:t>山海关区古城街道办事处</w:t>
      </w:r>
      <w:r>
        <w:rPr>
          <w:rFonts w:ascii="黑体" w:hAnsi="黑体" w:eastAsia="黑体" w:cs="黑体"/>
          <w:b/>
          <w:color w:val="000000"/>
          <w:sz w:val="44"/>
          <w:szCs w:val="44"/>
        </w:rPr>
        <w:t>2022年</w:t>
      </w:r>
      <w:r>
        <w:rPr>
          <w:rFonts w:hint="eastAsia" w:ascii="黑体" w:hAnsi="黑体" w:eastAsia="黑体" w:cs="黑体"/>
          <w:b/>
          <w:color w:val="000000"/>
          <w:sz w:val="44"/>
          <w:szCs w:val="44"/>
        </w:rPr>
        <w:t>单位</w:t>
      </w:r>
      <w:r>
        <w:rPr>
          <w:rFonts w:ascii="黑体" w:hAnsi="黑体" w:eastAsia="黑体" w:cs="黑体"/>
          <w:b/>
          <w:color w:val="000000"/>
          <w:sz w:val="44"/>
          <w:szCs w:val="44"/>
        </w:rPr>
        <w:t>预算信息公开</w:t>
      </w:r>
    </w:p>
    <w:p>
      <w:pPr>
        <w:spacing w:line="580" w:lineRule="exact"/>
        <w:jc w:val="left"/>
        <w:rPr>
          <w:rFonts w:ascii="黑体" w:hAnsi="黑体" w:eastAsia="黑体" w:cs="黑体"/>
          <w:color w:val="000000"/>
          <w:sz w:val="36"/>
          <w:szCs w:val="36"/>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一、2022年单位预算公开表格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（二）单位预算收入总表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（三）单位预算支出总表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（四）单位预算财政拨款收支总表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（五）单位预算一般公共预算财政拨款支出表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（六）单位预算一般公共预算财政拨款基本支出表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（七）单位预算政府基金预算财政拨款支出表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（八）单位预算国有资本经营预算财政拨款支出表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（九）单位预算财政拨款“三公”经费支出表</w:t>
      </w:r>
    </w:p>
    <w:p>
      <w:pPr>
        <w:spacing w:line="580" w:lineRule="exact"/>
        <w:jc w:val="left"/>
        <w:rPr>
          <w:rFonts w:hint="eastAsia" w:ascii="仿宋_GB2312" w:hAnsi="黑体" w:eastAsia="仿宋_GB2312" w:cs="黑体"/>
          <w:b/>
          <w:color w:val="000000"/>
          <w:sz w:val="32"/>
        </w:rPr>
      </w:pPr>
    </w:p>
    <w:p>
      <w:pPr>
        <w:spacing w:line="580" w:lineRule="exact"/>
        <w:jc w:val="left"/>
        <w:rPr>
          <w:rFonts w:hint="eastAsia" w:ascii="仿宋_GB2312" w:hAnsi="黑体" w:eastAsia="仿宋_GB2312" w:cs="黑体"/>
          <w:b/>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二、2022年单位预算公开说明</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（二）单位预算安排的总体情况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（五）预算绩效信息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（八）名词解释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（九）其他需要说明的事项</w:t>
      </w:r>
    </w:p>
    <w:p>
      <w:pPr>
        <w:spacing w:line="580" w:lineRule="exact"/>
        <w:jc w:val="center"/>
        <w:rPr>
          <w:rFonts w:ascii="仿宋_GB2312" w:hAnsi="黑体" w:eastAsia="仿宋_GB2312" w:cs="黑体"/>
          <w:b/>
          <w:color w:val="000000"/>
          <w:sz w:val="36"/>
          <w:szCs w:val="36"/>
        </w:rPr>
      </w:pPr>
    </w:p>
    <w:p>
      <w:pPr>
        <w:spacing w:line="580" w:lineRule="exact"/>
        <w:rPr>
          <w:rFonts w:ascii="仿宋_GB2312" w:hAnsi="黑体" w:eastAsia="仿宋_GB2312" w:cs="黑体"/>
          <w:b/>
          <w:color w:val="000000"/>
          <w:sz w:val="32"/>
        </w:rPr>
      </w:pPr>
      <w:r>
        <w:rPr>
          <w:rFonts w:hint="eastAsia" w:ascii="仿宋_GB2312" w:hAnsi="黑体" w:eastAsia="仿宋_GB2312" w:cs="黑体"/>
          <w:b/>
          <w:color w:val="000000"/>
          <w:sz w:val="32"/>
        </w:rPr>
        <w:t>三、2022年</w:t>
      </w:r>
      <w:r>
        <w:rPr>
          <w:rFonts w:hint="eastAsia" w:ascii="仿宋_GB2312" w:hAnsi="黑体" w:eastAsia="仿宋_GB2312" w:cs="黑体"/>
          <w:b/>
          <w:color w:val="000000"/>
          <w:sz w:val="32"/>
          <w:lang w:eastAsia="zh-CN"/>
        </w:rPr>
        <w:t>单位</w:t>
      </w:r>
      <w:r>
        <w:rPr>
          <w:rFonts w:hint="eastAsia" w:ascii="仿宋_GB2312" w:hAnsi="黑体" w:eastAsia="仿宋_GB2312" w:cs="黑体"/>
          <w:b/>
          <w:color w:val="000000"/>
          <w:sz w:val="32"/>
        </w:rPr>
        <w:t>预算绩效文本</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（一）</w:t>
      </w:r>
      <w:r>
        <w:rPr>
          <w:rFonts w:hint="eastAsia" w:ascii="仿宋_GB2312" w:hAnsi="黑体" w:eastAsia="仿宋_GB2312"/>
          <w:color w:val="000000"/>
          <w:sz w:val="32"/>
          <w:lang w:eastAsia="zh-CN"/>
        </w:rPr>
        <w:t>单位</w:t>
      </w:r>
      <w:r>
        <w:rPr>
          <w:rFonts w:hint="eastAsia" w:ascii="仿宋_GB2312" w:hAnsi="黑体" w:eastAsia="仿宋_GB2312"/>
          <w:color w:val="000000"/>
          <w:sz w:val="32"/>
        </w:rPr>
        <w:t>整体绩效目标</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（二）预算项目绩效目标</w:t>
      </w:r>
    </w:p>
    <w:p>
      <w:pPr>
        <w:spacing w:line="580" w:lineRule="exact"/>
        <w:jc w:val="center"/>
        <w:rPr>
          <w:rFonts w:ascii="仿宋_GB2312" w:hAnsi="黑体" w:eastAsia="仿宋_GB2312" w:cs="黑体"/>
          <w:b/>
          <w:color w:val="000000"/>
          <w:sz w:val="36"/>
          <w:szCs w:val="36"/>
        </w:rPr>
      </w:pPr>
    </w:p>
    <w:p>
      <w:pPr>
        <w:spacing w:line="580" w:lineRule="exact"/>
        <w:jc w:val="center"/>
        <w:rPr>
          <w:rFonts w:ascii="仿宋_GB2312" w:hAnsi="黑体" w:eastAsia="仿宋_GB2312" w:cs="黑体"/>
          <w:b/>
          <w:color w:val="000000"/>
          <w:sz w:val="36"/>
          <w:szCs w:val="36"/>
        </w:rPr>
      </w:pPr>
    </w:p>
    <w:p>
      <w:pPr>
        <w:rPr>
          <w:rFonts w:hint="eastAsia"/>
        </w:rPr>
      </w:pPr>
    </w:p>
    <w:p/>
    <w:tbl>
      <w:tblPr>
        <w:tblStyle w:val="4"/>
        <w:tblW w:w="15191" w:type="dxa"/>
        <w:tblInd w:w="94" w:type="dxa"/>
        <w:tblLayout w:type="autofit"/>
        <w:tblCellMar>
          <w:top w:w="0" w:type="dxa"/>
          <w:left w:w="108" w:type="dxa"/>
          <w:bottom w:w="0" w:type="dxa"/>
          <w:right w:w="108" w:type="dxa"/>
        </w:tblCellMar>
      </w:tblPr>
      <w:tblGrid>
        <w:gridCol w:w="453"/>
        <w:gridCol w:w="1023"/>
        <w:gridCol w:w="3832"/>
        <w:gridCol w:w="851"/>
        <w:gridCol w:w="851"/>
        <w:gridCol w:w="1227"/>
        <w:gridCol w:w="1227"/>
        <w:gridCol w:w="827"/>
        <w:gridCol w:w="828"/>
        <w:gridCol w:w="1227"/>
        <w:gridCol w:w="1627"/>
        <w:gridCol w:w="580"/>
        <w:gridCol w:w="718"/>
      </w:tblGrid>
      <w:tr>
        <w:tblPrEx>
          <w:tblCellMar>
            <w:top w:w="0" w:type="dxa"/>
            <w:left w:w="108" w:type="dxa"/>
            <w:bottom w:w="0" w:type="dxa"/>
            <w:right w:w="108" w:type="dxa"/>
          </w:tblCellMar>
        </w:tblPrEx>
        <w:trPr>
          <w:trHeight w:val="1010" w:hRule="atLeast"/>
        </w:trPr>
        <w:tc>
          <w:tcPr>
            <w:tcW w:w="13954" w:type="dxa"/>
            <w:gridSpan w:val="11"/>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44"/>
                <w:szCs w:val="44"/>
              </w:rPr>
            </w:pPr>
          </w:p>
          <w:p>
            <w:pPr>
              <w:spacing w:line="580" w:lineRule="exact"/>
              <w:jc w:val="center"/>
              <w:rPr>
                <w:rFonts w:hint="eastAsia" w:ascii="仿宋_GB2312" w:hAnsi="黑体" w:eastAsia="仿宋_GB2312" w:cs="黑体"/>
                <w:b/>
                <w:color w:val="000000"/>
                <w:sz w:val="36"/>
                <w:szCs w:val="36"/>
              </w:rPr>
            </w:pPr>
            <w:r>
              <w:rPr>
                <w:rFonts w:hint="eastAsia" w:ascii="仿宋_GB2312" w:hAnsi="黑体" w:eastAsia="仿宋_GB2312" w:cs="黑体"/>
                <w:b/>
                <w:color w:val="000000"/>
                <w:sz w:val="36"/>
                <w:szCs w:val="36"/>
              </w:rPr>
              <w:t>一、2022年单位预算公开表格</w:t>
            </w:r>
          </w:p>
          <w:tbl>
            <w:tblPr>
              <w:tblStyle w:val="4"/>
              <w:tblW w:w="13757" w:type="dxa"/>
              <w:tblInd w:w="0" w:type="dxa"/>
              <w:tblLayout w:type="autofit"/>
              <w:tblCellMar>
                <w:top w:w="0" w:type="dxa"/>
                <w:left w:w="108" w:type="dxa"/>
                <w:bottom w:w="0" w:type="dxa"/>
                <w:right w:w="108" w:type="dxa"/>
              </w:tblCellMar>
            </w:tblPr>
            <w:tblGrid>
              <w:gridCol w:w="703"/>
              <w:gridCol w:w="4667"/>
              <w:gridCol w:w="1033"/>
              <w:gridCol w:w="4998"/>
              <w:gridCol w:w="2356"/>
            </w:tblGrid>
            <w:tr>
              <w:tblPrEx>
                <w:tblCellMar>
                  <w:top w:w="0" w:type="dxa"/>
                  <w:left w:w="108" w:type="dxa"/>
                  <w:bottom w:w="0" w:type="dxa"/>
                  <w:right w:w="108" w:type="dxa"/>
                </w:tblCellMar>
              </w:tblPrEx>
              <w:trPr>
                <w:trHeight w:val="1296" w:hRule="atLeast"/>
              </w:trPr>
              <w:tc>
                <w:tcPr>
                  <w:tcW w:w="13757" w:type="dxa"/>
                  <w:gridSpan w:val="5"/>
                  <w:tcBorders>
                    <w:top w:val="nil"/>
                    <w:left w:val="nil"/>
                    <w:bottom w:val="nil"/>
                    <w:right w:val="nil"/>
                  </w:tcBorders>
                  <w:shd w:val="clear" w:color="000000" w:fill="FFFFFF"/>
                  <w:vAlign w:val="center"/>
                </w:tcPr>
                <w:p>
                  <w:pPr>
                    <w:widowControl/>
                    <w:jc w:val="center"/>
                    <w:rPr>
                      <w:rFonts w:hint="eastAsia" w:ascii="仿宋_GB2312" w:hAnsi="宋体" w:eastAsia="仿宋_GB2312" w:cs="宋体"/>
                      <w:b/>
                      <w:bCs/>
                      <w:kern w:val="0"/>
                      <w:sz w:val="36"/>
                      <w:szCs w:val="36"/>
                    </w:rPr>
                  </w:pPr>
                  <w:r>
                    <w:rPr>
                      <w:rFonts w:hint="eastAsia" w:ascii="仿宋_GB2312" w:hAnsi="宋体" w:eastAsia="仿宋_GB2312" w:cs="宋体"/>
                      <w:b/>
                      <w:bCs/>
                      <w:kern w:val="0"/>
                      <w:sz w:val="36"/>
                      <w:szCs w:val="36"/>
                    </w:rPr>
                    <w:t>（一）单位收支预算总表</w:t>
                  </w:r>
                </w:p>
              </w:tc>
            </w:tr>
            <w:tr>
              <w:tblPrEx>
                <w:tblCellMar>
                  <w:top w:w="0" w:type="dxa"/>
                  <w:left w:w="108" w:type="dxa"/>
                  <w:bottom w:w="0" w:type="dxa"/>
                  <w:right w:w="108" w:type="dxa"/>
                </w:tblCellMar>
              </w:tblPrEx>
              <w:trPr>
                <w:trHeight w:val="556" w:hRule="atLeast"/>
              </w:trPr>
              <w:tc>
                <w:tcPr>
                  <w:tcW w:w="6403"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499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35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556" w:hRule="atLeast"/>
              </w:trPr>
              <w:tc>
                <w:tcPr>
                  <w:tcW w:w="7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73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556" w:hRule="atLeast"/>
              </w:trPr>
              <w:tc>
                <w:tcPr>
                  <w:tcW w:w="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0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c>
                <w:tcPr>
                  <w:tcW w:w="49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3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46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9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3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740.33</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四、财政专户管理资金收入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五、事业收入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六、事业单位经营收入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七、上级补助收入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八、附属单位上缴收入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222.11</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九、其他收入</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740.33</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上年结转结余</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年终结转结余</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556" w:hRule="atLeast"/>
              </w:trPr>
              <w:tc>
                <w:tcPr>
                  <w:tcW w:w="703"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466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103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499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23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r>
            <w:tr>
              <w:tblPrEx>
                <w:tblCellMar>
                  <w:top w:w="0" w:type="dxa"/>
                  <w:left w:w="108" w:type="dxa"/>
                  <w:bottom w:w="0" w:type="dxa"/>
                  <w:right w:w="108" w:type="dxa"/>
                </w:tblCellMar>
              </w:tblPrEx>
              <w:trPr>
                <w:trHeight w:val="556" w:hRule="atLeast"/>
              </w:trPr>
              <w:tc>
                <w:tcPr>
                  <w:tcW w:w="703"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4667"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1033"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4998"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2355"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6" w:hRule="atLeast"/>
              </w:trPr>
              <w:tc>
                <w:tcPr>
                  <w:tcW w:w="703"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4667"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1033"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4998"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2355"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6" w:hRule="atLeast"/>
              </w:trPr>
              <w:tc>
                <w:tcPr>
                  <w:tcW w:w="703"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4667"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1033"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4998"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c>
                <w:tcPr>
                  <w:tcW w:w="2355" w:type="dxa"/>
                  <w:tcBorders>
                    <w:top w:val="nil"/>
                    <w:left w:val="nil"/>
                    <w:bottom w:val="nil"/>
                    <w:right w:val="nil"/>
                  </w:tcBorders>
                  <w:shd w:val="clear" w:color="auto" w:fill="auto"/>
                  <w:noWrap/>
                </w:tcPr>
                <w:p>
                  <w:pPr>
                    <w:widowControl/>
                    <w:jc w:val="left"/>
                    <w:rPr>
                      <w:rFonts w:ascii="宋体" w:hAnsi="宋体" w:eastAsia="宋体" w:cs="宋体"/>
                      <w:kern w:val="0"/>
                      <w:sz w:val="24"/>
                      <w:szCs w:val="24"/>
                    </w:rPr>
                  </w:pPr>
                </w:p>
              </w:tc>
            </w:tr>
          </w:tbl>
          <w:p>
            <w:pPr>
              <w:widowControl/>
              <w:rPr>
                <w:rFonts w:hint="eastAsia" w:ascii="宋体" w:hAnsi="宋体" w:eastAsia="宋体" w:cs="宋体"/>
                <w:b/>
                <w:bCs/>
                <w:kern w:val="0"/>
                <w:sz w:val="44"/>
                <w:szCs w:val="44"/>
              </w:rPr>
            </w:pPr>
          </w:p>
          <w:p>
            <w:pPr>
              <w:widowControl/>
              <w:rPr>
                <w:rFonts w:hint="eastAsia" w:ascii="宋体" w:hAnsi="宋体" w:eastAsia="宋体" w:cs="宋体"/>
                <w:b/>
                <w:bCs/>
                <w:kern w:val="0"/>
                <w:sz w:val="44"/>
                <w:szCs w:val="44"/>
              </w:rPr>
            </w:pPr>
          </w:p>
          <w:p>
            <w:pPr>
              <w:widowControl/>
              <w:rPr>
                <w:rFonts w:hint="eastAsia" w:ascii="宋体" w:hAnsi="宋体" w:eastAsia="宋体" w:cs="宋体"/>
                <w:b/>
                <w:bCs/>
                <w:kern w:val="0"/>
                <w:sz w:val="44"/>
                <w:szCs w:val="44"/>
              </w:rPr>
            </w:pPr>
          </w:p>
          <w:p>
            <w:pPr>
              <w:widowControl/>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（二）单位预算收入总表</w:t>
            </w:r>
          </w:p>
        </w:tc>
        <w:tc>
          <w:tcPr>
            <w:tcW w:w="580"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p>
        </w:tc>
        <w:tc>
          <w:tcPr>
            <w:tcW w:w="656"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9" w:hRule="atLeast"/>
        </w:trPr>
        <w:tc>
          <w:tcPr>
            <w:tcW w:w="11103"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2851"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236"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569" w:hRule="atLeast"/>
        </w:trPr>
        <w:tc>
          <w:tcPr>
            <w:tcW w:w="4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84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功能分类科目</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838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上年结转</w:t>
            </w:r>
          </w:p>
        </w:tc>
      </w:tr>
      <w:tr>
        <w:tblPrEx>
          <w:tblCellMar>
            <w:top w:w="0" w:type="dxa"/>
            <w:left w:w="108" w:type="dxa"/>
            <w:bottom w:w="0" w:type="dxa"/>
            <w:right w:w="108" w:type="dxa"/>
          </w:tblCellMar>
        </w:tblPrEx>
        <w:trPr>
          <w:trHeight w:val="569" w:hRule="atLeast"/>
        </w:trPr>
        <w:tc>
          <w:tcPr>
            <w:tcW w:w="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1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财政专户收入</w:t>
            </w:r>
          </w:p>
        </w:tc>
        <w:tc>
          <w:tcPr>
            <w:tcW w:w="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1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16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6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0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6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740.33</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740.33</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政府办公厅（室）及相关机构事务</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2010301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167.31</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167.31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167.31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2010399</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其他政府办公厅（室）及相关机构事务支出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国防支出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20306</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国防动员</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2030607</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民兵</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222.11</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209.11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209.11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20802</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民政管理事务</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2080208</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基层政权建设和社区治理</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165.00</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城乡社区支出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21201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城乡社区管理事务</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2120199</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其他城乡社区管理事务支出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632" w:hRule="atLeast"/>
        </w:trPr>
        <w:tc>
          <w:tcPr>
            <w:tcW w:w="452"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0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382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85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62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58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65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15242" w:type="dxa"/>
        <w:tblInd w:w="94" w:type="dxa"/>
        <w:tblLayout w:type="autofit"/>
        <w:tblCellMar>
          <w:top w:w="0" w:type="dxa"/>
          <w:left w:w="108" w:type="dxa"/>
          <w:bottom w:w="0" w:type="dxa"/>
          <w:right w:w="108" w:type="dxa"/>
        </w:tblCellMar>
      </w:tblPr>
      <w:tblGrid>
        <w:gridCol w:w="540"/>
        <w:gridCol w:w="1046"/>
        <w:gridCol w:w="4847"/>
        <w:gridCol w:w="1552"/>
        <w:gridCol w:w="1046"/>
        <w:gridCol w:w="1046"/>
        <w:gridCol w:w="1046"/>
        <w:gridCol w:w="1806"/>
        <w:gridCol w:w="2313"/>
      </w:tblGrid>
      <w:tr>
        <w:tblPrEx>
          <w:tblCellMar>
            <w:top w:w="0" w:type="dxa"/>
            <w:left w:w="108" w:type="dxa"/>
            <w:bottom w:w="0" w:type="dxa"/>
            <w:right w:w="108" w:type="dxa"/>
          </w:tblCellMar>
        </w:tblPrEx>
        <w:trPr>
          <w:trHeight w:val="789" w:hRule="atLeast"/>
        </w:trPr>
        <w:tc>
          <w:tcPr>
            <w:tcW w:w="15241" w:type="dxa"/>
            <w:gridSpan w:val="9"/>
            <w:tcBorders>
              <w:top w:val="nil"/>
              <w:left w:val="nil"/>
              <w:bottom w:val="nil"/>
              <w:right w:val="nil"/>
            </w:tcBorders>
            <w:shd w:val="clear" w:color="000000" w:fill="FFFFFF"/>
            <w:vAlign w:val="center"/>
          </w:tcPr>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（三）支出总表</w:t>
            </w:r>
          </w:p>
        </w:tc>
      </w:tr>
      <w:tr>
        <w:tblPrEx>
          <w:tblCellMar>
            <w:top w:w="0" w:type="dxa"/>
            <w:left w:w="108" w:type="dxa"/>
            <w:bottom w:w="0" w:type="dxa"/>
            <w:right w:w="108" w:type="dxa"/>
          </w:tblCellMar>
        </w:tblPrEx>
        <w:trPr>
          <w:trHeight w:val="315" w:hRule="atLeast"/>
        </w:trPr>
        <w:tc>
          <w:tcPr>
            <w:tcW w:w="11123" w:type="dxa"/>
            <w:gridSpan w:val="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180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31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88"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89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1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0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18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23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tblPrEx>
          <w:tblCellMar>
            <w:top w:w="0" w:type="dxa"/>
            <w:left w:w="108" w:type="dxa"/>
            <w:bottom w:w="0" w:type="dxa"/>
            <w:right w:w="108" w:type="dxa"/>
          </w:tblCellMar>
        </w:tblPrEx>
        <w:trPr>
          <w:trHeight w:val="288"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48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8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3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251.68</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501.64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166.91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188.40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政府办公厅（室）及相关机构事务</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166.91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188.40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2010301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167.31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166.91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2010399</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其他政府办公厅（室）及相关机构事务支出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国防支出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20306</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国防动员</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2030607</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民兵</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222.11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44.11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20802</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民政管理事务</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2080208</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基层政权建设和社区治理</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城乡社区支出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21201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城乡社区管理事务</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2120199</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其他城乡社区管理事务支出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3"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046"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4847"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155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04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806"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31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15162" w:type="dxa"/>
        <w:tblInd w:w="94" w:type="dxa"/>
        <w:tblLayout w:type="autofit"/>
        <w:tblCellMar>
          <w:top w:w="0" w:type="dxa"/>
          <w:left w:w="108" w:type="dxa"/>
          <w:bottom w:w="0" w:type="dxa"/>
          <w:right w:w="108" w:type="dxa"/>
        </w:tblCellMar>
      </w:tblPr>
      <w:tblGrid>
        <w:gridCol w:w="556"/>
        <w:gridCol w:w="2478"/>
        <w:gridCol w:w="1007"/>
        <w:gridCol w:w="3694"/>
        <w:gridCol w:w="1457"/>
        <w:gridCol w:w="1769"/>
        <w:gridCol w:w="2037"/>
        <w:gridCol w:w="2164"/>
      </w:tblGrid>
      <w:tr>
        <w:tblPrEx>
          <w:tblCellMar>
            <w:top w:w="0" w:type="dxa"/>
            <w:left w:w="108" w:type="dxa"/>
            <w:bottom w:w="0" w:type="dxa"/>
            <w:right w:w="108" w:type="dxa"/>
          </w:tblCellMar>
        </w:tblPrEx>
        <w:trPr>
          <w:trHeight w:val="564" w:hRule="atLeast"/>
        </w:trPr>
        <w:tc>
          <w:tcPr>
            <w:tcW w:w="9192" w:type="dxa"/>
            <w:gridSpan w:val="5"/>
            <w:tcBorders>
              <w:top w:val="nil"/>
              <w:left w:val="nil"/>
              <w:bottom w:val="nil"/>
              <w:right w:val="nil"/>
            </w:tcBorders>
            <w:shd w:val="clear" w:color="000000" w:fill="FFFFFF"/>
            <w:vAlign w:val="center"/>
          </w:tcPr>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rPr>
              <w:t>（四）财政拨款收支总表</w:t>
            </w:r>
          </w:p>
        </w:tc>
        <w:tc>
          <w:tcPr>
            <w:tcW w:w="1769"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p>
        </w:tc>
        <w:tc>
          <w:tcPr>
            <w:tcW w:w="2037"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p>
        </w:tc>
        <w:tc>
          <w:tcPr>
            <w:tcW w:w="2164"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trPr>
        <w:tc>
          <w:tcPr>
            <w:tcW w:w="10961" w:type="dxa"/>
            <w:gridSpan w:val="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2037"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164"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12" w:hRule="atLeas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4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1112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285" w:hRule="atLeast"/>
        </w:trPr>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4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3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7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21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trHeight w:val="285" w:hRule="atLeast"/>
        </w:trPr>
        <w:tc>
          <w:tcPr>
            <w:tcW w:w="5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4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4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740.33</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222.11</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222.11</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740.33</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年初财政拨款结转和结余</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年末财政拨款结转和结余</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13.00</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34</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35</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5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36</w:t>
            </w:r>
          </w:p>
        </w:tc>
        <w:tc>
          <w:tcPr>
            <w:tcW w:w="2478"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100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3694"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145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176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2037"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bl>
    <w:p>
      <w:pPr>
        <w:rPr>
          <w:rFonts w:hint="eastAsia"/>
        </w:rPr>
      </w:pPr>
    </w:p>
    <w:p>
      <w:pPr>
        <w:rPr>
          <w:rFonts w:hint="eastAsia"/>
        </w:rPr>
      </w:pPr>
    </w:p>
    <w:tbl>
      <w:tblPr>
        <w:tblStyle w:val="4"/>
        <w:tblW w:w="14680" w:type="dxa"/>
        <w:tblInd w:w="94" w:type="dxa"/>
        <w:tblLayout w:type="autofit"/>
        <w:tblCellMar>
          <w:top w:w="0" w:type="dxa"/>
          <w:left w:w="108" w:type="dxa"/>
          <w:bottom w:w="0" w:type="dxa"/>
          <w:right w:w="108" w:type="dxa"/>
        </w:tblCellMar>
      </w:tblPr>
      <w:tblGrid>
        <w:gridCol w:w="629"/>
        <w:gridCol w:w="1222"/>
        <w:gridCol w:w="5661"/>
        <w:gridCol w:w="864"/>
        <w:gridCol w:w="864"/>
        <w:gridCol w:w="1222"/>
        <w:gridCol w:w="2109"/>
        <w:gridCol w:w="2109"/>
      </w:tblGrid>
      <w:tr>
        <w:tblPrEx>
          <w:tblCellMar>
            <w:top w:w="0" w:type="dxa"/>
            <w:left w:w="108" w:type="dxa"/>
            <w:bottom w:w="0" w:type="dxa"/>
            <w:right w:w="108" w:type="dxa"/>
          </w:tblCellMar>
        </w:tblPrEx>
        <w:trPr>
          <w:trHeight w:val="750" w:hRule="atLeast"/>
        </w:trPr>
        <w:tc>
          <w:tcPr>
            <w:tcW w:w="14680" w:type="dxa"/>
            <w:gridSpan w:val="8"/>
            <w:tcBorders>
              <w:top w:val="nil"/>
              <w:left w:val="nil"/>
              <w:bottom w:val="nil"/>
              <w:right w:val="nil"/>
            </w:tcBorders>
            <w:shd w:val="clear" w:color="000000" w:fill="FFFFFF"/>
            <w:vAlign w:val="center"/>
          </w:tcPr>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（五）一般公共预算支出表</w:t>
            </w:r>
          </w:p>
        </w:tc>
      </w:tr>
      <w:tr>
        <w:tblPrEx>
          <w:tblCellMar>
            <w:top w:w="0" w:type="dxa"/>
            <w:left w:w="108" w:type="dxa"/>
            <w:bottom w:w="0" w:type="dxa"/>
            <w:right w:w="108" w:type="dxa"/>
          </w:tblCellMar>
        </w:tblPrEx>
        <w:trPr>
          <w:trHeight w:val="300" w:hRule="atLeast"/>
        </w:trPr>
        <w:tc>
          <w:tcPr>
            <w:tcW w:w="10462" w:type="dxa"/>
            <w:gridSpan w:val="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2109"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109"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8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8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419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1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30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56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c>
          <w:tcPr>
            <w:tcW w:w="2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753.33</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251.68</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218.81</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32.87</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501.64</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166.91</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136.40</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30.51</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188.40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政府办公厅（室）及相关机构事务</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355.31</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166.91</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136.40</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30.51</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188.40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2010301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167.31</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166.91</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136.40</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30.51</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2010399</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其他政府办公厅（室）及相关机构事务支出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188.00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国防支出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20306</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国防动员</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2030607</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民兵</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222.11</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44.11</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41.75</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2.36</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20802</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民政管理事务</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2080208</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基层政权建设和社区治理</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178.00</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43.31</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40.95</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2.36</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23.38</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21.02</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2.36</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25.72</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城乡社区支出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21201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城乡社区管理事务</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2120199</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其他城乡社区管理事务支出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133.24</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9"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222"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5661"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864"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1222"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109"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14900" w:type="dxa"/>
        <w:tblInd w:w="94" w:type="dxa"/>
        <w:tblLayout w:type="autofit"/>
        <w:tblCellMar>
          <w:top w:w="0" w:type="dxa"/>
          <w:left w:w="108" w:type="dxa"/>
          <w:bottom w:w="0" w:type="dxa"/>
          <w:right w:w="108" w:type="dxa"/>
        </w:tblCellMar>
      </w:tblPr>
      <w:tblGrid>
        <w:gridCol w:w="797"/>
        <w:gridCol w:w="1545"/>
        <w:gridCol w:w="5289"/>
        <w:gridCol w:w="1093"/>
        <w:gridCol w:w="2668"/>
        <w:gridCol w:w="2668"/>
        <w:gridCol w:w="840"/>
      </w:tblGrid>
      <w:tr>
        <w:tblPrEx>
          <w:tblCellMar>
            <w:top w:w="0" w:type="dxa"/>
            <w:left w:w="108" w:type="dxa"/>
            <w:bottom w:w="0" w:type="dxa"/>
            <w:right w:w="108" w:type="dxa"/>
          </w:tblCellMar>
        </w:tblPrEx>
        <w:trPr>
          <w:trHeight w:val="540" w:hRule="atLeast"/>
        </w:trPr>
        <w:tc>
          <w:tcPr>
            <w:tcW w:w="14060" w:type="dxa"/>
            <w:gridSpan w:val="6"/>
            <w:tcBorders>
              <w:top w:val="nil"/>
              <w:left w:val="nil"/>
              <w:bottom w:val="nil"/>
              <w:right w:val="nil"/>
            </w:tcBorders>
            <w:shd w:val="clear" w:color="000000" w:fill="FFFFFF"/>
            <w:vAlign w:val="center"/>
          </w:tcPr>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（六）一般公共预算基本支出表</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 w:hRule="atLeast"/>
        </w:trPr>
        <w:tc>
          <w:tcPr>
            <w:tcW w:w="8724"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266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66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49" w:hRule="atLeast"/>
        </w:trPr>
        <w:tc>
          <w:tcPr>
            <w:tcW w:w="7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8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支出部门经济分类科目</w:t>
            </w:r>
          </w:p>
        </w:tc>
        <w:tc>
          <w:tcPr>
            <w:tcW w:w="642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一般公共预算基本支出</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52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6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6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2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6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6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　</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251.68</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218.81</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32.87</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工资福利支出</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196.61</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196.61</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基本工资</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62.13</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62.13</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30102</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津贴补贴</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55.12</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55.12</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30103</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奖金</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4.32</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4.32</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30107</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绩效工资</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13.66</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13.66</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30108</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19.93</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30110</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职工基本医疗保险缴费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9.65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公务员医疗补助缴费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16.06</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30112</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其他社会保障缴费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30113</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14.95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商品和服务支出</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32.87</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32.87</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办公费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30205</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水费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0.63</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0.63</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30206</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电费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0.63</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0.63</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30207</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邮电费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1.50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1.50</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30208</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取暖费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12.32</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12.32</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差旅费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0.50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0.50</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30213</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维修(护)费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0.15</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30228</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工会经费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2.49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2.49</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30229</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福利费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1.55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1.55</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公务用车运行维护费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0.60</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30239</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其他交通费用</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9.00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9.00</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30299</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其他商品和服务支出</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2.51</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2.51</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对个人和家庭的补助</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22.20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30301</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离休费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12.47</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12.47</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30302</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退休费</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8.55</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30305</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生活补助</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75"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30309</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奖励金</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0.10</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00" w:hRule="atLeast"/>
        </w:trPr>
        <w:tc>
          <w:tcPr>
            <w:tcW w:w="797"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154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30399</w:t>
            </w:r>
          </w:p>
        </w:tc>
        <w:tc>
          <w:tcPr>
            <w:tcW w:w="5289"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其他对个人和家庭的补助</w:t>
            </w:r>
          </w:p>
        </w:tc>
        <w:tc>
          <w:tcPr>
            <w:tcW w:w="1093"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0.29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0.29</w:t>
            </w:r>
          </w:p>
        </w:tc>
        <w:tc>
          <w:tcPr>
            <w:tcW w:w="2668"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　</w:t>
            </w:r>
          </w:p>
        </w:tc>
        <w:tc>
          <w:tcPr>
            <w:tcW w:w="840" w:type="dxa"/>
            <w:tcBorders>
              <w:top w:val="nil"/>
              <w:left w:val="nil"/>
              <w:bottom w:val="nil"/>
              <w:right w:val="nil"/>
            </w:tcBorders>
            <w:shd w:val="clear" w:color="000000" w:fill="FFFFFF"/>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14020" w:type="dxa"/>
        <w:tblInd w:w="94" w:type="dxa"/>
        <w:tblLayout w:type="autofit"/>
        <w:tblCellMar>
          <w:top w:w="0" w:type="dxa"/>
          <w:left w:w="108" w:type="dxa"/>
          <w:bottom w:w="0" w:type="dxa"/>
          <w:right w:w="108" w:type="dxa"/>
        </w:tblCellMar>
      </w:tblPr>
      <w:tblGrid>
        <w:gridCol w:w="760"/>
        <w:gridCol w:w="1460"/>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（七）部门预算政府基金预算财政拨款支出表</w:t>
            </w: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部门编码及名称：</w:t>
            </w:r>
            <w:r>
              <w:rPr>
                <w:rFonts w:hint="eastAsia" w:ascii="宋体" w:hAnsi="宋体" w:eastAsia="宋体" w:cs="宋体"/>
                <w:color w:val="000000"/>
                <w:kern w:val="0"/>
                <w:sz w:val="22"/>
              </w:rPr>
              <w:t>[61000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246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金额单位：万元</w:t>
            </w:r>
          </w:p>
        </w:tc>
      </w:tr>
      <w:tr>
        <w:tblPrEx>
          <w:tblCellMar>
            <w:top w:w="0" w:type="dxa"/>
            <w:left w:w="108" w:type="dxa"/>
            <w:bottom w:w="0" w:type="dxa"/>
            <w:right w:w="108" w:type="dxa"/>
          </w:tblCellMar>
        </w:tblPrEx>
        <w:trPr>
          <w:trHeight w:val="37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7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方正仿宋_GBK" w:eastAsia="宋体" w:cs="宋体"/>
                <w:kern w:val="0"/>
                <w:sz w:val="22"/>
              </w:rPr>
            </w:pPr>
            <w:r>
              <w:rPr>
                <w:rFonts w:ascii="方正仿宋_GBK" w:hAnsi="方正仿宋_GBK" w:eastAsia="宋体" w:cs="宋体"/>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0" w:hRule="atLeast"/>
        </w:trPr>
        <w:tc>
          <w:tcPr>
            <w:tcW w:w="7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1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442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90" w:hRule="atLeast"/>
        </w:trPr>
        <w:tc>
          <w:tcPr>
            <w:tcW w:w="14020" w:type="dxa"/>
            <w:gridSpan w:val="6"/>
            <w:tcBorders>
              <w:top w:val="nil"/>
              <w:left w:val="nil"/>
              <w:bottom w:val="nil"/>
              <w:right w:val="nil"/>
            </w:tcBorders>
            <w:shd w:val="clear" w:color="auto" w:fill="auto"/>
            <w:noWrap/>
            <w:vAlign w:val="center"/>
          </w:tcPr>
          <w:p>
            <w:pPr>
              <w:widowControl/>
              <w:jc w:val="left"/>
              <w:rPr>
                <w:rFonts w:ascii="方正仿宋_GBK" w:hAnsi="方正仿宋_GBK" w:eastAsia="宋体" w:cs="宋体"/>
                <w:kern w:val="0"/>
                <w:sz w:val="22"/>
              </w:rPr>
            </w:pPr>
            <w:r>
              <w:rPr>
                <w:rFonts w:ascii="方正仿宋_GBK" w:hAnsi="方正仿宋_GBK" w:eastAsia="宋体" w:cs="宋体"/>
                <w:kern w:val="0"/>
                <w:sz w:val="22"/>
              </w:rPr>
              <w:t>注：无政府基金预算，空表列示。</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14180" w:type="dxa"/>
        <w:tblInd w:w="94" w:type="dxa"/>
        <w:tblLayout w:type="autofit"/>
        <w:tblCellMar>
          <w:top w:w="0" w:type="dxa"/>
          <w:left w:w="108" w:type="dxa"/>
          <w:bottom w:w="0" w:type="dxa"/>
          <w:right w:w="108" w:type="dxa"/>
        </w:tblCellMar>
      </w:tblPr>
      <w:tblGrid>
        <w:gridCol w:w="1000"/>
        <w:gridCol w:w="1460"/>
        <w:gridCol w:w="4280"/>
        <w:gridCol w:w="2480"/>
        <w:gridCol w:w="2480"/>
        <w:gridCol w:w="2480"/>
      </w:tblGrid>
      <w:tr>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（八）部门预算国有资本经营预算财政拨款支出表</w:t>
            </w:r>
          </w:p>
        </w:tc>
      </w:tr>
      <w:tr>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部门编码及名称：</w:t>
            </w:r>
            <w:r>
              <w:rPr>
                <w:rFonts w:hint="eastAsia" w:ascii="宋体" w:hAnsi="宋体" w:eastAsia="宋体" w:cs="宋体"/>
                <w:color w:val="000000"/>
                <w:kern w:val="0"/>
                <w:sz w:val="22"/>
              </w:rPr>
              <w:t>[61000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248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2480" w:type="dxa"/>
            <w:tcBorders>
              <w:top w:val="nil"/>
              <w:left w:val="nil"/>
              <w:bottom w:val="nil"/>
              <w:right w:val="nil"/>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金额单位：万元</w:t>
            </w:r>
          </w:p>
        </w:tc>
      </w:tr>
      <w:tr>
        <w:tblPrEx>
          <w:tblCellMar>
            <w:top w:w="0" w:type="dxa"/>
            <w:left w:w="108" w:type="dxa"/>
            <w:bottom w:w="0" w:type="dxa"/>
            <w:right w:w="108" w:type="dxa"/>
          </w:tblCellMar>
        </w:tblPrEx>
        <w:trPr>
          <w:trHeight w:val="420"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4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4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4180" w:type="dxa"/>
            <w:gridSpan w:val="6"/>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注：无国有资本经营预算，空表列示。</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4"/>
        <w:tblW w:w="15070" w:type="dxa"/>
        <w:tblInd w:w="94" w:type="dxa"/>
        <w:tblLayout w:type="autofit"/>
        <w:tblCellMar>
          <w:top w:w="0" w:type="dxa"/>
          <w:left w:w="108" w:type="dxa"/>
          <w:bottom w:w="0" w:type="dxa"/>
          <w:right w:w="108" w:type="dxa"/>
        </w:tblCellMar>
      </w:tblPr>
      <w:tblGrid>
        <w:gridCol w:w="496"/>
        <w:gridCol w:w="1815"/>
        <w:gridCol w:w="4688"/>
        <w:gridCol w:w="1474"/>
        <w:gridCol w:w="1474"/>
        <w:gridCol w:w="1210"/>
        <w:gridCol w:w="776"/>
        <w:gridCol w:w="1607"/>
        <w:gridCol w:w="1531"/>
      </w:tblGrid>
      <w:tr>
        <w:tblPrEx>
          <w:tblCellMar>
            <w:top w:w="0" w:type="dxa"/>
            <w:left w:w="108" w:type="dxa"/>
            <w:bottom w:w="0" w:type="dxa"/>
            <w:right w:w="108" w:type="dxa"/>
          </w:tblCellMar>
        </w:tblPrEx>
        <w:trPr>
          <w:trHeight w:val="517" w:hRule="atLeast"/>
        </w:trPr>
        <w:tc>
          <w:tcPr>
            <w:tcW w:w="15070" w:type="dxa"/>
            <w:gridSpan w:val="9"/>
            <w:tcBorders>
              <w:top w:val="nil"/>
              <w:left w:val="nil"/>
              <w:bottom w:val="nil"/>
              <w:right w:val="nil"/>
            </w:tcBorders>
            <w:shd w:val="clear" w:color="000000" w:fill="FFFFFF"/>
            <w:vAlign w:val="center"/>
          </w:tcPr>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hint="eastAsia"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（九）一般公共预算“三公”经费支出表</w:t>
            </w:r>
          </w:p>
        </w:tc>
      </w:tr>
      <w:tr>
        <w:tblPrEx>
          <w:tblCellMar>
            <w:top w:w="0" w:type="dxa"/>
            <w:left w:w="108" w:type="dxa"/>
            <w:bottom w:w="0" w:type="dxa"/>
            <w:right w:w="108" w:type="dxa"/>
          </w:tblCellMar>
        </w:tblPrEx>
        <w:trPr>
          <w:trHeight w:val="329" w:hRule="atLeast"/>
        </w:trPr>
        <w:tc>
          <w:tcPr>
            <w:tcW w:w="9946"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预算单位编码及名称：</w:t>
            </w:r>
            <w:r>
              <w:rPr>
                <w:rFonts w:hint="eastAsia" w:ascii="宋体" w:hAnsi="宋体" w:eastAsia="宋体" w:cs="宋体"/>
                <w:color w:val="000000"/>
                <w:kern w:val="0"/>
                <w:sz w:val="22"/>
              </w:rPr>
              <w:t>[61000</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]古城街道办事处本级</w:t>
            </w:r>
          </w:p>
        </w:tc>
        <w:tc>
          <w:tcPr>
            <w:tcW w:w="5123"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预算年度：2022       金额单位：万元</w:t>
            </w:r>
          </w:p>
        </w:tc>
      </w:tr>
      <w:tr>
        <w:tblPrEx>
          <w:tblCellMar>
            <w:top w:w="0" w:type="dxa"/>
            <w:left w:w="108" w:type="dxa"/>
            <w:bottom w:w="0" w:type="dxa"/>
            <w:right w:w="108" w:type="dxa"/>
          </w:tblCellMar>
        </w:tblPrEx>
        <w:trPr>
          <w:trHeight w:val="329"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序号</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部门代码（单位代码）</w:t>
            </w:r>
          </w:p>
        </w:tc>
        <w:tc>
          <w:tcPr>
            <w:tcW w:w="46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部门名称（单位名称）</w:t>
            </w:r>
          </w:p>
        </w:tc>
        <w:tc>
          <w:tcPr>
            <w:tcW w:w="14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“三公”经费合计</w:t>
            </w:r>
          </w:p>
        </w:tc>
        <w:tc>
          <w:tcPr>
            <w:tcW w:w="14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因公出国（境）费</w:t>
            </w:r>
          </w:p>
        </w:tc>
        <w:tc>
          <w:tcPr>
            <w:tcW w:w="359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公务用车购置及运行费</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公务接待费</w:t>
            </w:r>
          </w:p>
        </w:tc>
      </w:tr>
      <w:tr>
        <w:tblPrEx>
          <w:tblCellMar>
            <w:top w:w="0" w:type="dxa"/>
            <w:left w:w="108" w:type="dxa"/>
            <w:bottom w:w="0" w:type="dxa"/>
            <w:right w:w="108" w:type="dxa"/>
          </w:tblCellMar>
        </w:tblPrEx>
        <w:trPr>
          <w:trHeight w:val="1318"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4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小计</w:t>
            </w:r>
          </w:p>
        </w:tc>
        <w:tc>
          <w:tcPr>
            <w:tcW w:w="7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公务用车购置费</w:t>
            </w:r>
          </w:p>
        </w:tc>
        <w:tc>
          <w:tcPr>
            <w:tcW w:w="16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公务用车运行费</w:t>
            </w: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59" w:hRule="atLeast"/>
        </w:trPr>
        <w:tc>
          <w:tcPr>
            <w:tcW w:w="4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栏次</w:t>
            </w:r>
          </w:p>
        </w:tc>
        <w:tc>
          <w:tcPr>
            <w:tcW w:w="18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468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7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6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15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r>
      <w:tr>
        <w:tblPrEx>
          <w:tblCellMar>
            <w:top w:w="0" w:type="dxa"/>
            <w:left w:w="108" w:type="dxa"/>
            <w:bottom w:w="0" w:type="dxa"/>
            <w:right w:w="108" w:type="dxa"/>
          </w:tblCellMar>
        </w:tblPrEx>
        <w:trPr>
          <w:trHeight w:val="329" w:hRule="atLeast"/>
        </w:trPr>
        <w:tc>
          <w:tcPr>
            <w:tcW w:w="4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81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46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合计</w:t>
            </w:r>
          </w:p>
        </w:tc>
        <w:tc>
          <w:tcPr>
            <w:tcW w:w="147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147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c>
          <w:tcPr>
            <w:tcW w:w="121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c>
          <w:tcPr>
            <w:tcW w:w="160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153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29" w:hRule="atLeast"/>
        </w:trPr>
        <w:tc>
          <w:tcPr>
            <w:tcW w:w="4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181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610</w:t>
            </w:r>
          </w:p>
        </w:tc>
        <w:tc>
          <w:tcPr>
            <w:tcW w:w="46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古城街道办事处</w:t>
            </w:r>
          </w:p>
        </w:tc>
        <w:tc>
          <w:tcPr>
            <w:tcW w:w="147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147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c>
          <w:tcPr>
            <w:tcW w:w="121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c>
          <w:tcPr>
            <w:tcW w:w="160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153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29" w:hRule="atLeast"/>
        </w:trPr>
        <w:tc>
          <w:tcPr>
            <w:tcW w:w="4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181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610001</w:t>
            </w:r>
          </w:p>
        </w:tc>
        <w:tc>
          <w:tcPr>
            <w:tcW w:w="468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秦皇岛市山海关区古城街道办事处本级</w:t>
            </w:r>
          </w:p>
        </w:tc>
        <w:tc>
          <w:tcPr>
            <w:tcW w:w="147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147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c>
          <w:tcPr>
            <w:tcW w:w="1210"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77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c>
          <w:tcPr>
            <w:tcW w:w="1607"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1.00</w:t>
            </w:r>
          </w:p>
        </w:tc>
        <w:tc>
          <w:tcPr>
            <w:tcW w:w="153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329" w:hRule="atLeast"/>
        </w:trPr>
        <w:tc>
          <w:tcPr>
            <w:tcW w:w="495"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1815"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4688"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1474"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1474"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1210"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776"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1607"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c>
          <w:tcPr>
            <w:tcW w:w="1531" w:type="dxa"/>
            <w:tcBorders>
              <w:top w:val="nil"/>
              <w:left w:val="nil"/>
              <w:bottom w:val="nil"/>
              <w:right w:val="nil"/>
            </w:tcBorders>
            <w:shd w:val="clear" w:color="auto" w:fill="auto"/>
            <w:noWrap/>
          </w:tcPr>
          <w:p>
            <w:pPr>
              <w:widowControl/>
              <w:jc w:val="left"/>
              <w:rPr>
                <w:rFonts w:ascii="宋体" w:hAnsi="宋体" w:eastAsia="宋体" w:cs="宋体"/>
                <w:kern w:val="0"/>
                <w:sz w:val="28"/>
                <w:szCs w:val="2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eastAsia="仿宋_GB2312"/>
          <w:b/>
          <w:sz w:val="36"/>
          <w:szCs w:val="36"/>
        </w:rPr>
      </w:pPr>
      <w:r>
        <w:rPr>
          <w:rFonts w:hint="eastAsia" w:ascii="仿宋_GB2312" w:eastAsia="仿宋_GB2312"/>
          <w:b/>
          <w:sz w:val="36"/>
          <w:szCs w:val="36"/>
        </w:rPr>
        <w:t>二、单位预算公开说明</w:t>
      </w:r>
    </w:p>
    <w:p>
      <w:pPr>
        <w:jc w:val="center"/>
        <w:rPr>
          <w:rFonts w:hint="eastAsia"/>
        </w:rPr>
      </w:pPr>
    </w:p>
    <w:p>
      <w:pPr>
        <w:jc w:val="center"/>
        <w:rPr>
          <w:rFonts w:hint="eastAsia" w:ascii="仿宋_GB2312" w:hAnsi="宋体" w:eastAsia="仿宋_GB2312" w:cs="黑体"/>
          <w:b/>
          <w:color w:val="000000"/>
          <w:sz w:val="44"/>
          <w:szCs w:val="44"/>
        </w:rPr>
      </w:pPr>
      <w:r>
        <w:rPr>
          <w:rFonts w:hint="eastAsia" w:ascii="仿宋_GB2312" w:hAnsi="宋体" w:eastAsia="仿宋_GB2312" w:cs="黑体"/>
          <w:b/>
          <w:color w:val="000000"/>
          <w:sz w:val="44"/>
          <w:szCs w:val="44"/>
        </w:rPr>
        <w:t>山海关区古城街道办事处部门2022年单位预算公开说明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按照《中华人民共和国预算法》</w:t>
      </w:r>
      <w:bookmarkStart w:id="15" w:name="_GoBack"/>
      <w:bookmarkEnd w:id="15"/>
      <w:r>
        <w:rPr>
          <w:rFonts w:hint="eastAsia" w:ascii="仿宋_GB2312" w:eastAsia="仿宋_GB2312"/>
          <w:sz w:val="32"/>
          <w:szCs w:val="32"/>
        </w:rPr>
        <w:t>、《地方预决算公开操作规程》和《河北省省级预算公开办法》规定，现将山海关区古城街道办事处部门2022年</w:t>
      </w:r>
      <w:r>
        <w:rPr>
          <w:rFonts w:hint="eastAsia" w:ascii="仿宋_GB2312" w:eastAsia="仿宋_GB2312"/>
          <w:sz w:val="32"/>
          <w:szCs w:val="32"/>
          <w:lang w:eastAsia="zh-CN"/>
        </w:rPr>
        <w:t>单位</w:t>
      </w:r>
      <w:r>
        <w:rPr>
          <w:rFonts w:hint="eastAsia" w:ascii="仿宋_GB2312" w:eastAsia="仿宋_GB2312"/>
          <w:sz w:val="32"/>
          <w:szCs w:val="32"/>
        </w:rPr>
        <w:t>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p>
    <w:p>
      <w:pPr>
        <w:ind w:firstLine="640"/>
        <w:jc w:val="left"/>
        <w:rPr>
          <w:rFonts w:hint="eastAsia" w:ascii="楷体_GB2312" w:hAnsi="楷体" w:eastAsia="楷体_GB2312" w:cs="楷体"/>
          <w:b/>
          <w:color w:val="FF0000"/>
          <w:sz w:val="32"/>
        </w:rPr>
      </w:pPr>
      <w:r>
        <w:rPr>
          <w:rFonts w:hint="eastAsia" w:ascii="楷体_GB2312" w:hAnsi="楷体" w:eastAsia="楷体_GB2312" w:cs="楷体"/>
          <w:b/>
          <w:color w:val="000000"/>
          <w:sz w:val="32"/>
          <w:lang w:eastAsia="zh-CN"/>
        </w:rPr>
        <w:t>单位</w:t>
      </w:r>
      <w:r>
        <w:rPr>
          <w:rFonts w:hint="eastAsia" w:ascii="楷体_GB2312" w:hAnsi="楷体" w:eastAsia="楷体_GB2312" w:cs="楷体"/>
          <w:b/>
          <w:color w:val="000000"/>
          <w:sz w:val="32"/>
        </w:rPr>
        <w:t>职责：</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古城街道办事处作为区政府派出机构，主要职责情况说明如下：</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、全面贯彻执行党的各项方针、政策，建立健全各项工作制度。 </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、加强党的思想、组织、和作风建设，强化管理，不断提高干部队伍政治思想素质及工作效能。</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、坚持以经济建设为中心，不断壮大街居经济实力，努力完成区政府下达的各项经济指标。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、抓好精神文明和民主法制建设，争创全国文明城市。</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、做好人民武装部、共青团、人大、妇联、工会等群众组织工作。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、加强辖区社会治安综合治理、矛盾纠纷排查工作，保持本辖区政治安定和社会稳定。</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、积极发挥街道办事处的指导、管理、协调和服务职能，为广大居民群众创造一个“经济繁荣、社会文明、整洁安定、安全舒适”的生活环境。</w:t>
      </w:r>
    </w:p>
    <w:p>
      <w:pPr>
        <w:jc w:val="left"/>
        <w:rPr>
          <w:rFonts w:hint="eastAsia" w:ascii="楷体_GB2312" w:hAnsi="楷体" w:eastAsia="楷体_GB2312" w:cs="楷体"/>
          <w:b/>
          <w:color w:val="000000"/>
          <w:sz w:val="32"/>
        </w:rPr>
      </w:pPr>
    </w:p>
    <w:p>
      <w:pPr>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二、机构设置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4"/>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vAlign w:val="center"/>
          </w:tcPr>
          <w:p>
            <w:pPr>
              <w:spacing w:line="300" w:lineRule="exact"/>
              <w:jc w:val="left"/>
              <w:outlineLvl w:val="0"/>
              <w:rPr>
                <w:rFonts w:hint="eastAsia" w:ascii="仿宋" w:hAnsi="仿宋" w:eastAsia="仿宋" w:cs="仿宋"/>
                <w:sz w:val="28"/>
                <w:szCs w:val="28"/>
              </w:rPr>
            </w:pPr>
          </w:p>
        </w:tc>
        <w:tc>
          <w:tcPr>
            <w:tcW w:w="1845" w:type="dxa"/>
            <w:vMerge w:val="continue"/>
            <w:vAlign w:val="center"/>
          </w:tcPr>
          <w:p>
            <w:pPr>
              <w:spacing w:line="300" w:lineRule="exact"/>
              <w:jc w:val="left"/>
              <w:outlineLvl w:val="0"/>
              <w:rPr>
                <w:rFonts w:hint="eastAsia" w:ascii="仿宋" w:hAnsi="仿宋" w:eastAsia="仿宋" w:cs="仿宋"/>
                <w:sz w:val="28"/>
                <w:szCs w:val="28"/>
              </w:rPr>
            </w:pPr>
          </w:p>
        </w:tc>
        <w:tc>
          <w:tcPr>
            <w:tcW w:w="2416" w:type="dxa"/>
            <w:vMerge w:val="continue"/>
            <w:vAlign w:val="center"/>
          </w:tcPr>
          <w:p>
            <w:pPr>
              <w:spacing w:line="300" w:lineRule="exact"/>
              <w:jc w:val="left"/>
              <w:outlineLvl w:val="0"/>
              <w:rPr>
                <w:rFonts w:hint="eastAsia" w:ascii="仿宋" w:hAnsi="仿宋" w:eastAsia="仿宋" w:cs="仿宋"/>
                <w:sz w:val="28"/>
                <w:szCs w:val="28"/>
              </w:rPr>
            </w:pPr>
          </w:p>
        </w:tc>
        <w:tc>
          <w:tcPr>
            <w:tcW w:w="3907" w:type="dxa"/>
            <w:vMerge w:val="continue"/>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vAlign w:val="center"/>
          </w:tcPr>
          <w:p>
            <w:pPr>
              <w:spacing w:line="300" w:lineRule="exact"/>
              <w:ind w:firstLine="1680" w:firstLineChars="600"/>
              <w:jc w:val="left"/>
              <w:rPr>
                <w:rFonts w:hint="eastAsia" w:ascii="仿宋_GB2312" w:eastAsia="仿宋_GB2312"/>
                <w:sz w:val="28"/>
                <w:szCs w:val="28"/>
              </w:rPr>
            </w:pPr>
            <w:r>
              <w:rPr>
                <w:rFonts w:hint="eastAsia" w:ascii="仿宋_GB2312" w:eastAsia="仿宋_GB2312"/>
                <w:sz w:val="28"/>
                <w:szCs w:val="28"/>
              </w:rPr>
              <w:t>山海关区古城街道办事处</w:t>
            </w:r>
          </w:p>
        </w:tc>
        <w:tc>
          <w:tcPr>
            <w:tcW w:w="1845"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正科级</w:t>
            </w:r>
          </w:p>
        </w:tc>
        <w:tc>
          <w:tcPr>
            <w:tcW w:w="3907" w:type="dxa"/>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w:t>
      </w:r>
      <w:r>
        <w:rPr>
          <w:rFonts w:hint="eastAsia" w:ascii="黑体" w:hAnsi="黑体" w:eastAsia="黑体"/>
          <w:color w:val="000000"/>
          <w:sz w:val="32"/>
          <w:lang w:eastAsia="zh-CN"/>
        </w:rPr>
        <w:t>单位</w:t>
      </w:r>
      <w:r>
        <w:rPr>
          <w:rFonts w:ascii="黑体" w:hAnsi="黑体" w:eastAsia="黑体"/>
          <w:color w:val="000000"/>
          <w:sz w:val="32"/>
        </w:rPr>
        <w:t>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预算的编制实行综合预算制度，即全部收入和支出都反映在预算中。山海关区古城街道办事处机关及所属事业单位的收支包含在</w:t>
      </w:r>
      <w:r>
        <w:rPr>
          <w:rFonts w:hint="eastAsia" w:ascii="仿宋_GB2312" w:hAnsi="仿宋" w:eastAsia="仿宋_GB2312" w:cs="仿宋"/>
          <w:color w:val="000000"/>
          <w:sz w:val="32"/>
          <w:lang w:eastAsia="zh-CN"/>
        </w:rPr>
        <w:t>单位</w:t>
      </w:r>
      <w:r>
        <w:rPr>
          <w:rFonts w:hint="eastAsia" w:ascii="仿宋_GB2312" w:hAnsi="仿宋" w:eastAsia="仿宋_GB2312" w:cs="仿宋"/>
          <w:color w:val="000000"/>
          <w:sz w:val="32"/>
        </w:rPr>
        <w:t>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spacing w:afterLines="50"/>
        <w:ind w:firstLine="640" w:firstLineChars="200"/>
        <w:rPr>
          <w:rFonts w:ascii="仿宋_GB2312" w:eastAsia="仿宋_GB2312"/>
          <w:sz w:val="32"/>
          <w:szCs w:val="32"/>
        </w:rPr>
      </w:pPr>
      <w:r>
        <w:rPr>
          <w:rFonts w:hint="eastAsia" w:ascii="仿宋" w:hAnsi="仿宋" w:eastAsia="仿宋" w:cs="仿宋"/>
          <w:color w:val="000000"/>
          <w:sz w:val="32"/>
        </w:rPr>
        <w:t>反映本</w:t>
      </w:r>
      <w:r>
        <w:rPr>
          <w:rFonts w:hint="eastAsia" w:ascii="仿宋" w:hAnsi="仿宋" w:eastAsia="仿宋" w:cs="仿宋"/>
          <w:color w:val="000000"/>
          <w:sz w:val="32"/>
          <w:lang w:eastAsia="zh-CN"/>
        </w:rPr>
        <w:t>单位</w:t>
      </w:r>
      <w:r>
        <w:rPr>
          <w:rFonts w:hint="eastAsia" w:ascii="仿宋" w:hAnsi="仿宋" w:eastAsia="仿宋" w:cs="仿宋"/>
          <w:color w:val="000000"/>
          <w:sz w:val="32"/>
        </w:rPr>
        <w:t>当年全部收入。</w:t>
      </w:r>
      <w:r>
        <w:rPr>
          <w:rFonts w:hint="eastAsia" w:ascii="仿宋_GB2312" w:eastAsia="仿宋_GB2312"/>
          <w:sz w:val="32"/>
          <w:szCs w:val="32"/>
        </w:rPr>
        <w:t>2022年预算收入为753.33万元，其中：一般公共预算收入740.33万元（行政事业性收费734.61万元、国有资源（资产）有偿使用收入5.71万元），基金预算收入0万元，财政专户核拨收入0万元，其他来源收入0万元；上年财政结转结余13万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jc w:val="left"/>
        <w:rPr>
          <w:rFonts w:ascii="仿宋_GB2312" w:eastAsia="仿宋_GB2312"/>
          <w:sz w:val="32"/>
          <w:szCs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收支预算总表支出栏、基本支出表、项目支出表按经济分类和支出功能分类科目编制，反映山海关区2022年度部门预算中支出预算的总体情况。</w:t>
      </w:r>
      <w:r>
        <w:rPr>
          <w:rFonts w:hint="eastAsia" w:ascii="仿宋_GB2312" w:eastAsia="仿宋_GB2312"/>
          <w:sz w:val="32"/>
          <w:szCs w:val="32"/>
        </w:rPr>
        <w:t>2022年预算支出为753.33万元，其中：基本支出251.68万元，主要是人员经费218.81万元和日常公用经费32.87万元；项目支出501.64万元，主要为街道工作专项补助项目安排188万元；社区工作专项补助项目安排94万元；老居委会生活补贴项目安排8.53万元；综合事务经费项目安排10万元；社区党组服务群众专项经费30万元；社区工作经费15万元；古城社区居民清洁取暖补贴135万元；上年财政结转结余13万元等。</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仿宋_GB2312" w:eastAsia="仿宋_GB2312"/>
          <w:sz w:val="32"/>
          <w:szCs w:val="32"/>
        </w:rPr>
        <w:t>2022年预算支出安排753.33元，较2021年预算增加245.78万元，其中：基本支出增加75.84万元，主要为镇街改革，增加行政编制人员3人，新招录全额事业编制人员4人，增加人员经费支出；项目支出增加169.94万元，增加社区党组服务群众专项经费30万元；古城社区居民清洁取暖补贴135万元；上年财政结转结余13万元等。</w:t>
      </w:r>
    </w:p>
    <w:p>
      <w:pPr>
        <w:ind w:firstLine="640" w:firstLineChars="200"/>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rPr>
      </w:pPr>
      <w:r>
        <w:rPr>
          <w:rFonts w:hint="eastAsia" w:ascii="仿宋_GB2312" w:eastAsia="仿宋_GB2312"/>
          <w:sz w:val="32"/>
          <w:szCs w:val="32"/>
        </w:rPr>
        <w:t>机关运行经费共计安排32.87万元，主要用于办公费1.00万元、邮电费1.50万元、差旅费0.5万元、会议费0万元、福利费2.80万元、工会经费2.49万元、日常维修费0万元、专用材料及一般设备购置费0万元、办公用房水电费1.63万元、办公用房取暖费12.32万元、办公用房物业管理费0万元、公务用车运行维护费0.6万元以及公务交通补费用9.00万元等日常运行支出。</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320" w:firstLineChars="100"/>
        <w:jc w:val="left"/>
        <w:rPr>
          <w:rFonts w:hint="eastAsia" w:ascii="仿宋_GB2312" w:eastAsia="仿宋_GB2312"/>
          <w:sz w:val="32"/>
          <w:szCs w:val="32"/>
        </w:rPr>
      </w:pPr>
      <w:r>
        <w:rPr>
          <w:rFonts w:hint="eastAsia" w:ascii="仿宋_GB2312" w:eastAsia="仿宋_GB2312"/>
          <w:sz w:val="32"/>
          <w:szCs w:val="32"/>
        </w:rPr>
        <w:t>2022年，我部门财政拨款“三公”经费预算安排1.00万元，与比上年减少0.05万元</w:t>
      </w:r>
      <w:r>
        <w:rPr>
          <w:rFonts w:hint="eastAsia" w:ascii="仿宋_GB2312" w:eastAsia="仿宋_GB2312"/>
          <w:sz w:val="32"/>
          <w:szCs w:val="32"/>
          <w:lang w:val="en-US" w:eastAsia="zh-CN"/>
        </w:rPr>
        <w:t>,主要原因是严格按照三公经费预算要求，切实落实勤俭节约各项规定，严格控制支出</w:t>
      </w:r>
      <w:r>
        <w:rPr>
          <w:rFonts w:hint="eastAsia" w:ascii="仿宋_GB2312" w:eastAsia="仿宋_GB2312"/>
          <w:sz w:val="32"/>
          <w:szCs w:val="32"/>
        </w:rPr>
        <w:t>。其中：因公出国（境）费0元，与上年持平，无增减变化，；公务用车购置费0元，与上年持平，无增减变化；公务用车运行维护费，与上年持平，无增减变化；公务接待费减少0.05万元</w:t>
      </w:r>
      <w:r>
        <w:rPr>
          <w:rFonts w:hint="eastAsia" w:ascii="仿宋_GB2312" w:eastAsia="仿宋_GB2312"/>
          <w:sz w:val="32"/>
          <w:szCs w:val="32"/>
          <w:lang w:val="en-US" w:eastAsia="zh-CN"/>
        </w:rPr>
        <w:t>,主要原因是严格按照三公经费预算要求，切实落实勤俭节约各项规定，严格控制支出</w:t>
      </w:r>
      <w:r>
        <w:rPr>
          <w:rFonts w:hint="eastAsia" w:ascii="仿宋_GB2312" w:eastAsia="仿宋_GB2312"/>
          <w:sz w:val="32"/>
          <w:szCs w:val="32"/>
        </w:rPr>
        <w:t>。</w:t>
      </w:r>
    </w:p>
    <w:p>
      <w:pPr>
        <w:ind w:firstLine="640" w:firstLineChars="200"/>
        <w:jc w:val="left"/>
        <w:rPr>
          <w:rFonts w:ascii="楷体_GB2312" w:eastAsia="楷体_GB2312"/>
          <w:b/>
          <w:sz w:val="32"/>
          <w:szCs w:val="32"/>
        </w:rPr>
      </w:pPr>
      <w:r>
        <w:rPr>
          <w:rFonts w:ascii="黑体" w:hAnsi="黑体" w:eastAsia="黑体"/>
          <w:color w:val="000000"/>
          <w:sz w:val="32"/>
        </w:rPr>
        <w:t>五、政府采购预算情况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2022年，我</w:t>
      </w:r>
      <w:r>
        <w:rPr>
          <w:rFonts w:hint="eastAsia" w:ascii="仿宋_GB2312" w:eastAsia="仿宋_GB2312"/>
          <w:sz w:val="32"/>
          <w:szCs w:val="32"/>
          <w:lang w:eastAsia="zh-CN"/>
        </w:rPr>
        <w:t>单位</w:t>
      </w:r>
      <w:r>
        <w:rPr>
          <w:rFonts w:hint="eastAsia" w:ascii="仿宋_GB2312" w:eastAsia="仿宋_GB2312"/>
          <w:sz w:val="32"/>
          <w:szCs w:val="32"/>
        </w:rPr>
        <w:t>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4"/>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vAlign w:val="center"/>
          </w:tcPr>
          <w:p>
            <w:pPr>
              <w:spacing w:line="300" w:lineRule="exact"/>
              <w:jc w:val="left"/>
              <w:outlineLvl w:val="0"/>
              <w:rPr>
                <w:rFonts w:hint="eastAsia" w:ascii="仿宋_GB2312" w:hAnsi="仿宋" w:eastAsia="仿宋_GB2312" w:cs="仿宋"/>
              </w:rPr>
            </w:pPr>
          </w:p>
        </w:tc>
        <w:tc>
          <w:tcPr>
            <w:tcW w:w="1112" w:type="dxa"/>
            <w:vMerge w:val="continue"/>
            <w:vAlign w:val="center"/>
          </w:tcPr>
          <w:p>
            <w:pPr>
              <w:spacing w:line="300" w:lineRule="exact"/>
              <w:jc w:val="left"/>
              <w:outlineLvl w:val="0"/>
              <w:rPr>
                <w:rFonts w:hint="eastAsia" w:ascii="仿宋_GB2312" w:hAnsi="仿宋" w:eastAsia="仿宋_GB2312" w:cs="仿宋"/>
              </w:rPr>
            </w:pPr>
          </w:p>
        </w:tc>
        <w:tc>
          <w:tcPr>
            <w:tcW w:w="1017" w:type="dxa"/>
            <w:vMerge w:val="continue"/>
            <w:vAlign w:val="center"/>
          </w:tcPr>
          <w:p>
            <w:pPr>
              <w:spacing w:line="300" w:lineRule="exact"/>
              <w:jc w:val="left"/>
              <w:outlineLvl w:val="0"/>
              <w:rPr>
                <w:rFonts w:hint="eastAsia" w:ascii="仿宋_GB2312" w:hAnsi="仿宋" w:eastAsia="仿宋_GB2312" w:cs="仿宋"/>
              </w:rPr>
            </w:pPr>
          </w:p>
        </w:tc>
        <w:tc>
          <w:tcPr>
            <w:tcW w:w="615" w:type="dxa"/>
            <w:vMerge w:val="continue"/>
            <w:vAlign w:val="center"/>
          </w:tcPr>
          <w:p>
            <w:pPr>
              <w:spacing w:line="300" w:lineRule="exact"/>
              <w:jc w:val="left"/>
              <w:outlineLvl w:val="0"/>
              <w:rPr>
                <w:rFonts w:hint="eastAsia" w:ascii="仿宋_GB2312" w:hAnsi="仿宋" w:eastAsia="仿宋_GB2312" w:cs="仿宋"/>
              </w:rPr>
            </w:pPr>
          </w:p>
        </w:tc>
        <w:tc>
          <w:tcPr>
            <w:tcW w:w="1047" w:type="dxa"/>
            <w:vMerge w:val="continue"/>
            <w:vAlign w:val="center"/>
          </w:tcPr>
          <w:p>
            <w:pPr>
              <w:spacing w:line="300" w:lineRule="exact"/>
              <w:jc w:val="left"/>
              <w:outlineLvl w:val="0"/>
              <w:rPr>
                <w:rFonts w:hint="eastAsia" w:ascii="仿宋_GB2312" w:hAnsi="仿宋" w:eastAsia="仿宋_GB2312" w:cs="仿宋"/>
              </w:rPr>
            </w:pPr>
          </w:p>
        </w:tc>
        <w:tc>
          <w:tcPr>
            <w:tcW w:w="898"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vAlign w:val="center"/>
          </w:tcPr>
          <w:p>
            <w:pPr>
              <w:spacing w:line="300" w:lineRule="exact"/>
              <w:jc w:val="left"/>
              <w:outlineLvl w:val="0"/>
              <w:rPr>
                <w:rFonts w:hint="eastAsia" w:ascii="仿宋_GB2312" w:hAnsi="仿宋" w:eastAsia="仿宋_GB2312" w:cs="仿宋"/>
              </w:rPr>
            </w:pPr>
          </w:p>
        </w:tc>
        <w:tc>
          <w:tcPr>
            <w:tcW w:w="897" w:type="dxa"/>
            <w:vMerge w:val="continue"/>
            <w:vAlign w:val="center"/>
          </w:tcPr>
          <w:p>
            <w:pPr>
              <w:spacing w:line="300" w:lineRule="exact"/>
              <w:jc w:val="left"/>
              <w:outlineLvl w:val="0"/>
              <w:rPr>
                <w:rFonts w:hint="eastAsia" w:ascii="仿宋_GB2312" w:hAnsi="仿宋" w:eastAsia="仿宋_GB2312" w:cs="仿宋"/>
              </w:rPr>
            </w:pPr>
          </w:p>
        </w:tc>
        <w:tc>
          <w:tcPr>
            <w:tcW w:w="1018" w:type="dxa"/>
            <w:vMerge w:val="continue"/>
            <w:vAlign w:val="center"/>
          </w:tcPr>
          <w:p>
            <w:pPr>
              <w:spacing w:line="300" w:lineRule="exact"/>
              <w:jc w:val="left"/>
              <w:outlineLvl w:val="0"/>
              <w:rPr>
                <w:rFonts w:hint="eastAsia" w:ascii="仿宋_GB2312" w:hAnsi="仿宋" w:eastAsia="仿宋_GB2312" w:cs="仿宋"/>
              </w:rPr>
            </w:pPr>
          </w:p>
        </w:tc>
        <w:tc>
          <w:tcPr>
            <w:tcW w:w="1112" w:type="dxa"/>
            <w:vMerge w:val="continue"/>
            <w:vAlign w:val="center"/>
          </w:tcPr>
          <w:p>
            <w:pPr>
              <w:spacing w:line="300" w:lineRule="exact"/>
              <w:jc w:val="left"/>
              <w:outlineLvl w:val="0"/>
              <w:rPr>
                <w:rFonts w:hint="eastAsia" w:ascii="仿宋_GB2312" w:hAnsi="仿宋" w:eastAsia="仿宋_GB2312" w:cs="仿宋"/>
              </w:rPr>
            </w:pPr>
          </w:p>
        </w:tc>
        <w:tc>
          <w:tcPr>
            <w:tcW w:w="1017" w:type="dxa"/>
            <w:vMerge w:val="continue"/>
            <w:vAlign w:val="center"/>
          </w:tcPr>
          <w:p>
            <w:pPr>
              <w:spacing w:line="300" w:lineRule="exact"/>
              <w:jc w:val="left"/>
              <w:outlineLvl w:val="0"/>
              <w:rPr>
                <w:rFonts w:hint="eastAsia" w:ascii="仿宋_GB2312" w:hAnsi="仿宋" w:eastAsia="仿宋_GB2312" w:cs="仿宋"/>
              </w:rPr>
            </w:pPr>
          </w:p>
        </w:tc>
        <w:tc>
          <w:tcPr>
            <w:tcW w:w="615" w:type="dxa"/>
            <w:vMerge w:val="continue"/>
            <w:vAlign w:val="center"/>
          </w:tcPr>
          <w:p>
            <w:pPr>
              <w:spacing w:line="300" w:lineRule="exact"/>
              <w:jc w:val="left"/>
              <w:outlineLvl w:val="0"/>
              <w:rPr>
                <w:rFonts w:hint="eastAsia" w:ascii="仿宋_GB2312" w:hAnsi="仿宋" w:eastAsia="仿宋_GB2312" w:cs="仿宋"/>
              </w:rPr>
            </w:pPr>
          </w:p>
        </w:tc>
        <w:tc>
          <w:tcPr>
            <w:tcW w:w="1047" w:type="dxa"/>
            <w:vMerge w:val="continue"/>
            <w:vAlign w:val="center"/>
          </w:tcPr>
          <w:p>
            <w:pPr>
              <w:spacing w:line="300" w:lineRule="exact"/>
              <w:jc w:val="left"/>
              <w:outlineLvl w:val="0"/>
              <w:rPr>
                <w:rFonts w:hint="eastAsia" w:ascii="仿宋_GB2312" w:hAnsi="仿宋" w:eastAsia="仿宋_GB2312" w:cs="仿宋"/>
              </w:rPr>
            </w:pPr>
          </w:p>
        </w:tc>
        <w:tc>
          <w:tcPr>
            <w:tcW w:w="898" w:type="dxa"/>
            <w:vMerge w:val="continue"/>
            <w:vAlign w:val="center"/>
          </w:tcPr>
          <w:p>
            <w:pPr>
              <w:spacing w:line="300" w:lineRule="exact"/>
              <w:jc w:val="left"/>
              <w:outlineLvl w:val="0"/>
              <w:rPr>
                <w:rFonts w:hint="eastAsia" w:ascii="仿宋_GB2312" w:hAnsi="仿宋" w:eastAsia="仿宋_GB2312" w:cs="仿宋"/>
              </w:rPr>
            </w:pP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center"/>
              <w:rPr>
                <w:rFonts w:hint="eastAsia" w:ascii="仿宋_GB2312" w:hAnsi="仿宋" w:eastAsia="仿宋_GB2312" w:cs="仿宋"/>
                <w:b/>
              </w:rPr>
            </w:pPr>
          </w:p>
        </w:tc>
        <w:tc>
          <w:tcPr>
            <w:tcW w:w="897" w:type="dxa"/>
            <w:vAlign w:val="center"/>
          </w:tcPr>
          <w:p>
            <w:pPr>
              <w:spacing w:line="300" w:lineRule="exact"/>
              <w:jc w:val="right"/>
              <w:rPr>
                <w:rFonts w:hint="eastAsia" w:ascii="仿宋_GB2312" w:hAnsi="仿宋" w:eastAsia="仿宋_GB2312" w:cs="仿宋"/>
                <w:b/>
              </w:rPr>
            </w:pPr>
          </w:p>
        </w:tc>
        <w:tc>
          <w:tcPr>
            <w:tcW w:w="1018" w:type="dxa"/>
            <w:vAlign w:val="center"/>
          </w:tcPr>
          <w:p>
            <w:pPr>
              <w:spacing w:line="300" w:lineRule="exact"/>
              <w:jc w:val="left"/>
              <w:rPr>
                <w:rFonts w:hint="eastAsia" w:ascii="仿宋_GB2312" w:hAnsi="仿宋" w:eastAsia="仿宋_GB2312" w:cs="仿宋"/>
                <w:b/>
              </w:rPr>
            </w:pPr>
          </w:p>
        </w:tc>
        <w:tc>
          <w:tcPr>
            <w:tcW w:w="1112" w:type="dxa"/>
            <w:vAlign w:val="center"/>
          </w:tcPr>
          <w:p>
            <w:pPr>
              <w:spacing w:line="300" w:lineRule="exact"/>
              <w:jc w:val="left"/>
              <w:rPr>
                <w:rFonts w:hint="eastAsia" w:ascii="仿宋_GB2312" w:hAnsi="仿宋" w:eastAsia="仿宋_GB2312" w:cs="仿宋"/>
                <w:b/>
              </w:rPr>
            </w:pPr>
          </w:p>
        </w:tc>
        <w:tc>
          <w:tcPr>
            <w:tcW w:w="1017" w:type="dxa"/>
            <w:vAlign w:val="center"/>
          </w:tcPr>
          <w:p>
            <w:pPr>
              <w:spacing w:line="300" w:lineRule="exact"/>
              <w:jc w:val="left"/>
              <w:rPr>
                <w:rFonts w:hint="eastAsia" w:ascii="仿宋_GB2312" w:hAnsi="仿宋" w:eastAsia="仿宋_GB2312" w:cs="仿宋"/>
                <w:b/>
              </w:rPr>
            </w:pPr>
          </w:p>
        </w:tc>
        <w:tc>
          <w:tcPr>
            <w:tcW w:w="615" w:type="dxa"/>
            <w:vAlign w:val="center"/>
          </w:tcPr>
          <w:p>
            <w:pPr>
              <w:spacing w:line="300" w:lineRule="exact"/>
              <w:jc w:val="right"/>
              <w:rPr>
                <w:rFonts w:hint="eastAsia" w:ascii="仿宋_GB2312" w:hAnsi="仿宋" w:eastAsia="仿宋_GB2312" w:cs="仿宋"/>
                <w:b/>
              </w:rPr>
            </w:pPr>
          </w:p>
        </w:tc>
        <w:tc>
          <w:tcPr>
            <w:tcW w:w="1047" w:type="dxa"/>
            <w:vAlign w:val="center"/>
          </w:tcPr>
          <w:p>
            <w:pPr>
              <w:spacing w:line="300" w:lineRule="exact"/>
              <w:jc w:val="right"/>
              <w:rPr>
                <w:rFonts w:hint="eastAsia" w:ascii="仿宋_GB2312" w:hAnsi="仿宋" w:eastAsia="仿宋_GB2312" w:cs="仿宋"/>
                <w:b/>
              </w:rPr>
            </w:pPr>
          </w:p>
        </w:tc>
        <w:tc>
          <w:tcPr>
            <w:tcW w:w="898"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1017" w:type="dxa"/>
            <w:vAlign w:val="center"/>
          </w:tcPr>
          <w:p>
            <w:pPr>
              <w:spacing w:line="300" w:lineRule="exact"/>
              <w:jc w:val="right"/>
              <w:rPr>
                <w:rFonts w:hint="eastAsia" w:ascii="仿宋_GB2312" w:hAnsi="仿宋" w:eastAsia="仿宋_GB2312" w:cs="仿宋"/>
                <w:b/>
              </w:rPr>
            </w:pPr>
          </w:p>
        </w:tc>
        <w:tc>
          <w:tcPr>
            <w:tcW w:w="959" w:type="dxa"/>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left"/>
              <w:rPr>
                <w:rFonts w:hint="eastAsia" w:ascii="仿宋" w:hAnsi="仿宋" w:eastAsia="仿宋" w:cs="仿宋"/>
              </w:rPr>
            </w:pPr>
          </w:p>
        </w:tc>
        <w:tc>
          <w:tcPr>
            <w:tcW w:w="897" w:type="dxa"/>
            <w:vAlign w:val="center"/>
          </w:tcPr>
          <w:p>
            <w:pPr>
              <w:spacing w:line="300" w:lineRule="exact"/>
              <w:jc w:val="right"/>
              <w:rPr>
                <w:rFonts w:hint="eastAsia" w:ascii="仿宋" w:hAnsi="仿宋" w:eastAsia="仿宋" w:cs="仿宋"/>
              </w:rPr>
            </w:pPr>
          </w:p>
        </w:tc>
        <w:tc>
          <w:tcPr>
            <w:tcW w:w="1018" w:type="dxa"/>
            <w:vAlign w:val="center"/>
          </w:tcPr>
          <w:p>
            <w:pPr>
              <w:spacing w:line="300" w:lineRule="exact"/>
              <w:jc w:val="left"/>
              <w:rPr>
                <w:rFonts w:hint="eastAsia" w:ascii="仿宋" w:hAnsi="仿宋" w:eastAsia="仿宋" w:cs="仿宋"/>
              </w:rPr>
            </w:pPr>
          </w:p>
        </w:tc>
        <w:tc>
          <w:tcPr>
            <w:tcW w:w="1112" w:type="dxa"/>
            <w:vAlign w:val="center"/>
          </w:tcPr>
          <w:p>
            <w:pPr>
              <w:spacing w:line="300" w:lineRule="exact"/>
              <w:jc w:val="left"/>
              <w:rPr>
                <w:rFonts w:hint="eastAsia" w:ascii="仿宋" w:hAnsi="仿宋" w:eastAsia="仿宋" w:cs="仿宋"/>
              </w:rPr>
            </w:pPr>
          </w:p>
        </w:tc>
        <w:tc>
          <w:tcPr>
            <w:tcW w:w="1017" w:type="dxa"/>
            <w:vAlign w:val="center"/>
          </w:tcPr>
          <w:p>
            <w:pPr>
              <w:spacing w:line="300" w:lineRule="exact"/>
              <w:jc w:val="left"/>
              <w:rPr>
                <w:rFonts w:hint="eastAsia" w:ascii="仿宋" w:hAnsi="仿宋" w:eastAsia="仿宋" w:cs="仿宋"/>
              </w:rPr>
            </w:pPr>
          </w:p>
        </w:tc>
        <w:tc>
          <w:tcPr>
            <w:tcW w:w="615" w:type="dxa"/>
            <w:vAlign w:val="center"/>
          </w:tcPr>
          <w:p>
            <w:pPr>
              <w:spacing w:line="300" w:lineRule="exact"/>
              <w:jc w:val="right"/>
              <w:rPr>
                <w:rFonts w:hint="eastAsia" w:ascii="仿宋" w:hAnsi="仿宋" w:eastAsia="仿宋" w:cs="仿宋"/>
              </w:rPr>
            </w:pPr>
          </w:p>
        </w:tc>
        <w:tc>
          <w:tcPr>
            <w:tcW w:w="1047" w:type="dxa"/>
            <w:vAlign w:val="center"/>
          </w:tcPr>
          <w:p>
            <w:pPr>
              <w:spacing w:line="300" w:lineRule="exact"/>
              <w:jc w:val="right"/>
              <w:rPr>
                <w:rFonts w:hint="eastAsia" w:ascii="仿宋" w:hAnsi="仿宋" w:eastAsia="仿宋" w:cs="仿宋"/>
              </w:rPr>
            </w:pPr>
          </w:p>
        </w:tc>
        <w:tc>
          <w:tcPr>
            <w:tcW w:w="898"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959" w:type="dxa"/>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vAlign w:val="center"/>
          </w:tcPr>
          <w:p>
            <w:pPr>
              <w:spacing w:line="300" w:lineRule="exact"/>
              <w:jc w:val="left"/>
              <w:rPr>
                <w:rFonts w:hint="eastAsia" w:ascii="仿宋" w:hAnsi="仿宋" w:eastAsia="仿宋" w:cs="仿宋"/>
              </w:rPr>
            </w:pPr>
          </w:p>
        </w:tc>
        <w:tc>
          <w:tcPr>
            <w:tcW w:w="897" w:type="dxa"/>
            <w:vAlign w:val="center"/>
          </w:tcPr>
          <w:p>
            <w:pPr>
              <w:spacing w:line="300" w:lineRule="exact"/>
              <w:jc w:val="right"/>
              <w:rPr>
                <w:rFonts w:hint="eastAsia" w:ascii="仿宋" w:hAnsi="仿宋" w:eastAsia="仿宋" w:cs="仿宋"/>
              </w:rPr>
            </w:pPr>
          </w:p>
        </w:tc>
        <w:tc>
          <w:tcPr>
            <w:tcW w:w="1018" w:type="dxa"/>
            <w:vAlign w:val="center"/>
          </w:tcPr>
          <w:p>
            <w:pPr>
              <w:spacing w:line="300" w:lineRule="exact"/>
              <w:jc w:val="left"/>
              <w:rPr>
                <w:rFonts w:hint="eastAsia" w:ascii="仿宋" w:hAnsi="仿宋" w:eastAsia="仿宋" w:cs="仿宋"/>
              </w:rPr>
            </w:pPr>
          </w:p>
        </w:tc>
        <w:tc>
          <w:tcPr>
            <w:tcW w:w="1112" w:type="dxa"/>
            <w:vAlign w:val="center"/>
          </w:tcPr>
          <w:p>
            <w:pPr>
              <w:spacing w:line="300" w:lineRule="exact"/>
              <w:jc w:val="left"/>
              <w:rPr>
                <w:rFonts w:hint="eastAsia" w:ascii="仿宋" w:hAnsi="仿宋" w:eastAsia="仿宋" w:cs="仿宋"/>
              </w:rPr>
            </w:pPr>
          </w:p>
        </w:tc>
        <w:tc>
          <w:tcPr>
            <w:tcW w:w="1017" w:type="dxa"/>
            <w:vAlign w:val="center"/>
          </w:tcPr>
          <w:p>
            <w:pPr>
              <w:spacing w:line="300" w:lineRule="exact"/>
              <w:jc w:val="left"/>
              <w:rPr>
                <w:rFonts w:hint="eastAsia" w:ascii="仿宋" w:hAnsi="仿宋" w:eastAsia="仿宋" w:cs="仿宋"/>
              </w:rPr>
            </w:pPr>
          </w:p>
        </w:tc>
        <w:tc>
          <w:tcPr>
            <w:tcW w:w="615" w:type="dxa"/>
            <w:vAlign w:val="center"/>
          </w:tcPr>
          <w:p>
            <w:pPr>
              <w:spacing w:line="300" w:lineRule="exact"/>
              <w:jc w:val="right"/>
              <w:rPr>
                <w:rFonts w:hint="eastAsia" w:ascii="仿宋" w:hAnsi="仿宋" w:eastAsia="仿宋" w:cs="仿宋"/>
              </w:rPr>
            </w:pPr>
          </w:p>
        </w:tc>
        <w:tc>
          <w:tcPr>
            <w:tcW w:w="1047" w:type="dxa"/>
            <w:vAlign w:val="center"/>
          </w:tcPr>
          <w:p>
            <w:pPr>
              <w:spacing w:line="300" w:lineRule="exact"/>
              <w:jc w:val="right"/>
              <w:rPr>
                <w:rFonts w:hint="eastAsia" w:ascii="仿宋" w:hAnsi="仿宋" w:eastAsia="仿宋" w:cs="仿宋"/>
              </w:rPr>
            </w:pPr>
          </w:p>
        </w:tc>
        <w:tc>
          <w:tcPr>
            <w:tcW w:w="898"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1017" w:type="dxa"/>
            <w:vAlign w:val="center"/>
          </w:tcPr>
          <w:p>
            <w:pPr>
              <w:spacing w:line="300" w:lineRule="exact"/>
              <w:jc w:val="right"/>
              <w:rPr>
                <w:rFonts w:hint="eastAsia" w:ascii="仿宋" w:hAnsi="仿宋" w:eastAsia="仿宋" w:cs="仿宋"/>
              </w:rPr>
            </w:pPr>
          </w:p>
        </w:tc>
        <w:tc>
          <w:tcPr>
            <w:tcW w:w="959" w:type="dxa"/>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rPr>
        <w:t>无此项公开内容，空表列示。</w:t>
      </w:r>
    </w:p>
    <w:p>
      <w:pPr>
        <w:jc w:val="left"/>
        <w:rPr>
          <w:rFonts w:hint="eastAsia" w:ascii="黑体" w:hAnsi="黑体" w:eastAsia="黑体"/>
          <w:color w:val="000000"/>
          <w:sz w:val="32"/>
        </w:rPr>
      </w:pPr>
    </w:p>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jc w:val="left"/>
        <w:rPr>
          <w:rFonts w:hint="eastAsia" w:ascii="黑体" w:hAnsi="黑体" w:eastAsia="黑体"/>
          <w:color w:val="000000"/>
          <w:sz w:val="32"/>
        </w:rPr>
      </w:pPr>
    </w:p>
    <w:p>
      <w:pPr>
        <w:jc w:val="left"/>
        <w:rPr>
          <w:rFonts w:hint="eastAsia" w:ascii="黑体" w:hAnsi="黑体" w:eastAsia="黑体"/>
          <w:color w:val="000000"/>
          <w:sz w:val="32"/>
        </w:rPr>
      </w:pPr>
    </w:p>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六</w:t>
      </w:r>
      <w:r>
        <w:rPr>
          <w:rFonts w:ascii="黑体" w:hAnsi="黑体" w:eastAsia="黑体"/>
          <w:color w:val="000000"/>
          <w:sz w:val="32"/>
        </w:rPr>
        <w:t>、国有资产信息</w:t>
      </w:r>
    </w:p>
    <w:p>
      <w:pPr>
        <w:spacing w:afterLines="50" w:line="360" w:lineRule="auto"/>
        <w:ind w:firstLine="640" w:firstLineChars="200"/>
        <w:rPr>
          <w:rFonts w:hint="eastAsia" w:ascii="仿宋_GB2312" w:eastAsia="仿宋_GB2312"/>
          <w:sz w:val="32"/>
          <w:szCs w:val="32"/>
        </w:rPr>
      </w:pPr>
      <w:r>
        <w:rPr>
          <w:rFonts w:hint="eastAsia" w:ascii="仿宋_GB2312" w:eastAsia="仿宋_GB2312"/>
          <w:sz w:val="32"/>
          <w:szCs w:val="32"/>
        </w:rPr>
        <w:t>截至上年末，我单位固定资产总额83.05万元，本年度无新增固定资产预算。本年度拟购置固定资产总额为0万元，具体情况如下：</w:t>
      </w: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截止时间：2021年12月31日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83.05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154.4</w:t>
            </w:r>
          </w:p>
        </w:tc>
        <w:tc>
          <w:tcPr>
            <w:tcW w:w="5103"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0.15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10.77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152</w:t>
            </w:r>
          </w:p>
        </w:tc>
        <w:tc>
          <w:tcPr>
            <w:tcW w:w="5103" w:type="dxa"/>
            <w:tcBorders>
              <w:top w:val="nil"/>
              <w:left w:val="nil"/>
              <w:bottom w:val="single" w:color="auto" w:sz="4" w:space="0"/>
              <w:right w:val="single" w:color="auto" w:sz="4" w:space="0"/>
            </w:tcBorders>
            <w:vAlign w:val="center"/>
          </w:tcPr>
          <w:p>
            <w:pPr>
              <w:jc w:val="center"/>
              <w:rPr>
                <w:rFonts w:ascii="宋体" w:hAnsi="宋体" w:eastAsia="宋体" w:cs="宋体"/>
                <w:kern w:val="0"/>
                <w:sz w:val="22"/>
              </w:rPr>
            </w:pPr>
            <w:r>
              <w:rPr>
                <w:rFonts w:hint="eastAsia" w:ascii="宋体" w:hAnsi="宋体" w:cs="宋体"/>
                <w:kern w:val="0"/>
                <w:sz w:val="22"/>
              </w:rPr>
              <w:t>72.13</w:t>
            </w:r>
          </w:p>
        </w:tc>
      </w:tr>
    </w:tbl>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ind w:firstLine="640" w:firstLineChars="200"/>
        <w:jc w:val="left"/>
        <w:rPr>
          <w:rFonts w:ascii="黑体" w:hAnsi="黑体" w:eastAsia="黑体"/>
          <w:color w:val="000000"/>
          <w:sz w:val="32"/>
        </w:rPr>
      </w:pPr>
      <w:r>
        <w:rPr>
          <w:rFonts w:hint="eastAsia" w:ascii="黑体" w:hAnsi="黑体" w:eastAsia="黑体"/>
          <w:color w:val="000000"/>
          <w:sz w:val="32"/>
        </w:rPr>
        <w:t>七</w:t>
      </w:r>
      <w:r>
        <w:rPr>
          <w:rFonts w:ascii="黑体" w:hAnsi="黑体" w:eastAsia="黑体"/>
          <w:color w:val="000000"/>
          <w:sz w:val="32"/>
        </w:rPr>
        <w:t>、名词解释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1、一般共预算拨款收入：指县级财政当年拨付的资金。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八</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0" w:lineRule="exact"/>
        <w:jc w:val="center"/>
        <w:rPr>
          <w:rFonts w:hint="eastAsia" w:ascii="仿宋_GB2312" w:hAnsi="黑体" w:eastAsia="仿宋_GB2312" w:cs="黑体"/>
          <w:b/>
          <w:color w:val="000000"/>
          <w:sz w:val="44"/>
          <w:szCs w:val="44"/>
        </w:rPr>
      </w:pPr>
      <w:r>
        <w:rPr>
          <w:rFonts w:hint="eastAsia" w:ascii="仿宋_GB2312" w:hAnsi="黑体" w:eastAsia="仿宋_GB2312" w:cs="黑体"/>
          <w:b/>
          <w:color w:val="000000"/>
          <w:sz w:val="44"/>
          <w:szCs w:val="44"/>
        </w:rPr>
        <w:t>三、2022年</w:t>
      </w:r>
      <w:r>
        <w:rPr>
          <w:rFonts w:hint="eastAsia" w:ascii="仿宋_GB2312" w:hAnsi="黑体" w:eastAsia="仿宋_GB2312" w:cs="黑体"/>
          <w:b/>
          <w:color w:val="000000"/>
          <w:sz w:val="44"/>
          <w:szCs w:val="44"/>
          <w:lang w:eastAsia="zh-CN"/>
        </w:rPr>
        <w:t>单位</w:t>
      </w:r>
      <w:r>
        <w:rPr>
          <w:rFonts w:hint="eastAsia" w:ascii="仿宋_GB2312" w:hAnsi="黑体" w:eastAsia="仿宋_GB2312" w:cs="黑体"/>
          <w:b/>
          <w:color w:val="000000"/>
          <w:sz w:val="44"/>
          <w:szCs w:val="44"/>
        </w:rPr>
        <w:t>预算绩效文本</w:t>
      </w:r>
    </w:p>
    <w:p>
      <w:pPr>
        <w:rPr>
          <w:rFonts w:hint="eastAsia"/>
        </w:rPr>
      </w:pPr>
    </w:p>
    <w:p>
      <w:pPr>
        <w:rPr>
          <w:rFonts w:hint="eastAsia"/>
        </w:rPr>
      </w:pP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pPr>
      <w:r>
        <w:rPr>
          <w:rFonts w:ascii="宋体" w:hAnsi="宋体" w:eastAsia="宋体" w:cs="宋体"/>
          <w:color w:val="000000"/>
        </w:rPr>
        <w:t xml:space="preserve"> </w:t>
      </w:r>
    </w:p>
    <w:p>
      <w:pPr>
        <w:jc w:val="center"/>
        <w:sectPr>
          <w:pgSz w:w="16840" w:h="11900" w:orient="landscape"/>
          <w:pgMar w:top="1304" w:right="1984" w:bottom="1304" w:left="1134" w:header="720" w:footer="720" w:gutter="0"/>
          <w:cols w:space="720" w:num="1"/>
          <w:titlePg/>
          <w:docGrid w:linePitch="326" w:charSpace="0"/>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 xml:space="preserve">第一部分 </w:t>
      </w:r>
      <w:r>
        <w:rPr>
          <w:rFonts w:hint="eastAsia" w:ascii="方正小标宋_GBK" w:hAnsi="方正小标宋_GBK" w:eastAsia="方正小标宋_GBK" w:cs="方正小标宋_GBK"/>
          <w:color w:val="000000"/>
          <w:sz w:val="30"/>
          <w:lang w:eastAsia="zh-CN"/>
        </w:rPr>
        <w:t>单位</w:t>
      </w:r>
      <w:r>
        <w:rPr>
          <w:rFonts w:ascii="方正小标宋_GBK" w:hAnsi="方正小标宋_GBK" w:eastAsia="方正小标宋_GBK" w:cs="方正小标宋_GBK"/>
          <w:color w:val="000000"/>
          <w:sz w:val="30"/>
        </w:rPr>
        <w:t>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4</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2.2021年市级社区干部生活补贴绩效目标表</w:t>
      </w:r>
      <w:r>
        <w:tab/>
      </w:r>
      <w:r>
        <w:fldChar w:fldCharType="begin"/>
      </w:r>
      <w:r>
        <w:instrText xml:space="preserve">PAGEREF _Toc_4_4_0000000005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3.办事处、社区工作经费绩效目标表</w:t>
      </w:r>
      <w:r>
        <w:tab/>
      </w:r>
      <w:r>
        <w:fldChar w:fldCharType="begin"/>
      </w:r>
      <w:r>
        <w:instrText xml:space="preserve">PAGEREF _Toc_4_4_0000000006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4.古城社区居民清洁取暖补贴绩效目标表</w:t>
      </w:r>
      <w:r>
        <w:tab/>
      </w:r>
      <w:r>
        <w:fldChar w:fldCharType="begin"/>
      </w:r>
      <w:r>
        <w:instrText xml:space="preserve">PAGEREF _Toc_4_4_0000000007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5.基层武装部建设经费绩效目标表</w:t>
      </w:r>
      <w:r>
        <w:tab/>
      </w:r>
      <w:r>
        <w:fldChar w:fldCharType="begin"/>
      </w:r>
      <w:r>
        <w:instrText xml:space="preserve">PAGEREF _Toc_4_4_0000000008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6.街道、社区综合事务经费绩效目标表</w:t>
      </w:r>
      <w:r>
        <w:tab/>
      </w:r>
      <w:r>
        <w:fldChar w:fldCharType="begin"/>
      </w:r>
      <w:r>
        <w:instrText xml:space="preserve">PAGEREF _Toc_4_4_0000000009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7.街道工作专项补助绩效目标表</w:t>
      </w:r>
      <w:r>
        <w:tab/>
      </w:r>
      <w:r>
        <w:fldChar w:fldCharType="begin"/>
      </w:r>
      <w:r>
        <w:instrText xml:space="preserve">PAGEREF _Toc_4_4_0000000010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8.社区党组服务群众经费绩效目标表</w:t>
      </w:r>
      <w:r>
        <w:tab/>
      </w:r>
      <w:r>
        <w:fldChar w:fldCharType="begin"/>
      </w:r>
      <w:r>
        <w:instrText xml:space="preserve">PAGEREF _Toc_4_4_0000000011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9.社区党组织服务群众专项经费绩效目标表</w:t>
      </w:r>
      <w:r>
        <w:tab/>
      </w:r>
      <w:r>
        <w:fldChar w:fldCharType="begin"/>
      </w:r>
      <w:r>
        <w:instrText xml:space="preserve">PAGEREF _Toc_4_4_0000000012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10.社区工作经费绩效目标表</w:t>
      </w:r>
      <w:r>
        <w:tab/>
      </w:r>
      <w:r>
        <w:fldChar w:fldCharType="begin"/>
      </w:r>
      <w:r>
        <w:instrText xml:space="preserve">PAGEREF _Toc_4_4_0000000013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11.社区工作专项补助绩效目标表</w:t>
      </w:r>
      <w:r>
        <w:tab/>
      </w:r>
      <w:r>
        <w:fldChar w:fldCharType="begin"/>
      </w:r>
      <w:r>
        <w:instrText xml:space="preserve">PAGEREF _Toc_4_4_0000000014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12.社区老居委会生活补贴绩效目标表</w:t>
      </w:r>
      <w:r>
        <w:tab/>
      </w:r>
      <w:r>
        <w:fldChar w:fldCharType="begin"/>
      </w:r>
      <w:r>
        <w:instrText xml:space="preserve">PAGEREF _Toc_4_4_0000000015 \h</w:instrText>
      </w:r>
      <w:r>
        <w:fldChar w:fldCharType="separate"/>
      </w:r>
      <w:r>
        <w:t>15</w:t>
      </w:r>
      <w:r>
        <w:fldChar w:fldCharType="end"/>
      </w:r>
      <w:r>
        <w:fldChar w:fldCharType="end"/>
      </w:r>
    </w:p>
    <w:p>
      <w:r>
        <w:fldChar w:fldCharType="end"/>
      </w:r>
    </w:p>
    <w:p>
      <w:pPr>
        <w:sectPr>
          <w:footerReference r:id="rId3" w:type="default"/>
          <w:footerReference r:id="rId4" w:type="even"/>
          <w:pgSz w:w="16840" w:h="11900" w:orient="landscape"/>
          <w:pgMar w:top="1304" w:right="1984" w:bottom="1304" w:left="1134" w:header="720" w:footer="720" w:gutter="0"/>
          <w:pgNumType w:start="1"/>
          <w:cols w:space="720" w:num="1"/>
          <w:docGrid w:linePitch="326" w:charSpace="0"/>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一、总体绩效目标</w:t>
      </w:r>
    </w:p>
    <w:p>
      <w:pPr>
        <w:pStyle w:val="7"/>
      </w:pPr>
    </w:p>
    <w:p>
      <w:pPr>
        <w:pStyle w:val="7"/>
      </w:pPr>
      <w:r>
        <w:t>总体目标：</w:t>
      </w:r>
    </w:p>
    <w:p>
      <w:pPr>
        <w:pStyle w:val="7"/>
      </w:pPr>
      <w:r>
        <w:t xml:space="preserve">坚持以习近平新时代中国特色社会主义思想为指导，深入贯彻习近平总书记系列重要讲话精神，严格落实中央和省、市工作部署，按照区委、区政府要求，扎实做好“六稳”工作、全面落实“六保”任务，认真开展“三重四创五优化”活动和“三基”建设年活动，坚持“讲政治、勇担当、抓落实、促发展”工作导向，坚持全面从严治党、依规治党，严格落实“两个责任”，加强监督检查，持之以恒纠正“四风”，以铁的纪律加强街道服务体系建设，为促进我区经济和社会各项事业迅速协调发展，构建和谐山海关奠定坚实基础。                                                                   </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职责分类绩效目标：</w:t>
      </w:r>
    </w:p>
    <w:p>
      <w:pPr>
        <w:pStyle w:val="8"/>
      </w:pPr>
      <w:r>
        <w:t>一、党建基层组织工作</w:t>
      </w:r>
    </w:p>
    <w:p>
      <w:pPr>
        <w:pStyle w:val="8"/>
      </w:pPr>
      <w:r>
        <w:t>绩效目标：促进立法交流与合作，提高立法人员业务水平，促进立法工作的科学化、民主化，不断提高立法质量和水平。</w:t>
      </w:r>
    </w:p>
    <w:p>
      <w:pPr>
        <w:pStyle w:val="8"/>
      </w:pPr>
      <w:r>
        <w:t>二、工委党员干部管理工作</w:t>
      </w:r>
    </w:p>
    <w:p>
      <w:pPr>
        <w:pStyle w:val="8"/>
      </w:pPr>
      <w:r>
        <w:t>绩效目标：开展理论学习活动。按规定做好七清理工作。每年按规章发展新党员。</w:t>
      </w:r>
    </w:p>
    <w:p>
      <w:pPr>
        <w:pStyle w:val="8"/>
      </w:pPr>
      <w:r>
        <w:t>三、人大监督</w:t>
      </w:r>
    </w:p>
    <w:p>
      <w:pPr>
        <w:pStyle w:val="8"/>
      </w:pPr>
      <w:r>
        <w:t>绩效目标：提高法规质量，保障其有效实施；发挥常委及代表的桥梁纽带作用，集中反映民意，促进依法履职。组织人大代表开展活动。</w:t>
      </w:r>
    </w:p>
    <w:p>
      <w:pPr>
        <w:pStyle w:val="8"/>
      </w:pPr>
      <w:r>
        <w:t>四、精神文明建设</w:t>
      </w:r>
    </w:p>
    <w:p>
      <w:pPr>
        <w:pStyle w:val="8"/>
      </w:pPr>
      <w:r>
        <w:t>绩效目标：精神文明建设工作。</w:t>
      </w:r>
    </w:p>
    <w:p>
      <w:pPr>
        <w:pStyle w:val="8"/>
      </w:pPr>
      <w:r>
        <w:t>五、群众组织工作</w:t>
      </w:r>
    </w:p>
    <w:p>
      <w:pPr>
        <w:pStyle w:val="8"/>
      </w:pPr>
      <w:r>
        <w:t>绩效目标：确保对基层党组织的领导，加强工青妇组织建设。完成依法征兵任务。</w:t>
      </w:r>
    </w:p>
    <w:p>
      <w:pPr>
        <w:pStyle w:val="8"/>
      </w:pPr>
      <w:r>
        <w:t>六、党风廉政建设工作</w:t>
      </w:r>
    </w:p>
    <w:p>
      <w:pPr>
        <w:pStyle w:val="8"/>
      </w:pPr>
      <w:r>
        <w:t>绩效目标：无公车私用现象；公务往来不收礼，不送礼。</w:t>
      </w:r>
    </w:p>
    <w:p>
      <w:pPr>
        <w:pStyle w:val="8"/>
      </w:pPr>
      <w:r>
        <w:t>七、人大事务管理</w:t>
      </w:r>
    </w:p>
    <w:p>
      <w:pPr>
        <w:pStyle w:val="8"/>
      </w:pPr>
      <w:r>
        <w:t>绩效目标：保障新闻宣传与新闻发布工作正常开展，提高人大信息透明度和影响力，加强人大对内、对外交流。保障会议表决系统正常运转；网络与办公平台正常运行；促进社会和谐稳定。</w:t>
      </w:r>
    </w:p>
    <w:p>
      <w:pPr>
        <w:pStyle w:val="8"/>
      </w:pPr>
      <w:r>
        <w:t>八、综合治理工作</w:t>
      </w:r>
    </w:p>
    <w:p>
      <w:pPr>
        <w:pStyle w:val="8"/>
      </w:pPr>
      <w:r>
        <w:t>绩效目标：开展法制宣传活动，排查矛盾纠纷，并及时调节。稳控、“双清”、重症精神障碍以奖代补工作。</w:t>
      </w:r>
    </w:p>
    <w:p>
      <w:pPr>
        <w:pStyle w:val="8"/>
      </w:pPr>
      <w:r>
        <w:t>九、其他指导、管理、协调和服务职能</w:t>
      </w:r>
    </w:p>
    <w:p>
      <w:pPr>
        <w:pStyle w:val="8"/>
      </w:pPr>
      <w:r>
        <w:t>绩效目标：努力与相关部门协调，积极发挥管理及服务职能，完成各项辅助工作。</w:t>
      </w:r>
    </w:p>
    <w:p>
      <w:pPr>
        <w:pStyle w:val="8"/>
      </w:pPr>
      <w:r>
        <w:t>十、参政议政</w:t>
      </w:r>
    </w:p>
    <w:p>
      <w:pPr>
        <w:pStyle w:val="8"/>
      </w:pPr>
      <w:r>
        <w:t>绩效目标：努力与相关部门协调，积极发挥管理及服务职能，完成各项辅助工作。</w:t>
      </w:r>
    </w:p>
    <w:p>
      <w:pPr>
        <w:pStyle w:val="8"/>
      </w:pPr>
      <w:r>
        <w:t>十一、人口与计生工作</w:t>
      </w:r>
    </w:p>
    <w:p>
      <w:pPr>
        <w:pStyle w:val="8"/>
      </w:pPr>
      <w:r>
        <w:t>绩效目标：完成区级下达各项工作指标</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一是保民生：以人为本促和谐。坚持就业惠民、创业富民、社保安民、以创建“和谐社区”为着眼点，不断做好各项社会保障服务，营造文明祥和的社区氛围。</w:t>
      </w:r>
    </w:p>
    <w:p>
      <w:pPr>
        <w:pStyle w:val="9"/>
      </w:pPr>
      <w:r>
        <w:t xml:space="preserve">二是抓全盘：社会事业工作齐头并进。为了进一步确保街道各项工作全面推进，街道落实领导负责制、中心工作包保制、具体工作分责制，做到任务落实及时，工作成效显著。      </w:t>
      </w:r>
    </w:p>
    <w:p>
      <w:pPr>
        <w:pStyle w:val="9"/>
      </w:pPr>
      <w:r>
        <w:t>三是树亮点特色工作促发展抓服务，创新社会管理模式。抓特色，家庭手工进社区，撑起扶贫帮困半边天；促和谐，以社区服务为依托，实现居家养老全覆盖。</w:t>
      </w:r>
    </w:p>
    <w:p>
      <w:pPr>
        <w:jc w:val="center"/>
        <w:sectPr>
          <w:pgSz w:w="16840" w:h="11900" w:orient="landscape"/>
          <w:pgMar w:top="1304" w:right="1984" w:bottom="1304" w:left="1134" w:header="720" w:footer="720" w:gutter="0"/>
          <w:pgNumType w:start="1"/>
          <w:cols w:space="720" w:num="1"/>
          <w:docGrid w:linePitch="326" w:charSpace="0"/>
        </w:sectPr>
      </w:pPr>
      <w:r>
        <w:rPr>
          <w:rFonts w:ascii="方正书宋_GBK" w:hAnsi="方正书宋_GBK" w:eastAsia="方正书宋_GBK" w:cs="方正书宋_GBK"/>
          <w:color w:val="000000"/>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6840" w:h="11900" w:orient="landscape"/>
          <w:pgMar w:top="1304" w:right="1984" w:bottom="1304" w:left="1134" w:header="720" w:footer="720" w:gutter="0"/>
          <w:cols w:space="720" w:num="1"/>
          <w:docGrid w:linePitch="326" w:charSpace="0"/>
        </w:sectPr>
      </w:pPr>
      <w:r>
        <w:rPr>
          <w:rFonts w:ascii="方正书宋_GBK" w:hAnsi="方正书宋_GBK" w:eastAsia="方正书宋_GBK" w:cs="方正书宋_GBK"/>
          <w:color w:val="000000"/>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13030322P00397010017P</w:t>
            </w:r>
          </w:p>
        </w:tc>
        <w:tc>
          <w:tcPr>
            <w:tcW w:w="1587" w:type="dxa"/>
            <w:vAlign w:val="center"/>
          </w:tcPr>
          <w:p>
            <w:pPr>
              <w:pStyle w:val="13"/>
            </w:pPr>
            <w:r>
              <w:t>项目名称</w:t>
            </w:r>
          </w:p>
        </w:tc>
        <w:tc>
          <w:tcPr>
            <w:tcW w:w="4422" w:type="dxa"/>
            <w:gridSpan w:val="3"/>
            <w:vAlign w:val="center"/>
          </w:tcPr>
          <w:p>
            <w:pPr>
              <w:pStyle w:val="12"/>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0.40</w:t>
            </w:r>
          </w:p>
        </w:tc>
        <w:tc>
          <w:tcPr>
            <w:tcW w:w="1587" w:type="dxa"/>
            <w:vAlign w:val="center"/>
          </w:tcPr>
          <w:p>
            <w:pPr>
              <w:pStyle w:val="13"/>
            </w:pPr>
            <w:r>
              <w:t>其中：财政    资金</w:t>
            </w:r>
          </w:p>
        </w:tc>
        <w:tc>
          <w:tcPr>
            <w:tcW w:w="1304" w:type="dxa"/>
            <w:vAlign w:val="center"/>
          </w:tcPr>
          <w:p>
            <w:pPr>
              <w:pStyle w:val="12"/>
            </w:pPr>
            <w:r>
              <w:t>0.40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保障公务用车保险费用</w:t>
            </w:r>
            <w:r>
              <w:tab/>
            </w:r>
            <w:r>
              <w:tab/>
            </w:r>
            <w:r>
              <w:tab/>
            </w:r>
            <w:r>
              <w:tab/>
            </w:r>
            <w:r>
              <w:tab/>
            </w:r>
            <w:r>
              <w:tab/>
            </w:r>
            <w:r>
              <w:tab/>
            </w:r>
          </w:p>
          <w:p>
            <w:pPr>
              <w:pStyle w:val="12"/>
            </w:pPr>
            <w:r>
              <w:t>保障公务用车正常运转</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1.保障公务用车保险费用</w:t>
            </w:r>
            <w:r>
              <w:tab/>
            </w:r>
            <w:r>
              <w:tab/>
            </w:r>
            <w:r>
              <w:tab/>
            </w:r>
            <w:r>
              <w:tab/>
            </w:r>
            <w:r>
              <w:tab/>
            </w:r>
            <w:r>
              <w:tab/>
            </w:r>
            <w:r>
              <w:tab/>
            </w:r>
          </w:p>
          <w:p>
            <w:pPr>
              <w:pStyle w:val="12"/>
            </w:pPr>
            <w:r>
              <w:t>保障公务用车正常运转</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出车次数</w:t>
            </w:r>
          </w:p>
        </w:tc>
        <w:tc>
          <w:tcPr>
            <w:tcW w:w="2891" w:type="dxa"/>
            <w:vAlign w:val="center"/>
          </w:tcPr>
          <w:p>
            <w:pPr>
              <w:pStyle w:val="12"/>
            </w:pPr>
            <w:r>
              <w:t>出车次数及时登记公车系统</w:t>
            </w:r>
          </w:p>
        </w:tc>
        <w:tc>
          <w:tcPr>
            <w:tcW w:w="1276" w:type="dxa"/>
            <w:vAlign w:val="center"/>
          </w:tcPr>
          <w:p>
            <w:pPr>
              <w:pStyle w:val="12"/>
            </w:pPr>
            <w:r>
              <w:t>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公车正常运行率</w:t>
            </w:r>
          </w:p>
        </w:tc>
        <w:tc>
          <w:tcPr>
            <w:tcW w:w="2891" w:type="dxa"/>
            <w:vAlign w:val="center"/>
          </w:tcPr>
          <w:p>
            <w:pPr>
              <w:pStyle w:val="12"/>
            </w:pPr>
            <w:r>
              <w:t>公车正常运行率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调查中单位人员对单位公车使用满意和较满意的人数占调查总人数的比率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2.2021年市级社区干部生活补贴绩效目标表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13030321P00EGD010004G</w:t>
            </w:r>
          </w:p>
        </w:tc>
        <w:tc>
          <w:tcPr>
            <w:tcW w:w="1587" w:type="dxa"/>
            <w:vAlign w:val="center"/>
          </w:tcPr>
          <w:p>
            <w:pPr>
              <w:pStyle w:val="13"/>
            </w:pPr>
            <w:r>
              <w:t>项目名称</w:t>
            </w:r>
          </w:p>
        </w:tc>
        <w:tc>
          <w:tcPr>
            <w:tcW w:w="4422" w:type="dxa"/>
            <w:gridSpan w:val="3"/>
            <w:vAlign w:val="center"/>
          </w:tcPr>
          <w:p>
            <w:pPr>
              <w:pStyle w:val="12"/>
            </w:pPr>
            <w:r>
              <w:t>2021年市级社区干部生活补贴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保障本单位社区人员工资及保险按时拨付</w:t>
            </w:r>
            <w:r>
              <w:tab/>
            </w:r>
            <w:r>
              <w:tab/>
            </w:r>
            <w:r>
              <w:tab/>
            </w:r>
            <w:r>
              <w:tab/>
            </w:r>
            <w:r>
              <w:tab/>
            </w:r>
            <w:r>
              <w:tab/>
            </w:r>
            <w:r>
              <w:tab/>
            </w:r>
          </w:p>
          <w:p>
            <w:pPr>
              <w:pStyle w:val="12"/>
            </w:pPr>
            <w:r>
              <w:t>保障本单位社区人员工资及保险足额发放和缴纳</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1.保障本单位社区人员工资及保险按时拨付</w:t>
            </w:r>
            <w:r>
              <w:tab/>
            </w:r>
            <w:r>
              <w:tab/>
            </w:r>
            <w:r>
              <w:tab/>
            </w:r>
            <w:r>
              <w:tab/>
            </w:r>
            <w:r>
              <w:tab/>
            </w:r>
            <w:r>
              <w:tab/>
            </w:r>
            <w:r>
              <w:tab/>
            </w:r>
          </w:p>
          <w:p>
            <w:pPr>
              <w:pStyle w:val="12"/>
            </w:pPr>
          </w:p>
          <w:p>
            <w:pPr>
              <w:pStyle w:val="12"/>
            </w:pPr>
            <w:r>
              <w:t>2.保障本单位社区人员工资及保险足额发放和缴纳</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19人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19人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3.办事处、社区工作经费绩效目标表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13030322P00410910003J</w:t>
            </w:r>
          </w:p>
        </w:tc>
        <w:tc>
          <w:tcPr>
            <w:tcW w:w="1587" w:type="dxa"/>
            <w:vAlign w:val="center"/>
          </w:tcPr>
          <w:p>
            <w:pPr>
              <w:pStyle w:val="13"/>
            </w:pPr>
            <w:r>
              <w:t>项目名称</w:t>
            </w:r>
          </w:p>
        </w:tc>
        <w:tc>
          <w:tcPr>
            <w:tcW w:w="4422" w:type="dxa"/>
            <w:gridSpan w:val="3"/>
            <w:vAlign w:val="center"/>
          </w:tcPr>
          <w:p>
            <w:pPr>
              <w:pStyle w:val="12"/>
            </w:pPr>
            <w:r>
              <w:t>办事处、社区工作经费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5.71</w:t>
            </w:r>
          </w:p>
        </w:tc>
        <w:tc>
          <w:tcPr>
            <w:tcW w:w="1587" w:type="dxa"/>
            <w:vAlign w:val="center"/>
          </w:tcPr>
          <w:p>
            <w:pPr>
              <w:pStyle w:val="13"/>
            </w:pPr>
            <w:r>
              <w:t>其中：财政    资金</w:t>
            </w:r>
          </w:p>
        </w:tc>
        <w:tc>
          <w:tcPr>
            <w:tcW w:w="1304" w:type="dxa"/>
            <w:vAlign w:val="center"/>
          </w:tcPr>
          <w:p>
            <w:pPr>
              <w:pStyle w:val="12"/>
            </w:pPr>
            <w:r>
              <w:t>5.71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用于弥补办事处、社区经费，用于预算外人员工资。</w:t>
            </w:r>
            <w:r>
              <w:tab/>
            </w:r>
            <w:r>
              <w:tab/>
            </w:r>
            <w:r>
              <w:tab/>
            </w:r>
            <w:r>
              <w:tab/>
            </w:r>
            <w:r>
              <w:tab/>
            </w:r>
            <w:r>
              <w:tab/>
            </w:r>
            <w:r>
              <w:tab/>
            </w:r>
          </w:p>
          <w:p>
            <w:pPr>
              <w:pStyle w:val="12"/>
            </w:pP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1.用于弥补办事处、社区经费，用于预算外人员工资。</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时效指标</w:t>
            </w:r>
          </w:p>
        </w:tc>
        <w:tc>
          <w:tcPr>
            <w:tcW w:w="1332" w:type="dxa"/>
            <w:vAlign w:val="center"/>
          </w:tcPr>
          <w:p>
            <w:pPr>
              <w:pStyle w:val="12"/>
            </w:pPr>
            <w:r>
              <w:t>及时率</w:t>
            </w:r>
          </w:p>
        </w:tc>
        <w:tc>
          <w:tcPr>
            <w:tcW w:w="2891" w:type="dxa"/>
            <w:vAlign w:val="center"/>
          </w:tcPr>
          <w:p>
            <w:pPr>
              <w:pStyle w:val="12"/>
            </w:pPr>
            <w:r>
              <w:t>及时发放预算外人员工资，缴纳保险</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足额率</w:t>
            </w:r>
          </w:p>
        </w:tc>
        <w:tc>
          <w:tcPr>
            <w:tcW w:w="2891" w:type="dxa"/>
            <w:vAlign w:val="center"/>
          </w:tcPr>
          <w:p>
            <w:pPr>
              <w:pStyle w:val="12"/>
            </w:pPr>
            <w:r>
              <w:t>足额发放预算外人员工资，缴纳保险</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冀财资[2017]674号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冀财资[2017]674号</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4.古城社区居民清洁取暖补贴绩效目标表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13030322P00411210001T</w:t>
            </w:r>
          </w:p>
        </w:tc>
        <w:tc>
          <w:tcPr>
            <w:tcW w:w="1587" w:type="dxa"/>
            <w:vAlign w:val="center"/>
          </w:tcPr>
          <w:p>
            <w:pPr>
              <w:pStyle w:val="13"/>
            </w:pPr>
            <w:r>
              <w:t>项目名称</w:t>
            </w:r>
          </w:p>
        </w:tc>
        <w:tc>
          <w:tcPr>
            <w:tcW w:w="4422" w:type="dxa"/>
            <w:gridSpan w:val="3"/>
            <w:vAlign w:val="center"/>
          </w:tcPr>
          <w:p>
            <w:pPr>
              <w:pStyle w:val="12"/>
            </w:pPr>
            <w:r>
              <w:t>古城社区居民清洁取暖补贴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135.00</w:t>
            </w:r>
          </w:p>
        </w:tc>
        <w:tc>
          <w:tcPr>
            <w:tcW w:w="1587" w:type="dxa"/>
            <w:vAlign w:val="center"/>
          </w:tcPr>
          <w:p>
            <w:pPr>
              <w:pStyle w:val="13"/>
            </w:pPr>
            <w:r>
              <w:t>其中：财政    资金</w:t>
            </w:r>
          </w:p>
        </w:tc>
        <w:tc>
          <w:tcPr>
            <w:tcW w:w="1304" w:type="dxa"/>
            <w:vAlign w:val="center"/>
          </w:tcPr>
          <w:p>
            <w:pPr>
              <w:pStyle w:val="12"/>
            </w:pPr>
            <w:r>
              <w:t>135.00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深入推进古城冬季清洁取暖工作</w:t>
            </w:r>
            <w:r>
              <w:tab/>
            </w:r>
            <w:r>
              <w:t>、改善古城环境卫生和空气质量</w:t>
            </w:r>
            <w:r>
              <w:tab/>
            </w:r>
            <w:r>
              <w:tab/>
            </w:r>
            <w:r>
              <w:tab/>
            </w:r>
            <w:r>
              <w:tab/>
            </w:r>
            <w:r>
              <w:tab/>
            </w:r>
            <w:r>
              <w:tab/>
            </w:r>
          </w:p>
          <w:p>
            <w:pPr>
              <w:pStyle w:val="12"/>
            </w:pPr>
            <w:r>
              <w:tab/>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1.深入推进古城冬季清洁取暖工作</w:t>
            </w:r>
            <w:r>
              <w:tab/>
            </w:r>
            <w:r>
              <w:t>、改善古城环境卫生和空气质量</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补贴发放准确率</w:t>
            </w:r>
          </w:p>
        </w:tc>
        <w:tc>
          <w:tcPr>
            <w:tcW w:w="2891" w:type="dxa"/>
            <w:vAlign w:val="center"/>
          </w:tcPr>
          <w:p>
            <w:pPr>
              <w:pStyle w:val="12"/>
            </w:pPr>
            <w:r>
              <w:t>补贴发放准确率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符合条件申报对象覆盖率</w:t>
            </w:r>
          </w:p>
        </w:tc>
        <w:tc>
          <w:tcPr>
            <w:tcW w:w="2891" w:type="dxa"/>
            <w:vAlign w:val="center"/>
          </w:tcPr>
          <w:p>
            <w:pPr>
              <w:pStyle w:val="12"/>
            </w:pPr>
            <w:r>
              <w:t>享受补贴政策人数占符合条件申报对象总数的比例</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古城辖区大气环境标准</w:t>
            </w:r>
          </w:p>
        </w:tc>
        <w:tc>
          <w:tcPr>
            <w:tcW w:w="2891" w:type="dxa"/>
            <w:vAlign w:val="center"/>
          </w:tcPr>
          <w:p>
            <w:pPr>
              <w:pStyle w:val="12"/>
            </w:pPr>
            <w:r>
              <w:t>古城辖区大气浓度PM2.5平均值小于35.0微克/立方米</w:t>
            </w:r>
          </w:p>
        </w:tc>
        <w:tc>
          <w:tcPr>
            <w:tcW w:w="1276" w:type="dxa"/>
            <w:vAlign w:val="center"/>
          </w:tcPr>
          <w:p>
            <w:pPr>
              <w:pStyle w:val="12"/>
            </w:pPr>
            <w:r>
              <w:t>≤35微克/立方米</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群众满意数量占总数的比例。</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5.基层武装部建设经费绩效目标表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13030322P004135100045</w:t>
            </w:r>
          </w:p>
        </w:tc>
        <w:tc>
          <w:tcPr>
            <w:tcW w:w="1587" w:type="dxa"/>
            <w:vAlign w:val="center"/>
          </w:tcPr>
          <w:p>
            <w:pPr>
              <w:pStyle w:val="13"/>
            </w:pPr>
            <w:r>
              <w:t>项目名称</w:t>
            </w:r>
          </w:p>
        </w:tc>
        <w:tc>
          <w:tcPr>
            <w:tcW w:w="4422" w:type="dxa"/>
            <w:gridSpan w:val="3"/>
            <w:vAlign w:val="center"/>
          </w:tcPr>
          <w:p>
            <w:pPr>
              <w:pStyle w:val="12"/>
            </w:pPr>
            <w:r>
              <w:t>基层武装部建设经费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党管武装，民兵整组，征兵工作，教育培训，民兵营连部规范化建设经费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1.党管武装，民兵整组，征兵工作，教育培训，民兵营连部规范化建设</w:t>
            </w: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活动开展次数</w:t>
            </w:r>
          </w:p>
        </w:tc>
        <w:tc>
          <w:tcPr>
            <w:tcW w:w="2891" w:type="dxa"/>
            <w:vAlign w:val="center"/>
          </w:tcPr>
          <w:p>
            <w:pPr>
              <w:pStyle w:val="12"/>
            </w:pPr>
            <w:r>
              <w:t>开展民兵点验拉动，征兵宣传</w:t>
            </w:r>
          </w:p>
        </w:tc>
        <w:tc>
          <w:tcPr>
            <w:tcW w:w="1276" w:type="dxa"/>
            <w:vAlign w:val="center"/>
          </w:tcPr>
          <w:p>
            <w:pPr>
              <w:pStyle w:val="12"/>
            </w:pPr>
            <w:r>
              <w:t>≥2次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项目控制预算数</w:t>
            </w:r>
          </w:p>
        </w:tc>
        <w:tc>
          <w:tcPr>
            <w:tcW w:w="2891" w:type="dxa"/>
            <w:vAlign w:val="center"/>
          </w:tcPr>
          <w:p>
            <w:pPr>
              <w:pStyle w:val="12"/>
            </w:pPr>
            <w:r>
              <w:t>不超财政预算经费</w:t>
            </w:r>
          </w:p>
        </w:tc>
        <w:tc>
          <w:tcPr>
            <w:tcW w:w="1276" w:type="dxa"/>
            <w:vAlign w:val="center"/>
          </w:tcPr>
          <w:p>
            <w:pPr>
              <w:pStyle w:val="12"/>
            </w:pPr>
            <w:r>
              <w:t>2万元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覆盖人数</w:t>
            </w:r>
          </w:p>
        </w:tc>
        <w:tc>
          <w:tcPr>
            <w:tcW w:w="2891" w:type="dxa"/>
            <w:vAlign w:val="center"/>
          </w:tcPr>
          <w:p>
            <w:pPr>
              <w:pStyle w:val="12"/>
            </w:pPr>
            <w:r>
              <w:t>活动覆盖人数</w:t>
            </w:r>
          </w:p>
        </w:tc>
        <w:tc>
          <w:tcPr>
            <w:tcW w:w="1276" w:type="dxa"/>
            <w:vAlign w:val="center"/>
          </w:tcPr>
          <w:p>
            <w:pPr>
              <w:pStyle w:val="12"/>
            </w:pPr>
            <w:r>
              <w:t>≥30人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工作完成率</w:t>
            </w:r>
          </w:p>
        </w:tc>
        <w:tc>
          <w:tcPr>
            <w:tcW w:w="2891" w:type="dxa"/>
            <w:vAlign w:val="center"/>
          </w:tcPr>
          <w:p>
            <w:pPr>
              <w:pStyle w:val="12"/>
            </w:pPr>
            <w:r>
              <w:t>按工作要求完成计划</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长期使用性</w:t>
            </w:r>
          </w:p>
        </w:tc>
        <w:tc>
          <w:tcPr>
            <w:tcW w:w="2891" w:type="dxa"/>
            <w:vAlign w:val="center"/>
          </w:tcPr>
          <w:p>
            <w:pPr>
              <w:pStyle w:val="12"/>
            </w:pPr>
            <w:r>
              <w:t>能够长期较好满足工作需要</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提高工作效率</w:t>
            </w:r>
          </w:p>
        </w:tc>
        <w:tc>
          <w:tcPr>
            <w:tcW w:w="2891" w:type="dxa"/>
            <w:vAlign w:val="center"/>
          </w:tcPr>
          <w:p>
            <w:pPr>
              <w:pStyle w:val="12"/>
            </w:pPr>
            <w:r>
              <w:t>是否提高工作效率</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活动覆盖情况</w:t>
            </w:r>
          </w:p>
        </w:tc>
        <w:tc>
          <w:tcPr>
            <w:tcW w:w="2891" w:type="dxa"/>
            <w:vAlign w:val="center"/>
          </w:tcPr>
          <w:p>
            <w:pPr>
              <w:pStyle w:val="12"/>
            </w:pPr>
            <w:r>
              <w:t>活动参与人数</w:t>
            </w:r>
          </w:p>
        </w:tc>
        <w:tc>
          <w:tcPr>
            <w:tcW w:w="1276" w:type="dxa"/>
            <w:vAlign w:val="center"/>
          </w:tcPr>
          <w:p>
            <w:pPr>
              <w:pStyle w:val="12"/>
            </w:pPr>
            <w:r>
              <w:t>≥30人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节约成本</w:t>
            </w:r>
          </w:p>
        </w:tc>
        <w:tc>
          <w:tcPr>
            <w:tcW w:w="2891" w:type="dxa"/>
            <w:vAlign w:val="center"/>
          </w:tcPr>
          <w:p>
            <w:pPr>
              <w:pStyle w:val="12"/>
            </w:pPr>
            <w:r>
              <w:t>节约水电气暖成本</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活动开展满意度</w:t>
            </w:r>
          </w:p>
        </w:tc>
        <w:tc>
          <w:tcPr>
            <w:tcW w:w="1276" w:type="dxa"/>
            <w:vAlign w:val="center"/>
          </w:tcPr>
          <w:p>
            <w:pPr>
              <w:pStyle w:val="12"/>
            </w:pPr>
            <w:r>
              <w:t>≥95百分比</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6.街道、社区综合事务经费绩效目标表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13030322P00411510004N</w:t>
            </w:r>
          </w:p>
        </w:tc>
        <w:tc>
          <w:tcPr>
            <w:tcW w:w="1587" w:type="dxa"/>
            <w:vAlign w:val="center"/>
          </w:tcPr>
          <w:p>
            <w:pPr>
              <w:pStyle w:val="13"/>
            </w:pPr>
            <w:r>
              <w:t>项目名称</w:t>
            </w:r>
          </w:p>
        </w:tc>
        <w:tc>
          <w:tcPr>
            <w:tcW w:w="4422" w:type="dxa"/>
            <w:gridSpan w:val="3"/>
            <w:vAlign w:val="center"/>
          </w:tcPr>
          <w:p>
            <w:pPr>
              <w:pStyle w:val="12"/>
            </w:pPr>
            <w:r>
              <w:t>街道、社区综合事务经费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保障办事处各项工作正常开展、街道社区正常运转。</w:t>
            </w:r>
            <w:r>
              <w:tab/>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1.保障办事处各项工作正常开展、街道社区正常运转。</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综合事务保障率</w:t>
            </w:r>
          </w:p>
        </w:tc>
        <w:tc>
          <w:tcPr>
            <w:tcW w:w="2891" w:type="dxa"/>
            <w:vAlign w:val="center"/>
          </w:tcPr>
          <w:p>
            <w:pPr>
              <w:pStyle w:val="12"/>
            </w:pPr>
            <w:r>
              <w:t>反映保障机关正常运转，承办区委、区政府下达各项综合事务。</w:t>
            </w:r>
          </w:p>
          <w:p>
            <w:pPr>
              <w:pStyle w:val="12"/>
            </w:pP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辖区各项工作落实率</w:t>
            </w:r>
          </w:p>
        </w:tc>
        <w:tc>
          <w:tcPr>
            <w:tcW w:w="2891" w:type="dxa"/>
            <w:vAlign w:val="center"/>
          </w:tcPr>
          <w:p>
            <w:pPr>
              <w:pStyle w:val="12"/>
            </w:pPr>
            <w:r>
              <w:t>按要求完成辖区各项工作任务情况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7.街道工作专项补助绩效目标表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13030322P004117100042</w:t>
            </w:r>
          </w:p>
        </w:tc>
        <w:tc>
          <w:tcPr>
            <w:tcW w:w="1587" w:type="dxa"/>
            <w:vAlign w:val="center"/>
          </w:tcPr>
          <w:p>
            <w:pPr>
              <w:pStyle w:val="13"/>
            </w:pPr>
            <w:r>
              <w:t>项目名称</w:t>
            </w:r>
          </w:p>
        </w:tc>
        <w:tc>
          <w:tcPr>
            <w:tcW w:w="4422" w:type="dxa"/>
            <w:gridSpan w:val="3"/>
            <w:vAlign w:val="center"/>
          </w:tcPr>
          <w:p>
            <w:pPr>
              <w:pStyle w:val="12"/>
            </w:pPr>
            <w:r>
              <w:t>街道工作专项补助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188.00</w:t>
            </w:r>
          </w:p>
        </w:tc>
        <w:tc>
          <w:tcPr>
            <w:tcW w:w="1587" w:type="dxa"/>
            <w:vAlign w:val="center"/>
          </w:tcPr>
          <w:p>
            <w:pPr>
              <w:pStyle w:val="13"/>
            </w:pPr>
            <w:r>
              <w:t>其中：财政    资金</w:t>
            </w:r>
          </w:p>
        </w:tc>
        <w:tc>
          <w:tcPr>
            <w:tcW w:w="1304" w:type="dxa"/>
            <w:vAlign w:val="center"/>
          </w:tcPr>
          <w:p>
            <w:pPr>
              <w:pStyle w:val="12"/>
            </w:pPr>
            <w:r>
              <w:t>188.00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事业自收自支人员经费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1.保障本单位事业人员工资及保险按时拨付</w:t>
            </w:r>
            <w:r>
              <w:tab/>
            </w:r>
            <w:r>
              <w:t>，保障本单位事业人员工资及保险足额发放和缴纳</w:t>
            </w:r>
            <w:r>
              <w:tab/>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16人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16人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8.社区党组服务群众经费绩效目标表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13030321FVX8CQSYXPUNY</w:t>
            </w:r>
          </w:p>
        </w:tc>
        <w:tc>
          <w:tcPr>
            <w:tcW w:w="1587" w:type="dxa"/>
            <w:vAlign w:val="center"/>
          </w:tcPr>
          <w:p>
            <w:pPr>
              <w:pStyle w:val="13"/>
            </w:pPr>
            <w:r>
              <w:t>项目名称</w:t>
            </w:r>
          </w:p>
        </w:tc>
        <w:tc>
          <w:tcPr>
            <w:tcW w:w="4422" w:type="dxa"/>
            <w:gridSpan w:val="3"/>
            <w:vAlign w:val="center"/>
          </w:tcPr>
          <w:p>
            <w:pPr>
              <w:pStyle w:val="12"/>
            </w:pPr>
            <w:r>
              <w:t>社区党组服务群众经费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304" w:type="dxa"/>
            <w:vAlign w:val="center"/>
          </w:tcPr>
          <w:p>
            <w:pPr>
              <w:pStyle w:val="12"/>
            </w:pPr>
            <w:r>
              <w:t>6.00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东城社区、西城社区、服远社区党组织服务群众经费。</w:t>
            </w:r>
            <w:r>
              <w:tab/>
            </w:r>
            <w:r>
              <w:tab/>
            </w:r>
            <w:r>
              <w:tab/>
            </w:r>
            <w:r>
              <w:tab/>
            </w:r>
            <w:r>
              <w:tab/>
            </w:r>
            <w:r>
              <w:tab/>
            </w:r>
          </w:p>
          <w:p>
            <w:pPr>
              <w:pStyle w:val="12"/>
            </w:pPr>
            <w:r>
              <w:t>完善、开展东城社区、西城社区、服远社区党组织服务群众活动。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1.东城社区、西城社区、服远社区党组织服务群众经费。</w:t>
            </w:r>
          </w:p>
          <w:p>
            <w:pPr>
              <w:pStyle w:val="12"/>
            </w:pPr>
            <w:r>
              <w:t>2.完善、开展东城社区、西城社区、服远社区党组织服务群众活动。</w:t>
            </w: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辖区各项工作落实率</w:t>
            </w:r>
          </w:p>
        </w:tc>
        <w:tc>
          <w:tcPr>
            <w:tcW w:w="2891" w:type="dxa"/>
            <w:vAlign w:val="center"/>
          </w:tcPr>
          <w:p>
            <w:pPr>
              <w:pStyle w:val="12"/>
            </w:pPr>
            <w:r>
              <w:t>按要求完成辖区各项工作任务情况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组织宣传活动次数（次）</w:t>
            </w:r>
          </w:p>
        </w:tc>
        <w:tc>
          <w:tcPr>
            <w:tcW w:w="2891" w:type="dxa"/>
            <w:vAlign w:val="center"/>
          </w:tcPr>
          <w:p>
            <w:pPr>
              <w:pStyle w:val="12"/>
            </w:pPr>
            <w:r>
              <w:t>组织宣传活动次数</w:t>
            </w:r>
          </w:p>
        </w:tc>
        <w:tc>
          <w:tcPr>
            <w:tcW w:w="1276" w:type="dxa"/>
            <w:vAlign w:val="center"/>
          </w:tcPr>
          <w:p>
            <w:pPr>
              <w:pStyle w:val="12"/>
            </w:pPr>
            <w:r>
              <w:t>≥10次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9.社区党组织服务群众专项经费绩效目标表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13030322P00412010004H</w:t>
            </w:r>
          </w:p>
        </w:tc>
        <w:tc>
          <w:tcPr>
            <w:tcW w:w="1587" w:type="dxa"/>
            <w:vAlign w:val="center"/>
          </w:tcPr>
          <w:p>
            <w:pPr>
              <w:pStyle w:val="13"/>
            </w:pPr>
            <w:r>
              <w:t>项目名称</w:t>
            </w:r>
          </w:p>
        </w:tc>
        <w:tc>
          <w:tcPr>
            <w:tcW w:w="4422" w:type="dxa"/>
            <w:gridSpan w:val="3"/>
            <w:vAlign w:val="center"/>
          </w:tcPr>
          <w:p>
            <w:pPr>
              <w:pStyle w:val="12"/>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完善、开展东城社区、西城社区、服远社区党组织服务群众活动。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1.东城社区、西城社区、服远社区党组织服务群众经费。</w:t>
            </w:r>
          </w:p>
          <w:p>
            <w:pPr>
              <w:pStyle w:val="12"/>
            </w:pPr>
            <w:r>
              <w:t>2.完善、开展东城社区、西城社区、服远社区党组织服务群众活动。</w:t>
            </w: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辖区各项工作落实率</w:t>
            </w:r>
          </w:p>
        </w:tc>
        <w:tc>
          <w:tcPr>
            <w:tcW w:w="2891" w:type="dxa"/>
            <w:vAlign w:val="center"/>
          </w:tcPr>
          <w:p>
            <w:pPr>
              <w:pStyle w:val="12"/>
            </w:pPr>
            <w:r>
              <w:t>按要求完成辖区各项工作任务情况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组织宣传活动次数（次）</w:t>
            </w:r>
          </w:p>
        </w:tc>
        <w:tc>
          <w:tcPr>
            <w:tcW w:w="2891" w:type="dxa"/>
            <w:vAlign w:val="center"/>
          </w:tcPr>
          <w:p>
            <w:pPr>
              <w:pStyle w:val="12"/>
            </w:pPr>
            <w:r>
              <w:t>组织宣传活动次数</w:t>
            </w:r>
          </w:p>
        </w:tc>
        <w:tc>
          <w:tcPr>
            <w:tcW w:w="1276" w:type="dxa"/>
            <w:vAlign w:val="center"/>
          </w:tcPr>
          <w:p>
            <w:pPr>
              <w:pStyle w:val="12"/>
            </w:pPr>
            <w:r>
              <w:t>≥10次</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10.社区工作经费绩效目标表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13030322P004123100056</w:t>
            </w:r>
          </w:p>
        </w:tc>
        <w:tc>
          <w:tcPr>
            <w:tcW w:w="1587" w:type="dxa"/>
            <w:vAlign w:val="center"/>
          </w:tcPr>
          <w:p>
            <w:pPr>
              <w:pStyle w:val="13"/>
            </w:pPr>
            <w:r>
              <w:t>项目名称</w:t>
            </w:r>
          </w:p>
        </w:tc>
        <w:tc>
          <w:tcPr>
            <w:tcW w:w="4422" w:type="dxa"/>
            <w:gridSpan w:val="3"/>
            <w:vAlign w:val="center"/>
          </w:tcPr>
          <w:p>
            <w:pPr>
              <w:pStyle w:val="12"/>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东城社区、西城社区、服远社区工作经费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1.进一步强化城市社区服务群众，凝聚人心，优化管理，维护稳定的功能，加强和创新社会管理，促进辖区和谐稳定。</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支付公用经费人数</w:t>
            </w:r>
          </w:p>
        </w:tc>
        <w:tc>
          <w:tcPr>
            <w:tcW w:w="2891" w:type="dxa"/>
            <w:vAlign w:val="center"/>
          </w:tcPr>
          <w:p>
            <w:pPr>
              <w:pStyle w:val="12"/>
            </w:pPr>
            <w:r>
              <w:t>支付公用经费人数</w:t>
            </w:r>
          </w:p>
        </w:tc>
        <w:tc>
          <w:tcPr>
            <w:tcW w:w="1276" w:type="dxa"/>
            <w:vAlign w:val="center"/>
          </w:tcPr>
          <w:p>
            <w:pPr>
              <w:pStyle w:val="12"/>
            </w:pPr>
            <w:r>
              <w:t>19人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辖区各项工作落实率</w:t>
            </w:r>
          </w:p>
        </w:tc>
        <w:tc>
          <w:tcPr>
            <w:tcW w:w="2891" w:type="dxa"/>
            <w:vAlign w:val="center"/>
          </w:tcPr>
          <w:p>
            <w:pPr>
              <w:pStyle w:val="12"/>
            </w:pPr>
            <w:r>
              <w:t>按要求完成辖区各项工作任务情况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节约水、电等资源，降低能耗，实现绿色办公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11.社区工作专项补助绩效目标表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13030322P004126100057</w:t>
            </w:r>
          </w:p>
        </w:tc>
        <w:tc>
          <w:tcPr>
            <w:tcW w:w="1587" w:type="dxa"/>
            <w:vAlign w:val="center"/>
          </w:tcPr>
          <w:p>
            <w:pPr>
              <w:pStyle w:val="13"/>
            </w:pPr>
            <w:r>
              <w:t>项目名称</w:t>
            </w:r>
          </w:p>
        </w:tc>
        <w:tc>
          <w:tcPr>
            <w:tcW w:w="4422" w:type="dxa"/>
            <w:gridSpan w:val="3"/>
            <w:vAlign w:val="center"/>
          </w:tcPr>
          <w:p>
            <w:pPr>
              <w:pStyle w:val="12"/>
            </w:pPr>
            <w:r>
              <w:t>社区工作专项补助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94.00</w:t>
            </w:r>
          </w:p>
        </w:tc>
        <w:tc>
          <w:tcPr>
            <w:tcW w:w="1587" w:type="dxa"/>
            <w:vAlign w:val="center"/>
          </w:tcPr>
          <w:p>
            <w:pPr>
              <w:pStyle w:val="13"/>
            </w:pPr>
            <w:r>
              <w:t>其中：财政    资金</w:t>
            </w:r>
          </w:p>
        </w:tc>
        <w:tc>
          <w:tcPr>
            <w:tcW w:w="1304" w:type="dxa"/>
            <w:vAlign w:val="center"/>
          </w:tcPr>
          <w:p>
            <w:pPr>
              <w:pStyle w:val="12"/>
            </w:pPr>
            <w:r>
              <w:t>94.00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东城社区、西城社区、服远社区人员经费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1.保障本单位社区人员工资及保险按时拨付</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支付工资及保险人员数量</w:t>
            </w:r>
          </w:p>
        </w:tc>
        <w:tc>
          <w:tcPr>
            <w:tcW w:w="2891" w:type="dxa"/>
            <w:vAlign w:val="center"/>
          </w:tcPr>
          <w:p>
            <w:pPr>
              <w:pStyle w:val="12"/>
            </w:pPr>
            <w:r>
              <w:t>支付工资及保险人员数量</w:t>
            </w:r>
          </w:p>
        </w:tc>
        <w:tc>
          <w:tcPr>
            <w:tcW w:w="1276" w:type="dxa"/>
            <w:vAlign w:val="center"/>
          </w:tcPr>
          <w:p>
            <w:pPr>
              <w:pStyle w:val="12"/>
            </w:pPr>
            <w:r>
              <w:t>19人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工资及保险发放准确率</w:t>
            </w:r>
          </w:p>
        </w:tc>
        <w:tc>
          <w:tcPr>
            <w:tcW w:w="2891" w:type="dxa"/>
            <w:vAlign w:val="center"/>
          </w:tcPr>
          <w:p>
            <w:pPr>
              <w:pStyle w:val="12"/>
            </w:pPr>
            <w:r>
              <w:t>工资及保险发放准确率</w:t>
            </w:r>
          </w:p>
        </w:tc>
        <w:tc>
          <w:tcPr>
            <w:tcW w:w="1276" w:type="dxa"/>
            <w:vAlign w:val="center"/>
          </w:tcPr>
          <w:p>
            <w:pPr>
              <w:pStyle w:val="12"/>
            </w:pPr>
            <w:r>
              <w:t>19人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Pr>
        <w:sectPr>
          <w:pgSz w:w="16840" w:h="11900" w:orient="landscape"/>
          <w:pgMar w:top="1304" w:right="1984" w:bottom="1304" w:left="113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12.社区老居委会生活补贴绩效目标表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610001古城街道办事处部门秦皇岛市山海关区古城街道办事处本级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13030322P00412810005J</w:t>
            </w:r>
          </w:p>
        </w:tc>
        <w:tc>
          <w:tcPr>
            <w:tcW w:w="1587" w:type="dxa"/>
            <w:vAlign w:val="center"/>
          </w:tcPr>
          <w:p>
            <w:pPr>
              <w:pStyle w:val="13"/>
            </w:pPr>
            <w:r>
              <w:t>项目名称</w:t>
            </w:r>
          </w:p>
        </w:tc>
        <w:tc>
          <w:tcPr>
            <w:tcW w:w="4422" w:type="dxa"/>
            <w:gridSpan w:val="3"/>
            <w:vAlign w:val="center"/>
          </w:tcPr>
          <w:p>
            <w:pPr>
              <w:pStyle w:val="12"/>
            </w:pPr>
            <w:r>
              <w:t>社区老居委会生活补贴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8.53</w:t>
            </w:r>
          </w:p>
        </w:tc>
        <w:tc>
          <w:tcPr>
            <w:tcW w:w="1587" w:type="dxa"/>
            <w:vAlign w:val="center"/>
          </w:tcPr>
          <w:p>
            <w:pPr>
              <w:pStyle w:val="13"/>
            </w:pPr>
            <w:r>
              <w:t>其中：财政    资金</w:t>
            </w:r>
          </w:p>
        </w:tc>
        <w:tc>
          <w:tcPr>
            <w:tcW w:w="1304" w:type="dxa"/>
            <w:vAlign w:val="center"/>
          </w:tcPr>
          <w:p>
            <w:pPr>
              <w:pStyle w:val="12"/>
            </w:pPr>
            <w:r>
              <w:t>8.53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本单位14名退休居委会老主任工资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1.保障本单位14名退休居委会老主任工资按时拨付</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支付工资人员数量</w:t>
            </w:r>
          </w:p>
        </w:tc>
        <w:tc>
          <w:tcPr>
            <w:tcW w:w="2891" w:type="dxa"/>
            <w:vAlign w:val="center"/>
          </w:tcPr>
          <w:p>
            <w:pPr>
              <w:pStyle w:val="12"/>
            </w:pPr>
            <w:r>
              <w:t>支付工资人员数量</w:t>
            </w:r>
          </w:p>
        </w:tc>
        <w:tc>
          <w:tcPr>
            <w:tcW w:w="1276" w:type="dxa"/>
            <w:vAlign w:val="center"/>
          </w:tcPr>
          <w:p>
            <w:pPr>
              <w:pStyle w:val="12"/>
            </w:pPr>
            <w:r>
              <w:t>14人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工资发放准确率</w:t>
            </w:r>
          </w:p>
        </w:tc>
        <w:tc>
          <w:tcPr>
            <w:tcW w:w="2891" w:type="dxa"/>
            <w:vAlign w:val="center"/>
          </w:tcPr>
          <w:p>
            <w:pPr>
              <w:pStyle w:val="12"/>
            </w:pPr>
            <w:r>
              <w:t>工资发放准确率</w:t>
            </w:r>
          </w:p>
        </w:tc>
        <w:tc>
          <w:tcPr>
            <w:tcW w:w="1276" w:type="dxa"/>
            <w:vAlign w:val="center"/>
          </w:tcPr>
          <w:p>
            <w:pPr>
              <w:pStyle w:val="12"/>
            </w:pPr>
            <w:r>
              <w:t>14人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2891" w:type="dxa"/>
            <w:vAlign w:val="center"/>
          </w:tcPr>
          <w:p>
            <w:pPr>
              <w:pStyle w:val="12"/>
            </w:pPr>
            <w:r>
              <w:t>资金支付及时率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891" w:type="dxa"/>
            <w:vAlign w:val="center"/>
          </w:tcPr>
          <w:p>
            <w:pPr>
              <w:pStyle w:val="12"/>
            </w:pPr>
            <w:r>
              <w:t>控制在预算资金内</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保障工作完成</w:t>
            </w:r>
          </w:p>
        </w:tc>
        <w:tc>
          <w:tcPr>
            <w:tcW w:w="2891" w:type="dxa"/>
            <w:vAlign w:val="center"/>
          </w:tcPr>
          <w:p>
            <w:pPr>
              <w:pStyle w:val="12"/>
            </w:pPr>
            <w:r>
              <w:t>保障工作顺利完成</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资金使用效益</w:t>
            </w:r>
          </w:p>
        </w:tc>
        <w:tc>
          <w:tcPr>
            <w:tcW w:w="2891" w:type="dxa"/>
            <w:vAlign w:val="center"/>
          </w:tcPr>
          <w:p>
            <w:pPr>
              <w:pStyle w:val="12"/>
            </w:pPr>
            <w:r>
              <w:t>资金支出情况</w:t>
            </w:r>
          </w:p>
        </w:tc>
        <w:tc>
          <w:tcPr>
            <w:tcW w:w="1276" w:type="dxa"/>
            <w:vAlign w:val="center"/>
          </w:tcPr>
          <w:p>
            <w:pPr>
              <w:pStyle w:val="12"/>
            </w:pPr>
            <w:r>
              <w:t>按要求支出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业务工作稳定性</w:t>
            </w:r>
          </w:p>
        </w:tc>
        <w:tc>
          <w:tcPr>
            <w:tcW w:w="2891" w:type="dxa"/>
            <w:vAlign w:val="center"/>
          </w:tcPr>
          <w:p>
            <w:pPr>
              <w:pStyle w:val="12"/>
            </w:pPr>
            <w:r>
              <w:t>通过日常工作稳定运转</w:t>
            </w:r>
          </w:p>
        </w:tc>
        <w:tc>
          <w:tcPr>
            <w:tcW w:w="1276" w:type="dxa"/>
            <w:vAlign w:val="center"/>
          </w:tcPr>
          <w:p>
            <w:pPr>
              <w:pStyle w:val="12"/>
            </w:pPr>
            <w:r>
              <w:t>进一步推动</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保障社会发展</w:t>
            </w:r>
          </w:p>
        </w:tc>
        <w:tc>
          <w:tcPr>
            <w:tcW w:w="2891" w:type="dxa"/>
            <w:vAlign w:val="center"/>
          </w:tcPr>
          <w:p>
            <w:pPr>
              <w:pStyle w:val="12"/>
            </w:pPr>
            <w:r>
              <w:t>有效提供后勤保障</w:t>
            </w:r>
          </w:p>
        </w:tc>
        <w:tc>
          <w:tcPr>
            <w:tcW w:w="1276" w:type="dxa"/>
            <w:vAlign w:val="center"/>
          </w:tcPr>
          <w:p>
            <w:pPr>
              <w:pStyle w:val="12"/>
            </w:pPr>
            <w:r>
              <w:t>进一步保障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满意度人员占总职工人数</w:t>
            </w:r>
          </w:p>
        </w:tc>
        <w:tc>
          <w:tcPr>
            <w:tcW w:w="1276" w:type="dxa"/>
            <w:vAlign w:val="center"/>
          </w:tcPr>
          <w:p>
            <w:pPr>
              <w:pStyle w:val="12"/>
            </w:pPr>
            <w:r>
              <w:t>≥95%</w:t>
            </w:r>
          </w:p>
        </w:tc>
        <w:tc>
          <w:tcPr>
            <w:tcW w:w="1843" w:type="dxa"/>
            <w:vAlign w:val="center"/>
          </w:tcPr>
          <w:p>
            <w:pPr>
              <w:pStyle w:val="12"/>
            </w:pPr>
            <w:r>
              <w:t>年度工作计划</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OWVjZDhiYmU5MDk4MzlhNTRiMmRmYTEwZTUxMzEifQ=="/>
  </w:docVars>
  <w:rsids>
    <w:rsidRoot w:val="00353304"/>
    <w:rsid w:val="000D6584"/>
    <w:rsid w:val="000E2A73"/>
    <w:rsid w:val="00127A30"/>
    <w:rsid w:val="00137D33"/>
    <w:rsid w:val="001B2B01"/>
    <w:rsid w:val="001C7913"/>
    <w:rsid w:val="001D1763"/>
    <w:rsid w:val="002114E6"/>
    <w:rsid w:val="00232B9D"/>
    <w:rsid w:val="00245855"/>
    <w:rsid w:val="002A5169"/>
    <w:rsid w:val="00353304"/>
    <w:rsid w:val="0041686C"/>
    <w:rsid w:val="00432054"/>
    <w:rsid w:val="005955D2"/>
    <w:rsid w:val="005957C7"/>
    <w:rsid w:val="005A546B"/>
    <w:rsid w:val="00620F0D"/>
    <w:rsid w:val="0066532A"/>
    <w:rsid w:val="0068148B"/>
    <w:rsid w:val="00717EB9"/>
    <w:rsid w:val="007537C0"/>
    <w:rsid w:val="007B0B86"/>
    <w:rsid w:val="007D5ABC"/>
    <w:rsid w:val="0081560F"/>
    <w:rsid w:val="00825462"/>
    <w:rsid w:val="00873588"/>
    <w:rsid w:val="008A77C2"/>
    <w:rsid w:val="008E44BC"/>
    <w:rsid w:val="009633C8"/>
    <w:rsid w:val="009D0F9F"/>
    <w:rsid w:val="009F2715"/>
    <w:rsid w:val="00A41036"/>
    <w:rsid w:val="00A771D7"/>
    <w:rsid w:val="00BA747E"/>
    <w:rsid w:val="00BB57E7"/>
    <w:rsid w:val="00DE5E54"/>
    <w:rsid w:val="00E05150"/>
    <w:rsid w:val="00F47E21"/>
    <w:rsid w:val="00F72B05"/>
    <w:rsid w:val="00FA50C6"/>
    <w:rsid w:val="037C160D"/>
    <w:rsid w:val="25DC07D0"/>
    <w:rsid w:val="26407CBC"/>
    <w:rsid w:val="35D5316B"/>
    <w:rsid w:val="3FFE29C4"/>
    <w:rsid w:val="5E312ED0"/>
    <w:rsid w:val="6AB07304"/>
    <w:rsid w:val="6E643F84"/>
    <w:rsid w:val="71050507"/>
    <w:rsid w:val="75DF3C17"/>
    <w:rsid w:val="7DEB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9"/>
    <w:autoRedefine/>
    <w:semiHidden/>
    <w:unhideWhenUsed/>
    <w:uiPriority w:val="99"/>
    <w:pPr>
      <w:widowControl/>
      <w:tabs>
        <w:tab w:val="center" w:pos="4153"/>
        <w:tab w:val="right" w:pos="8306"/>
      </w:tabs>
      <w:snapToGrid w:val="0"/>
      <w:jc w:val="left"/>
    </w:pPr>
    <w:rPr>
      <w:rFonts w:ascii="Times New Roman" w:hAnsi="Times New Roman" w:eastAsia="Times New Roman" w:cs="Times New Roman"/>
      <w:kern w:val="0"/>
      <w:sz w:val="18"/>
      <w:szCs w:val="18"/>
      <w:lang w:eastAsia="uk-UA"/>
    </w:rPr>
  </w:style>
  <w:style w:type="paragraph" w:styleId="3">
    <w:name w:val="header"/>
    <w:basedOn w:val="1"/>
    <w:link w:val="18"/>
    <w:autoRedefine/>
    <w:semiHidden/>
    <w:unhideWhenUsed/>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cs="Times New Roman"/>
      <w:kern w:val="0"/>
      <w:sz w:val="18"/>
      <w:szCs w:val="18"/>
      <w:lang w:eastAsia="uk-UA"/>
    </w:rPr>
  </w:style>
  <w:style w:type="table" w:styleId="5">
    <w:name w:val="Table Grid"/>
    <w:basedOn w:val="4"/>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8">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9">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0">
    <w:name w:val="单元格样式4"/>
    <w:basedOn w:val="1"/>
    <w:autoRedefine/>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autoRedefine/>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autoRedefine/>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5">
    <w:name w:val="TOC 2"/>
    <w:basedOn w:val="1"/>
    <w:autoRedefine/>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16">
    <w:name w:val="TOC 4"/>
    <w:basedOn w:val="1"/>
    <w:autoRedefine/>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17">
    <w:name w:val="TOC 1"/>
    <w:basedOn w:val="1"/>
    <w:autoRedefine/>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character" w:customStyle="1" w:styleId="18">
    <w:name w:val="页眉 Char"/>
    <w:basedOn w:val="6"/>
    <w:link w:val="3"/>
    <w:autoRedefine/>
    <w:semiHidden/>
    <w:qFormat/>
    <w:uiPriority w:val="99"/>
    <w:rPr>
      <w:rFonts w:ascii="Times New Roman" w:hAnsi="Times New Roman" w:eastAsia="Times New Roman" w:cs="Times New Roman"/>
      <w:kern w:val="0"/>
      <w:sz w:val="18"/>
      <w:szCs w:val="18"/>
      <w:lang w:eastAsia="uk-UA"/>
    </w:rPr>
  </w:style>
  <w:style w:type="character" w:customStyle="1" w:styleId="19">
    <w:name w:val="页脚 Char"/>
    <w:basedOn w:val="6"/>
    <w:link w:val="2"/>
    <w:semiHidden/>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58C0A9-1410-4B97-AA6A-2316AA08E13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13240</Words>
  <Characters>16130</Characters>
  <Lines>157</Lines>
  <Paragraphs>44</Paragraphs>
  <TotalTime>4</TotalTime>
  <ScaleCrop>false</ScaleCrop>
  <LinksUpToDate>false</LinksUpToDate>
  <CharactersWithSpaces>17327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2022-06-17T07:19:00Z</dcterms:created>
  <dc:creator>Administrator</dc:creator>
  <cp:lastModifiedBy>晶致</cp:lastModifiedBy>
  <dcterms:modified xsi:type="dcterms:W3CDTF">2024-01-19T07:17:00Z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9BD2FE18AEBA431BABE435325FB2A6E0</vt:lpwstr>
  </property>
</Properties>
</file>