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jc w:val="center"/>
        <w:outlineLvl w:val="0"/>
        <w:rPr>
          <w:sz w:val="44"/>
          <w:szCs w:val="44"/>
        </w:rPr>
      </w:pPr>
      <w:r>
        <w:rPr>
          <w:rFonts w:hint="eastAsia" w:ascii="黑体" w:hAnsi="黑体" w:eastAsia="黑体" w:cs="黑体"/>
          <w:b/>
          <w:color w:val="000000"/>
          <w:sz w:val="44"/>
          <w:szCs w:val="44"/>
        </w:rPr>
        <w:t>山海关区古城街道办事处</w:t>
      </w:r>
      <w:r>
        <w:rPr>
          <w:rFonts w:ascii="黑体" w:hAnsi="黑体" w:eastAsia="黑体" w:cs="黑体"/>
          <w:b/>
          <w:color w:val="000000"/>
          <w:sz w:val="44"/>
          <w:szCs w:val="44"/>
        </w:rPr>
        <w:t>2022年</w:t>
      </w:r>
      <w:r>
        <w:rPr>
          <w:rFonts w:hint="eastAsia" w:ascii="黑体" w:hAnsi="黑体" w:eastAsia="黑体" w:cs="黑体"/>
          <w:b/>
          <w:color w:val="000000"/>
          <w:sz w:val="44"/>
          <w:szCs w:val="44"/>
        </w:rPr>
        <w:t>单位</w:t>
      </w:r>
      <w:r>
        <w:rPr>
          <w:rFonts w:ascii="黑体" w:hAnsi="黑体" w:eastAsia="黑体" w:cs="黑体"/>
          <w:b/>
          <w:color w:val="000000"/>
          <w:sz w:val="44"/>
          <w:szCs w:val="44"/>
        </w:rPr>
        <w:t>预算信息公开</w:t>
      </w:r>
    </w:p>
    <w:p>
      <w:pPr>
        <w:spacing w:line="580" w:lineRule="exact"/>
        <w:jc w:val="left"/>
        <w:rPr>
          <w:rFonts w:ascii="黑体" w:hAnsi="黑体" w:eastAsia="黑体" w:cs="黑体"/>
          <w:color w:val="000000"/>
          <w:sz w:val="36"/>
          <w:szCs w:val="36"/>
        </w:rPr>
      </w:pP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一、2022年单位预算公开表格</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（一）单位预算收支总表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（二）单位预算收入总表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（三）单位预算支出总表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（四）单位预算财政拨款收支总表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（五）单位预算一般公共预算财政拨款支出表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（六）单位预算一般公共预算财政拨款基本支出表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（七）单位预算政府基金预算财政拨款支出表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（八）单位预算国有资本经营预算财政拨款支出表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（九）单位预算财政拨款“三公”经费支出表</w:t>
      </w:r>
    </w:p>
    <w:p>
      <w:pPr>
        <w:spacing w:line="580" w:lineRule="exact"/>
        <w:jc w:val="left"/>
        <w:rPr>
          <w:rFonts w:hint="eastAsia" w:ascii="仿宋_GB2312" w:hAnsi="黑体" w:eastAsia="仿宋_GB2312" w:cs="黑体"/>
          <w:b/>
          <w:color w:val="000000"/>
          <w:sz w:val="32"/>
        </w:rPr>
      </w:pPr>
    </w:p>
    <w:p>
      <w:pPr>
        <w:spacing w:line="580" w:lineRule="exact"/>
        <w:jc w:val="left"/>
        <w:rPr>
          <w:rFonts w:hint="eastAsia" w:ascii="仿宋_GB2312" w:hAnsi="黑体" w:eastAsia="仿宋_GB2312" w:cs="黑体"/>
          <w:b/>
          <w:color w:val="000000"/>
          <w:sz w:val="32"/>
        </w:rPr>
      </w:pP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二、2022年单位预算公开说明</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（一）单位职责及机构设置情况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（二）单位预算安排的总体情况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（三）机关运行经费安排情况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（四）财政拨款“三公”经费预算情况及增减变化原因</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（五）预算绩效信息</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（六）政府采购预算情况</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（七）国有资产信息</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（八）名词解释</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（九）其他需要说明的事项</w:t>
      </w:r>
    </w:p>
    <w:p>
      <w:pPr>
        <w:spacing w:line="580" w:lineRule="exact"/>
        <w:jc w:val="center"/>
        <w:rPr>
          <w:rFonts w:ascii="仿宋_GB2312" w:hAnsi="黑体" w:eastAsia="仿宋_GB2312" w:cs="黑体"/>
          <w:b/>
          <w:color w:val="000000"/>
          <w:sz w:val="36"/>
          <w:szCs w:val="36"/>
        </w:rPr>
      </w:pPr>
    </w:p>
    <w:p>
      <w:pPr>
        <w:spacing w:line="580" w:lineRule="exact"/>
        <w:rPr>
          <w:rFonts w:ascii="仿宋_GB2312" w:hAnsi="黑体" w:eastAsia="仿宋_GB2312" w:cs="黑体"/>
          <w:b/>
          <w:color w:val="000000"/>
          <w:sz w:val="32"/>
        </w:rPr>
      </w:pPr>
      <w:r>
        <w:rPr>
          <w:rFonts w:hint="eastAsia" w:ascii="仿宋_GB2312" w:hAnsi="黑体" w:eastAsia="仿宋_GB2312" w:cs="黑体"/>
          <w:b/>
          <w:color w:val="000000"/>
          <w:sz w:val="32"/>
        </w:rPr>
        <w:t>三、2022年</w:t>
      </w:r>
      <w:r>
        <w:rPr>
          <w:rFonts w:hint="eastAsia" w:ascii="仿宋_GB2312" w:hAnsi="黑体" w:eastAsia="仿宋_GB2312" w:cs="黑体"/>
          <w:b/>
          <w:color w:val="000000"/>
          <w:sz w:val="32"/>
          <w:lang w:eastAsia="zh-CN"/>
        </w:rPr>
        <w:t>单位</w:t>
      </w:r>
      <w:r>
        <w:rPr>
          <w:rFonts w:hint="eastAsia" w:ascii="仿宋_GB2312" w:hAnsi="黑体" w:eastAsia="仿宋_GB2312" w:cs="黑体"/>
          <w:b/>
          <w:color w:val="000000"/>
          <w:sz w:val="32"/>
        </w:rPr>
        <w:t>预算绩效文本</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（一）</w:t>
      </w:r>
      <w:r>
        <w:rPr>
          <w:rFonts w:hint="eastAsia" w:ascii="仿宋_GB2312" w:hAnsi="黑体" w:eastAsia="仿宋_GB2312"/>
          <w:color w:val="000000"/>
          <w:sz w:val="32"/>
          <w:lang w:eastAsia="zh-CN"/>
        </w:rPr>
        <w:t>单位</w:t>
      </w:r>
      <w:r>
        <w:rPr>
          <w:rFonts w:hint="eastAsia" w:ascii="仿宋_GB2312" w:hAnsi="黑体" w:eastAsia="仿宋_GB2312"/>
          <w:color w:val="000000"/>
          <w:sz w:val="32"/>
        </w:rPr>
        <w:t>整体绩效目标</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（二）预算项目绩效目标</w:t>
      </w:r>
    </w:p>
    <w:p>
      <w:pPr>
        <w:spacing w:line="580" w:lineRule="exact"/>
        <w:jc w:val="center"/>
        <w:rPr>
          <w:rFonts w:ascii="仿宋_GB2312" w:hAnsi="黑体" w:eastAsia="仿宋_GB2312" w:cs="黑体"/>
          <w:b/>
          <w:color w:val="000000"/>
          <w:sz w:val="36"/>
          <w:szCs w:val="36"/>
        </w:rPr>
      </w:pPr>
    </w:p>
    <w:p>
      <w:pPr>
        <w:spacing w:line="580" w:lineRule="exact"/>
        <w:jc w:val="center"/>
        <w:rPr>
          <w:rFonts w:ascii="仿宋_GB2312" w:hAnsi="黑体" w:eastAsia="仿宋_GB2312" w:cs="黑体"/>
          <w:b/>
          <w:color w:val="000000"/>
          <w:sz w:val="36"/>
          <w:szCs w:val="36"/>
        </w:rPr>
      </w:pPr>
    </w:p>
    <w:p>
      <w:pPr>
        <w:rPr>
          <w:rFonts w:hint="eastAsia"/>
        </w:rPr>
      </w:pPr>
    </w:p>
    <w:p/>
    <w:tbl>
      <w:tblPr>
        <w:tblStyle w:val="4"/>
        <w:tblW w:w="15191" w:type="dxa"/>
        <w:tblInd w:w="94" w:type="dxa"/>
        <w:tblLayout w:type="autofit"/>
        <w:tblCellMar>
          <w:top w:w="0" w:type="dxa"/>
          <w:left w:w="108" w:type="dxa"/>
          <w:bottom w:w="0" w:type="dxa"/>
          <w:right w:w="108" w:type="dxa"/>
        </w:tblCellMar>
      </w:tblPr>
      <w:tblGrid>
        <w:gridCol w:w="453"/>
        <w:gridCol w:w="1023"/>
        <w:gridCol w:w="3832"/>
        <w:gridCol w:w="851"/>
        <w:gridCol w:w="851"/>
        <w:gridCol w:w="1227"/>
        <w:gridCol w:w="1227"/>
        <w:gridCol w:w="827"/>
        <w:gridCol w:w="828"/>
        <w:gridCol w:w="1227"/>
        <w:gridCol w:w="1627"/>
        <w:gridCol w:w="580"/>
        <w:gridCol w:w="718"/>
      </w:tblGrid>
      <w:tr>
        <w:tblPrEx>
          <w:tblCellMar>
            <w:top w:w="0" w:type="dxa"/>
            <w:left w:w="108" w:type="dxa"/>
            <w:bottom w:w="0" w:type="dxa"/>
            <w:right w:w="108" w:type="dxa"/>
          </w:tblCellMar>
        </w:tblPrEx>
        <w:trPr>
          <w:trHeight w:val="1010" w:hRule="atLeast"/>
        </w:trPr>
        <w:tc>
          <w:tcPr>
            <w:tcW w:w="13954" w:type="dxa"/>
            <w:gridSpan w:val="11"/>
            <w:tcBorders>
              <w:top w:val="nil"/>
              <w:left w:val="nil"/>
              <w:bottom w:val="nil"/>
              <w:right w:val="nil"/>
            </w:tcBorders>
            <w:shd w:val="clear" w:color="auto" w:fill="auto"/>
            <w:vAlign w:val="center"/>
          </w:tcPr>
          <w:p>
            <w:pPr>
              <w:widowControl/>
              <w:jc w:val="center"/>
              <w:rPr>
                <w:rFonts w:hint="eastAsia" w:ascii="宋体" w:hAnsi="宋体" w:eastAsia="宋体" w:cs="宋体"/>
                <w:b/>
                <w:bCs/>
                <w:kern w:val="0"/>
                <w:sz w:val="44"/>
                <w:szCs w:val="44"/>
              </w:rPr>
            </w:pPr>
          </w:p>
          <w:p>
            <w:pPr>
              <w:spacing w:line="580" w:lineRule="exact"/>
              <w:jc w:val="center"/>
              <w:rPr>
                <w:rFonts w:hint="eastAsia" w:ascii="仿宋_GB2312" w:hAnsi="黑体" w:eastAsia="仿宋_GB2312" w:cs="黑体"/>
                <w:b/>
                <w:color w:val="000000"/>
                <w:sz w:val="36"/>
                <w:szCs w:val="36"/>
              </w:rPr>
            </w:pPr>
            <w:r>
              <w:rPr>
                <w:rFonts w:hint="eastAsia" w:ascii="仿宋_GB2312" w:hAnsi="黑体" w:eastAsia="仿宋_GB2312" w:cs="黑体"/>
                <w:b/>
                <w:color w:val="000000"/>
                <w:sz w:val="36"/>
                <w:szCs w:val="36"/>
              </w:rPr>
              <w:t>一、2022年单位预算公开表格</w:t>
            </w:r>
          </w:p>
          <w:tbl>
            <w:tblPr>
              <w:tblStyle w:val="4"/>
              <w:tblW w:w="13757" w:type="dxa"/>
              <w:tblInd w:w="0" w:type="dxa"/>
              <w:tblLayout w:type="autofit"/>
              <w:tblCellMar>
                <w:top w:w="0" w:type="dxa"/>
                <w:left w:w="108" w:type="dxa"/>
                <w:bottom w:w="0" w:type="dxa"/>
                <w:right w:w="108" w:type="dxa"/>
              </w:tblCellMar>
            </w:tblPr>
            <w:tblGrid>
              <w:gridCol w:w="703"/>
              <w:gridCol w:w="4667"/>
              <w:gridCol w:w="1033"/>
              <w:gridCol w:w="4998"/>
              <w:gridCol w:w="2356"/>
            </w:tblGrid>
            <w:tr>
              <w:tblPrEx>
                <w:tblCellMar>
                  <w:top w:w="0" w:type="dxa"/>
                  <w:left w:w="108" w:type="dxa"/>
                  <w:bottom w:w="0" w:type="dxa"/>
                  <w:right w:w="108" w:type="dxa"/>
                </w:tblCellMar>
              </w:tblPrEx>
              <w:trPr>
                <w:trHeight w:val="1296" w:hRule="atLeast"/>
              </w:trPr>
              <w:tc>
                <w:tcPr>
                  <w:tcW w:w="13757" w:type="dxa"/>
                  <w:gridSpan w:val="5"/>
                  <w:tcBorders>
                    <w:top w:val="nil"/>
                    <w:left w:val="nil"/>
                    <w:bottom w:val="nil"/>
                    <w:right w:val="nil"/>
                  </w:tcBorders>
                  <w:shd w:val="clear" w:color="000000" w:fill="FFFFFF"/>
                  <w:vAlign w:val="center"/>
                </w:tcPr>
                <w:p>
                  <w:pPr>
                    <w:widowControl/>
                    <w:jc w:val="center"/>
                    <w:rPr>
                      <w:rFonts w:hint="eastAsia" w:ascii="仿宋_GB2312" w:hAnsi="宋体" w:eastAsia="仿宋_GB2312" w:cs="宋体"/>
                      <w:b/>
                      <w:bCs/>
                      <w:kern w:val="0"/>
                      <w:sz w:val="36"/>
                      <w:szCs w:val="36"/>
                    </w:rPr>
                  </w:pPr>
                  <w:r>
                    <w:rPr>
                      <w:rFonts w:hint="eastAsia" w:ascii="仿宋_GB2312" w:hAnsi="宋体" w:eastAsia="仿宋_GB2312" w:cs="宋体"/>
                      <w:b/>
                      <w:bCs/>
                      <w:kern w:val="0"/>
                      <w:sz w:val="36"/>
                      <w:szCs w:val="36"/>
                    </w:rPr>
                    <w:t>（一）单位收支预算总表</w:t>
                  </w:r>
                </w:p>
              </w:tc>
            </w:tr>
            <w:tr>
              <w:tblPrEx>
                <w:tblCellMar>
                  <w:top w:w="0" w:type="dxa"/>
                  <w:left w:w="108" w:type="dxa"/>
                  <w:bottom w:w="0" w:type="dxa"/>
                  <w:right w:w="108" w:type="dxa"/>
                </w:tblCellMar>
              </w:tblPrEx>
              <w:trPr>
                <w:trHeight w:val="556" w:hRule="atLeast"/>
              </w:trPr>
              <w:tc>
                <w:tcPr>
                  <w:tcW w:w="6403" w:type="dxa"/>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预算单位编码及名称：[61000</w:t>
                  </w:r>
                  <w:r>
                    <w:rPr>
                      <w:rFonts w:hint="eastAsia" w:ascii="宋体" w:hAnsi="宋体" w:eastAsia="宋体" w:cs="宋体"/>
                      <w:color w:val="000000"/>
                      <w:kern w:val="0"/>
                      <w:sz w:val="22"/>
                      <w:lang w:val="en-US" w:eastAsia="zh-CN"/>
                    </w:rPr>
                    <w:t>1</w:t>
                  </w:r>
                  <w:r>
                    <w:rPr>
                      <w:rFonts w:hint="eastAsia" w:ascii="宋体" w:hAnsi="宋体" w:eastAsia="宋体" w:cs="宋体"/>
                      <w:color w:val="000000"/>
                      <w:kern w:val="0"/>
                      <w:sz w:val="22"/>
                    </w:rPr>
                    <w:t>]古城街道办事处本级</w:t>
                  </w:r>
                </w:p>
              </w:tc>
              <w:tc>
                <w:tcPr>
                  <w:tcW w:w="499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预算年度：2022</w:t>
                  </w:r>
                </w:p>
              </w:tc>
              <w:tc>
                <w:tcPr>
                  <w:tcW w:w="235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r>
            <w:tr>
              <w:tblPrEx>
                <w:tblCellMar>
                  <w:top w:w="0" w:type="dxa"/>
                  <w:left w:w="108" w:type="dxa"/>
                  <w:bottom w:w="0" w:type="dxa"/>
                  <w:right w:w="108" w:type="dxa"/>
                </w:tblCellMar>
              </w:tblPrEx>
              <w:trPr>
                <w:trHeight w:val="556" w:hRule="atLeast"/>
              </w:trPr>
              <w:tc>
                <w:tcPr>
                  <w:tcW w:w="70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57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收入</w:t>
                  </w:r>
                </w:p>
              </w:tc>
              <w:tc>
                <w:tcPr>
                  <w:tcW w:w="735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支出</w:t>
                  </w:r>
                </w:p>
              </w:tc>
            </w:tr>
            <w:tr>
              <w:tblPrEx>
                <w:tblCellMar>
                  <w:top w:w="0" w:type="dxa"/>
                  <w:left w:w="108" w:type="dxa"/>
                  <w:bottom w:w="0" w:type="dxa"/>
                  <w:right w:w="108" w:type="dxa"/>
                </w:tblCellMar>
              </w:tblPrEx>
              <w:trPr>
                <w:trHeight w:val="556" w:hRule="atLeast"/>
              </w:trPr>
              <w:tc>
                <w:tcPr>
                  <w:tcW w:w="7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4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10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预算数</w:t>
                  </w:r>
                </w:p>
              </w:tc>
              <w:tc>
                <w:tcPr>
                  <w:tcW w:w="49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23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预算数</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栏次</w:t>
                  </w:r>
                </w:p>
              </w:tc>
              <w:tc>
                <w:tcPr>
                  <w:tcW w:w="46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49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3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一、一般公共预算拨款收入</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740.33</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一、一般公共服务支出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355.31</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二、政府性基金预算拨款收入</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二、外交支出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三、国有资本经营预算拨款收入</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三、国防支出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4</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四、财政专户管理资金收入</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四、公共安全支出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5</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五、事业收入</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五、教育支出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6</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六、事业单位经营收入</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六、科学技术支出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7</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七、上级补助收入</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七、文化旅游体育与传媒支出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8</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八、附属单位上缴收入</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八、社会保障和就业支出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222.11</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9</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九、其他收入</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九、社会保险基金支出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10</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十、卫生健康支出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11</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十一、节能环保支出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12</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十二、城乡社区支出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13</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十三、农林水支出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14</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十四、交通运输支出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15</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十五、资源勘探工业信息等支出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16</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十六、商业服务业等支出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17</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十七、金融支出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18</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十八、援助其他地区支出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19</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十九、自然资源海洋气象等支出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20</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二十、住房保障支出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21</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二十一、粮油物资储备支出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22</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二十二、国有资本经营预算支出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23</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二十三、灾害防治及应急管理支出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24</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二十四、预备费</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25</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二十五、其他支出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26</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二十六、转移性支出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27</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二十七、债务还本支出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28</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二十八、债务付息支出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29</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二十九、债务发行费用支出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30</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三十、抗疫特别国债安排的支出</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31</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本年收入合计</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740.33</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本年支出合计</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753.33</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32</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上年结转结余</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13.00</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年终结转结余</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556" w:hRule="atLeast"/>
              </w:trPr>
              <w:tc>
                <w:tcPr>
                  <w:tcW w:w="703"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33</w:t>
                  </w:r>
                </w:p>
              </w:tc>
              <w:tc>
                <w:tcPr>
                  <w:tcW w:w="466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收入总计</w:t>
                  </w:r>
                </w:p>
              </w:tc>
              <w:tc>
                <w:tcPr>
                  <w:tcW w:w="103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753.33</w:t>
                  </w:r>
                </w:p>
              </w:tc>
              <w:tc>
                <w:tcPr>
                  <w:tcW w:w="499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支出总计</w:t>
                  </w:r>
                </w:p>
              </w:tc>
              <w:tc>
                <w:tcPr>
                  <w:tcW w:w="235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753.33</w:t>
                  </w:r>
                </w:p>
              </w:tc>
            </w:tr>
            <w:tr>
              <w:tblPrEx>
                <w:tblCellMar>
                  <w:top w:w="0" w:type="dxa"/>
                  <w:left w:w="108" w:type="dxa"/>
                  <w:bottom w:w="0" w:type="dxa"/>
                  <w:right w:w="108" w:type="dxa"/>
                </w:tblCellMar>
              </w:tblPrEx>
              <w:trPr>
                <w:trHeight w:val="556" w:hRule="atLeast"/>
              </w:trPr>
              <w:tc>
                <w:tcPr>
                  <w:tcW w:w="703"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c>
                <w:tcPr>
                  <w:tcW w:w="4667"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c>
                <w:tcPr>
                  <w:tcW w:w="1033"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c>
                <w:tcPr>
                  <w:tcW w:w="4998"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c>
                <w:tcPr>
                  <w:tcW w:w="2355"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6" w:hRule="atLeast"/>
              </w:trPr>
              <w:tc>
                <w:tcPr>
                  <w:tcW w:w="703"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c>
                <w:tcPr>
                  <w:tcW w:w="4667"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c>
                <w:tcPr>
                  <w:tcW w:w="1033"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c>
                <w:tcPr>
                  <w:tcW w:w="4998"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c>
                <w:tcPr>
                  <w:tcW w:w="2355"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6" w:hRule="atLeast"/>
              </w:trPr>
              <w:tc>
                <w:tcPr>
                  <w:tcW w:w="703"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c>
                <w:tcPr>
                  <w:tcW w:w="4667"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c>
                <w:tcPr>
                  <w:tcW w:w="1033"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c>
                <w:tcPr>
                  <w:tcW w:w="4998"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c>
                <w:tcPr>
                  <w:tcW w:w="2355" w:type="dxa"/>
                  <w:tcBorders>
                    <w:top w:val="nil"/>
                    <w:left w:val="nil"/>
                    <w:bottom w:val="nil"/>
                    <w:right w:val="nil"/>
                  </w:tcBorders>
                  <w:shd w:val="clear" w:color="auto" w:fill="auto"/>
                  <w:noWrap/>
                </w:tcPr>
                <w:p>
                  <w:pPr>
                    <w:widowControl/>
                    <w:jc w:val="left"/>
                    <w:rPr>
                      <w:rFonts w:ascii="宋体" w:hAnsi="宋体" w:eastAsia="宋体" w:cs="宋体"/>
                      <w:kern w:val="0"/>
                      <w:sz w:val="24"/>
                      <w:szCs w:val="24"/>
                    </w:rPr>
                  </w:pPr>
                </w:p>
              </w:tc>
            </w:tr>
          </w:tbl>
          <w:p>
            <w:pPr>
              <w:widowControl/>
              <w:rPr>
                <w:rFonts w:hint="eastAsia" w:ascii="宋体" w:hAnsi="宋体" w:eastAsia="宋体" w:cs="宋体"/>
                <w:b/>
                <w:bCs/>
                <w:kern w:val="0"/>
                <w:sz w:val="44"/>
                <w:szCs w:val="44"/>
              </w:rPr>
            </w:pPr>
          </w:p>
          <w:p>
            <w:pPr>
              <w:widowControl/>
              <w:rPr>
                <w:rFonts w:hint="eastAsia" w:ascii="宋体" w:hAnsi="宋体" w:eastAsia="宋体" w:cs="宋体"/>
                <w:b/>
                <w:bCs/>
                <w:kern w:val="0"/>
                <w:sz w:val="44"/>
                <w:szCs w:val="44"/>
              </w:rPr>
            </w:pPr>
          </w:p>
          <w:p>
            <w:pPr>
              <w:widowControl/>
              <w:rPr>
                <w:rFonts w:hint="eastAsia" w:ascii="宋体" w:hAnsi="宋体" w:eastAsia="宋体" w:cs="宋体"/>
                <w:b/>
                <w:bCs/>
                <w:kern w:val="0"/>
                <w:sz w:val="44"/>
                <w:szCs w:val="44"/>
              </w:rPr>
            </w:pPr>
          </w:p>
          <w:p>
            <w:pPr>
              <w:widowControl/>
              <w:rPr>
                <w:rFonts w:hint="eastAsia" w:ascii="宋体" w:hAnsi="宋体" w:eastAsia="宋体" w:cs="宋体"/>
                <w:b/>
                <w:bCs/>
                <w:kern w:val="0"/>
                <w:sz w:val="44"/>
                <w:szCs w:val="44"/>
              </w:rPr>
            </w:pPr>
          </w:p>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（二）单位预算收入总表</w:t>
            </w:r>
          </w:p>
        </w:tc>
        <w:tc>
          <w:tcPr>
            <w:tcW w:w="580" w:type="dxa"/>
            <w:tcBorders>
              <w:top w:val="nil"/>
              <w:left w:val="nil"/>
              <w:bottom w:val="nil"/>
              <w:right w:val="nil"/>
            </w:tcBorders>
            <w:shd w:val="clear" w:color="auto" w:fill="auto"/>
            <w:noWrap/>
          </w:tcPr>
          <w:p>
            <w:pPr>
              <w:widowControl/>
              <w:jc w:val="left"/>
              <w:rPr>
                <w:rFonts w:ascii="宋体" w:hAnsi="宋体" w:eastAsia="宋体" w:cs="宋体"/>
                <w:kern w:val="0"/>
                <w:sz w:val="18"/>
                <w:szCs w:val="18"/>
              </w:rPr>
            </w:pPr>
          </w:p>
        </w:tc>
        <w:tc>
          <w:tcPr>
            <w:tcW w:w="656" w:type="dxa"/>
            <w:tcBorders>
              <w:top w:val="nil"/>
              <w:left w:val="nil"/>
              <w:bottom w:val="nil"/>
              <w:right w:val="nil"/>
            </w:tcBorders>
            <w:shd w:val="clear" w:color="auto" w:fill="auto"/>
            <w:noWrap/>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569" w:hRule="atLeast"/>
        </w:trPr>
        <w:tc>
          <w:tcPr>
            <w:tcW w:w="11103"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预算单位编码及名称：[61000</w:t>
            </w:r>
            <w:r>
              <w:rPr>
                <w:rFonts w:hint="eastAsia" w:ascii="宋体" w:hAnsi="宋体" w:eastAsia="宋体" w:cs="宋体"/>
                <w:color w:val="000000"/>
                <w:kern w:val="0"/>
                <w:sz w:val="22"/>
                <w:lang w:val="en-US" w:eastAsia="zh-CN"/>
              </w:rPr>
              <w:t>1</w:t>
            </w:r>
            <w:r>
              <w:rPr>
                <w:rFonts w:hint="eastAsia" w:ascii="宋体" w:hAnsi="宋体" w:eastAsia="宋体" w:cs="宋体"/>
                <w:color w:val="000000"/>
                <w:kern w:val="0"/>
                <w:sz w:val="22"/>
              </w:rPr>
              <w:t>]古城街道办事处本级</w:t>
            </w:r>
          </w:p>
        </w:tc>
        <w:tc>
          <w:tcPr>
            <w:tcW w:w="2851"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预算年度：2022</w:t>
            </w:r>
          </w:p>
        </w:tc>
        <w:tc>
          <w:tcPr>
            <w:tcW w:w="1236"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r>
      <w:tr>
        <w:tblPrEx>
          <w:tblCellMar>
            <w:top w:w="0" w:type="dxa"/>
            <w:left w:w="108" w:type="dxa"/>
            <w:bottom w:w="0" w:type="dxa"/>
            <w:right w:w="108" w:type="dxa"/>
          </w:tblCellMar>
        </w:tblPrEx>
        <w:trPr>
          <w:trHeight w:val="569" w:hRule="atLeast"/>
        </w:trPr>
        <w:tc>
          <w:tcPr>
            <w:tcW w:w="4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484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功能分类科目</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8383"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本年收入</w:t>
            </w:r>
          </w:p>
        </w:tc>
        <w:tc>
          <w:tcPr>
            <w:tcW w:w="6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上年结转</w:t>
            </w:r>
          </w:p>
        </w:tc>
      </w:tr>
      <w:tr>
        <w:tblPrEx>
          <w:tblCellMar>
            <w:top w:w="0" w:type="dxa"/>
            <w:left w:w="108" w:type="dxa"/>
            <w:bottom w:w="0" w:type="dxa"/>
            <w:right w:w="108" w:type="dxa"/>
          </w:tblCellMar>
        </w:tblPrEx>
        <w:trPr>
          <w:trHeight w:val="569" w:hRule="atLeast"/>
        </w:trPr>
        <w:tc>
          <w:tcPr>
            <w:tcW w:w="4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0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科目编码</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科目名称</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小计</w:t>
            </w:r>
          </w:p>
        </w:tc>
        <w:tc>
          <w:tcPr>
            <w:tcW w:w="1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财政拨款收入</w:t>
            </w:r>
          </w:p>
        </w:tc>
        <w:tc>
          <w:tcPr>
            <w:tcW w:w="1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财政专户收入</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事业收入</w:t>
            </w:r>
          </w:p>
        </w:tc>
        <w:tc>
          <w:tcPr>
            <w:tcW w:w="8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经营收入</w:t>
            </w:r>
          </w:p>
        </w:tc>
        <w:tc>
          <w:tcPr>
            <w:tcW w:w="1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上级补助收入</w:t>
            </w:r>
          </w:p>
        </w:tc>
        <w:tc>
          <w:tcPr>
            <w:tcW w:w="16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附属单位上缴收入</w:t>
            </w: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其他收入</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6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栏次</w:t>
            </w:r>
          </w:p>
        </w:tc>
        <w:tc>
          <w:tcPr>
            <w:tcW w:w="10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38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8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8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6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6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合计</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753.33</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740.33</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740.33</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13.00</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一般公共服务支出</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355.31</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355.31</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355.31</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20103</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政府办公厅（室）及相关机构事务</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355.31</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355.31</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355.31</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4</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2010301</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行政运行</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167.31</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167.31</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167.31</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5</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2010399</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其他政府办公厅（室）及相关机构事务支出</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188.00</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188.00</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188.00</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6</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203</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国防支出</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7</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20306</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国防动员</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8</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2030607</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民兵</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9</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社会保障和就业支出</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222.11</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209.11</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209.11</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13.00</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10</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20802</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民政管理事务</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178.00</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165.00</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165.00</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13.00</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11</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2080208</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基层政权建设和社区治理</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178.00</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165.00</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165.00</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13.00</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12</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行政事业单位养老支出</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43.31</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43.31</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43.31</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13</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2080501</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行政单位离退休</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23.38</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23.38</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23.38</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14</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2080505</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机关事业单位基本养老保险缴费支出</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19.93</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19.93</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19.93</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15</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20808</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抚恤</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16</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2080899</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其他优抚支出</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17</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卫生健康支出</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18</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行政事业单位医疗</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19</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2101101</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行政单位医疗</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9.65</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9.65</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9.65</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20</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2101103</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公务员医疗补助</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16.06</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16.06</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16.06</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21</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212</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城乡社区支出</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22</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21201</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城乡社区管理事务</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23</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2120199</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其他城乡社区管理事务支出</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24</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住房保障支出</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25</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22102</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住房改革支出</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632" w:hRule="atLeast"/>
        </w:trPr>
        <w:tc>
          <w:tcPr>
            <w:tcW w:w="452"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26</w:t>
            </w:r>
          </w:p>
        </w:tc>
        <w:tc>
          <w:tcPr>
            <w:tcW w:w="10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2210201</w:t>
            </w:r>
          </w:p>
        </w:tc>
        <w:tc>
          <w:tcPr>
            <w:tcW w:w="382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住房公积金</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85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2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5"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62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580"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65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4"/>
        <w:tblW w:w="15242" w:type="dxa"/>
        <w:tblInd w:w="94" w:type="dxa"/>
        <w:tblLayout w:type="autofit"/>
        <w:tblCellMar>
          <w:top w:w="0" w:type="dxa"/>
          <w:left w:w="108" w:type="dxa"/>
          <w:bottom w:w="0" w:type="dxa"/>
          <w:right w:w="108" w:type="dxa"/>
        </w:tblCellMar>
      </w:tblPr>
      <w:tblGrid>
        <w:gridCol w:w="540"/>
        <w:gridCol w:w="1046"/>
        <w:gridCol w:w="4847"/>
        <w:gridCol w:w="1552"/>
        <w:gridCol w:w="1046"/>
        <w:gridCol w:w="1046"/>
        <w:gridCol w:w="1046"/>
        <w:gridCol w:w="1806"/>
        <w:gridCol w:w="2313"/>
      </w:tblGrid>
      <w:tr>
        <w:tblPrEx>
          <w:tblCellMar>
            <w:top w:w="0" w:type="dxa"/>
            <w:left w:w="108" w:type="dxa"/>
            <w:bottom w:w="0" w:type="dxa"/>
            <w:right w:w="108" w:type="dxa"/>
          </w:tblCellMar>
        </w:tblPrEx>
        <w:trPr>
          <w:trHeight w:val="789" w:hRule="atLeast"/>
        </w:trPr>
        <w:tc>
          <w:tcPr>
            <w:tcW w:w="15241" w:type="dxa"/>
            <w:gridSpan w:val="9"/>
            <w:tcBorders>
              <w:top w:val="nil"/>
              <w:left w:val="nil"/>
              <w:bottom w:val="nil"/>
              <w:right w:val="nil"/>
            </w:tcBorders>
            <w:shd w:val="clear" w:color="000000" w:fill="FFFFFF"/>
            <w:vAlign w:val="center"/>
          </w:tcPr>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（三）支出总表</w:t>
            </w:r>
          </w:p>
        </w:tc>
      </w:tr>
      <w:tr>
        <w:tblPrEx>
          <w:tblCellMar>
            <w:top w:w="0" w:type="dxa"/>
            <w:left w:w="108" w:type="dxa"/>
            <w:bottom w:w="0" w:type="dxa"/>
            <w:right w:w="108" w:type="dxa"/>
          </w:tblCellMar>
        </w:tblPrEx>
        <w:trPr>
          <w:trHeight w:val="315" w:hRule="atLeast"/>
        </w:trPr>
        <w:tc>
          <w:tcPr>
            <w:tcW w:w="11123" w:type="dxa"/>
            <w:gridSpan w:val="7"/>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预算单位编码及名称：[61000</w:t>
            </w:r>
            <w:r>
              <w:rPr>
                <w:rFonts w:hint="eastAsia" w:ascii="宋体" w:hAnsi="宋体" w:eastAsia="宋体" w:cs="宋体"/>
                <w:color w:val="000000"/>
                <w:kern w:val="0"/>
                <w:sz w:val="22"/>
                <w:lang w:val="en-US" w:eastAsia="zh-CN"/>
              </w:rPr>
              <w:t>1</w:t>
            </w:r>
            <w:r>
              <w:rPr>
                <w:rFonts w:hint="eastAsia" w:ascii="宋体" w:hAnsi="宋体" w:eastAsia="宋体" w:cs="宋体"/>
                <w:color w:val="000000"/>
                <w:kern w:val="0"/>
                <w:sz w:val="22"/>
              </w:rPr>
              <w:t>]古城街道办事处本级</w:t>
            </w:r>
          </w:p>
        </w:tc>
        <w:tc>
          <w:tcPr>
            <w:tcW w:w="1806"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预算年度：2022</w:t>
            </w:r>
          </w:p>
        </w:tc>
        <w:tc>
          <w:tcPr>
            <w:tcW w:w="2313"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r>
      <w:tr>
        <w:tblPrEx>
          <w:tblCellMar>
            <w:top w:w="0" w:type="dxa"/>
            <w:left w:w="108" w:type="dxa"/>
            <w:bottom w:w="0" w:type="dxa"/>
            <w:right w:w="108" w:type="dxa"/>
          </w:tblCellMar>
        </w:tblPrEx>
        <w:trPr>
          <w:trHeight w:val="288"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589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支出功能分类科目</w:t>
            </w:r>
          </w:p>
        </w:tc>
        <w:tc>
          <w:tcPr>
            <w:tcW w:w="1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本年支出合计</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基本支出</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项目支出</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经营支出</w:t>
            </w:r>
          </w:p>
        </w:tc>
        <w:tc>
          <w:tcPr>
            <w:tcW w:w="18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上缴上级支出</w:t>
            </w:r>
          </w:p>
        </w:tc>
        <w:tc>
          <w:tcPr>
            <w:tcW w:w="23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对附属单位补助支出</w:t>
            </w:r>
          </w:p>
        </w:tc>
      </w:tr>
      <w:tr>
        <w:tblPrEx>
          <w:tblCellMar>
            <w:top w:w="0" w:type="dxa"/>
            <w:left w:w="108" w:type="dxa"/>
            <w:bottom w:w="0" w:type="dxa"/>
            <w:right w:w="108" w:type="dxa"/>
          </w:tblCellMar>
        </w:tblPrEx>
        <w:trPr>
          <w:trHeight w:val="288"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科目编码</w:t>
            </w:r>
          </w:p>
        </w:tc>
        <w:tc>
          <w:tcPr>
            <w:tcW w:w="48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科目名称</w:t>
            </w:r>
          </w:p>
        </w:tc>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3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8" w:hRule="atLeast"/>
        </w:trPr>
        <w:tc>
          <w:tcPr>
            <w:tcW w:w="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栏次</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48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5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80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合计</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753.33</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251.68</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501.64</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一般公共服务支出</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355.31</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166.91</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188.40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20103</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政府办公厅（室）及相关机构事务</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355.31</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166.91</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188.40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4</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2010301</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行政运行</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167.31</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166.91</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0.40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5</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2010399</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其他政府办公厅（室）及相关机构事务支出</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188.00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188.00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6</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203</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国防支出</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7</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20306</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国防动员</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8</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2030607</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民兵</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9</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社会保障和就业支出</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222.11</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44.11</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178.00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10</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20802</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民政管理事务</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178.00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178.00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11</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2080208</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基层政权建设和社区治理</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178.00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178.00</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12</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行政事业单位养老支出</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43.31</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43.31</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13</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2080501</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行政单位离退休</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23.38</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23.38</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14</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2080505</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机关事业单位基本养老保险缴费支出</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19.93</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19.93</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15</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20808</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抚恤</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16</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2080899</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其他优抚支出</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17</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卫生健康支出</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18</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行政事业单位医疗</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19</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2101101</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行政单位医疗</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9.65</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9.65</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20</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2101103</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公务员医疗补助</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16.06</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16.06</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21</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212</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城乡社区支出</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22</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21201</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城乡社区管理事务</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23</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2120199</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其他城乡社区管理事务支出</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24</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住房保障支出</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25</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22102</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住房改革支出</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3" w:hRule="atLeast"/>
        </w:trPr>
        <w:tc>
          <w:tcPr>
            <w:tcW w:w="540"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26</w:t>
            </w:r>
          </w:p>
        </w:tc>
        <w:tc>
          <w:tcPr>
            <w:tcW w:w="1046"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2210201</w:t>
            </w:r>
          </w:p>
        </w:tc>
        <w:tc>
          <w:tcPr>
            <w:tcW w:w="4847"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住房公积金</w:t>
            </w:r>
          </w:p>
        </w:tc>
        <w:tc>
          <w:tcPr>
            <w:tcW w:w="155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04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806"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31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4"/>
        <w:tblW w:w="15162" w:type="dxa"/>
        <w:tblInd w:w="94" w:type="dxa"/>
        <w:tblLayout w:type="autofit"/>
        <w:tblCellMar>
          <w:top w:w="0" w:type="dxa"/>
          <w:left w:w="108" w:type="dxa"/>
          <w:bottom w:w="0" w:type="dxa"/>
          <w:right w:w="108" w:type="dxa"/>
        </w:tblCellMar>
      </w:tblPr>
      <w:tblGrid>
        <w:gridCol w:w="556"/>
        <w:gridCol w:w="2478"/>
        <w:gridCol w:w="1007"/>
        <w:gridCol w:w="3694"/>
        <w:gridCol w:w="1457"/>
        <w:gridCol w:w="1769"/>
        <w:gridCol w:w="2037"/>
        <w:gridCol w:w="2164"/>
      </w:tblGrid>
      <w:tr>
        <w:tblPrEx>
          <w:tblCellMar>
            <w:top w:w="0" w:type="dxa"/>
            <w:left w:w="108" w:type="dxa"/>
            <w:bottom w:w="0" w:type="dxa"/>
            <w:right w:w="108" w:type="dxa"/>
          </w:tblCellMar>
        </w:tblPrEx>
        <w:trPr>
          <w:trHeight w:val="564" w:hRule="atLeast"/>
        </w:trPr>
        <w:tc>
          <w:tcPr>
            <w:tcW w:w="9192" w:type="dxa"/>
            <w:gridSpan w:val="5"/>
            <w:tcBorders>
              <w:top w:val="nil"/>
              <w:left w:val="nil"/>
              <w:bottom w:val="nil"/>
              <w:right w:val="nil"/>
            </w:tcBorders>
            <w:shd w:val="clear" w:color="000000" w:fill="FFFFFF"/>
            <w:vAlign w:val="center"/>
          </w:tcPr>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lang w:val="en-US" w:eastAsia="zh-CN"/>
              </w:rPr>
              <w:t xml:space="preserve">                </w:t>
            </w:r>
            <w:r>
              <w:rPr>
                <w:rFonts w:hint="eastAsia" w:ascii="宋体" w:hAnsi="宋体" w:eastAsia="宋体" w:cs="宋体"/>
                <w:b/>
                <w:bCs/>
                <w:kern w:val="0"/>
                <w:sz w:val="44"/>
                <w:szCs w:val="44"/>
              </w:rPr>
              <w:t>（四）财政拨款收支总表</w:t>
            </w:r>
          </w:p>
        </w:tc>
        <w:tc>
          <w:tcPr>
            <w:tcW w:w="1769" w:type="dxa"/>
            <w:tcBorders>
              <w:top w:val="nil"/>
              <w:left w:val="nil"/>
              <w:bottom w:val="nil"/>
              <w:right w:val="nil"/>
            </w:tcBorders>
            <w:shd w:val="clear" w:color="auto" w:fill="auto"/>
            <w:noWrap/>
          </w:tcPr>
          <w:p>
            <w:pPr>
              <w:widowControl/>
              <w:jc w:val="left"/>
              <w:rPr>
                <w:rFonts w:ascii="宋体" w:hAnsi="宋体" w:eastAsia="宋体" w:cs="宋体"/>
                <w:kern w:val="0"/>
                <w:sz w:val="18"/>
                <w:szCs w:val="18"/>
              </w:rPr>
            </w:pPr>
          </w:p>
        </w:tc>
        <w:tc>
          <w:tcPr>
            <w:tcW w:w="2037" w:type="dxa"/>
            <w:tcBorders>
              <w:top w:val="nil"/>
              <w:left w:val="nil"/>
              <w:bottom w:val="nil"/>
              <w:right w:val="nil"/>
            </w:tcBorders>
            <w:shd w:val="clear" w:color="auto" w:fill="auto"/>
            <w:noWrap/>
          </w:tcPr>
          <w:p>
            <w:pPr>
              <w:widowControl/>
              <w:jc w:val="left"/>
              <w:rPr>
                <w:rFonts w:ascii="宋体" w:hAnsi="宋体" w:eastAsia="宋体" w:cs="宋体"/>
                <w:kern w:val="0"/>
                <w:sz w:val="18"/>
                <w:szCs w:val="18"/>
              </w:rPr>
            </w:pPr>
          </w:p>
        </w:tc>
        <w:tc>
          <w:tcPr>
            <w:tcW w:w="2164" w:type="dxa"/>
            <w:tcBorders>
              <w:top w:val="nil"/>
              <w:left w:val="nil"/>
              <w:bottom w:val="nil"/>
              <w:right w:val="nil"/>
            </w:tcBorders>
            <w:shd w:val="clear" w:color="auto" w:fill="auto"/>
            <w:noWrap/>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12" w:hRule="atLeast"/>
        </w:trPr>
        <w:tc>
          <w:tcPr>
            <w:tcW w:w="10961" w:type="dxa"/>
            <w:gridSpan w:val="6"/>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预算单位编码及名称：[61000</w:t>
            </w:r>
            <w:r>
              <w:rPr>
                <w:rFonts w:hint="eastAsia" w:ascii="宋体" w:hAnsi="宋体" w:eastAsia="宋体" w:cs="宋体"/>
                <w:color w:val="000000"/>
                <w:kern w:val="0"/>
                <w:sz w:val="22"/>
                <w:lang w:val="en-US" w:eastAsia="zh-CN"/>
              </w:rPr>
              <w:t>1</w:t>
            </w:r>
            <w:r>
              <w:rPr>
                <w:rFonts w:hint="eastAsia" w:ascii="宋体" w:hAnsi="宋体" w:eastAsia="宋体" w:cs="宋体"/>
                <w:color w:val="000000"/>
                <w:kern w:val="0"/>
                <w:sz w:val="22"/>
              </w:rPr>
              <w:t>]古城街道办事处本级</w:t>
            </w:r>
          </w:p>
        </w:tc>
        <w:tc>
          <w:tcPr>
            <w:tcW w:w="2037"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预算年度：2022</w:t>
            </w:r>
          </w:p>
        </w:tc>
        <w:tc>
          <w:tcPr>
            <w:tcW w:w="2164"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r>
      <w:tr>
        <w:tblPrEx>
          <w:tblCellMar>
            <w:top w:w="0" w:type="dxa"/>
            <w:left w:w="108" w:type="dxa"/>
            <w:bottom w:w="0" w:type="dxa"/>
            <w:right w:w="108" w:type="dxa"/>
          </w:tblCellMar>
        </w:tblPrEx>
        <w:trPr>
          <w:trHeight w:val="312" w:hRule="atLeast"/>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34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收入</w:t>
            </w:r>
          </w:p>
        </w:tc>
        <w:tc>
          <w:tcPr>
            <w:tcW w:w="1112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支出</w:t>
            </w:r>
          </w:p>
        </w:tc>
      </w:tr>
      <w:tr>
        <w:tblPrEx>
          <w:tblCellMar>
            <w:top w:w="0" w:type="dxa"/>
            <w:left w:w="108" w:type="dxa"/>
            <w:bottom w:w="0" w:type="dxa"/>
            <w:right w:w="108" w:type="dxa"/>
          </w:tblCellMar>
        </w:tblPrEx>
        <w:trPr>
          <w:trHeight w:val="285" w:hRule="atLeast"/>
        </w:trPr>
        <w:tc>
          <w:tcPr>
            <w:tcW w:w="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金额</w:t>
            </w:r>
          </w:p>
        </w:tc>
        <w:tc>
          <w:tcPr>
            <w:tcW w:w="36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17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一般公共预算财政拨款</w:t>
            </w: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政府性基金预算财政拨款</w:t>
            </w:r>
          </w:p>
        </w:tc>
        <w:tc>
          <w:tcPr>
            <w:tcW w:w="21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国有资本经营预算财政拨款</w:t>
            </w:r>
          </w:p>
        </w:tc>
      </w:tr>
      <w:tr>
        <w:tblPrEx>
          <w:tblCellMar>
            <w:top w:w="0" w:type="dxa"/>
            <w:left w:w="108" w:type="dxa"/>
            <w:bottom w:w="0" w:type="dxa"/>
            <w:right w:w="108" w:type="dxa"/>
          </w:tblCellMar>
        </w:tblPrEx>
        <w:trPr>
          <w:trHeight w:val="285" w:hRule="atLeast"/>
        </w:trPr>
        <w:tc>
          <w:tcPr>
            <w:tcW w:w="5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栏次</w:t>
            </w:r>
          </w:p>
        </w:tc>
        <w:tc>
          <w:tcPr>
            <w:tcW w:w="24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36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76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0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1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一、一般公共预算拨款</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740.33</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一、一般公共服务支出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355.31</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355.31</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二、政府性基金预算拨款</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二、外交支出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三、国有资本经营预算拨款</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三、国防支出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4</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四、公共安全支出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5</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五、教育支出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6</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六、科学技术支出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7</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七、文化旅游体育与传媒支出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8</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八、社会保障和就业支出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222.11</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222.11</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9</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九、社会保险基金支出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10</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十、卫生健康支出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11</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十一、节能环保支出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12</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十二、城乡社区支出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13</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十三、农林水支出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14</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十四、交通运输支出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15</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十五、资源勘探工业信息等支出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16</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十六、商业服务业等支出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17</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十七、金融支出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18</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十八、援助其他地区支出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19</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十九、自然资源海洋气象等支出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20</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二十、住房保障支出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21</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二十一、粮油物资储备支出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22</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二十二、国有资本经营预算支出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23</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二十三、灾害防治及应急管理支出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24</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二十四、预备费</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25</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二十五、其他支出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26</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二十六、转移性支出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27</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二十七、债务还本支出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28</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二十八、债务付息支出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29</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二十九、债务发行费用支出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30</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三十、抗疫特别国债安排的支出</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31</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本年收入合计</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740.33</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本年支出合计</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753.33</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753.33</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32</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年初财政拨款结转和结余</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13.00</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年末财政拨款结转和结余</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33</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一、一般公共预算拨款</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13.00</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34</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二、政府性基金预算拨款</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35</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三、国有资本经营预算拨款</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556"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36</w:t>
            </w:r>
          </w:p>
        </w:tc>
        <w:tc>
          <w:tcPr>
            <w:tcW w:w="2478"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收入总计</w:t>
            </w:r>
          </w:p>
        </w:tc>
        <w:tc>
          <w:tcPr>
            <w:tcW w:w="100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753.33</w:t>
            </w:r>
          </w:p>
        </w:tc>
        <w:tc>
          <w:tcPr>
            <w:tcW w:w="3694"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支出总计</w:t>
            </w:r>
          </w:p>
        </w:tc>
        <w:tc>
          <w:tcPr>
            <w:tcW w:w="145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753.33</w:t>
            </w:r>
          </w:p>
        </w:tc>
        <w:tc>
          <w:tcPr>
            <w:tcW w:w="176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753.33</w:t>
            </w:r>
          </w:p>
        </w:tc>
        <w:tc>
          <w:tcPr>
            <w:tcW w:w="2037"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bl>
    <w:p>
      <w:pPr>
        <w:rPr>
          <w:rFonts w:hint="eastAsia"/>
        </w:rPr>
      </w:pPr>
    </w:p>
    <w:p>
      <w:pPr>
        <w:rPr>
          <w:rFonts w:hint="eastAsia"/>
        </w:rPr>
      </w:pPr>
    </w:p>
    <w:tbl>
      <w:tblPr>
        <w:tblStyle w:val="4"/>
        <w:tblW w:w="14680" w:type="dxa"/>
        <w:tblInd w:w="94" w:type="dxa"/>
        <w:tblLayout w:type="autofit"/>
        <w:tblCellMar>
          <w:top w:w="0" w:type="dxa"/>
          <w:left w:w="108" w:type="dxa"/>
          <w:bottom w:w="0" w:type="dxa"/>
          <w:right w:w="108" w:type="dxa"/>
        </w:tblCellMar>
      </w:tblPr>
      <w:tblGrid>
        <w:gridCol w:w="629"/>
        <w:gridCol w:w="1222"/>
        <w:gridCol w:w="5661"/>
        <w:gridCol w:w="864"/>
        <w:gridCol w:w="864"/>
        <w:gridCol w:w="1222"/>
        <w:gridCol w:w="2109"/>
        <w:gridCol w:w="2109"/>
      </w:tblGrid>
      <w:tr>
        <w:tblPrEx>
          <w:tblCellMar>
            <w:top w:w="0" w:type="dxa"/>
            <w:left w:w="108" w:type="dxa"/>
            <w:bottom w:w="0" w:type="dxa"/>
            <w:right w:w="108" w:type="dxa"/>
          </w:tblCellMar>
        </w:tblPrEx>
        <w:trPr>
          <w:trHeight w:val="750" w:hRule="atLeast"/>
        </w:trPr>
        <w:tc>
          <w:tcPr>
            <w:tcW w:w="14680" w:type="dxa"/>
            <w:gridSpan w:val="8"/>
            <w:tcBorders>
              <w:top w:val="nil"/>
              <w:left w:val="nil"/>
              <w:bottom w:val="nil"/>
              <w:right w:val="nil"/>
            </w:tcBorders>
            <w:shd w:val="clear" w:color="000000" w:fill="FFFFFF"/>
            <w:vAlign w:val="center"/>
          </w:tcPr>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（五）一般公共预算支出表</w:t>
            </w:r>
          </w:p>
        </w:tc>
      </w:tr>
      <w:tr>
        <w:tblPrEx>
          <w:tblCellMar>
            <w:top w:w="0" w:type="dxa"/>
            <w:left w:w="108" w:type="dxa"/>
            <w:bottom w:w="0" w:type="dxa"/>
            <w:right w:w="108" w:type="dxa"/>
          </w:tblCellMar>
        </w:tblPrEx>
        <w:trPr>
          <w:trHeight w:val="300" w:hRule="atLeast"/>
        </w:trPr>
        <w:tc>
          <w:tcPr>
            <w:tcW w:w="10462" w:type="dxa"/>
            <w:gridSpan w:val="6"/>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预算单位编码及名称：[61000</w:t>
            </w:r>
            <w:r>
              <w:rPr>
                <w:rFonts w:hint="eastAsia" w:ascii="宋体" w:hAnsi="宋体" w:eastAsia="宋体" w:cs="宋体"/>
                <w:color w:val="000000"/>
                <w:kern w:val="0"/>
                <w:sz w:val="22"/>
                <w:lang w:val="en-US" w:eastAsia="zh-CN"/>
              </w:rPr>
              <w:t>1</w:t>
            </w:r>
            <w:r>
              <w:rPr>
                <w:rFonts w:hint="eastAsia" w:ascii="宋体" w:hAnsi="宋体" w:eastAsia="宋体" w:cs="宋体"/>
                <w:color w:val="000000"/>
                <w:kern w:val="0"/>
                <w:sz w:val="22"/>
              </w:rPr>
              <w:t>]古城街道办事处本级</w:t>
            </w:r>
          </w:p>
        </w:tc>
        <w:tc>
          <w:tcPr>
            <w:tcW w:w="2109"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预算年度：2022</w:t>
            </w:r>
          </w:p>
        </w:tc>
        <w:tc>
          <w:tcPr>
            <w:tcW w:w="2109"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r>
      <w:tr>
        <w:tblPrEx>
          <w:tblCellMar>
            <w:top w:w="0" w:type="dxa"/>
            <w:left w:w="108" w:type="dxa"/>
            <w:bottom w:w="0" w:type="dxa"/>
            <w:right w:w="108" w:type="dxa"/>
          </w:tblCellMar>
        </w:tblPrEx>
        <w:trPr>
          <w:trHeight w:val="300" w:hRule="atLeast"/>
        </w:trPr>
        <w:tc>
          <w:tcPr>
            <w:tcW w:w="62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688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支出功能分类科目</w:t>
            </w:r>
          </w:p>
        </w:tc>
        <w:tc>
          <w:tcPr>
            <w:tcW w:w="86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419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基本支出</w:t>
            </w:r>
          </w:p>
        </w:tc>
        <w:tc>
          <w:tcPr>
            <w:tcW w:w="21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项目支出</w:t>
            </w:r>
          </w:p>
        </w:tc>
      </w:tr>
      <w:tr>
        <w:tblPrEx>
          <w:tblCellMar>
            <w:top w:w="0" w:type="dxa"/>
            <w:left w:w="108" w:type="dxa"/>
            <w:bottom w:w="0" w:type="dxa"/>
            <w:right w:w="108" w:type="dxa"/>
          </w:tblCellMar>
        </w:tblPrEx>
        <w:trPr>
          <w:trHeight w:val="300" w:hRule="atLeast"/>
        </w:trPr>
        <w:tc>
          <w:tcPr>
            <w:tcW w:w="6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科目编码</w:t>
            </w:r>
          </w:p>
        </w:tc>
        <w:tc>
          <w:tcPr>
            <w:tcW w:w="56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科目名称</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小计</w:t>
            </w:r>
          </w:p>
        </w:tc>
        <w:tc>
          <w:tcPr>
            <w:tcW w:w="12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人员经费</w:t>
            </w:r>
          </w:p>
        </w:tc>
        <w:tc>
          <w:tcPr>
            <w:tcW w:w="2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公用经费</w:t>
            </w:r>
          </w:p>
        </w:tc>
        <w:tc>
          <w:tcPr>
            <w:tcW w:w="2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栏次</w:t>
            </w:r>
          </w:p>
        </w:tc>
        <w:tc>
          <w:tcPr>
            <w:tcW w:w="12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6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8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2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1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合计</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753.33</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251.68</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218.81</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32.87</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501.64</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一般公共服务支出</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355.31</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166.91</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136.40</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30.51</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188.40</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20103</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政府办公厅（室）及相关机构事务</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355.31</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166.91</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136.40</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30.51</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188.40</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4</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2010301</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行政运行</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167.31</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166.91</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136.40</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30.51</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0.40</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5</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2010399</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其他政府办公厅（室）及相关机构事务支出</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188.00</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188.00</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6</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203</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国防支出</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7</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20306</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国防动员</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8</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2030607</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民兵</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9</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社会保障和就业支出</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222.11</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44.11</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41.75</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2.36</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178.00</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10</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20802</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民政管理事务</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178.00</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178.00</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11</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2080208</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基层政权建设和社区治理</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178.00</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178.00</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12</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行政事业单位养老支出</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43.31</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43.31</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40.95</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2.36</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13</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2080501</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行政单位离退休</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23.38</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23.38</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21.02</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2.36</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14</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2080505</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机关事业单位基本养老保险缴费支出</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19.93</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19.93</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19.93</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15</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20808</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抚恤</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16</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2080899</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其他优抚支出</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17</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卫生健康支出</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18</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行政事业单位医疗</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25.72</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19</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2101101</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行政单位医疗</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9.65</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9.65</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9.65</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20</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2101103</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公务员医疗补助</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16.06</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16.06</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16.06</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21</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212</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城乡社区支出</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22</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21201</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城乡社区管理事务</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23</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2120199</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其他城乡社区管理事务支出</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133.24</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24</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住房保障支出</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25</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22102</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住房改革支出</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629"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26</w:t>
            </w:r>
          </w:p>
        </w:tc>
        <w:tc>
          <w:tcPr>
            <w:tcW w:w="1222"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2210201</w:t>
            </w:r>
          </w:p>
        </w:tc>
        <w:tc>
          <w:tcPr>
            <w:tcW w:w="5661"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住房公积金</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864"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1222"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109"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4"/>
        <w:tblW w:w="14900" w:type="dxa"/>
        <w:tblInd w:w="94" w:type="dxa"/>
        <w:tblLayout w:type="autofit"/>
        <w:tblCellMar>
          <w:top w:w="0" w:type="dxa"/>
          <w:left w:w="108" w:type="dxa"/>
          <w:bottom w:w="0" w:type="dxa"/>
          <w:right w:w="108" w:type="dxa"/>
        </w:tblCellMar>
      </w:tblPr>
      <w:tblGrid>
        <w:gridCol w:w="797"/>
        <w:gridCol w:w="1545"/>
        <w:gridCol w:w="5289"/>
        <w:gridCol w:w="1093"/>
        <w:gridCol w:w="2668"/>
        <w:gridCol w:w="2668"/>
        <w:gridCol w:w="840"/>
      </w:tblGrid>
      <w:tr>
        <w:tblPrEx>
          <w:tblCellMar>
            <w:top w:w="0" w:type="dxa"/>
            <w:left w:w="108" w:type="dxa"/>
            <w:bottom w:w="0" w:type="dxa"/>
            <w:right w:w="108" w:type="dxa"/>
          </w:tblCellMar>
        </w:tblPrEx>
        <w:trPr>
          <w:trHeight w:val="540" w:hRule="atLeast"/>
        </w:trPr>
        <w:tc>
          <w:tcPr>
            <w:tcW w:w="14060" w:type="dxa"/>
            <w:gridSpan w:val="6"/>
            <w:tcBorders>
              <w:top w:val="nil"/>
              <w:left w:val="nil"/>
              <w:bottom w:val="nil"/>
              <w:right w:val="nil"/>
            </w:tcBorders>
            <w:shd w:val="clear" w:color="000000" w:fill="FFFFFF"/>
            <w:vAlign w:val="center"/>
          </w:tcPr>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（六）一般公共预算基本支出表</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9" w:hRule="atLeast"/>
        </w:trPr>
        <w:tc>
          <w:tcPr>
            <w:tcW w:w="8724"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预算单位编码及名称：[61000</w:t>
            </w:r>
            <w:r>
              <w:rPr>
                <w:rFonts w:hint="eastAsia" w:ascii="宋体" w:hAnsi="宋体" w:eastAsia="宋体" w:cs="宋体"/>
                <w:color w:val="000000"/>
                <w:kern w:val="0"/>
                <w:sz w:val="22"/>
                <w:lang w:val="en-US" w:eastAsia="zh-CN"/>
              </w:rPr>
              <w:t>1</w:t>
            </w:r>
            <w:r>
              <w:rPr>
                <w:rFonts w:hint="eastAsia" w:ascii="宋体" w:hAnsi="宋体" w:eastAsia="宋体" w:cs="宋体"/>
                <w:color w:val="000000"/>
                <w:kern w:val="0"/>
                <w:sz w:val="22"/>
              </w:rPr>
              <w:t>]古城街道办事处本级</w:t>
            </w:r>
          </w:p>
        </w:tc>
        <w:tc>
          <w:tcPr>
            <w:tcW w:w="266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预算年度：2022</w:t>
            </w:r>
          </w:p>
        </w:tc>
        <w:tc>
          <w:tcPr>
            <w:tcW w:w="2668" w:type="dxa"/>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金额单位：万元</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49" w:hRule="atLeast"/>
        </w:trPr>
        <w:tc>
          <w:tcPr>
            <w:tcW w:w="7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68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支出部门经济分类科目</w:t>
            </w:r>
          </w:p>
        </w:tc>
        <w:tc>
          <w:tcPr>
            <w:tcW w:w="642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一般公共预算基本支出</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科目编码</w:t>
            </w:r>
          </w:p>
        </w:tc>
        <w:tc>
          <w:tcPr>
            <w:tcW w:w="52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科目名称</w:t>
            </w:r>
          </w:p>
        </w:tc>
        <w:tc>
          <w:tcPr>
            <w:tcW w:w="10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26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人员经费</w:t>
            </w:r>
          </w:p>
        </w:tc>
        <w:tc>
          <w:tcPr>
            <w:tcW w:w="26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公用经费</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栏次</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2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6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6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　</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合计</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251.68</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218.81</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32.87</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工资福利支出</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196.61</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196.61</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30101</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基本工资</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62.13</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62.13</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4</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30102</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津贴补贴</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55.12</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55.12</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5</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30103</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奖金</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4.32</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4.32</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6</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30107</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绩效工资</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13.66</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13.66</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7</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30108</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机关事业单位基本养老保险缴费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19.93</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19.93</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8</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30110</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职工基本医疗保险缴费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9.65</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9.65</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9</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30111</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公务员医疗补助缴费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16.06</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16.06</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10</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30112</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其他社会保障缴费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11</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30113</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住房公积金</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14.95</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12</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商品和服务支出</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32.87</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32.87</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13</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30201</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办公费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14</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30205</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水费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0.63</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0.63</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15</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30206</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电费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0.63</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0.63</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16</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30207</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邮电费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1.50</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1.50</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17</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30208</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取暖费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12.32</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12.32</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18</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30211</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差旅费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0.50</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0.50</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19</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30213</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维修(护)费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0.15</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0.15</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20</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30228</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工会经费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2.49</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2.49</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21</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30229</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福利费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1.55</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1.55</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22</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30231</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公务用车运行维护费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0.60</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0.60</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23</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30239</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其他交通费用</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9.00</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9.00</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24</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30299</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其他商品和服务支出</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2.51</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2.51</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25</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303</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对个人和家庭的补助</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22.20</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22.20</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26</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30301</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离休费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12.47</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12.47</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27</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30302</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退休费</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8.55</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8.55</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28</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30305</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生活补助</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0.79</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75"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29</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30309</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奖励金</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0.10</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0.10</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00" w:hRule="atLeast"/>
        </w:trPr>
        <w:tc>
          <w:tcPr>
            <w:tcW w:w="797" w:type="dxa"/>
            <w:tcBorders>
              <w:top w:val="nil"/>
              <w:left w:val="single" w:color="auto" w:sz="4" w:space="0"/>
              <w:bottom w:val="single" w:color="auto" w:sz="4" w:space="0"/>
              <w:right w:val="single" w:color="auto"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30</w:t>
            </w:r>
          </w:p>
        </w:tc>
        <w:tc>
          <w:tcPr>
            <w:tcW w:w="1545"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30399</w:t>
            </w:r>
          </w:p>
        </w:tc>
        <w:tc>
          <w:tcPr>
            <w:tcW w:w="5289" w:type="dxa"/>
            <w:tcBorders>
              <w:top w:val="nil"/>
              <w:left w:val="nil"/>
              <w:bottom w:val="single" w:color="auto" w:sz="4" w:space="0"/>
              <w:right w:val="single" w:color="auto"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其他对个人和家庭的补助</w:t>
            </w:r>
          </w:p>
        </w:tc>
        <w:tc>
          <w:tcPr>
            <w:tcW w:w="1093"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0.29</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0.29</w:t>
            </w:r>
          </w:p>
        </w:tc>
        <w:tc>
          <w:tcPr>
            <w:tcW w:w="2668" w:type="dxa"/>
            <w:tcBorders>
              <w:top w:val="nil"/>
              <w:left w:val="nil"/>
              <w:bottom w:val="single" w:color="auto" w:sz="4" w:space="0"/>
              <w:right w:val="single" w:color="auto"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　</w:t>
            </w:r>
          </w:p>
        </w:tc>
        <w:tc>
          <w:tcPr>
            <w:tcW w:w="840" w:type="dxa"/>
            <w:tcBorders>
              <w:top w:val="nil"/>
              <w:left w:val="nil"/>
              <w:bottom w:val="nil"/>
              <w:right w:val="nil"/>
            </w:tcBorders>
            <w:shd w:val="clear" w:color="000000" w:fill="FFFFFF"/>
            <w:noWrap/>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4"/>
        <w:tblW w:w="14020" w:type="dxa"/>
        <w:tblInd w:w="94" w:type="dxa"/>
        <w:tblLayout w:type="autofit"/>
        <w:tblCellMar>
          <w:top w:w="0" w:type="dxa"/>
          <w:left w:w="108" w:type="dxa"/>
          <w:bottom w:w="0" w:type="dxa"/>
          <w:right w:w="108" w:type="dxa"/>
        </w:tblCellMar>
      </w:tblPr>
      <w:tblGrid>
        <w:gridCol w:w="760"/>
        <w:gridCol w:w="1460"/>
        <w:gridCol w:w="4420"/>
        <w:gridCol w:w="2460"/>
        <w:gridCol w:w="2460"/>
        <w:gridCol w:w="2460"/>
      </w:tblGrid>
      <w:tr>
        <w:tblPrEx>
          <w:tblCellMar>
            <w:top w:w="0" w:type="dxa"/>
            <w:left w:w="108" w:type="dxa"/>
            <w:bottom w:w="0" w:type="dxa"/>
            <w:right w:w="108" w:type="dxa"/>
          </w:tblCellMar>
        </w:tblPrEx>
        <w:trPr>
          <w:trHeight w:val="915" w:hRule="atLeast"/>
        </w:trPr>
        <w:tc>
          <w:tcPr>
            <w:tcW w:w="14020" w:type="dxa"/>
            <w:gridSpan w:val="6"/>
            <w:tcBorders>
              <w:top w:val="nil"/>
              <w:left w:val="nil"/>
              <w:bottom w:val="nil"/>
              <w:right w:val="nil"/>
            </w:tcBorders>
            <w:shd w:val="clear" w:color="auto" w:fill="auto"/>
            <w:vAlign w:val="center"/>
          </w:tcPr>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（七）部门预算政府基金预算财政拨款支出表</w:t>
            </w:r>
          </w:p>
        </w:tc>
      </w:tr>
      <w:tr>
        <w:tblPrEx>
          <w:tblCellMar>
            <w:top w:w="0" w:type="dxa"/>
            <w:left w:w="108" w:type="dxa"/>
            <w:bottom w:w="0" w:type="dxa"/>
            <w:right w:w="108" w:type="dxa"/>
          </w:tblCellMar>
        </w:tblPrEx>
        <w:trPr>
          <w:trHeight w:val="435" w:hRule="atLeast"/>
        </w:trPr>
        <w:tc>
          <w:tcPr>
            <w:tcW w:w="9100" w:type="dxa"/>
            <w:gridSpan w:val="4"/>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部门编码及名称：</w:t>
            </w:r>
            <w:r>
              <w:rPr>
                <w:rFonts w:hint="eastAsia" w:ascii="宋体" w:hAnsi="宋体" w:eastAsia="宋体" w:cs="宋体"/>
                <w:color w:val="000000"/>
                <w:kern w:val="0"/>
                <w:sz w:val="22"/>
              </w:rPr>
              <w:t>[61000</w:t>
            </w:r>
            <w:r>
              <w:rPr>
                <w:rFonts w:hint="eastAsia" w:ascii="宋体" w:hAnsi="宋体" w:eastAsia="宋体" w:cs="宋体"/>
                <w:color w:val="000000"/>
                <w:kern w:val="0"/>
                <w:sz w:val="22"/>
                <w:lang w:val="en-US" w:eastAsia="zh-CN"/>
              </w:rPr>
              <w:t>1</w:t>
            </w:r>
            <w:r>
              <w:rPr>
                <w:rFonts w:hint="eastAsia" w:ascii="宋体" w:hAnsi="宋体" w:eastAsia="宋体" w:cs="宋体"/>
                <w:color w:val="000000"/>
                <w:kern w:val="0"/>
                <w:sz w:val="22"/>
              </w:rPr>
              <w:t>]古城街道办事处本级</w:t>
            </w:r>
          </w:p>
        </w:tc>
        <w:tc>
          <w:tcPr>
            <w:tcW w:w="2460"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p>
        </w:tc>
        <w:tc>
          <w:tcPr>
            <w:tcW w:w="2460" w:type="dxa"/>
            <w:tcBorders>
              <w:top w:val="nil"/>
              <w:left w:val="nil"/>
              <w:bottom w:val="nil"/>
              <w:right w:val="nil"/>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金额单位：万元</w:t>
            </w:r>
          </w:p>
        </w:tc>
      </w:tr>
      <w:tr>
        <w:tblPrEx>
          <w:tblCellMar>
            <w:top w:w="0" w:type="dxa"/>
            <w:left w:w="108" w:type="dxa"/>
            <w:bottom w:w="0" w:type="dxa"/>
            <w:right w:w="108" w:type="dxa"/>
          </w:tblCellMar>
        </w:tblPrEx>
        <w:trPr>
          <w:trHeight w:val="375" w:hRule="atLeast"/>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序号</w:t>
            </w:r>
          </w:p>
        </w:tc>
        <w:tc>
          <w:tcPr>
            <w:tcW w:w="5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w:t>
            </w:r>
          </w:p>
        </w:tc>
        <w:tc>
          <w:tcPr>
            <w:tcW w:w="2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合计</w:t>
            </w:r>
          </w:p>
        </w:tc>
        <w:tc>
          <w:tcPr>
            <w:tcW w:w="2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基本支出</w:t>
            </w:r>
          </w:p>
        </w:tc>
        <w:tc>
          <w:tcPr>
            <w:tcW w:w="2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项目支出</w:t>
            </w:r>
          </w:p>
        </w:tc>
      </w:tr>
      <w:tr>
        <w:tblPrEx>
          <w:tblCellMar>
            <w:top w:w="0" w:type="dxa"/>
            <w:left w:w="108" w:type="dxa"/>
            <w:bottom w:w="0" w:type="dxa"/>
            <w:right w:w="108" w:type="dxa"/>
          </w:tblCellMar>
        </w:tblPrEx>
        <w:trPr>
          <w:trHeight w:val="570" w:hRule="atLeas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功能分类科目编码</w:t>
            </w:r>
          </w:p>
        </w:tc>
        <w:tc>
          <w:tcPr>
            <w:tcW w:w="4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科目名称</w:t>
            </w:r>
          </w:p>
        </w:tc>
        <w:tc>
          <w:tcPr>
            <w:tcW w:w="2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375"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栏次</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r>
      <w:tr>
        <w:tblPrEx>
          <w:tblCellMar>
            <w:top w:w="0" w:type="dxa"/>
            <w:left w:w="108" w:type="dxa"/>
            <w:bottom w:w="0" w:type="dxa"/>
            <w:right w:w="108" w:type="dxa"/>
          </w:tblCellMar>
        </w:tblPrEx>
        <w:trPr>
          <w:trHeight w:val="375"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375"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375"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375"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6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4420" w:type="dxa"/>
            <w:tcBorders>
              <w:top w:val="nil"/>
              <w:left w:val="nil"/>
              <w:bottom w:val="single" w:color="auto" w:sz="4" w:space="0"/>
              <w:right w:val="single" w:color="auto" w:sz="4" w:space="0"/>
            </w:tcBorders>
            <w:shd w:val="clear" w:color="auto" w:fill="auto"/>
            <w:noWrap/>
            <w:vAlign w:val="center"/>
          </w:tcPr>
          <w:p>
            <w:pPr>
              <w:widowControl/>
              <w:jc w:val="left"/>
              <w:rPr>
                <w:rFonts w:ascii="方正仿宋_GBK" w:hAnsi="方正仿宋_GBK" w:eastAsia="宋体" w:cs="宋体"/>
                <w:kern w:val="0"/>
                <w:sz w:val="22"/>
              </w:rPr>
            </w:pPr>
            <w:r>
              <w:rPr>
                <w:rFonts w:ascii="方正仿宋_GBK" w:hAnsi="方正仿宋_GBK" w:eastAsia="宋体" w:cs="宋体"/>
                <w:kern w:val="0"/>
                <w:sz w:val="22"/>
              </w:rPr>
              <w:t>　</w:t>
            </w:r>
          </w:p>
        </w:tc>
        <w:tc>
          <w:tcPr>
            <w:tcW w:w="24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460"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CellMar>
            <w:top w:w="0" w:type="dxa"/>
            <w:left w:w="108" w:type="dxa"/>
            <w:bottom w:w="0" w:type="dxa"/>
            <w:right w:w="108" w:type="dxa"/>
          </w:tblCellMar>
        </w:tblPrEx>
        <w:trPr>
          <w:trHeight w:val="270" w:hRule="atLeast"/>
        </w:trPr>
        <w:tc>
          <w:tcPr>
            <w:tcW w:w="760" w:type="dxa"/>
            <w:tcBorders>
              <w:top w:val="nil"/>
              <w:left w:val="nil"/>
              <w:bottom w:val="nil"/>
              <w:right w:val="nil"/>
            </w:tcBorders>
            <w:shd w:val="clear" w:color="auto" w:fill="auto"/>
            <w:noWrap/>
          </w:tcPr>
          <w:p>
            <w:pPr>
              <w:widowControl/>
              <w:jc w:val="left"/>
              <w:rPr>
                <w:rFonts w:ascii="宋体" w:hAnsi="宋体" w:eastAsia="宋体" w:cs="宋体"/>
                <w:kern w:val="0"/>
                <w:sz w:val="22"/>
              </w:rPr>
            </w:pPr>
          </w:p>
        </w:tc>
        <w:tc>
          <w:tcPr>
            <w:tcW w:w="1460" w:type="dxa"/>
            <w:tcBorders>
              <w:top w:val="nil"/>
              <w:left w:val="nil"/>
              <w:bottom w:val="nil"/>
              <w:right w:val="nil"/>
            </w:tcBorders>
            <w:shd w:val="clear" w:color="auto" w:fill="auto"/>
            <w:noWrap/>
          </w:tcPr>
          <w:p>
            <w:pPr>
              <w:widowControl/>
              <w:jc w:val="left"/>
              <w:rPr>
                <w:rFonts w:ascii="宋体" w:hAnsi="宋体" w:eastAsia="宋体" w:cs="宋体"/>
                <w:kern w:val="0"/>
                <w:sz w:val="22"/>
              </w:rPr>
            </w:pPr>
          </w:p>
        </w:tc>
        <w:tc>
          <w:tcPr>
            <w:tcW w:w="4420" w:type="dxa"/>
            <w:tcBorders>
              <w:top w:val="nil"/>
              <w:left w:val="nil"/>
              <w:bottom w:val="nil"/>
              <w:right w:val="nil"/>
            </w:tcBorders>
            <w:shd w:val="clear" w:color="auto" w:fill="auto"/>
            <w:noWrap/>
          </w:tcPr>
          <w:p>
            <w:pPr>
              <w:widowControl/>
              <w:jc w:val="left"/>
              <w:rPr>
                <w:rFonts w:ascii="宋体" w:hAnsi="宋体" w:eastAsia="宋体" w:cs="宋体"/>
                <w:kern w:val="0"/>
                <w:sz w:val="22"/>
              </w:rPr>
            </w:pPr>
          </w:p>
        </w:tc>
        <w:tc>
          <w:tcPr>
            <w:tcW w:w="2460" w:type="dxa"/>
            <w:tcBorders>
              <w:top w:val="nil"/>
              <w:left w:val="nil"/>
              <w:bottom w:val="nil"/>
              <w:right w:val="nil"/>
            </w:tcBorders>
            <w:shd w:val="clear" w:color="auto" w:fill="auto"/>
            <w:noWrap/>
          </w:tcPr>
          <w:p>
            <w:pPr>
              <w:widowControl/>
              <w:jc w:val="left"/>
              <w:rPr>
                <w:rFonts w:ascii="宋体" w:hAnsi="宋体" w:eastAsia="宋体" w:cs="宋体"/>
                <w:kern w:val="0"/>
                <w:sz w:val="22"/>
              </w:rPr>
            </w:pPr>
          </w:p>
        </w:tc>
        <w:tc>
          <w:tcPr>
            <w:tcW w:w="2460" w:type="dxa"/>
            <w:tcBorders>
              <w:top w:val="nil"/>
              <w:left w:val="nil"/>
              <w:bottom w:val="nil"/>
              <w:right w:val="nil"/>
            </w:tcBorders>
            <w:shd w:val="clear" w:color="auto" w:fill="auto"/>
            <w:noWrap/>
          </w:tcPr>
          <w:p>
            <w:pPr>
              <w:widowControl/>
              <w:jc w:val="left"/>
              <w:rPr>
                <w:rFonts w:ascii="宋体" w:hAnsi="宋体" w:eastAsia="宋体" w:cs="宋体"/>
                <w:kern w:val="0"/>
                <w:sz w:val="22"/>
              </w:rPr>
            </w:pPr>
          </w:p>
        </w:tc>
        <w:tc>
          <w:tcPr>
            <w:tcW w:w="2460" w:type="dxa"/>
            <w:tcBorders>
              <w:top w:val="nil"/>
              <w:left w:val="nil"/>
              <w:bottom w:val="nil"/>
              <w:right w:val="nil"/>
            </w:tcBorders>
            <w:shd w:val="clear" w:color="auto" w:fill="auto"/>
            <w:noWrap/>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390" w:hRule="atLeast"/>
        </w:trPr>
        <w:tc>
          <w:tcPr>
            <w:tcW w:w="14020" w:type="dxa"/>
            <w:gridSpan w:val="6"/>
            <w:tcBorders>
              <w:top w:val="nil"/>
              <w:left w:val="nil"/>
              <w:bottom w:val="nil"/>
              <w:right w:val="nil"/>
            </w:tcBorders>
            <w:shd w:val="clear" w:color="auto" w:fill="auto"/>
            <w:noWrap/>
            <w:vAlign w:val="center"/>
          </w:tcPr>
          <w:p>
            <w:pPr>
              <w:widowControl/>
              <w:jc w:val="left"/>
              <w:rPr>
                <w:rFonts w:ascii="方正仿宋_GBK" w:hAnsi="方正仿宋_GBK" w:eastAsia="宋体" w:cs="宋体"/>
                <w:kern w:val="0"/>
                <w:sz w:val="22"/>
              </w:rPr>
            </w:pPr>
            <w:r>
              <w:rPr>
                <w:rFonts w:ascii="方正仿宋_GBK" w:hAnsi="方正仿宋_GBK" w:eastAsia="宋体" w:cs="宋体"/>
                <w:kern w:val="0"/>
                <w:sz w:val="22"/>
              </w:rPr>
              <w:t>注：无政府基金预算，空表列示。</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4"/>
        <w:tblW w:w="14180" w:type="dxa"/>
        <w:tblInd w:w="94" w:type="dxa"/>
        <w:tblLayout w:type="autofit"/>
        <w:tblCellMar>
          <w:top w:w="0" w:type="dxa"/>
          <w:left w:w="108" w:type="dxa"/>
          <w:bottom w:w="0" w:type="dxa"/>
          <w:right w:w="108" w:type="dxa"/>
        </w:tblCellMar>
      </w:tblPr>
      <w:tblGrid>
        <w:gridCol w:w="1000"/>
        <w:gridCol w:w="1460"/>
        <w:gridCol w:w="4280"/>
        <w:gridCol w:w="2480"/>
        <w:gridCol w:w="2480"/>
        <w:gridCol w:w="2480"/>
      </w:tblGrid>
      <w:tr>
        <w:tblPrEx>
          <w:tblCellMar>
            <w:top w:w="0" w:type="dxa"/>
            <w:left w:w="108" w:type="dxa"/>
            <w:bottom w:w="0" w:type="dxa"/>
            <w:right w:w="108" w:type="dxa"/>
          </w:tblCellMar>
        </w:tblPrEx>
        <w:trPr>
          <w:trHeight w:val="780" w:hRule="atLeast"/>
        </w:trPr>
        <w:tc>
          <w:tcPr>
            <w:tcW w:w="14180" w:type="dxa"/>
            <w:gridSpan w:val="6"/>
            <w:tcBorders>
              <w:top w:val="nil"/>
              <w:left w:val="nil"/>
              <w:bottom w:val="nil"/>
              <w:right w:val="nil"/>
            </w:tcBorders>
            <w:shd w:val="clear" w:color="auto" w:fill="auto"/>
            <w:vAlign w:val="center"/>
          </w:tcPr>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（八）部门预算国有资本经营预算财政拨款支出表</w:t>
            </w:r>
          </w:p>
        </w:tc>
      </w:tr>
      <w:tr>
        <w:tblPrEx>
          <w:tblCellMar>
            <w:top w:w="0" w:type="dxa"/>
            <w:left w:w="108" w:type="dxa"/>
            <w:bottom w:w="0" w:type="dxa"/>
            <w:right w:w="108" w:type="dxa"/>
          </w:tblCellMar>
        </w:tblPrEx>
        <w:trPr>
          <w:trHeight w:val="495" w:hRule="atLeast"/>
        </w:trPr>
        <w:tc>
          <w:tcPr>
            <w:tcW w:w="9220" w:type="dxa"/>
            <w:gridSpan w:val="4"/>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部门编码及名称：</w:t>
            </w:r>
            <w:r>
              <w:rPr>
                <w:rFonts w:hint="eastAsia" w:ascii="宋体" w:hAnsi="宋体" w:eastAsia="宋体" w:cs="宋体"/>
                <w:color w:val="000000"/>
                <w:kern w:val="0"/>
                <w:sz w:val="22"/>
              </w:rPr>
              <w:t>[61000</w:t>
            </w:r>
            <w:r>
              <w:rPr>
                <w:rFonts w:hint="eastAsia" w:ascii="宋体" w:hAnsi="宋体" w:eastAsia="宋体" w:cs="宋体"/>
                <w:color w:val="000000"/>
                <w:kern w:val="0"/>
                <w:sz w:val="22"/>
                <w:lang w:val="en-US" w:eastAsia="zh-CN"/>
              </w:rPr>
              <w:t>1</w:t>
            </w:r>
            <w:r>
              <w:rPr>
                <w:rFonts w:hint="eastAsia" w:ascii="宋体" w:hAnsi="宋体" w:eastAsia="宋体" w:cs="宋体"/>
                <w:color w:val="000000"/>
                <w:kern w:val="0"/>
                <w:sz w:val="22"/>
              </w:rPr>
              <w:t>]古城街道办事处本级</w:t>
            </w:r>
          </w:p>
        </w:tc>
        <w:tc>
          <w:tcPr>
            <w:tcW w:w="2480"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p>
        </w:tc>
        <w:tc>
          <w:tcPr>
            <w:tcW w:w="2480" w:type="dxa"/>
            <w:tcBorders>
              <w:top w:val="nil"/>
              <w:left w:val="nil"/>
              <w:bottom w:val="nil"/>
              <w:right w:val="nil"/>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金额单位：万元</w:t>
            </w:r>
          </w:p>
        </w:tc>
      </w:tr>
      <w:tr>
        <w:tblPrEx>
          <w:tblCellMar>
            <w:top w:w="0" w:type="dxa"/>
            <w:left w:w="108" w:type="dxa"/>
            <w:bottom w:w="0" w:type="dxa"/>
            <w:right w:w="108" w:type="dxa"/>
          </w:tblCellMar>
        </w:tblPrEx>
        <w:trPr>
          <w:trHeight w:val="420" w:hRule="atLeast"/>
        </w:trPr>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序号</w:t>
            </w:r>
          </w:p>
        </w:tc>
        <w:tc>
          <w:tcPr>
            <w:tcW w:w="57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w:t>
            </w:r>
          </w:p>
        </w:tc>
        <w:tc>
          <w:tcPr>
            <w:tcW w:w="2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合计</w:t>
            </w:r>
          </w:p>
        </w:tc>
        <w:tc>
          <w:tcPr>
            <w:tcW w:w="2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基本支出</w:t>
            </w:r>
          </w:p>
        </w:tc>
        <w:tc>
          <w:tcPr>
            <w:tcW w:w="2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项目支出</w:t>
            </w:r>
          </w:p>
        </w:tc>
      </w:tr>
      <w:tr>
        <w:tblPrEx>
          <w:tblCellMar>
            <w:top w:w="0" w:type="dxa"/>
            <w:left w:w="108" w:type="dxa"/>
            <w:bottom w:w="0" w:type="dxa"/>
            <w:right w:w="108" w:type="dxa"/>
          </w:tblCellMar>
        </w:tblPrEx>
        <w:trPr>
          <w:trHeight w:val="540" w:hRule="atLeast"/>
        </w:trPr>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功能分类科目编码</w:t>
            </w:r>
          </w:p>
        </w:tc>
        <w:tc>
          <w:tcPr>
            <w:tcW w:w="42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科目名称</w:t>
            </w:r>
          </w:p>
        </w:tc>
        <w:tc>
          <w:tcPr>
            <w:tcW w:w="2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2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2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栏次</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42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r>
      <w:tr>
        <w:tblPrEx>
          <w:tblCellMar>
            <w:top w:w="0" w:type="dxa"/>
            <w:left w:w="108" w:type="dxa"/>
            <w:bottom w:w="0" w:type="dxa"/>
            <w:right w:w="108" w:type="dxa"/>
          </w:tblCellMar>
        </w:tblPrEx>
        <w:trPr>
          <w:trHeight w:val="420" w:hRule="atLeast"/>
        </w:trPr>
        <w:tc>
          <w:tcPr>
            <w:tcW w:w="1000"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6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2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000"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6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2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20" w:hRule="atLeast"/>
        </w:trPr>
        <w:tc>
          <w:tcPr>
            <w:tcW w:w="1000"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6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2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480"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40" w:hRule="atLeast"/>
        </w:trPr>
        <w:tc>
          <w:tcPr>
            <w:tcW w:w="14180" w:type="dxa"/>
            <w:gridSpan w:val="6"/>
            <w:tcBorders>
              <w:top w:val="single" w:color="auto" w:sz="4" w:space="0"/>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注：无国有资本经营预算，空表列示。</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4"/>
        <w:tblW w:w="15070" w:type="dxa"/>
        <w:tblInd w:w="94" w:type="dxa"/>
        <w:tblLayout w:type="autofit"/>
        <w:tblCellMar>
          <w:top w:w="0" w:type="dxa"/>
          <w:left w:w="108" w:type="dxa"/>
          <w:bottom w:w="0" w:type="dxa"/>
          <w:right w:w="108" w:type="dxa"/>
        </w:tblCellMar>
      </w:tblPr>
      <w:tblGrid>
        <w:gridCol w:w="496"/>
        <w:gridCol w:w="1815"/>
        <w:gridCol w:w="4688"/>
        <w:gridCol w:w="1474"/>
        <w:gridCol w:w="1474"/>
        <w:gridCol w:w="1210"/>
        <w:gridCol w:w="776"/>
        <w:gridCol w:w="1607"/>
        <w:gridCol w:w="1531"/>
      </w:tblGrid>
      <w:tr>
        <w:tblPrEx>
          <w:tblCellMar>
            <w:top w:w="0" w:type="dxa"/>
            <w:left w:w="108" w:type="dxa"/>
            <w:bottom w:w="0" w:type="dxa"/>
            <w:right w:w="108" w:type="dxa"/>
          </w:tblCellMar>
        </w:tblPrEx>
        <w:trPr>
          <w:trHeight w:val="517" w:hRule="atLeast"/>
        </w:trPr>
        <w:tc>
          <w:tcPr>
            <w:tcW w:w="15070" w:type="dxa"/>
            <w:gridSpan w:val="9"/>
            <w:tcBorders>
              <w:top w:val="nil"/>
              <w:left w:val="nil"/>
              <w:bottom w:val="nil"/>
              <w:right w:val="nil"/>
            </w:tcBorders>
            <w:shd w:val="clear" w:color="000000" w:fill="FFFFFF"/>
            <w:vAlign w:val="center"/>
          </w:tcPr>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hint="eastAsia" w:ascii="宋体" w:hAnsi="宋体" w:eastAsia="宋体" w:cs="宋体"/>
                <w:b/>
                <w:bCs/>
                <w:kern w:val="0"/>
                <w:sz w:val="44"/>
                <w:szCs w:val="44"/>
              </w:rPr>
            </w:pPr>
          </w:p>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（九）一般公共预算“三公”经费支出表</w:t>
            </w:r>
          </w:p>
        </w:tc>
      </w:tr>
      <w:tr>
        <w:tblPrEx>
          <w:tblCellMar>
            <w:top w:w="0" w:type="dxa"/>
            <w:left w:w="108" w:type="dxa"/>
            <w:bottom w:w="0" w:type="dxa"/>
            <w:right w:w="108" w:type="dxa"/>
          </w:tblCellMar>
        </w:tblPrEx>
        <w:trPr>
          <w:trHeight w:val="329" w:hRule="atLeast"/>
        </w:trPr>
        <w:tc>
          <w:tcPr>
            <w:tcW w:w="9946" w:type="dxa"/>
            <w:gridSpan w:val="5"/>
            <w:tcBorders>
              <w:top w:val="nil"/>
              <w:left w:val="nil"/>
              <w:bottom w:val="nil"/>
              <w:right w:val="nil"/>
            </w:tcBorders>
            <w:shd w:val="clear" w:color="000000" w:fill="FFFFFF"/>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预算单位编码及名称：</w:t>
            </w:r>
            <w:r>
              <w:rPr>
                <w:rFonts w:hint="eastAsia" w:ascii="宋体" w:hAnsi="宋体" w:eastAsia="宋体" w:cs="宋体"/>
                <w:color w:val="000000"/>
                <w:kern w:val="0"/>
                <w:sz w:val="22"/>
              </w:rPr>
              <w:t>[61000</w:t>
            </w:r>
            <w:r>
              <w:rPr>
                <w:rFonts w:hint="eastAsia" w:ascii="宋体" w:hAnsi="宋体" w:eastAsia="宋体" w:cs="宋体"/>
                <w:color w:val="000000"/>
                <w:kern w:val="0"/>
                <w:sz w:val="22"/>
                <w:lang w:val="en-US" w:eastAsia="zh-CN"/>
              </w:rPr>
              <w:t>1</w:t>
            </w:r>
            <w:r>
              <w:rPr>
                <w:rFonts w:hint="eastAsia" w:ascii="宋体" w:hAnsi="宋体" w:eastAsia="宋体" w:cs="宋体"/>
                <w:color w:val="000000"/>
                <w:kern w:val="0"/>
                <w:sz w:val="22"/>
              </w:rPr>
              <w:t>]古城街道办事处本级</w:t>
            </w:r>
          </w:p>
        </w:tc>
        <w:tc>
          <w:tcPr>
            <w:tcW w:w="5123"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预算年度：2022       金额单位：万元</w:t>
            </w:r>
          </w:p>
        </w:tc>
      </w:tr>
      <w:tr>
        <w:tblPrEx>
          <w:tblCellMar>
            <w:top w:w="0" w:type="dxa"/>
            <w:left w:w="108" w:type="dxa"/>
            <w:bottom w:w="0" w:type="dxa"/>
            <w:right w:w="108" w:type="dxa"/>
          </w:tblCellMar>
        </w:tblPrEx>
        <w:trPr>
          <w:trHeight w:val="329" w:hRule="atLeast"/>
        </w:trPr>
        <w:tc>
          <w:tcPr>
            <w:tcW w:w="49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序号</w:t>
            </w:r>
          </w:p>
        </w:tc>
        <w:tc>
          <w:tcPr>
            <w:tcW w:w="181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部门代码（单位代码）</w:t>
            </w:r>
          </w:p>
        </w:tc>
        <w:tc>
          <w:tcPr>
            <w:tcW w:w="468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部门名称（单位名称）</w:t>
            </w:r>
          </w:p>
        </w:tc>
        <w:tc>
          <w:tcPr>
            <w:tcW w:w="147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“三公”经费合计</w:t>
            </w:r>
          </w:p>
        </w:tc>
        <w:tc>
          <w:tcPr>
            <w:tcW w:w="147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因公出国（境）费</w:t>
            </w:r>
          </w:p>
        </w:tc>
        <w:tc>
          <w:tcPr>
            <w:tcW w:w="3592"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公务用车购置及运行费</w:t>
            </w:r>
          </w:p>
        </w:tc>
        <w:tc>
          <w:tcPr>
            <w:tcW w:w="153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公务接待费</w:t>
            </w:r>
          </w:p>
        </w:tc>
      </w:tr>
      <w:tr>
        <w:tblPrEx>
          <w:tblCellMar>
            <w:top w:w="0" w:type="dxa"/>
            <w:left w:w="108" w:type="dxa"/>
            <w:bottom w:w="0" w:type="dxa"/>
            <w:right w:w="108" w:type="dxa"/>
          </w:tblCellMar>
        </w:tblPrEx>
        <w:trPr>
          <w:trHeight w:val="1318" w:hRule="atLeast"/>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8"/>
                <w:szCs w:val="28"/>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8"/>
                <w:szCs w:val="28"/>
              </w:rPr>
            </w:pPr>
          </w:p>
        </w:tc>
        <w:tc>
          <w:tcPr>
            <w:tcW w:w="46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8"/>
                <w:szCs w:val="28"/>
              </w:rPr>
            </w:pPr>
          </w:p>
        </w:tc>
        <w:tc>
          <w:tcPr>
            <w:tcW w:w="14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8"/>
                <w:szCs w:val="28"/>
              </w:rPr>
            </w:pPr>
          </w:p>
        </w:tc>
        <w:tc>
          <w:tcPr>
            <w:tcW w:w="14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8"/>
                <w:szCs w:val="28"/>
              </w:rPr>
            </w:pPr>
          </w:p>
        </w:tc>
        <w:tc>
          <w:tcPr>
            <w:tcW w:w="121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小计</w:t>
            </w:r>
          </w:p>
        </w:tc>
        <w:tc>
          <w:tcPr>
            <w:tcW w:w="7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公务用车购置费</w:t>
            </w:r>
          </w:p>
        </w:tc>
        <w:tc>
          <w:tcPr>
            <w:tcW w:w="160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公务用车运行费</w:t>
            </w:r>
          </w:p>
        </w:tc>
        <w:tc>
          <w:tcPr>
            <w:tcW w:w="15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8"/>
                <w:szCs w:val="28"/>
              </w:rPr>
            </w:pPr>
          </w:p>
        </w:tc>
      </w:tr>
      <w:tr>
        <w:tblPrEx>
          <w:tblCellMar>
            <w:top w:w="0" w:type="dxa"/>
            <w:left w:w="108" w:type="dxa"/>
            <w:bottom w:w="0" w:type="dxa"/>
            <w:right w:w="108" w:type="dxa"/>
          </w:tblCellMar>
        </w:tblPrEx>
        <w:trPr>
          <w:trHeight w:val="659" w:hRule="atLeast"/>
        </w:trPr>
        <w:tc>
          <w:tcPr>
            <w:tcW w:w="4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栏次</w:t>
            </w:r>
          </w:p>
        </w:tc>
        <w:tc>
          <w:tcPr>
            <w:tcW w:w="181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46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4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w:t>
            </w:r>
          </w:p>
        </w:tc>
        <w:tc>
          <w:tcPr>
            <w:tcW w:w="14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4</w:t>
            </w:r>
          </w:p>
        </w:tc>
        <w:tc>
          <w:tcPr>
            <w:tcW w:w="121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5</w:t>
            </w:r>
          </w:p>
        </w:tc>
        <w:tc>
          <w:tcPr>
            <w:tcW w:w="7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w:t>
            </w:r>
          </w:p>
        </w:tc>
        <w:tc>
          <w:tcPr>
            <w:tcW w:w="160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7</w:t>
            </w:r>
          </w:p>
        </w:tc>
        <w:tc>
          <w:tcPr>
            <w:tcW w:w="153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8</w:t>
            </w:r>
          </w:p>
        </w:tc>
      </w:tr>
      <w:tr>
        <w:tblPrEx>
          <w:tblCellMar>
            <w:top w:w="0" w:type="dxa"/>
            <w:left w:w="108" w:type="dxa"/>
            <w:bottom w:w="0" w:type="dxa"/>
            <w:right w:w="108" w:type="dxa"/>
          </w:tblCellMar>
        </w:tblPrEx>
        <w:trPr>
          <w:trHeight w:val="329" w:hRule="atLeast"/>
        </w:trPr>
        <w:tc>
          <w:tcPr>
            <w:tcW w:w="4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6</w:t>
            </w:r>
          </w:p>
        </w:tc>
        <w:tc>
          <w:tcPr>
            <w:tcW w:w="181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　</w:t>
            </w:r>
          </w:p>
        </w:tc>
        <w:tc>
          <w:tcPr>
            <w:tcW w:w="4688"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合计</w:t>
            </w:r>
          </w:p>
        </w:tc>
        <w:tc>
          <w:tcPr>
            <w:tcW w:w="147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1.00</w:t>
            </w:r>
          </w:p>
        </w:tc>
        <w:tc>
          <w:tcPr>
            <w:tcW w:w="147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　</w:t>
            </w:r>
          </w:p>
        </w:tc>
        <w:tc>
          <w:tcPr>
            <w:tcW w:w="121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1.00</w:t>
            </w:r>
          </w:p>
        </w:tc>
        <w:tc>
          <w:tcPr>
            <w:tcW w:w="7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　</w:t>
            </w:r>
          </w:p>
        </w:tc>
        <w:tc>
          <w:tcPr>
            <w:tcW w:w="1607"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1.00</w:t>
            </w:r>
          </w:p>
        </w:tc>
        <w:tc>
          <w:tcPr>
            <w:tcW w:w="1531"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29" w:hRule="atLeast"/>
        </w:trPr>
        <w:tc>
          <w:tcPr>
            <w:tcW w:w="4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7</w:t>
            </w:r>
          </w:p>
        </w:tc>
        <w:tc>
          <w:tcPr>
            <w:tcW w:w="181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610</w:t>
            </w:r>
          </w:p>
        </w:tc>
        <w:tc>
          <w:tcPr>
            <w:tcW w:w="4688"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古城街道办事处</w:t>
            </w:r>
          </w:p>
        </w:tc>
        <w:tc>
          <w:tcPr>
            <w:tcW w:w="147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1.00</w:t>
            </w:r>
          </w:p>
        </w:tc>
        <w:tc>
          <w:tcPr>
            <w:tcW w:w="147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　</w:t>
            </w:r>
          </w:p>
        </w:tc>
        <w:tc>
          <w:tcPr>
            <w:tcW w:w="121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1.00</w:t>
            </w:r>
          </w:p>
        </w:tc>
        <w:tc>
          <w:tcPr>
            <w:tcW w:w="7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　</w:t>
            </w:r>
          </w:p>
        </w:tc>
        <w:tc>
          <w:tcPr>
            <w:tcW w:w="1607"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1.00</w:t>
            </w:r>
          </w:p>
        </w:tc>
        <w:tc>
          <w:tcPr>
            <w:tcW w:w="1531"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29" w:hRule="atLeast"/>
        </w:trPr>
        <w:tc>
          <w:tcPr>
            <w:tcW w:w="4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8</w:t>
            </w:r>
          </w:p>
        </w:tc>
        <w:tc>
          <w:tcPr>
            <w:tcW w:w="1815"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610001</w:t>
            </w:r>
          </w:p>
        </w:tc>
        <w:tc>
          <w:tcPr>
            <w:tcW w:w="4688"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秦皇岛市山海关区古城街道办事处本级</w:t>
            </w:r>
          </w:p>
        </w:tc>
        <w:tc>
          <w:tcPr>
            <w:tcW w:w="147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1.00</w:t>
            </w:r>
          </w:p>
        </w:tc>
        <w:tc>
          <w:tcPr>
            <w:tcW w:w="147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　</w:t>
            </w:r>
          </w:p>
        </w:tc>
        <w:tc>
          <w:tcPr>
            <w:tcW w:w="1210"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1.00</w:t>
            </w:r>
          </w:p>
        </w:tc>
        <w:tc>
          <w:tcPr>
            <w:tcW w:w="776"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　</w:t>
            </w:r>
          </w:p>
        </w:tc>
        <w:tc>
          <w:tcPr>
            <w:tcW w:w="1607"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1.00</w:t>
            </w:r>
          </w:p>
        </w:tc>
        <w:tc>
          <w:tcPr>
            <w:tcW w:w="1531"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329" w:hRule="atLeast"/>
        </w:trPr>
        <w:tc>
          <w:tcPr>
            <w:tcW w:w="495" w:type="dxa"/>
            <w:tcBorders>
              <w:top w:val="nil"/>
              <w:left w:val="nil"/>
              <w:bottom w:val="nil"/>
              <w:right w:val="nil"/>
            </w:tcBorders>
            <w:shd w:val="clear" w:color="auto" w:fill="auto"/>
            <w:noWrap/>
          </w:tcPr>
          <w:p>
            <w:pPr>
              <w:widowControl/>
              <w:jc w:val="left"/>
              <w:rPr>
                <w:rFonts w:ascii="宋体" w:hAnsi="宋体" w:eastAsia="宋体" w:cs="宋体"/>
                <w:kern w:val="0"/>
                <w:sz w:val="28"/>
                <w:szCs w:val="28"/>
              </w:rPr>
            </w:pPr>
          </w:p>
        </w:tc>
        <w:tc>
          <w:tcPr>
            <w:tcW w:w="1815" w:type="dxa"/>
            <w:tcBorders>
              <w:top w:val="nil"/>
              <w:left w:val="nil"/>
              <w:bottom w:val="nil"/>
              <w:right w:val="nil"/>
            </w:tcBorders>
            <w:shd w:val="clear" w:color="auto" w:fill="auto"/>
            <w:noWrap/>
          </w:tcPr>
          <w:p>
            <w:pPr>
              <w:widowControl/>
              <w:jc w:val="left"/>
              <w:rPr>
                <w:rFonts w:ascii="宋体" w:hAnsi="宋体" w:eastAsia="宋体" w:cs="宋体"/>
                <w:kern w:val="0"/>
                <w:sz w:val="28"/>
                <w:szCs w:val="28"/>
              </w:rPr>
            </w:pPr>
          </w:p>
        </w:tc>
        <w:tc>
          <w:tcPr>
            <w:tcW w:w="4688" w:type="dxa"/>
            <w:tcBorders>
              <w:top w:val="nil"/>
              <w:left w:val="nil"/>
              <w:bottom w:val="nil"/>
              <w:right w:val="nil"/>
            </w:tcBorders>
            <w:shd w:val="clear" w:color="auto" w:fill="auto"/>
            <w:noWrap/>
          </w:tcPr>
          <w:p>
            <w:pPr>
              <w:widowControl/>
              <w:jc w:val="left"/>
              <w:rPr>
                <w:rFonts w:ascii="宋体" w:hAnsi="宋体" w:eastAsia="宋体" w:cs="宋体"/>
                <w:kern w:val="0"/>
                <w:sz w:val="28"/>
                <w:szCs w:val="28"/>
              </w:rPr>
            </w:pPr>
          </w:p>
        </w:tc>
        <w:tc>
          <w:tcPr>
            <w:tcW w:w="1474" w:type="dxa"/>
            <w:tcBorders>
              <w:top w:val="nil"/>
              <w:left w:val="nil"/>
              <w:bottom w:val="nil"/>
              <w:right w:val="nil"/>
            </w:tcBorders>
            <w:shd w:val="clear" w:color="auto" w:fill="auto"/>
            <w:noWrap/>
          </w:tcPr>
          <w:p>
            <w:pPr>
              <w:widowControl/>
              <w:jc w:val="left"/>
              <w:rPr>
                <w:rFonts w:ascii="宋体" w:hAnsi="宋体" w:eastAsia="宋体" w:cs="宋体"/>
                <w:kern w:val="0"/>
                <w:sz w:val="28"/>
                <w:szCs w:val="28"/>
              </w:rPr>
            </w:pPr>
          </w:p>
        </w:tc>
        <w:tc>
          <w:tcPr>
            <w:tcW w:w="1474" w:type="dxa"/>
            <w:tcBorders>
              <w:top w:val="nil"/>
              <w:left w:val="nil"/>
              <w:bottom w:val="nil"/>
              <w:right w:val="nil"/>
            </w:tcBorders>
            <w:shd w:val="clear" w:color="auto" w:fill="auto"/>
            <w:noWrap/>
          </w:tcPr>
          <w:p>
            <w:pPr>
              <w:widowControl/>
              <w:jc w:val="left"/>
              <w:rPr>
                <w:rFonts w:ascii="宋体" w:hAnsi="宋体" w:eastAsia="宋体" w:cs="宋体"/>
                <w:kern w:val="0"/>
                <w:sz w:val="28"/>
                <w:szCs w:val="28"/>
              </w:rPr>
            </w:pPr>
          </w:p>
        </w:tc>
        <w:tc>
          <w:tcPr>
            <w:tcW w:w="1210" w:type="dxa"/>
            <w:tcBorders>
              <w:top w:val="nil"/>
              <w:left w:val="nil"/>
              <w:bottom w:val="nil"/>
              <w:right w:val="nil"/>
            </w:tcBorders>
            <w:shd w:val="clear" w:color="auto" w:fill="auto"/>
            <w:noWrap/>
          </w:tcPr>
          <w:p>
            <w:pPr>
              <w:widowControl/>
              <w:jc w:val="left"/>
              <w:rPr>
                <w:rFonts w:ascii="宋体" w:hAnsi="宋体" w:eastAsia="宋体" w:cs="宋体"/>
                <w:kern w:val="0"/>
                <w:sz w:val="28"/>
                <w:szCs w:val="28"/>
              </w:rPr>
            </w:pPr>
          </w:p>
        </w:tc>
        <w:tc>
          <w:tcPr>
            <w:tcW w:w="776" w:type="dxa"/>
            <w:tcBorders>
              <w:top w:val="nil"/>
              <w:left w:val="nil"/>
              <w:bottom w:val="nil"/>
              <w:right w:val="nil"/>
            </w:tcBorders>
            <w:shd w:val="clear" w:color="auto" w:fill="auto"/>
            <w:noWrap/>
          </w:tcPr>
          <w:p>
            <w:pPr>
              <w:widowControl/>
              <w:jc w:val="left"/>
              <w:rPr>
                <w:rFonts w:ascii="宋体" w:hAnsi="宋体" w:eastAsia="宋体" w:cs="宋体"/>
                <w:kern w:val="0"/>
                <w:sz w:val="28"/>
                <w:szCs w:val="28"/>
              </w:rPr>
            </w:pPr>
          </w:p>
        </w:tc>
        <w:tc>
          <w:tcPr>
            <w:tcW w:w="1607" w:type="dxa"/>
            <w:tcBorders>
              <w:top w:val="nil"/>
              <w:left w:val="nil"/>
              <w:bottom w:val="nil"/>
              <w:right w:val="nil"/>
            </w:tcBorders>
            <w:shd w:val="clear" w:color="auto" w:fill="auto"/>
            <w:noWrap/>
          </w:tcPr>
          <w:p>
            <w:pPr>
              <w:widowControl/>
              <w:jc w:val="left"/>
              <w:rPr>
                <w:rFonts w:ascii="宋体" w:hAnsi="宋体" w:eastAsia="宋体" w:cs="宋体"/>
                <w:kern w:val="0"/>
                <w:sz w:val="28"/>
                <w:szCs w:val="28"/>
              </w:rPr>
            </w:pPr>
          </w:p>
        </w:tc>
        <w:tc>
          <w:tcPr>
            <w:tcW w:w="1531" w:type="dxa"/>
            <w:tcBorders>
              <w:top w:val="nil"/>
              <w:left w:val="nil"/>
              <w:bottom w:val="nil"/>
              <w:right w:val="nil"/>
            </w:tcBorders>
            <w:shd w:val="clear" w:color="auto" w:fill="auto"/>
            <w:noWrap/>
          </w:tcPr>
          <w:p>
            <w:pPr>
              <w:widowControl/>
              <w:jc w:val="left"/>
              <w:rPr>
                <w:rFonts w:ascii="宋体" w:hAnsi="宋体" w:eastAsia="宋体" w:cs="宋体"/>
                <w:kern w:val="0"/>
                <w:sz w:val="28"/>
                <w:szCs w:val="28"/>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eastAsia="仿宋_GB2312"/>
          <w:b/>
          <w:sz w:val="36"/>
          <w:szCs w:val="36"/>
        </w:rPr>
      </w:pPr>
      <w:r>
        <w:rPr>
          <w:rFonts w:hint="eastAsia" w:ascii="仿宋_GB2312" w:eastAsia="仿宋_GB2312"/>
          <w:b/>
          <w:sz w:val="36"/>
          <w:szCs w:val="36"/>
        </w:rPr>
        <w:t>二、单位预算公开说明</w:t>
      </w:r>
    </w:p>
    <w:p>
      <w:pPr>
        <w:jc w:val="center"/>
        <w:rPr>
          <w:rFonts w:hint="eastAsia"/>
        </w:rPr>
      </w:pPr>
    </w:p>
    <w:p>
      <w:pPr>
        <w:jc w:val="center"/>
        <w:rPr>
          <w:rFonts w:hint="eastAsia" w:ascii="仿宋_GB2312" w:hAnsi="宋体" w:eastAsia="仿宋_GB2312" w:cs="黑体"/>
          <w:b/>
          <w:color w:val="000000"/>
          <w:sz w:val="44"/>
          <w:szCs w:val="44"/>
        </w:rPr>
      </w:pPr>
      <w:r>
        <w:rPr>
          <w:rFonts w:hint="eastAsia" w:ascii="仿宋_GB2312" w:hAnsi="宋体" w:eastAsia="仿宋_GB2312" w:cs="黑体"/>
          <w:b/>
          <w:color w:val="000000"/>
          <w:sz w:val="44"/>
          <w:szCs w:val="44"/>
        </w:rPr>
        <w:t>山海关区古城街道办事处部门2022年单位预算公开说明</w:t>
      </w:r>
    </w:p>
    <w:p>
      <w:pPr>
        <w:jc w:val="center"/>
        <w:rPr>
          <w:rFonts w:hint="eastAsia" w:ascii="黑体" w:hAnsi="黑体" w:eastAsia="黑体" w:cs="黑体"/>
          <w:color w:val="000000"/>
          <w:sz w:val="44"/>
        </w:rPr>
      </w:pPr>
    </w:p>
    <w:p>
      <w:pPr>
        <w:jc w:val="left"/>
        <w:rPr>
          <w:rFonts w:hint="eastAsia" w:ascii="仿宋_GB2312" w:eastAsia="仿宋_GB2312"/>
          <w:sz w:val="32"/>
          <w:szCs w:val="32"/>
        </w:rPr>
      </w:pPr>
      <w:r>
        <w:rPr>
          <w:rFonts w:hint="eastAsia" w:ascii="仿宋" w:hAnsi="仿宋" w:eastAsia="仿宋" w:cs="仿宋"/>
          <w:color w:val="000000"/>
          <w:sz w:val="32"/>
        </w:rPr>
        <w:t xml:space="preserve">    </w:t>
      </w:r>
      <w:r>
        <w:rPr>
          <w:rFonts w:hint="eastAsia" w:ascii="仿宋_GB2312" w:eastAsia="仿宋_GB2312"/>
          <w:sz w:val="32"/>
          <w:szCs w:val="32"/>
        </w:rPr>
        <w:t>按照《中华人民共和国预算法》</w:t>
      </w:r>
      <w:bookmarkStart w:id="15" w:name="_GoBack"/>
      <w:bookmarkEnd w:id="15"/>
      <w:r>
        <w:rPr>
          <w:rFonts w:hint="eastAsia" w:ascii="仿宋_GB2312" w:eastAsia="仿宋_GB2312"/>
          <w:sz w:val="32"/>
          <w:szCs w:val="32"/>
        </w:rPr>
        <w:t>、《地方预决算公开操作规程》和《河北省省级预算公开办法》规定，现将山海关区古城街道办事处部门2022年</w:t>
      </w:r>
      <w:r>
        <w:rPr>
          <w:rFonts w:hint="eastAsia" w:ascii="仿宋_GB2312" w:eastAsia="仿宋_GB2312"/>
          <w:sz w:val="32"/>
          <w:szCs w:val="32"/>
          <w:lang w:eastAsia="zh-CN"/>
        </w:rPr>
        <w:t>单位</w:t>
      </w:r>
      <w:r>
        <w:rPr>
          <w:rFonts w:hint="eastAsia" w:ascii="仿宋_GB2312" w:eastAsia="仿宋_GB2312"/>
          <w:sz w:val="32"/>
          <w:szCs w:val="32"/>
        </w:rPr>
        <w:t>预算公开如下：</w:t>
      </w:r>
    </w:p>
    <w:p>
      <w:pPr>
        <w:jc w:val="left"/>
        <w:rPr>
          <w:rFonts w:hint="eastAsia" w:ascii="黑体" w:hAnsi="黑体" w:eastAsia="黑体" w:cs="黑体"/>
          <w:color w:val="000000"/>
          <w:sz w:val="32"/>
        </w:rPr>
      </w:pPr>
      <w:r>
        <w:rPr>
          <w:rFonts w:hint="eastAsia" w:ascii="仿宋" w:hAnsi="仿宋" w:eastAsia="仿宋" w:cs="仿宋"/>
          <w:color w:val="000000"/>
          <w:sz w:val="32"/>
        </w:rPr>
        <w:t xml:space="preserve">   </w:t>
      </w:r>
      <w:r>
        <w:rPr>
          <w:rFonts w:hint="eastAsia" w:ascii="黑体" w:hAnsi="黑体" w:eastAsia="黑体" w:cs="黑体"/>
          <w:color w:val="000000"/>
          <w:sz w:val="32"/>
        </w:rPr>
        <w:t xml:space="preserve"> 一、</w:t>
      </w:r>
      <w:r>
        <w:rPr>
          <w:rFonts w:hint="eastAsia" w:ascii="黑体" w:hAnsi="黑体" w:eastAsia="黑体" w:cs="黑体"/>
          <w:color w:val="000000"/>
          <w:sz w:val="32"/>
          <w:lang w:eastAsia="zh-CN"/>
        </w:rPr>
        <w:t>单位</w:t>
      </w:r>
      <w:r>
        <w:rPr>
          <w:rFonts w:hint="eastAsia" w:ascii="黑体" w:hAnsi="黑体" w:eastAsia="黑体" w:cs="黑体"/>
          <w:color w:val="000000"/>
          <w:sz w:val="32"/>
        </w:rPr>
        <w:t>职责及机构设置情况</w:t>
      </w:r>
    </w:p>
    <w:p>
      <w:pPr>
        <w:ind w:firstLine="640"/>
        <w:jc w:val="left"/>
        <w:rPr>
          <w:rFonts w:hint="eastAsia" w:ascii="楷体_GB2312" w:hAnsi="楷体" w:eastAsia="楷体_GB2312" w:cs="楷体"/>
          <w:b/>
          <w:color w:val="FF0000"/>
          <w:sz w:val="32"/>
        </w:rPr>
      </w:pPr>
      <w:r>
        <w:rPr>
          <w:rFonts w:hint="eastAsia" w:ascii="楷体_GB2312" w:hAnsi="楷体" w:eastAsia="楷体_GB2312" w:cs="楷体"/>
          <w:b/>
          <w:color w:val="000000"/>
          <w:sz w:val="32"/>
          <w:lang w:eastAsia="zh-CN"/>
        </w:rPr>
        <w:t>单位</w:t>
      </w:r>
      <w:r>
        <w:rPr>
          <w:rFonts w:hint="eastAsia" w:ascii="楷体_GB2312" w:hAnsi="楷体" w:eastAsia="楷体_GB2312" w:cs="楷体"/>
          <w:b/>
          <w:color w:val="000000"/>
          <w:sz w:val="32"/>
        </w:rPr>
        <w:t>职责：</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古城街道办事处作为区政府派出机构，主要职责情况说明如下：</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 xml:space="preserve">、全面贯彻执行党的各项方针、政策，建立健全各项工作制度。 </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、加强党的思想、组织、和作风建设，强化管理，不断提高干部队伍政治思想素质及工作效能。</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、坚持以经济建设为中心，不断壮大街居经济实力，努力完成区政府下达的各项经济指标。</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、抓好精神文明和民主法制建设，争创全国文明城市。</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、做好人民武装部、共青团、人大、妇联、工会等群众组织工作。</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、加强辖区社会治安综合治理、矛盾纠纷排查工作，保持本辖区政治安定和社会稳定。</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、积极发挥街道办事处的指导、管理、协调和服务职能，为广大居民群众创造一个“经济繁荣、社会文明、整洁安定、安全舒适”的生活环境。</w:t>
      </w:r>
    </w:p>
    <w:p>
      <w:pPr>
        <w:jc w:val="left"/>
        <w:rPr>
          <w:rFonts w:hint="eastAsia" w:ascii="楷体_GB2312" w:hAnsi="楷体" w:eastAsia="楷体_GB2312" w:cs="楷体"/>
          <w:b/>
          <w:color w:val="000000"/>
          <w:sz w:val="32"/>
        </w:rPr>
      </w:pPr>
    </w:p>
    <w:p>
      <w:pPr>
        <w:jc w:val="left"/>
        <w:rPr>
          <w:rFonts w:hint="eastAsia" w:ascii="楷体_GB2312" w:hAnsi="楷体" w:eastAsia="楷体_GB2312" w:cs="楷体"/>
          <w:b/>
          <w:color w:val="000000"/>
          <w:sz w:val="32"/>
        </w:rPr>
      </w:pPr>
      <w:r>
        <w:rPr>
          <w:rFonts w:hint="eastAsia" w:ascii="楷体_GB2312" w:hAnsi="楷体" w:eastAsia="楷体_GB2312" w:cs="楷体"/>
          <w:b/>
          <w:color w:val="000000"/>
          <w:sz w:val="32"/>
        </w:rPr>
        <w:t>二、机构设置</w:t>
      </w:r>
    </w:p>
    <w:p>
      <w:pPr>
        <w:ind w:firstLine="640"/>
        <w:jc w:val="center"/>
        <w:rPr>
          <w:rFonts w:hint="eastAsia" w:ascii="楷体_GB2312" w:hAnsi="楷体" w:eastAsia="楷体_GB2312" w:cs="楷体"/>
          <w:b/>
          <w:color w:val="000000"/>
          <w:sz w:val="32"/>
        </w:rPr>
      </w:pPr>
      <w:r>
        <w:rPr>
          <w:rFonts w:hint="eastAsia" w:ascii="楷体_GB2312" w:hAnsi="楷体" w:eastAsia="楷体_GB2312" w:cs="楷体"/>
          <w:b/>
          <w:color w:val="000000"/>
          <w:sz w:val="32"/>
        </w:rPr>
        <w:t>部门机构设置情况</w:t>
      </w:r>
    </w:p>
    <w:tbl>
      <w:tblPr>
        <w:tblStyle w:val="4"/>
        <w:tblW w:w="14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94"/>
        <w:gridCol w:w="1845"/>
        <w:gridCol w:w="241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restart"/>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单位名称</w:t>
            </w:r>
          </w:p>
        </w:tc>
        <w:tc>
          <w:tcPr>
            <w:tcW w:w="1845" w:type="dxa"/>
            <w:vMerge w:val="restart"/>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单位性质</w:t>
            </w:r>
          </w:p>
        </w:tc>
        <w:tc>
          <w:tcPr>
            <w:tcW w:w="2416" w:type="dxa"/>
            <w:vMerge w:val="restart"/>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单位规格</w:t>
            </w:r>
          </w:p>
        </w:tc>
        <w:tc>
          <w:tcPr>
            <w:tcW w:w="3907" w:type="dxa"/>
            <w:vMerge w:val="restart"/>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continue"/>
            <w:vAlign w:val="center"/>
          </w:tcPr>
          <w:p>
            <w:pPr>
              <w:spacing w:line="300" w:lineRule="exact"/>
              <w:jc w:val="left"/>
              <w:outlineLvl w:val="0"/>
              <w:rPr>
                <w:rFonts w:hint="eastAsia" w:ascii="仿宋" w:hAnsi="仿宋" w:eastAsia="仿宋" w:cs="仿宋"/>
                <w:sz w:val="28"/>
                <w:szCs w:val="28"/>
              </w:rPr>
            </w:pPr>
          </w:p>
        </w:tc>
        <w:tc>
          <w:tcPr>
            <w:tcW w:w="1845" w:type="dxa"/>
            <w:vMerge w:val="continue"/>
            <w:vAlign w:val="center"/>
          </w:tcPr>
          <w:p>
            <w:pPr>
              <w:spacing w:line="300" w:lineRule="exact"/>
              <w:jc w:val="left"/>
              <w:outlineLvl w:val="0"/>
              <w:rPr>
                <w:rFonts w:hint="eastAsia" w:ascii="仿宋" w:hAnsi="仿宋" w:eastAsia="仿宋" w:cs="仿宋"/>
                <w:sz w:val="28"/>
                <w:szCs w:val="28"/>
              </w:rPr>
            </w:pPr>
          </w:p>
        </w:tc>
        <w:tc>
          <w:tcPr>
            <w:tcW w:w="2416" w:type="dxa"/>
            <w:vMerge w:val="continue"/>
            <w:vAlign w:val="center"/>
          </w:tcPr>
          <w:p>
            <w:pPr>
              <w:spacing w:line="300" w:lineRule="exact"/>
              <w:jc w:val="left"/>
              <w:outlineLvl w:val="0"/>
              <w:rPr>
                <w:rFonts w:hint="eastAsia" w:ascii="仿宋" w:hAnsi="仿宋" w:eastAsia="仿宋" w:cs="仿宋"/>
                <w:sz w:val="28"/>
                <w:szCs w:val="28"/>
              </w:rPr>
            </w:pPr>
          </w:p>
        </w:tc>
        <w:tc>
          <w:tcPr>
            <w:tcW w:w="3907" w:type="dxa"/>
            <w:vMerge w:val="continue"/>
            <w:vAlign w:val="center"/>
          </w:tcPr>
          <w:p>
            <w:pPr>
              <w:spacing w:line="300" w:lineRule="exact"/>
              <w:jc w:val="left"/>
              <w:outlineLvl w:val="0"/>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6094" w:type="dxa"/>
            <w:vAlign w:val="center"/>
          </w:tcPr>
          <w:p>
            <w:pPr>
              <w:spacing w:line="300" w:lineRule="exact"/>
              <w:ind w:firstLine="1680" w:firstLineChars="600"/>
              <w:jc w:val="left"/>
              <w:rPr>
                <w:rFonts w:hint="eastAsia" w:ascii="仿宋_GB2312" w:eastAsia="仿宋_GB2312"/>
                <w:sz w:val="28"/>
                <w:szCs w:val="28"/>
              </w:rPr>
            </w:pPr>
            <w:r>
              <w:rPr>
                <w:rFonts w:hint="eastAsia" w:ascii="仿宋_GB2312" w:eastAsia="仿宋_GB2312"/>
                <w:sz w:val="28"/>
                <w:szCs w:val="28"/>
              </w:rPr>
              <w:t>山海关区古城街道办事处</w:t>
            </w:r>
          </w:p>
        </w:tc>
        <w:tc>
          <w:tcPr>
            <w:tcW w:w="1845" w:type="dxa"/>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行政</w:t>
            </w:r>
          </w:p>
        </w:tc>
        <w:tc>
          <w:tcPr>
            <w:tcW w:w="2416" w:type="dxa"/>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正科级</w:t>
            </w:r>
          </w:p>
        </w:tc>
        <w:tc>
          <w:tcPr>
            <w:tcW w:w="3907" w:type="dxa"/>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财政拨款</w:t>
            </w:r>
          </w:p>
        </w:tc>
      </w:tr>
    </w:tbl>
    <w:p>
      <w:pPr>
        <w:jc w:val="left"/>
        <w:rPr>
          <w:rFonts w:hint="eastAsia" w:ascii="黑体" w:hAnsi="黑体" w:eastAsia="黑体"/>
          <w:color w:val="000000"/>
          <w:sz w:val="32"/>
        </w:rPr>
      </w:pP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二、</w:t>
      </w:r>
      <w:r>
        <w:rPr>
          <w:rFonts w:hint="eastAsia" w:ascii="黑体" w:hAnsi="黑体" w:eastAsia="黑体"/>
          <w:color w:val="000000"/>
          <w:sz w:val="32"/>
          <w:lang w:eastAsia="zh-CN"/>
        </w:rPr>
        <w:t>单位</w:t>
      </w:r>
      <w:r>
        <w:rPr>
          <w:rFonts w:ascii="黑体" w:hAnsi="黑体" w:eastAsia="黑体"/>
          <w:color w:val="000000"/>
          <w:sz w:val="32"/>
        </w:rPr>
        <w:t>预算安排的总体情况</w:t>
      </w:r>
    </w:p>
    <w:p>
      <w:pPr>
        <w:jc w:val="left"/>
        <w:rPr>
          <w:rFonts w:hint="eastAsia" w:ascii="仿宋_GB2312" w:hAnsi="仿宋" w:eastAsia="仿宋_GB2312" w:cs="仿宋"/>
          <w:color w:val="00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按照预算管理有关规定，目前我区</w:t>
      </w:r>
      <w:r>
        <w:rPr>
          <w:rFonts w:hint="eastAsia" w:ascii="仿宋_GB2312" w:hAnsi="仿宋" w:eastAsia="仿宋_GB2312" w:cs="仿宋"/>
          <w:color w:val="000000"/>
          <w:sz w:val="32"/>
          <w:lang w:eastAsia="zh-CN"/>
        </w:rPr>
        <w:t>单位</w:t>
      </w:r>
      <w:r>
        <w:rPr>
          <w:rFonts w:hint="eastAsia" w:ascii="仿宋_GB2312" w:hAnsi="仿宋" w:eastAsia="仿宋_GB2312" w:cs="仿宋"/>
          <w:color w:val="000000"/>
          <w:sz w:val="32"/>
        </w:rPr>
        <w:t>预算的编制实行综合预算制度，即全部收入和支出都反映在预算中。山海关区古城街道办事处机关及所属事业单位的收支包含在</w:t>
      </w:r>
      <w:r>
        <w:rPr>
          <w:rFonts w:hint="eastAsia" w:ascii="仿宋_GB2312" w:hAnsi="仿宋" w:eastAsia="仿宋_GB2312" w:cs="仿宋"/>
          <w:color w:val="000000"/>
          <w:sz w:val="32"/>
          <w:lang w:eastAsia="zh-CN"/>
        </w:rPr>
        <w:t>单位</w:t>
      </w:r>
      <w:r>
        <w:rPr>
          <w:rFonts w:hint="eastAsia" w:ascii="仿宋_GB2312" w:hAnsi="仿宋" w:eastAsia="仿宋_GB2312" w:cs="仿宋"/>
          <w:color w:val="000000"/>
          <w:sz w:val="32"/>
        </w:rPr>
        <w:t>预算中。</w:t>
      </w:r>
    </w:p>
    <w:p>
      <w:pPr>
        <w:jc w:val="left"/>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spacing w:afterLines="50"/>
        <w:ind w:firstLine="640" w:firstLineChars="200"/>
        <w:rPr>
          <w:rFonts w:ascii="仿宋_GB2312" w:eastAsia="仿宋_GB2312"/>
          <w:sz w:val="32"/>
          <w:szCs w:val="32"/>
        </w:rPr>
      </w:pPr>
      <w:r>
        <w:rPr>
          <w:rFonts w:hint="eastAsia" w:ascii="仿宋" w:hAnsi="仿宋" w:eastAsia="仿宋" w:cs="仿宋"/>
          <w:color w:val="000000"/>
          <w:sz w:val="32"/>
        </w:rPr>
        <w:t>反映本</w:t>
      </w:r>
      <w:r>
        <w:rPr>
          <w:rFonts w:hint="eastAsia" w:ascii="仿宋" w:hAnsi="仿宋" w:eastAsia="仿宋" w:cs="仿宋"/>
          <w:color w:val="000000"/>
          <w:sz w:val="32"/>
          <w:lang w:eastAsia="zh-CN"/>
        </w:rPr>
        <w:t>单位</w:t>
      </w:r>
      <w:r>
        <w:rPr>
          <w:rFonts w:hint="eastAsia" w:ascii="仿宋" w:hAnsi="仿宋" w:eastAsia="仿宋" w:cs="仿宋"/>
          <w:color w:val="000000"/>
          <w:sz w:val="32"/>
        </w:rPr>
        <w:t>当年全部收入。</w:t>
      </w:r>
      <w:r>
        <w:rPr>
          <w:rFonts w:hint="eastAsia" w:ascii="仿宋_GB2312" w:eastAsia="仿宋_GB2312"/>
          <w:sz w:val="32"/>
          <w:szCs w:val="32"/>
        </w:rPr>
        <w:t>2022年预算收入为753.33万元，其中：一般公共预算收入740.33万元（行政事业性收费734.61万元、国有资源（资产）有偿使用收入5.71万元），基金预算收入0万元，财政专户核拨收入0万元，其他来源收入0万元；上年财政结转结余13万元，</w:t>
      </w:r>
    </w:p>
    <w:p>
      <w:pPr>
        <w:jc w:val="left"/>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jc w:val="left"/>
        <w:rPr>
          <w:rFonts w:ascii="仿宋_GB2312" w:eastAsia="仿宋_GB2312"/>
          <w:sz w:val="32"/>
          <w:szCs w:val="32"/>
        </w:rPr>
      </w:pPr>
      <w:r>
        <w:rPr>
          <w:rFonts w:hint="eastAsia" w:ascii="仿宋" w:hAnsi="仿宋" w:eastAsia="仿宋" w:cs="仿宋"/>
          <w:color w:val="000000"/>
          <w:sz w:val="32"/>
        </w:rPr>
        <w:t xml:space="preserve">     </w:t>
      </w:r>
      <w:r>
        <w:rPr>
          <w:rFonts w:hint="eastAsia" w:ascii="仿宋_GB2312" w:hAnsi="仿宋" w:eastAsia="仿宋_GB2312" w:cs="仿宋"/>
          <w:b/>
          <w:color w:val="000000"/>
          <w:sz w:val="32"/>
        </w:rPr>
        <w:t>收支预算总表支出栏、基本支出表、项目支出表按经济分类和支出功能分类科目编制，反映山海关区2022年度部门预算中支出预算的总体情况。</w:t>
      </w:r>
      <w:r>
        <w:rPr>
          <w:rFonts w:hint="eastAsia" w:ascii="仿宋_GB2312" w:eastAsia="仿宋_GB2312"/>
          <w:sz w:val="32"/>
          <w:szCs w:val="32"/>
        </w:rPr>
        <w:t>2022年预算支出为753.33万元，其中：基本支出251.68万元，主要是人员经费218.81万元和日常公用经费32.87万元；项目支出501.64万元，主要为街道工作专项补助项目安排188万元；社区工作专项补助项目安排94万元；老居委会生活补贴项目安排8.53万元；综合事务经费项目安排10万元；社区党组服务群众专项经费30万元；社区工作经费15万元；古城社区居民清洁取暖补贴135万元；上年财政结转结余13万元等。</w:t>
      </w:r>
    </w:p>
    <w:p>
      <w:pPr>
        <w:jc w:val="left"/>
        <w:rPr>
          <w:rFonts w:hint="eastAsia" w:ascii="楷体_GB2312" w:hAnsi="楷体" w:eastAsia="楷体_GB2312" w:cs="楷体"/>
          <w:b/>
          <w:color w:val="000000"/>
          <w:sz w:val="32"/>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3、比上年增减情况</w:t>
      </w:r>
    </w:p>
    <w:p>
      <w:pPr>
        <w:jc w:val="left"/>
        <w:rPr>
          <w:rFonts w:ascii="仿宋_GB2312" w:eastAsia="仿宋_GB2312"/>
          <w:sz w:val="32"/>
          <w:szCs w:val="32"/>
        </w:rPr>
      </w:pPr>
      <w:r>
        <w:rPr>
          <w:rFonts w:hint="eastAsia" w:ascii="仿宋_GB2312" w:eastAsia="仿宋_GB2312"/>
          <w:sz w:val="32"/>
          <w:szCs w:val="32"/>
        </w:rPr>
        <w:t>2022年预算支出安排753.33元，较2021年预算增加245.78万元，其中：基本支出增加75.84万元，主要为镇街改革，增加行政编制人员3人，新招录全额事业编制人员4人，增加人员经费支出；项目支出增加169.94万元，增加社区党组服务群众专项经费30万元；古城社区居民清洁取暖补贴135万元；上年财政结转结余13万元等。</w:t>
      </w:r>
    </w:p>
    <w:p>
      <w:pPr>
        <w:ind w:firstLine="640" w:firstLineChars="200"/>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三、机关运行经费安排情况</w:t>
      </w:r>
    </w:p>
    <w:p>
      <w:pPr>
        <w:ind w:firstLine="636"/>
        <w:rPr>
          <w:rFonts w:ascii="仿宋_GB2312" w:eastAsia="仿宋_GB2312"/>
          <w:sz w:val="32"/>
          <w:szCs w:val="32"/>
        </w:rPr>
      </w:pPr>
      <w:r>
        <w:rPr>
          <w:rFonts w:hint="eastAsia" w:ascii="仿宋_GB2312" w:eastAsia="仿宋_GB2312"/>
          <w:sz w:val="32"/>
          <w:szCs w:val="32"/>
        </w:rPr>
        <w:t>机关运行经费共计安排32.87万元，主要用于办公费1.00万元、邮电费1.50万元、差旅费0.5万元、会议费0万元、福利费2.80万元、工会经费2.49万元、日常维修费0万元、专用材料及一般设备购置费0万元、办公用房水电费1.63万元、办公用房取暖费12.32万元、办公用房物业管理费0万元、公务用车运行维护费0.6万元以及公务交通补费用9.00万元等日常运行支出。</w:t>
      </w:r>
    </w:p>
    <w:p>
      <w:pPr>
        <w:ind w:firstLine="640"/>
        <w:jc w:val="left"/>
        <w:rPr>
          <w:rFonts w:ascii="黑体" w:hAnsi="黑体" w:eastAsia="黑体"/>
          <w:color w:val="000000"/>
          <w:sz w:val="32"/>
        </w:rPr>
      </w:pPr>
      <w:r>
        <w:rPr>
          <w:rFonts w:ascii="黑体" w:hAnsi="黑体" w:eastAsia="黑体"/>
          <w:color w:val="000000"/>
          <w:sz w:val="32"/>
        </w:rPr>
        <w:t>四、财政拨款“三公”经费预算情况及增减变化原因</w:t>
      </w:r>
    </w:p>
    <w:p>
      <w:pPr>
        <w:ind w:firstLine="320" w:firstLineChars="100"/>
        <w:jc w:val="left"/>
        <w:rPr>
          <w:rFonts w:hint="eastAsia" w:ascii="仿宋_GB2312" w:eastAsia="仿宋_GB2312"/>
          <w:sz w:val="32"/>
          <w:szCs w:val="32"/>
        </w:rPr>
      </w:pPr>
      <w:r>
        <w:rPr>
          <w:rFonts w:hint="eastAsia" w:ascii="仿宋_GB2312" w:eastAsia="仿宋_GB2312"/>
          <w:sz w:val="32"/>
          <w:szCs w:val="32"/>
        </w:rPr>
        <w:t>2022年，我部门财政拨款“三公”经费预算安排1.00万元，与比上年减少0.05万元</w:t>
      </w:r>
      <w:r>
        <w:rPr>
          <w:rFonts w:hint="eastAsia" w:ascii="仿宋_GB2312" w:eastAsia="仿宋_GB2312"/>
          <w:sz w:val="32"/>
          <w:szCs w:val="32"/>
          <w:lang w:val="en-US" w:eastAsia="zh-CN"/>
        </w:rPr>
        <w:t>,主要原因是严格按照三公经费预算要求，切实落实勤俭节约各项规定，严格控制支出</w:t>
      </w:r>
      <w:r>
        <w:rPr>
          <w:rFonts w:hint="eastAsia" w:ascii="仿宋_GB2312" w:eastAsia="仿宋_GB2312"/>
          <w:sz w:val="32"/>
          <w:szCs w:val="32"/>
        </w:rPr>
        <w:t>。其中：因公出国（境）费0元，与上年持平，无增减变化，；公务用车购置费0元，与上年持平，无增减变化；公务用车运行维护费，与上年持平，无增减变化；公务接待费减少0.05万元</w:t>
      </w:r>
      <w:r>
        <w:rPr>
          <w:rFonts w:hint="eastAsia" w:ascii="仿宋_GB2312" w:eastAsia="仿宋_GB2312"/>
          <w:sz w:val="32"/>
          <w:szCs w:val="32"/>
          <w:lang w:val="en-US" w:eastAsia="zh-CN"/>
        </w:rPr>
        <w:t>,主要原因是严格按照三公经费预算要求，切实落实勤俭节约各项规定，严格控制支出</w:t>
      </w:r>
      <w:r>
        <w:rPr>
          <w:rFonts w:hint="eastAsia" w:ascii="仿宋_GB2312" w:eastAsia="仿宋_GB2312"/>
          <w:sz w:val="32"/>
          <w:szCs w:val="32"/>
        </w:rPr>
        <w:t>。</w:t>
      </w:r>
    </w:p>
    <w:p>
      <w:pPr>
        <w:ind w:firstLine="640" w:firstLineChars="200"/>
        <w:jc w:val="left"/>
        <w:rPr>
          <w:rFonts w:ascii="楷体_GB2312" w:eastAsia="楷体_GB2312"/>
          <w:b/>
          <w:sz w:val="32"/>
          <w:szCs w:val="32"/>
        </w:rPr>
      </w:pPr>
      <w:r>
        <w:rPr>
          <w:rFonts w:ascii="黑体" w:hAnsi="黑体" w:eastAsia="黑体"/>
          <w:color w:val="000000"/>
          <w:sz w:val="32"/>
        </w:rPr>
        <w:t>五、政府采购预算情况</w:t>
      </w:r>
    </w:p>
    <w:p>
      <w:pPr>
        <w:ind w:firstLine="640"/>
        <w:jc w:val="left"/>
        <w:rPr>
          <w:rFonts w:hint="eastAsia" w:ascii="仿宋_GB2312" w:eastAsia="仿宋_GB2312"/>
          <w:sz w:val="32"/>
          <w:szCs w:val="32"/>
        </w:rPr>
      </w:pPr>
      <w:r>
        <w:rPr>
          <w:rFonts w:hint="eastAsia" w:ascii="仿宋_GB2312" w:eastAsia="仿宋_GB2312"/>
          <w:sz w:val="32"/>
          <w:szCs w:val="32"/>
        </w:rPr>
        <w:t>2022年，我</w:t>
      </w:r>
      <w:r>
        <w:rPr>
          <w:rFonts w:hint="eastAsia" w:ascii="仿宋_GB2312" w:eastAsia="仿宋_GB2312"/>
          <w:sz w:val="32"/>
          <w:szCs w:val="32"/>
          <w:lang w:eastAsia="zh-CN"/>
        </w:rPr>
        <w:t>单位</w:t>
      </w:r>
      <w:r>
        <w:rPr>
          <w:rFonts w:hint="eastAsia" w:ascii="仿宋_GB2312" w:eastAsia="仿宋_GB2312"/>
          <w:sz w:val="32"/>
          <w:szCs w:val="32"/>
        </w:rPr>
        <w:t>安排政府采购预算具体内容见下表。</w:t>
      </w:r>
    </w:p>
    <w:p>
      <w:pPr>
        <w:jc w:val="center"/>
        <w:outlineLvl w:val="0"/>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部门政府采购预算</w:t>
      </w:r>
    </w:p>
    <w:tbl>
      <w:tblPr>
        <w:tblStyle w:val="4"/>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9"/>
        <w:gridCol w:w="897"/>
        <w:gridCol w:w="1018"/>
        <w:gridCol w:w="1112"/>
        <w:gridCol w:w="1017"/>
        <w:gridCol w:w="615"/>
        <w:gridCol w:w="1047"/>
        <w:gridCol w:w="898"/>
        <w:gridCol w:w="1017"/>
        <w:gridCol w:w="1017"/>
        <w:gridCol w:w="1017"/>
        <w:gridCol w:w="1017"/>
        <w:gridCol w:w="1017"/>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15"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cs="仿宋"/>
                <w:sz w:val="24"/>
              </w:rPr>
            </w:pPr>
          </w:p>
        </w:tc>
        <w:tc>
          <w:tcPr>
            <w:tcW w:w="6942" w:type="dxa"/>
            <w:gridSpan w:val="7"/>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06" w:type="dxa"/>
            <w:gridSpan w:val="2"/>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1018" w:type="dxa"/>
            <w:vMerge w:val="restart"/>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1112" w:type="dxa"/>
            <w:vMerge w:val="restart"/>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1017" w:type="dxa"/>
            <w:vMerge w:val="restart"/>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615" w:type="dxa"/>
            <w:vMerge w:val="restart"/>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1047" w:type="dxa"/>
            <w:vMerge w:val="restart"/>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6942" w:type="dxa"/>
            <w:gridSpan w:val="7"/>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restart"/>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897" w:type="dxa"/>
            <w:vMerge w:val="restart"/>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1018" w:type="dxa"/>
            <w:vMerge w:val="continue"/>
            <w:vAlign w:val="center"/>
          </w:tcPr>
          <w:p>
            <w:pPr>
              <w:spacing w:line="300" w:lineRule="exact"/>
              <w:jc w:val="left"/>
              <w:outlineLvl w:val="0"/>
              <w:rPr>
                <w:rFonts w:hint="eastAsia" w:ascii="仿宋_GB2312" w:hAnsi="仿宋" w:eastAsia="仿宋_GB2312" w:cs="仿宋"/>
              </w:rPr>
            </w:pPr>
          </w:p>
        </w:tc>
        <w:tc>
          <w:tcPr>
            <w:tcW w:w="1112" w:type="dxa"/>
            <w:vMerge w:val="continue"/>
            <w:vAlign w:val="center"/>
          </w:tcPr>
          <w:p>
            <w:pPr>
              <w:spacing w:line="300" w:lineRule="exact"/>
              <w:jc w:val="left"/>
              <w:outlineLvl w:val="0"/>
              <w:rPr>
                <w:rFonts w:hint="eastAsia" w:ascii="仿宋_GB2312" w:hAnsi="仿宋" w:eastAsia="仿宋_GB2312" w:cs="仿宋"/>
              </w:rPr>
            </w:pPr>
          </w:p>
        </w:tc>
        <w:tc>
          <w:tcPr>
            <w:tcW w:w="1017" w:type="dxa"/>
            <w:vMerge w:val="continue"/>
            <w:vAlign w:val="center"/>
          </w:tcPr>
          <w:p>
            <w:pPr>
              <w:spacing w:line="300" w:lineRule="exact"/>
              <w:jc w:val="left"/>
              <w:outlineLvl w:val="0"/>
              <w:rPr>
                <w:rFonts w:hint="eastAsia" w:ascii="仿宋_GB2312" w:hAnsi="仿宋" w:eastAsia="仿宋_GB2312" w:cs="仿宋"/>
              </w:rPr>
            </w:pPr>
          </w:p>
        </w:tc>
        <w:tc>
          <w:tcPr>
            <w:tcW w:w="615" w:type="dxa"/>
            <w:vMerge w:val="continue"/>
            <w:vAlign w:val="center"/>
          </w:tcPr>
          <w:p>
            <w:pPr>
              <w:spacing w:line="300" w:lineRule="exact"/>
              <w:jc w:val="left"/>
              <w:outlineLvl w:val="0"/>
              <w:rPr>
                <w:rFonts w:hint="eastAsia" w:ascii="仿宋_GB2312" w:hAnsi="仿宋" w:eastAsia="仿宋_GB2312" w:cs="仿宋"/>
              </w:rPr>
            </w:pPr>
          </w:p>
        </w:tc>
        <w:tc>
          <w:tcPr>
            <w:tcW w:w="1047" w:type="dxa"/>
            <w:vMerge w:val="continue"/>
            <w:vAlign w:val="center"/>
          </w:tcPr>
          <w:p>
            <w:pPr>
              <w:spacing w:line="300" w:lineRule="exact"/>
              <w:jc w:val="left"/>
              <w:outlineLvl w:val="0"/>
              <w:rPr>
                <w:rFonts w:hint="eastAsia" w:ascii="仿宋_GB2312" w:hAnsi="仿宋" w:eastAsia="仿宋_GB2312" w:cs="仿宋"/>
              </w:rPr>
            </w:pPr>
          </w:p>
        </w:tc>
        <w:tc>
          <w:tcPr>
            <w:tcW w:w="898" w:type="dxa"/>
            <w:vMerge w:val="restart"/>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5085" w:type="dxa"/>
            <w:gridSpan w:val="5"/>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当年部门预算安排资金</w:t>
            </w:r>
          </w:p>
        </w:tc>
        <w:tc>
          <w:tcPr>
            <w:tcW w:w="959" w:type="dxa"/>
            <w:vMerge w:val="restart"/>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continue"/>
            <w:vAlign w:val="center"/>
          </w:tcPr>
          <w:p>
            <w:pPr>
              <w:spacing w:line="300" w:lineRule="exact"/>
              <w:jc w:val="left"/>
              <w:outlineLvl w:val="0"/>
              <w:rPr>
                <w:rFonts w:hint="eastAsia" w:ascii="仿宋_GB2312" w:hAnsi="仿宋" w:eastAsia="仿宋_GB2312" w:cs="仿宋"/>
              </w:rPr>
            </w:pPr>
          </w:p>
        </w:tc>
        <w:tc>
          <w:tcPr>
            <w:tcW w:w="897" w:type="dxa"/>
            <w:vMerge w:val="continue"/>
            <w:vAlign w:val="center"/>
          </w:tcPr>
          <w:p>
            <w:pPr>
              <w:spacing w:line="300" w:lineRule="exact"/>
              <w:jc w:val="left"/>
              <w:outlineLvl w:val="0"/>
              <w:rPr>
                <w:rFonts w:hint="eastAsia" w:ascii="仿宋_GB2312" w:hAnsi="仿宋" w:eastAsia="仿宋_GB2312" w:cs="仿宋"/>
              </w:rPr>
            </w:pPr>
          </w:p>
        </w:tc>
        <w:tc>
          <w:tcPr>
            <w:tcW w:w="1018" w:type="dxa"/>
            <w:vMerge w:val="continue"/>
            <w:vAlign w:val="center"/>
          </w:tcPr>
          <w:p>
            <w:pPr>
              <w:spacing w:line="300" w:lineRule="exact"/>
              <w:jc w:val="left"/>
              <w:outlineLvl w:val="0"/>
              <w:rPr>
                <w:rFonts w:hint="eastAsia" w:ascii="仿宋_GB2312" w:hAnsi="仿宋" w:eastAsia="仿宋_GB2312" w:cs="仿宋"/>
              </w:rPr>
            </w:pPr>
          </w:p>
        </w:tc>
        <w:tc>
          <w:tcPr>
            <w:tcW w:w="1112" w:type="dxa"/>
            <w:vMerge w:val="continue"/>
            <w:vAlign w:val="center"/>
          </w:tcPr>
          <w:p>
            <w:pPr>
              <w:spacing w:line="300" w:lineRule="exact"/>
              <w:jc w:val="left"/>
              <w:outlineLvl w:val="0"/>
              <w:rPr>
                <w:rFonts w:hint="eastAsia" w:ascii="仿宋_GB2312" w:hAnsi="仿宋" w:eastAsia="仿宋_GB2312" w:cs="仿宋"/>
              </w:rPr>
            </w:pPr>
          </w:p>
        </w:tc>
        <w:tc>
          <w:tcPr>
            <w:tcW w:w="1017" w:type="dxa"/>
            <w:vMerge w:val="continue"/>
            <w:vAlign w:val="center"/>
          </w:tcPr>
          <w:p>
            <w:pPr>
              <w:spacing w:line="300" w:lineRule="exact"/>
              <w:jc w:val="left"/>
              <w:outlineLvl w:val="0"/>
              <w:rPr>
                <w:rFonts w:hint="eastAsia" w:ascii="仿宋_GB2312" w:hAnsi="仿宋" w:eastAsia="仿宋_GB2312" w:cs="仿宋"/>
              </w:rPr>
            </w:pPr>
          </w:p>
        </w:tc>
        <w:tc>
          <w:tcPr>
            <w:tcW w:w="615" w:type="dxa"/>
            <w:vMerge w:val="continue"/>
            <w:vAlign w:val="center"/>
          </w:tcPr>
          <w:p>
            <w:pPr>
              <w:spacing w:line="300" w:lineRule="exact"/>
              <w:jc w:val="left"/>
              <w:outlineLvl w:val="0"/>
              <w:rPr>
                <w:rFonts w:hint="eastAsia" w:ascii="仿宋_GB2312" w:hAnsi="仿宋" w:eastAsia="仿宋_GB2312" w:cs="仿宋"/>
              </w:rPr>
            </w:pPr>
          </w:p>
        </w:tc>
        <w:tc>
          <w:tcPr>
            <w:tcW w:w="1047" w:type="dxa"/>
            <w:vMerge w:val="continue"/>
            <w:vAlign w:val="center"/>
          </w:tcPr>
          <w:p>
            <w:pPr>
              <w:spacing w:line="300" w:lineRule="exact"/>
              <w:jc w:val="left"/>
              <w:outlineLvl w:val="0"/>
              <w:rPr>
                <w:rFonts w:hint="eastAsia" w:ascii="仿宋_GB2312" w:hAnsi="仿宋" w:eastAsia="仿宋_GB2312" w:cs="仿宋"/>
              </w:rPr>
            </w:pPr>
          </w:p>
        </w:tc>
        <w:tc>
          <w:tcPr>
            <w:tcW w:w="898" w:type="dxa"/>
            <w:vMerge w:val="continue"/>
            <w:vAlign w:val="center"/>
          </w:tcPr>
          <w:p>
            <w:pPr>
              <w:spacing w:line="300" w:lineRule="exact"/>
              <w:jc w:val="left"/>
              <w:outlineLvl w:val="0"/>
              <w:rPr>
                <w:rFonts w:hint="eastAsia" w:ascii="仿宋_GB2312" w:hAnsi="仿宋" w:eastAsia="仿宋_GB2312" w:cs="仿宋"/>
              </w:rPr>
            </w:pPr>
          </w:p>
        </w:tc>
        <w:tc>
          <w:tcPr>
            <w:tcW w:w="1017" w:type="dxa"/>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1017" w:type="dxa"/>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1017" w:type="dxa"/>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1017" w:type="dxa"/>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1017" w:type="dxa"/>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959" w:type="dxa"/>
            <w:vMerge w:val="continue"/>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vAlign w:val="center"/>
          </w:tcPr>
          <w:p>
            <w:pPr>
              <w:spacing w:line="300" w:lineRule="exact"/>
              <w:jc w:val="center"/>
              <w:rPr>
                <w:rFonts w:hint="eastAsia" w:ascii="仿宋_GB2312" w:hAnsi="仿宋" w:eastAsia="仿宋_GB2312" w:cs="仿宋"/>
                <w:b/>
              </w:rPr>
            </w:pPr>
          </w:p>
        </w:tc>
        <w:tc>
          <w:tcPr>
            <w:tcW w:w="897" w:type="dxa"/>
            <w:vAlign w:val="center"/>
          </w:tcPr>
          <w:p>
            <w:pPr>
              <w:spacing w:line="300" w:lineRule="exact"/>
              <w:jc w:val="right"/>
              <w:rPr>
                <w:rFonts w:hint="eastAsia" w:ascii="仿宋_GB2312" w:hAnsi="仿宋" w:eastAsia="仿宋_GB2312" w:cs="仿宋"/>
                <w:b/>
              </w:rPr>
            </w:pPr>
          </w:p>
        </w:tc>
        <w:tc>
          <w:tcPr>
            <w:tcW w:w="1018" w:type="dxa"/>
            <w:vAlign w:val="center"/>
          </w:tcPr>
          <w:p>
            <w:pPr>
              <w:spacing w:line="300" w:lineRule="exact"/>
              <w:jc w:val="left"/>
              <w:rPr>
                <w:rFonts w:hint="eastAsia" w:ascii="仿宋_GB2312" w:hAnsi="仿宋" w:eastAsia="仿宋_GB2312" w:cs="仿宋"/>
                <w:b/>
              </w:rPr>
            </w:pPr>
          </w:p>
        </w:tc>
        <w:tc>
          <w:tcPr>
            <w:tcW w:w="1112" w:type="dxa"/>
            <w:vAlign w:val="center"/>
          </w:tcPr>
          <w:p>
            <w:pPr>
              <w:spacing w:line="300" w:lineRule="exact"/>
              <w:jc w:val="left"/>
              <w:rPr>
                <w:rFonts w:hint="eastAsia" w:ascii="仿宋_GB2312" w:hAnsi="仿宋" w:eastAsia="仿宋_GB2312" w:cs="仿宋"/>
                <w:b/>
              </w:rPr>
            </w:pPr>
          </w:p>
        </w:tc>
        <w:tc>
          <w:tcPr>
            <w:tcW w:w="1017" w:type="dxa"/>
            <w:vAlign w:val="center"/>
          </w:tcPr>
          <w:p>
            <w:pPr>
              <w:spacing w:line="300" w:lineRule="exact"/>
              <w:jc w:val="left"/>
              <w:rPr>
                <w:rFonts w:hint="eastAsia" w:ascii="仿宋_GB2312" w:hAnsi="仿宋" w:eastAsia="仿宋_GB2312" w:cs="仿宋"/>
                <w:b/>
              </w:rPr>
            </w:pPr>
          </w:p>
        </w:tc>
        <w:tc>
          <w:tcPr>
            <w:tcW w:w="615" w:type="dxa"/>
            <w:vAlign w:val="center"/>
          </w:tcPr>
          <w:p>
            <w:pPr>
              <w:spacing w:line="300" w:lineRule="exact"/>
              <w:jc w:val="right"/>
              <w:rPr>
                <w:rFonts w:hint="eastAsia" w:ascii="仿宋_GB2312" w:hAnsi="仿宋" w:eastAsia="仿宋_GB2312" w:cs="仿宋"/>
                <w:b/>
              </w:rPr>
            </w:pPr>
          </w:p>
        </w:tc>
        <w:tc>
          <w:tcPr>
            <w:tcW w:w="1047" w:type="dxa"/>
            <w:vAlign w:val="center"/>
          </w:tcPr>
          <w:p>
            <w:pPr>
              <w:spacing w:line="300" w:lineRule="exact"/>
              <w:jc w:val="right"/>
              <w:rPr>
                <w:rFonts w:hint="eastAsia" w:ascii="仿宋_GB2312" w:hAnsi="仿宋" w:eastAsia="仿宋_GB2312" w:cs="仿宋"/>
                <w:b/>
              </w:rPr>
            </w:pPr>
          </w:p>
        </w:tc>
        <w:tc>
          <w:tcPr>
            <w:tcW w:w="898" w:type="dxa"/>
            <w:vAlign w:val="center"/>
          </w:tcPr>
          <w:p>
            <w:pPr>
              <w:spacing w:line="300" w:lineRule="exact"/>
              <w:jc w:val="right"/>
              <w:rPr>
                <w:rFonts w:hint="eastAsia" w:ascii="仿宋_GB2312" w:hAnsi="仿宋" w:eastAsia="仿宋_GB2312" w:cs="仿宋"/>
                <w:b/>
              </w:rPr>
            </w:pPr>
          </w:p>
        </w:tc>
        <w:tc>
          <w:tcPr>
            <w:tcW w:w="1017" w:type="dxa"/>
            <w:vAlign w:val="center"/>
          </w:tcPr>
          <w:p>
            <w:pPr>
              <w:spacing w:line="300" w:lineRule="exact"/>
              <w:jc w:val="right"/>
              <w:rPr>
                <w:rFonts w:hint="eastAsia" w:ascii="仿宋_GB2312" w:hAnsi="仿宋" w:eastAsia="仿宋_GB2312" w:cs="仿宋"/>
                <w:b/>
              </w:rPr>
            </w:pPr>
          </w:p>
        </w:tc>
        <w:tc>
          <w:tcPr>
            <w:tcW w:w="1017" w:type="dxa"/>
            <w:vAlign w:val="center"/>
          </w:tcPr>
          <w:p>
            <w:pPr>
              <w:spacing w:line="300" w:lineRule="exact"/>
              <w:jc w:val="right"/>
              <w:rPr>
                <w:rFonts w:hint="eastAsia" w:ascii="仿宋_GB2312" w:hAnsi="仿宋" w:eastAsia="仿宋_GB2312" w:cs="仿宋"/>
                <w:b/>
              </w:rPr>
            </w:pPr>
          </w:p>
        </w:tc>
        <w:tc>
          <w:tcPr>
            <w:tcW w:w="1017" w:type="dxa"/>
            <w:vAlign w:val="center"/>
          </w:tcPr>
          <w:p>
            <w:pPr>
              <w:spacing w:line="300" w:lineRule="exact"/>
              <w:jc w:val="right"/>
              <w:rPr>
                <w:rFonts w:hint="eastAsia" w:ascii="仿宋_GB2312" w:hAnsi="仿宋" w:eastAsia="仿宋_GB2312" w:cs="仿宋"/>
                <w:b/>
              </w:rPr>
            </w:pPr>
          </w:p>
        </w:tc>
        <w:tc>
          <w:tcPr>
            <w:tcW w:w="1017" w:type="dxa"/>
            <w:vAlign w:val="center"/>
          </w:tcPr>
          <w:p>
            <w:pPr>
              <w:spacing w:line="300" w:lineRule="exact"/>
              <w:jc w:val="right"/>
              <w:rPr>
                <w:rFonts w:hint="eastAsia" w:ascii="仿宋_GB2312" w:hAnsi="仿宋" w:eastAsia="仿宋_GB2312" w:cs="仿宋"/>
                <w:b/>
              </w:rPr>
            </w:pPr>
          </w:p>
        </w:tc>
        <w:tc>
          <w:tcPr>
            <w:tcW w:w="1017" w:type="dxa"/>
            <w:vAlign w:val="center"/>
          </w:tcPr>
          <w:p>
            <w:pPr>
              <w:spacing w:line="300" w:lineRule="exact"/>
              <w:jc w:val="right"/>
              <w:rPr>
                <w:rFonts w:hint="eastAsia" w:ascii="仿宋_GB2312" w:hAnsi="仿宋" w:eastAsia="仿宋_GB2312" w:cs="仿宋"/>
                <w:b/>
              </w:rPr>
            </w:pPr>
          </w:p>
        </w:tc>
        <w:tc>
          <w:tcPr>
            <w:tcW w:w="959" w:type="dxa"/>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vAlign w:val="center"/>
          </w:tcPr>
          <w:p>
            <w:pPr>
              <w:spacing w:line="300" w:lineRule="exact"/>
              <w:jc w:val="left"/>
              <w:rPr>
                <w:rFonts w:hint="eastAsia" w:ascii="仿宋" w:hAnsi="仿宋" w:eastAsia="仿宋" w:cs="仿宋"/>
              </w:rPr>
            </w:pPr>
          </w:p>
        </w:tc>
        <w:tc>
          <w:tcPr>
            <w:tcW w:w="897" w:type="dxa"/>
            <w:vAlign w:val="center"/>
          </w:tcPr>
          <w:p>
            <w:pPr>
              <w:spacing w:line="300" w:lineRule="exact"/>
              <w:jc w:val="right"/>
              <w:rPr>
                <w:rFonts w:hint="eastAsia" w:ascii="仿宋" w:hAnsi="仿宋" w:eastAsia="仿宋" w:cs="仿宋"/>
              </w:rPr>
            </w:pPr>
          </w:p>
        </w:tc>
        <w:tc>
          <w:tcPr>
            <w:tcW w:w="1018" w:type="dxa"/>
            <w:vAlign w:val="center"/>
          </w:tcPr>
          <w:p>
            <w:pPr>
              <w:spacing w:line="300" w:lineRule="exact"/>
              <w:jc w:val="left"/>
              <w:rPr>
                <w:rFonts w:hint="eastAsia" w:ascii="仿宋" w:hAnsi="仿宋" w:eastAsia="仿宋" w:cs="仿宋"/>
              </w:rPr>
            </w:pPr>
          </w:p>
        </w:tc>
        <w:tc>
          <w:tcPr>
            <w:tcW w:w="1112" w:type="dxa"/>
            <w:vAlign w:val="center"/>
          </w:tcPr>
          <w:p>
            <w:pPr>
              <w:spacing w:line="300" w:lineRule="exact"/>
              <w:jc w:val="left"/>
              <w:rPr>
                <w:rFonts w:hint="eastAsia" w:ascii="仿宋" w:hAnsi="仿宋" w:eastAsia="仿宋" w:cs="仿宋"/>
              </w:rPr>
            </w:pPr>
          </w:p>
        </w:tc>
        <w:tc>
          <w:tcPr>
            <w:tcW w:w="1017" w:type="dxa"/>
            <w:vAlign w:val="center"/>
          </w:tcPr>
          <w:p>
            <w:pPr>
              <w:spacing w:line="300" w:lineRule="exact"/>
              <w:jc w:val="left"/>
              <w:rPr>
                <w:rFonts w:hint="eastAsia" w:ascii="仿宋" w:hAnsi="仿宋" w:eastAsia="仿宋" w:cs="仿宋"/>
              </w:rPr>
            </w:pPr>
          </w:p>
        </w:tc>
        <w:tc>
          <w:tcPr>
            <w:tcW w:w="615" w:type="dxa"/>
            <w:vAlign w:val="center"/>
          </w:tcPr>
          <w:p>
            <w:pPr>
              <w:spacing w:line="300" w:lineRule="exact"/>
              <w:jc w:val="right"/>
              <w:rPr>
                <w:rFonts w:hint="eastAsia" w:ascii="仿宋" w:hAnsi="仿宋" w:eastAsia="仿宋" w:cs="仿宋"/>
              </w:rPr>
            </w:pPr>
          </w:p>
        </w:tc>
        <w:tc>
          <w:tcPr>
            <w:tcW w:w="1047" w:type="dxa"/>
            <w:vAlign w:val="center"/>
          </w:tcPr>
          <w:p>
            <w:pPr>
              <w:spacing w:line="300" w:lineRule="exact"/>
              <w:jc w:val="right"/>
              <w:rPr>
                <w:rFonts w:hint="eastAsia" w:ascii="仿宋" w:hAnsi="仿宋" w:eastAsia="仿宋" w:cs="仿宋"/>
              </w:rPr>
            </w:pPr>
          </w:p>
        </w:tc>
        <w:tc>
          <w:tcPr>
            <w:tcW w:w="898" w:type="dxa"/>
            <w:vAlign w:val="center"/>
          </w:tcPr>
          <w:p>
            <w:pPr>
              <w:spacing w:line="300" w:lineRule="exact"/>
              <w:jc w:val="right"/>
              <w:rPr>
                <w:rFonts w:hint="eastAsia" w:ascii="仿宋" w:hAnsi="仿宋" w:eastAsia="仿宋" w:cs="仿宋"/>
              </w:rPr>
            </w:pPr>
          </w:p>
        </w:tc>
        <w:tc>
          <w:tcPr>
            <w:tcW w:w="1017" w:type="dxa"/>
            <w:vAlign w:val="center"/>
          </w:tcPr>
          <w:p>
            <w:pPr>
              <w:spacing w:line="300" w:lineRule="exact"/>
              <w:jc w:val="right"/>
              <w:rPr>
                <w:rFonts w:hint="eastAsia" w:ascii="仿宋" w:hAnsi="仿宋" w:eastAsia="仿宋" w:cs="仿宋"/>
              </w:rPr>
            </w:pPr>
          </w:p>
        </w:tc>
        <w:tc>
          <w:tcPr>
            <w:tcW w:w="1017" w:type="dxa"/>
            <w:vAlign w:val="center"/>
          </w:tcPr>
          <w:p>
            <w:pPr>
              <w:spacing w:line="300" w:lineRule="exact"/>
              <w:jc w:val="right"/>
              <w:rPr>
                <w:rFonts w:hint="eastAsia" w:ascii="仿宋" w:hAnsi="仿宋" w:eastAsia="仿宋" w:cs="仿宋"/>
              </w:rPr>
            </w:pPr>
          </w:p>
        </w:tc>
        <w:tc>
          <w:tcPr>
            <w:tcW w:w="1017" w:type="dxa"/>
            <w:vAlign w:val="center"/>
          </w:tcPr>
          <w:p>
            <w:pPr>
              <w:spacing w:line="300" w:lineRule="exact"/>
              <w:jc w:val="right"/>
              <w:rPr>
                <w:rFonts w:hint="eastAsia" w:ascii="仿宋" w:hAnsi="仿宋" w:eastAsia="仿宋" w:cs="仿宋"/>
              </w:rPr>
            </w:pPr>
          </w:p>
        </w:tc>
        <w:tc>
          <w:tcPr>
            <w:tcW w:w="1017" w:type="dxa"/>
            <w:vAlign w:val="center"/>
          </w:tcPr>
          <w:p>
            <w:pPr>
              <w:spacing w:line="300" w:lineRule="exact"/>
              <w:jc w:val="right"/>
              <w:rPr>
                <w:rFonts w:hint="eastAsia" w:ascii="仿宋" w:hAnsi="仿宋" w:eastAsia="仿宋" w:cs="仿宋"/>
              </w:rPr>
            </w:pPr>
          </w:p>
        </w:tc>
        <w:tc>
          <w:tcPr>
            <w:tcW w:w="1017" w:type="dxa"/>
            <w:vAlign w:val="center"/>
          </w:tcPr>
          <w:p>
            <w:pPr>
              <w:spacing w:line="300" w:lineRule="exact"/>
              <w:jc w:val="right"/>
              <w:rPr>
                <w:rFonts w:hint="eastAsia" w:ascii="仿宋" w:hAnsi="仿宋" w:eastAsia="仿宋" w:cs="仿宋"/>
              </w:rPr>
            </w:pPr>
          </w:p>
        </w:tc>
        <w:tc>
          <w:tcPr>
            <w:tcW w:w="959" w:type="dxa"/>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vAlign w:val="center"/>
          </w:tcPr>
          <w:p>
            <w:pPr>
              <w:spacing w:line="300" w:lineRule="exact"/>
              <w:jc w:val="left"/>
              <w:rPr>
                <w:rFonts w:hint="eastAsia" w:ascii="仿宋" w:hAnsi="仿宋" w:eastAsia="仿宋" w:cs="仿宋"/>
              </w:rPr>
            </w:pPr>
          </w:p>
        </w:tc>
        <w:tc>
          <w:tcPr>
            <w:tcW w:w="897" w:type="dxa"/>
            <w:vAlign w:val="center"/>
          </w:tcPr>
          <w:p>
            <w:pPr>
              <w:spacing w:line="300" w:lineRule="exact"/>
              <w:jc w:val="right"/>
              <w:rPr>
                <w:rFonts w:hint="eastAsia" w:ascii="仿宋" w:hAnsi="仿宋" w:eastAsia="仿宋" w:cs="仿宋"/>
              </w:rPr>
            </w:pPr>
          </w:p>
        </w:tc>
        <w:tc>
          <w:tcPr>
            <w:tcW w:w="1018" w:type="dxa"/>
            <w:vAlign w:val="center"/>
          </w:tcPr>
          <w:p>
            <w:pPr>
              <w:spacing w:line="300" w:lineRule="exact"/>
              <w:jc w:val="left"/>
              <w:rPr>
                <w:rFonts w:hint="eastAsia" w:ascii="仿宋" w:hAnsi="仿宋" w:eastAsia="仿宋" w:cs="仿宋"/>
              </w:rPr>
            </w:pPr>
          </w:p>
        </w:tc>
        <w:tc>
          <w:tcPr>
            <w:tcW w:w="1112" w:type="dxa"/>
            <w:vAlign w:val="center"/>
          </w:tcPr>
          <w:p>
            <w:pPr>
              <w:spacing w:line="300" w:lineRule="exact"/>
              <w:jc w:val="left"/>
              <w:rPr>
                <w:rFonts w:hint="eastAsia" w:ascii="仿宋" w:hAnsi="仿宋" w:eastAsia="仿宋" w:cs="仿宋"/>
              </w:rPr>
            </w:pPr>
          </w:p>
        </w:tc>
        <w:tc>
          <w:tcPr>
            <w:tcW w:w="1017" w:type="dxa"/>
            <w:vAlign w:val="center"/>
          </w:tcPr>
          <w:p>
            <w:pPr>
              <w:spacing w:line="300" w:lineRule="exact"/>
              <w:jc w:val="left"/>
              <w:rPr>
                <w:rFonts w:hint="eastAsia" w:ascii="仿宋" w:hAnsi="仿宋" w:eastAsia="仿宋" w:cs="仿宋"/>
              </w:rPr>
            </w:pPr>
          </w:p>
        </w:tc>
        <w:tc>
          <w:tcPr>
            <w:tcW w:w="615" w:type="dxa"/>
            <w:vAlign w:val="center"/>
          </w:tcPr>
          <w:p>
            <w:pPr>
              <w:spacing w:line="300" w:lineRule="exact"/>
              <w:jc w:val="right"/>
              <w:rPr>
                <w:rFonts w:hint="eastAsia" w:ascii="仿宋" w:hAnsi="仿宋" w:eastAsia="仿宋" w:cs="仿宋"/>
              </w:rPr>
            </w:pPr>
          </w:p>
        </w:tc>
        <w:tc>
          <w:tcPr>
            <w:tcW w:w="1047" w:type="dxa"/>
            <w:vAlign w:val="center"/>
          </w:tcPr>
          <w:p>
            <w:pPr>
              <w:spacing w:line="300" w:lineRule="exact"/>
              <w:jc w:val="right"/>
              <w:rPr>
                <w:rFonts w:hint="eastAsia" w:ascii="仿宋" w:hAnsi="仿宋" w:eastAsia="仿宋" w:cs="仿宋"/>
              </w:rPr>
            </w:pPr>
          </w:p>
        </w:tc>
        <w:tc>
          <w:tcPr>
            <w:tcW w:w="898" w:type="dxa"/>
            <w:vAlign w:val="center"/>
          </w:tcPr>
          <w:p>
            <w:pPr>
              <w:spacing w:line="300" w:lineRule="exact"/>
              <w:jc w:val="right"/>
              <w:rPr>
                <w:rFonts w:hint="eastAsia" w:ascii="仿宋" w:hAnsi="仿宋" w:eastAsia="仿宋" w:cs="仿宋"/>
              </w:rPr>
            </w:pPr>
          </w:p>
        </w:tc>
        <w:tc>
          <w:tcPr>
            <w:tcW w:w="1017" w:type="dxa"/>
            <w:vAlign w:val="center"/>
          </w:tcPr>
          <w:p>
            <w:pPr>
              <w:spacing w:line="300" w:lineRule="exact"/>
              <w:jc w:val="right"/>
              <w:rPr>
                <w:rFonts w:hint="eastAsia" w:ascii="仿宋" w:hAnsi="仿宋" w:eastAsia="仿宋" w:cs="仿宋"/>
              </w:rPr>
            </w:pPr>
          </w:p>
        </w:tc>
        <w:tc>
          <w:tcPr>
            <w:tcW w:w="1017" w:type="dxa"/>
            <w:vAlign w:val="center"/>
          </w:tcPr>
          <w:p>
            <w:pPr>
              <w:spacing w:line="300" w:lineRule="exact"/>
              <w:jc w:val="right"/>
              <w:rPr>
                <w:rFonts w:hint="eastAsia" w:ascii="仿宋" w:hAnsi="仿宋" w:eastAsia="仿宋" w:cs="仿宋"/>
              </w:rPr>
            </w:pPr>
          </w:p>
        </w:tc>
        <w:tc>
          <w:tcPr>
            <w:tcW w:w="1017" w:type="dxa"/>
            <w:vAlign w:val="center"/>
          </w:tcPr>
          <w:p>
            <w:pPr>
              <w:spacing w:line="300" w:lineRule="exact"/>
              <w:jc w:val="right"/>
              <w:rPr>
                <w:rFonts w:hint="eastAsia" w:ascii="仿宋" w:hAnsi="仿宋" w:eastAsia="仿宋" w:cs="仿宋"/>
              </w:rPr>
            </w:pPr>
          </w:p>
        </w:tc>
        <w:tc>
          <w:tcPr>
            <w:tcW w:w="1017" w:type="dxa"/>
            <w:vAlign w:val="center"/>
          </w:tcPr>
          <w:p>
            <w:pPr>
              <w:spacing w:line="300" w:lineRule="exact"/>
              <w:jc w:val="right"/>
              <w:rPr>
                <w:rFonts w:hint="eastAsia" w:ascii="仿宋" w:hAnsi="仿宋" w:eastAsia="仿宋" w:cs="仿宋"/>
              </w:rPr>
            </w:pPr>
          </w:p>
        </w:tc>
        <w:tc>
          <w:tcPr>
            <w:tcW w:w="1017" w:type="dxa"/>
            <w:vAlign w:val="center"/>
          </w:tcPr>
          <w:p>
            <w:pPr>
              <w:spacing w:line="300" w:lineRule="exact"/>
              <w:jc w:val="right"/>
              <w:rPr>
                <w:rFonts w:hint="eastAsia" w:ascii="仿宋" w:hAnsi="仿宋" w:eastAsia="仿宋" w:cs="仿宋"/>
              </w:rPr>
            </w:pPr>
          </w:p>
        </w:tc>
        <w:tc>
          <w:tcPr>
            <w:tcW w:w="959" w:type="dxa"/>
            <w:vAlign w:val="center"/>
          </w:tcPr>
          <w:p>
            <w:pPr>
              <w:spacing w:line="300" w:lineRule="exact"/>
              <w:jc w:val="right"/>
              <w:rPr>
                <w:rFonts w:hint="eastAsia" w:ascii="仿宋" w:hAnsi="仿宋" w:eastAsia="仿宋" w:cs="仿宋"/>
              </w:rPr>
            </w:pPr>
          </w:p>
        </w:tc>
      </w:tr>
    </w:tbl>
    <w:p>
      <w:pPr>
        <w:jc w:val="left"/>
        <w:rPr>
          <w:rFonts w:hint="eastAsia" w:ascii="仿宋_GB2312" w:eastAsia="仿宋_GB2312"/>
          <w:sz w:val="32"/>
          <w:szCs w:val="32"/>
        </w:rPr>
      </w:pPr>
      <w:r>
        <w:rPr>
          <w:rFonts w:hint="eastAsia" w:ascii="仿宋_GB2312" w:eastAsia="仿宋_GB2312"/>
          <w:sz w:val="32"/>
          <w:szCs w:val="32"/>
        </w:rPr>
        <w:t>无此项公开内容，空表列示。</w:t>
      </w:r>
    </w:p>
    <w:p>
      <w:pPr>
        <w:jc w:val="left"/>
        <w:rPr>
          <w:rFonts w:hint="eastAsia" w:ascii="黑体" w:hAnsi="黑体" w:eastAsia="黑体"/>
          <w:color w:val="000000"/>
          <w:sz w:val="32"/>
        </w:rPr>
      </w:pPr>
    </w:p>
    <w:p>
      <w:pPr>
        <w:jc w:val="left"/>
        <w:rPr>
          <w:rFonts w:hint="eastAsia" w:ascii="黑体" w:hAnsi="黑体" w:eastAsia="黑体"/>
          <w:color w:val="000000"/>
          <w:sz w:val="32"/>
        </w:rPr>
      </w:pPr>
      <w:r>
        <w:rPr>
          <w:rFonts w:hint="eastAsia" w:ascii="黑体" w:hAnsi="黑体" w:eastAsia="黑体"/>
          <w:color w:val="000000"/>
          <w:sz w:val="32"/>
        </w:rPr>
        <w:t xml:space="preserve">    </w:t>
      </w:r>
    </w:p>
    <w:p>
      <w:pPr>
        <w:jc w:val="left"/>
        <w:rPr>
          <w:rFonts w:hint="eastAsia" w:ascii="黑体" w:hAnsi="黑体" w:eastAsia="黑体"/>
          <w:color w:val="000000"/>
          <w:sz w:val="32"/>
        </w:rPr>
      </w:pPr>
    </w:p>
    <w:p>
      <w:pPr>
        <w:jc w:val="left"/>
        <w:rPr>
          <w:rFonts w:hint="eastAsia" w:ascii="黑体" w:hAnsi="黑体" w:eastAsia="黑体"/>
          <w:color w:val="000000"/>
          <w:sz w:val="32"/>
        </w:rPr>
      </w:pPr>
    </w:p>
    <w:p>
      <w:pPr>
        <w:jc w:val="left"/>
        <w:rPr>
          <w:rFonts w:hint="eastAsia" w:ascii="黑体" w:hAnsi="黑体" w:eastAsia="黑体"/>
          <w:color w:val="000000"/>
          <w:sz w:val="32"/>
        </w:rPr>
      </w:pPr>
    </w:p>
    <w:p>
      <w:pPr>
        <w:jc w:val="left"/>
        <w:rPr>
          <w:rFonts w:hint="eastAsia" w:ascii="黑体" w:hAnsi="黑体" w:eastAsia="黑体"/>
          <w:color w:val="000000"/>
          <w:sz w:val="32"/>
        </w:rPr>
      </w:pPr>
    </w:p>
    <w:p>
      <w:pPr>
        <w:ind w:firstLine="640" w:firstLineChars="200"/>
        <w:jc w:val="left"/>
        <w:rPr>
          <w:rFonts w:ascii="黑体" w:hAnsi="黑体" w:eastAsia="黑体"/>
          <w:color w:val="000000"/>
          <w:sz w:val="32"/>
        </w:rPr>
      </w:pPr>
      <w:r>
        <w:rPr>
          <w:rFonts w:hint="eastAsia" w:ascii="黑体" w:hAnsi="黑体" w:eastAsia="黑体"/>
          <w:color w:val="000000"/>
          <w:sz w:val="32"/>
        </w:rPr>
        <w:t>六</w:t>
      </w:r>
      <w:r>
        <w:rPr>
          <w:rFonts w:ascii="黑体" w:hAnsi="黑体" w:eastAsia="黑体"/>
          <w:color w:val="000000"/>
          <w:sz w:val="32"/>
        </w:rPr>
        <w:t>、国有资产信息</w:t>
      </w:r>
    </w:p>
    <w:p>
      <w:pPr>
        <w:spacing w:afterLines="50" w:line="360" w:lineRule="auto"/>
        <w:ind w:firstLine="640" w:firstLineChars="200"/>
        <w:rPr>
          <w:rFonts w:hint="eastAsia" w:ascii="仿宋_GB2312" w:eastAsia="仿宋_GB2312"/>
          <w:sz w:val="32"/>
          <w:szCs w:val="32"/>
        </w:rPr>
      </w:pPr>
      <w:r>
        <w:rPr>
          <w:rFonts w:hint="eastAsia" w:ascii="仿宋_GB2312" w:eastAsia="仿宋_GB2312"/>
          <w:sz w:val="32"/>
          <w:szCs w:val="32"/>
        </w:rPr>
        <w:t>截至上年末，我单位固定资产总额83.05万元，本年度无新增固定资产预算。本年度拟购置固定资产总额为0万元，具体情况如下：</w:t>
      </w:r>
    </w:p>
    <w:tbl>
      <w:tblPr>
        <w:tblStyle w:val="4"/>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jc w:val="center"/>
              <w:rPr>
                <w:rFonts w:ascii="仿宋_GB2312" w:eastAsia="仿宋_GB2312"/>
                <w:sz w:val="32"/>
                <w:szCs w:val="32"/>
              </w:rPr>
            </w:pPr>
            <w:r>
              <w:rPr>
                <w:rFonts w:hint="eastAsia" w:ascii="仿宋_GB2312" w:eastAsia="仿宋_GB2312"/>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jc w:val="left"/>
              <w:rPr>
                <w:rFonts w:ascii="宋体" w:hAnsi="宋体" w:cs="宋体"/>
                <w:kern w:val="0"/>
                <w:sz w:val="22"/>
              </w:rPr>
            </w:pPr>
            <w:r>
              <w:rPr>
                <w:rFonts w:hint="eastAsia" w:ascii="宋体" w:hAnsi="宋体" w:cs="宋体"/>
                <w:kern w:val="0"/>
                <w:sz w:val="22"/>
              </w:rPr>
              <w:t>编制部门：</w:t>
            </w:r>
          </w:p>
        </w:tc>
        <w:tc>
          <w:tcPr>
            <w:tcW w:w="5103" w:type="dxa"/>
            <w:tcBorders>
              <w:top w:val="nil"/>
              <w:left w:val="nil"/>
              <w:bottom w:val="nil"/>
              <w:right w:val="nil"/>
            </w:tcBorders>
            <w:vAlign w:val="center"/>
          </w:tcPr>
          <w:p>
            <w:pPr>
              <w:ind w:firstLine="1760" w:firstLineChars="800"/>
              <w:jc w:val="left"/>
              <w:rPr>
                <w:rFonts w:ascii="宋体" w:hAnsi="宋体" w:cs="宋体"/>
                <w:kern w:val="0"/>
                <w:sz w:val="22"/>
              </w:rPr>
            </w:pPr>
            <w:r>
              <w:rPr>
                <w:rFonts w:hint="eastAsia" w:ascii="宋体" w:hAnsi="宋体" w:cs="宋体"/>
                <w:kern w:val="0"/>
                <w:sz w:val="22"/>
              </w:rPr>
              <w:t xml:space="preserve">截止时间：2021年12月31日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r>
              <w:rPr>
                <w:rFonts w:hint="eastAsia" w:ascii="宋体" w:hAnsi="宋体" w:cs="宋体"/>
                <w:kern w:val="0"/>
                <w:sz w:val="22"/>
              </w:rPr>
              <w:t>83.05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r>
              <w:rPr>
                <w:rFonts w:hint="eastAsia" w:ascii="宋体" w:hAnsi="宋体" w:cs="宋体"/>
                <w:kern w:val="0"/>
                <w:sz w:val="22"/>
              </w:rPr>
              <w:t>154.4</w:t>
            </w:r>
          </w:p>
        </w:tc>
        <w:tc>
          <w:tcPr>
            <w:tcW w:w="5103" w:type="dxa"/>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r>
              <w:rPr>
                <w:rFonts w:hint="eastAsia" w:ascii="宋体" w:hAnsi="宋体" w:cs="宋体"/>
                <w:kern w:val="0"/>
                <w:sz w:val="22"/>
              </w:rPr>
              <w:t>0.15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jc w:val="center"/>
              <w:rPr>
                <w:rFonts w:hint="eastAsia" w:ascii="宋体" w:hAnsi="宋体" w:eastAsia="宋体" w:cs="宋体"/>
                <w:kern w:val="0"/>
                <w:sz w:val="22"/>
              </w:rPr>
            </w:pPr>
            <w:r>
              <w:rPr>
                <w:rFonts w:hint="eastAsia" w:ascii="宋体" w:hAnsi="宋体" w:cs="宋体"/>
                <w:kern w:val="0"/>
                <w:sz w:val="22"/>
              </w:rPr>
              <w:t>1</w:t>
            </w:r>
          </w:p>
        </w:tc>
        <w:tc>
          <w:tcPr>
            <w:tcW w:w="5103" w:type="dxa"/>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r>
              <w:rPr>
                <w:rFonts w:hint="eastAsia" w:ascii="宋体" w:hAnsi="宋体" w:cs="宋体"/>
                <w:kern w:val="0"/>
                <w:sz w:val="22"/>
              </w:rPr>
              <w:t>10.77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3、单价在20元以上设备</w:t>
            </w:r>
          </w:p>
        </w:tc>
        <w:tc>
          <w:tcPr>
            <w:tcW w:w="3155"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left"/>
              <w:rPr>
                <w:rFonts w:hint="eastAsia" w:ascii="宋体" w:hAnsi="宋体" w:cs="宋体"/>
                <w:kern w:val="0"/>
                <w:sz w:val="22"/>
              </w:rPr>
            </w:pPr>
            <w:r>
              <w:rPr>
                <w:rFonts w:hint="eastAsia" w:ascii="宋体" w:hAnsi="宋体" w:cs="宋体"/>
                <w:kern w:val="0"/>
                <w:sz w:val="22"/>
              </w:rPr>
              <w:t>4、</w:t>
            </w:r>
            <w:r>
              <w:rPr>
                <w:rFonts w:ascii="宋体" w:hAnsi="宋体" w:cs="宋体"/>
                <w:kern w:val="0"/>
                <w:sz w:val="22"/>
              </w:rPr>
              <w:t>……………</w:t>
            </w:r>
          </w:p>
        </w:tc>
        <w:tc>
          <w:tcPr>
            <w:tcW w:w="3155"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5、其他固定资产</w:t>
            </w:r>
          </w:p>
        </w:tc>
        <w:tc>
          <w:tcPr>
            <w:tcW w:w="3155" w:type="dxa"/>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r>
              <w:rPr>
                <w:rFonts w:hint="eastAsia" w:ascii="宋体" w:hAnsi="宋体" w:cs="宋体"/>
                <w:kern w:val="0"/>
                <w:sz w:val="22"/>
              </w:rPr>
              <w:t>152</w:t>
            </w:r>
          </w:p>
        </w:tc>
        <w:tc>
          <w:tcPr>
            <w:tcW w:w="5103" w:type="dxa"/>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r>
              <w:rPr>
                <w:rFonts w:hint="eastAsia" w:ascii="宋体" w:hAnsi="宋体" w:cs="宋体"/>
                <w:kern w:val="0"/>
                <w:sz w:val="22"/>
              </w:rPr>
              <w:t>72.13</w:t>
            </w:r>
          </w:p>
        </w:tc>
      </w:tr>
    </w:tbl>
    <w:p>
      <w:pPr>
        <w:jc w:val="left"/>
        <w:rPr>
          <w:rFonts w:hint="eastAsia" w:ascii="黑体" w:hAnsi="黑体" w:eastAsia="黑体"/>
          <w:color w:val="000000"/>
          <w:sz w:val="32"/>
        </w:rPr>
      </w:pPr>
      <w:r>
        <w:rPr>
          <w:rFonts w:hint="eastAsia" w:ascii="黑体" w:hAnsi="黑体" w:eastAsia="黑体"/>
          <w:color w:val="000000"/>
          <w:sz w:val="32"/>
        </w:rPr>
        <w:t xml:space="preserve">    </w:t>
      </w:r>
    </w:p>
    <w:p>
      <w:pPr>
        <w:jc w:val="left"/>
        <w:rPr>
          <w:rFonts w:hint="eastAsia" w:ascii="黑体" w:hAnsi="黑体" w:eastAsia="黑体"/>
          <w:color w:val="000000"/>
          <w:sz w:val="32"/>
        </w:rPr>
      </w:pPr>
    </w:p>
    <w:p>
      <w:pPr>
        <w:ind w:firstLine="640" w:firstLineChars="200"/>
        <w:jc w:val="left"/>
        <w:rPr>
          <w:rFonts w:ascii="黑体" w:hAnsi="黑体" w:eastAsia="黑体"/>
          <w:color w:val="000000"/>
          <w:sz w:val="32"/>
        </w:rPr>
      </w:pPr>
      <w:r>
        <w:rPr>
          <w:rFonts w:hint="eastAsia" w:ascii="黑体" w:hAnsi="黑体" w:eastAsia="黑体"/>
          <w:color w:val="000000"/>
          <w:sz w:val="32"/>
        </w:rPr>
        <w:t>七</w:t>
      </w:r>
      <w:r>
        <w:rPr>
          <w:rFonts w:ascii="黑体" w:hAnsi="黑体" w:eastAsia="黑体"/>
          <w:color w:val="000000"/>
          <w:sz w:val="32"/>
        </w:rPr>
        <w:t>、名词解释</w:t>
      </w:r>
    </w:p>
    <w:p>
      <w:pPr>
        <w:rPr>
          <w:rFonts w:hint="eastAsia" w:ascii="仿宋_GB2312" w:eastAsia="仿宋_GB2312"/>
          <w:sz w:val="32"/>
          <w:szCs w:val="32"/>
        </w:rPr>
      </w:pPr>
      <w:r>
        <w:rPr>
          <w:rFonts w:hint="eastAsia" w:ascii="Times New Roman" w:hAnsi="Times New Roman"/>
          <w:b/>
          <w:color w:val="000000"/>
          <w:sz w:val="32"/>
        </w:rPr>
        <w:t xml:space="preserve">   </w:t>
      </w:r>
      <w:r>
        <w:rPr>
          <w:rFonts w:hint="eastAsia" w:ascii="仿宋" w:hAnsi="仿宋" w:eastAsia="仿宋" w:cs="仿宋"/>
          <w:b/>
          <w:color w:val="000000"/>
          <w:sz w:val="32"/>
        </w:rPr>
        <w:t xml:space="preserve"> </w:t>
      </w:r>
      <w:r>
        <w:rPr>
          <w:rFonts w:hint="eastAsia" w:ascii="仿宋_GB2312" w:eastAsia="仿宋_GB2312"/>
          <w:sz w:val="32"/>
          <w:szCs w:val="32"/>
        </w:rPr>
        <w:t>1、一般共预算拨款收入：指县级财政当年拨付的资金。</w:t>
      </w:r>
    </w:p>
    <w:p>
      <w:pPr>
        <w:jc w:val="left"/>
        <w:rPr>
          <w:rFonts w:hint="eastAsia" w:ascii="仿宋_GB2312" w:eastAsia="仿宋_GB2312"/>
          <w:sz w:val="32"/>
          <w:szCs w:val="32"/>
        </w:rPr>
      </w:pPr>
      <w:r>
        <w:rPr>
          <w:rFonts w:hint="eastAsia" w:ascii="仿宋_GB2312" w:eastAsia="仿宋_GB2312"/>
          <w:sz w:val="32"/>
          <w:szCs w:val="32"/>
        </w:rPr>
        <w:t xml:space="preserve">    2、事业收入：指事业单位开展专业业务活动及辅助活动所取得的收入。</w:t>
      </w:r>
    </w:p>
    <w:p>
      <w:pPr>
        <w:jc w:val="left"/>
        <w:rPr>
          <w:rFonts w:hint="eastAsia" w:ascii="仿宋_GB2312" w:eastAsia="仿宋_GB2312"/>
          <w:sz w:val="32"/>
          <w:szCs w:val="32"/>
        </w:rPr>
      </w:pPr>
      <w:r>
        <w:rPr>
          <w:rFonts w:hint="eastAsia" w:ascii="仿宋_GB2312" w:eastAsia="仿宋_GB2312"/>
          <w:sz w:val="32"/>
          <w:szCs w:val="32"/>
        </w:rPr>
        <w:t xml:space="preserve">    3、其他收入：指除上述“财政拨款收入”、“事业收入”等以外的收入。主要是按规定动用的租房收入、存款利息收入等。</w:t>
      </w:r>
    </w:p>
    <w:p>
      <w:pPr>
        <w:jc w:val="left"/>
        <w:rPr>
          <w:rFonts w:hint="eastAsia" w:ascii="仿宋_GB2312" w:eastAsia="仿宋_GB2312"/>
          <w:sz w:val="32"/>
          <w:szCs w:val="32"/>
        </w:rPr>
      </w:pPr>
      <w:r>
        <w:rPr>
          <w:rFonts w:hint="eastAsia" w:ascii="仿宋_GB2312" w:eastAsia="仿宋_GB2312"/>
          <w:sz w:val="32"/>
          <w:szCs w:val="32"/>
        </w:rPr>
        <w:t xml:space="preserve">    4、基本支出：指为保障机构正常运转、完成日常工作任务而发生的人员支出和公用支出。</w:t>
      </w:r>
    </w:p>
    <w:p>
      <w:pPr>
        <w:jc w:val="left"/>
        <w:rPr>
          <w:rFonts w:hint="eastAsia" w:ascii="仿宋_GB2312" w:eastAsia="仿宋_GB2312"/>
          <w:sz w:val="32"/>
          <w:szCs w:val="32"/>
        </w:rPr>
      </w:pPr>
      <w:r>
        <w:rPr>
          <w:rFonts w:hint="eastAsia" w:ascii="仿宋_GB2312" w:eastAsia="仿宋_GB2312"/>
          <w:sz w:val="32"/>
          <w:szCs w:val="32"/>
        </w:rPr>
        <w:t xml:space="preserve">    5、项目支出：指在基本支出之外为完成特定行政任务和事业发展目标所发生的支出。</w:t>
      </w:r>
    </w:p>
    <w:p>
      <w:pPr>
        <w:jc w:val="left"/>
        <w:rPr>
          <w:rFonts w:hint="eastAsia" w:ascii="仿宋_GB2312" w:eastAsia="仿宋_GB2312"/>
          <w:sz w:val="32"/>
          <w:szCs w:val="32"/>
        </w:rPr>
      </w:pPr>
      <w:r>
        <w:rPr>
          <w:rFonts w:hint="eastAsia" w:ascii="仿宋_GB2312" w:eastAsia="仿宋_GB2312"/>
          <w:sz w:val="32"/>
          <w:szCs w:val="32"/>
        </w:rPr>
        <w:t xml:space="preserve">    6、“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2"/>
        <w:rPr>
          <w:rFonts w:hint="eastAsia" w:ascii="仿宋_GB2312" w:eastAsia="仿宋_GB2312"/>
          <w:sz w:val="32"/>
          <w:szCs w:val="32"/>
        </w:rPr>
      </w:pPr>
      <w:r>
        <w:rPr>
          <w:rFonts w:hint="eastAsia" w:ascii="仿宋_GB2312" w:eastAsia="仿宋_GB2312"/>
          <w:sz w:val="32"/>
          <w:szCs w:val="32"/>
        </w:rPr>
        <w:t>7、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jc w:val="left"/>
        <w:rPr>
          <w:rFonts w:ascii="黑体" w:hAnsi="黑体" w:eastAsia="黑体"/>
          <w:color w:val="000000"/>
          <w:sz w:val="32"/>
        </w:rPr>
      </w:pPr>
      <w:r>
        <w:rPr>
          <w:rFonts w:hint="eastAsia" w:ascii="黑体" w:hAnsi="黑体" w:eastAsia="黑体"/>
          <w:color w:val="000000"/>
          <w:sz w:val="32"/>
        </w:rPr>
        <w:t xml:space="preserve">    八</w:t>
      </w:r>
      <w:r>
        <w:rPr>
          <w:rFonts w:ascii="黑体" w:hAnsi="黑体" w:eastAsia="黑体"/>
          <w:color w:val="000000"/>
          <w:sz w:val="32"/>
        </w:rPr>
        <w:t>、</w:t>
      </w:r>
      <w:r>
        <w:rPr>
          <w:rFonts w:hint="eastAsia" w:ascii="黑体" w:hAnsi="黑体" w:eastAsia="黑体"/>
          <w:color w:val="000000"/>
          <w:sz w:val="32"/>
        </w:rPr>
        <w:t>其他需要说明的事项</w:t>
      </w:r>
    </w:p>
    <w:p>
      <w:pPr>
        <w:ind w:firstLine="642"/>
        <w:rPr>
          <w:rFonts w:hint="eastAsia" w:ascii="仿宋_GB2312" w:eastAsia="仿宋_GB2312"/>
          <w:sz w:val="32"/>
          <w:szCs w:val="32"/>
        </w:rPr>
      </w:pPr>
      <w:r>
        <w:rPr>
          <w:rFonts w:hint="eastAsia" w:ascii="仿宋_GB2312" w:eastAsia="仿宋_GB2312"/>
          <w:sz w:val="32"/>
          <w:szCs w:val="32"/>
        </w:rPr>
        <w:t>无其他需要说明的事项。</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80" w:lineRule="exact"/>
        <w:jc w:val="center"/>
        <w:rPr>
          <w:rFonts w:hint="eastAsia" w:ascii="仿宋_GB2312" w:hAnsi="黑体" w:eastAsia="仿宋_GB2312" w:cs="黑体"/>
          <w:b/>
          <w:color w:val="000000"/>
          <w:sz w:val="44"/>
          <w:szCs w:val="44"/>
        </w:rPr>
      </w:pPr>
      <w:r>
        <w:rPr>
          <w:rFonts w:hint="eastAsia" w:ascii="仿宋_GB2312" w:hAnsi="黑体" w:eastAsia="仿宋_GB2312" w:cs="黑体"/>
          <w:b/>
          <w:color w:val="000000"/>
          <w:sz w:val="44"/>
          <w:szCs w:val="44"/>
        </w:rPr>
        <w:t>三、2022年</w:t>
      </w:r>
      <w:r>
        <w:rPr>
          <w:rFonts w:hint="eastAsia" w:ascii="仿宋_GB2312" w:hAnsi="黑体" w:eastAsia="仿宋_GB2312" w:cs="黑体"/>
          <w:b/>
          <w:color w:val="000000"/>
          <w:sz w:val="44"/>
          <w:szCs w:val="44"/>
          <w:lang w:eastAsia="zh-CN"/>
        </w:rPr>
        <w:t>单位</w:t>
      </w:r>
      <w:r>
        <w:rPr>
          <w:rFonts w:hint="eastAsia" w:ascii="仿宋_GB2312" w:hAnsi="黑体" w:eastAsia="仿宋_GB2312" w:cs="黑体"/>
          <w:b/>
          <w:color w:val="000000"/>
          <w:sz w:val="44"/>
          <w:szCs w:val="44"/>
        </w:rPr>
        <w:t>预算绩效文本</w:t>
      </w:r>
    </w:p>
    <w:p>
      <w:pPr>
        <w:rPr>
          <w:rFonts w:hint="eastAsia"/>
        </w:rPr>
      </w:pPr>
    </w:p>
    <w:p>
      <w:pPr>
        <w:rPr>
          <w:rFonts w:hint="eastAsia"/>
        </w:rPr>
      </w:pP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pPr>
      <w:r>
        <w:rPr>
          <w:rFonts w:ascii="宋体" w:hAnsi="宋体" w:eastAsia="宋体" w:cs="宋体"/>
          <w:color w:val="000000"/>
        </w:rPr>
        <w:t xml:space="preserve"> </w:t>
      </w:r>
    </w:p>
    <w:p>
      <w:pPr>
        <w:jc w:val="center"/>
        <w:sectPr>
          <w:pgSz w:w="16840" w:h="11900" w:orient="landscape"/>
          <w:pgMar w:top="1304" w:right="1984" w:bottom="1304" w:left="1134" w:header="720" w:footer="720" w:gutter="0"/>
          <w:cols w:space="720" w:num="1"/>
          <w:titlePg/>
          <w:docGrid w:linePitch="326" w:charSpace="0"/>
        </w:sectPr>
      </w:pPr>
    </w:p>
    <w:p>
      <w:pPr>
        <w:jc w:val="center"/>
      </w:pPr>
      <w:r>
        <w:rPr>
          <w:rFonts w:ascii="方正小标宋_GBK" w:hAnsi="方正小标宋_GBK" w:eastAsia="方正小标宋_GBK" w:cs="方正小标宋_GBK"/>
          <w:color w:val="000000"/>
          <w:sz w:val="36"/>
        </w:rPr>
        <w:t xml:space="preserve"> </w:t>
      </w:r>
    </w:p>
    <w:p>
      <w:pPr>
        <w:jc w:val="center"/>
        <w:outlineLvl w:val="0"/>
      </w:pPr>
      <w:r>
        <w:rPr>
          <w:rFonts w:ascii="方正小标宋_GBK" w:hAnsi="方正小标宋_GBK" w:eastAsia="方正小标宋_GBK" w:cs="方正小标宋_GBK"/>
          <w:color w:val="000000"/>
          <w:sz w:val="36"/>
        </w:rPr>
        <w:t>目    录</w:t>
      </w:r>
    </w:p>
    <w:p>
      <w:pPr>
        <w:jc w:val="center"/>
      </w:pPr>
      <w:r>
        <w:rPr>
          <w:rFonts w:ascii="方正小标宋_GBK" w:hAnsi="方正小标宋_GBK" w:eastAsia="方正小标宋_GBK" w:cs="方正小标宋_GBK"/>
          <w:color w:val="000000"/>
          <w:sz w:val="30"/>
        </w:rPr>
        <w:t xml:space="preserve"> </w:t>
      </w:r>
    </w:p>
    <w:p>
      <w:pPr>
        <w:jc w:val="center"/>
      </w:pPr>
      <w:r>
        <w:rPr>
          <w:rFonts w:ascii="方正小标宋_GBK" w:hAnsi="方正小标宋_GBK" w:eastAsia="方正小标宋_GBK" w:cs="方正小标宋_GBK"/>
          <w:color w:val="000000"/>
          <w:sz w:val="30"/>
        </w:rPr>
        <w:t xml:space="preserve">第一部分 </w:t>
      </w:r>
      <w:r>
        <w:rPr>
          <w:rFonts w:hint="eastAsia" w:ascii="方正小标宋_GBK" w:hAnsi="方正小标宋_GBK" w:eastAsia="方正小标宋_GBK" w:cs="方正小标宋_GBK"/>
          <w:color w:val="000000"/>
          <w:sz w:val="30"/>
          <w:lang w:eastAsia="zh-CN"/>
        </w:rPr>
        <w:t>单位</w:t>
      </w:r>
      <w:r>
        <w:rPr>
          <w:rFonts w:ascii="方正小标宋_GBK" w:hAnsi="方正小标宋_GBK" w:eastAsia="方正小标宋_GBK" w:cs="方正小标宋_GBK"/>
          <w:color w:val="000000"/>
          <w:sz w:val="30"/>
        </w:rPr>
        <w:t>整体绩效目标</w:t>
      </w:r>
    </w:p>
    <w:p>
      <w:pPr>
        <w:pStyle w:val="17"/>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17"/>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17"/>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2</w:t>
      </w:r>
      <w:r>
        <w:fldChar w:fldCharType="end"/>
      </w:r>
      <w:r>
        <w:fldChar w:fldCharType="end"/>
      </w:r>
    </w:p>
    <w:p>
      <w:r>
        <w:fldChar w:fldCharType="end"/>
      </w:r>
    </w:p>
    <w:p>
      <w:pPr>
        <w:jc w:val="center"/>
      </w:pPr>
      <w:r>
        <w:rPr>
          <w:rFonts w:ascii="方正小标宋_GBK" w:hAnsi="方正小标宋_GBK" w:eastAsia="方正小标宋_GBK" w:cs="方正小标宋_GBK"/>
          <w:color w:val="000000"/>
          <w:sz w:val="30"/>
        </w:rPr>
        <w:t>第二部分 预算项目绩效目标</w:t>
      </w:r>
    </w:p>
    <w:p>
      <w:pPr>
        <w:pStyle w:val="17"/>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1.车辆保险费绩效目标表</w:t>
      </w:r>
      <w:r>
        <w:tab/>
      </w:r>
      <w:r>
        <w:fldChar w:fldCharType="begin"/>
      </w:r>
      <w:r>
        <w:instrText xml:space="preserve">PAGEREF _Toc_4_4_0000000004 \h</w:instrText>
      </w:r>
      <w:r>
        <w:fldChar w:fldCharType="separate"/>
      </w:r>
      <w:r>
        <w:t>4</w:t>
      </w:r>
      <w:r>
        <w:fldChar w:fldCharType="end"/>
      </w:r>
      <w:r>
        <w:fldChar w:fldCharType="end"/>
      </w:r>
    </w:p>
    <w:p>
      <w:pPr>
        <w:pStyle w:val="17"/>
        <w:tabs>
          <w:tab w:val="right" w:leader="dot" w:pos="9282"/>
        </w:tabs>
      </w:pPr>
      <w:r>
        <w:fldChar w:fldCharType="begin"/>
      </w:r>
      <w:r>
        <w:instrText xml:space="preserve"> HYPERLINK \l "_Toc_4_4_0000000005" </w:instrText>
      </w:r>
      <w:r>
        <w:fldChar w:fldCharType="separate"/>
      </w:r>
      <w:r>
        <w:t>2.2021年市级社区干部生活补贴绩效目标表</w:t>
      </w:r>
      <w:r>
        <w:tab/>
      </w:r>
      <w:r>
        <w:fldChar w:fldCharType="begin"/>
      </w:r>
      <w:r>
        <w:instrText xml:space="preserve">PAGEREF _Toc_4_4_0000000005 \h</w:instrText>
      </w:r>
      <w:r>
        <w:fldChar w:fldCharType="separate"/>
      </w:r>
      <w:r>
        <w:t>5</w:t>
      </w:r>
      <w:r>
        <w:fldChar w:fldCharType="end"/>
      </w:r>
      <w:r>
        <w:fldChar w:fldCharType="end"/>
      </w:r>
    </w:p>
    <w:p>
      <w:pPr>
        <w:pStyle w:val="17"/>
        <w:tabs>
          <w:tab w:val="right" w:leader="dot" w:pos="9282"/>
        </w:tabs>
      </w:pPr>
      <w:r>
        <w:fldChar w:fldCharType="begin"/>
      </w:r>
      <w:r>
        <w:instrText xml:space="preserve"> HYPERLINK \l "_Toc_4_4_0000000006" </w:instrText>
      </w:r>
      <w:r>
        <w:fldChar w:fldCharType="separate"/>
      </w:r>
      <w:r>
        <w:t>3.办事处、社区工作经费绩效目标表</w:t>
      </w:r>
      <w:r>
        <w:tab/>
      </w:r>
      <w:r>
        <w:fldChar w:fldCharType="begin"/>
      </w:r>
      <w:r>
        <w:instrText xml:space="preserve">PAGEREF _Toc_4_4_0000000006 \h</w:instrText>
      </w:r>
      <w:r>
        <w:fldChar w:fldCharType="separate"/>
      </w:r>
      <w:r>
        <w:t>6</w:t>
      </w:r>
      <w:r>
        <w:fldChar w:fldCharType="end"/>
      </w:r>
      <w:r>
        <w:fldChar w:fldCharType="end"/>
      </w:r>
    </w:p>
    <w:p>
      <w:pPr>
        <w:pStyle w:val="17"/>
        <w:tabs>
          <w:tab w:val="right" w:leader="dot" w:pos="9282"/>
        </w:tabs>
      </w:pPr>
      <w:r>
        <w:fldChar w:fldCharType="begin"/>
      </w:r>
      <w:r>
        <w:instrText xml:space="preserve"> HYPERLINK \l "_Toc_4_4_0000000007" </w:instrText>
      </w:r>
      <w:r>
        <w:fldChar w:fldCharType="separate"/>
      </w:r>
      <w:r>
        <w:t>4.古城社区居民清洁取暖补贴绩效目标表</w:t>
      </w:r>
      <w:r>
        <w:tab/>
      </w:r>
      <w:r>
        <w:fldChar w:fldCharType="begin"/>
      </w:r>
      <w:r>
        <w:instrText xml:space="preserve">PAGEREF _Toc_4_4_0000000007 \h</w:instrText>
      </w:r>
      <w:r>
        <w:fldChar w:fldCharType="separate"/>
      </w:r>
      <w:r>
        <w:t>7</w:t>
      </w:r>
      <w:r>
        <w:fldChar w:fldCharType="end"/>
      </w:r>
      <w:r>
        <w:fldChar w:fldCharType="end"/>
      </w:r>
    </w:p>
    <w:p>
      <w:pPr>
        <w:pStyle w:val="17"/>
        <w:tabs>
          <w:tab w:val="right" w:leader="dot" w:pos="9282"/>
        </w:tabs>
      </w:pPr>
      <w:r>
        <w:fldChar w:fldCharType="begin"/>
      </w:r>
      <w:r>
        <w:instrText xml:space="preserve"> HYPERLINK \l "_Toc_4_4_0000000008" </w:instrText>
      </w:r>
      <w:r>
        <w:fldChar w:fldCharType="separate"/>
      </w:r>
      <w:r>
        <w:t>5.基层武装部建设经费绩效目标表</w:t>
      </w:r>
      <w:r>
        <w:tab/>
      </w:r>
      <w:r>
        <w:fldChar w:fldCharType="begin"/>
      </w:r>
      <w:r>
        <w:instrText xml:space="preserve">PAGEREF _Toc_4_4_0000000008 \h</w:instrText>
      </w:r>
      <w:r>
        <w:fldChar w:fldCharType="separate"/>
      </w:r>
      <w:r>
        <w:t>8</w:t>
      </w:r>
      <w:r>
        <w:fldChar w:fldCharType="end"/>
      </w:r>
      <w:r>
        <w:fldChar w:fldCharType="end"/>
      </w:r>
    </w:p>
    <w:p>
      <w:pPr>
        <w:pStyle w:val="17"/>
        <w:tabs>
          <w:tab w:val="right" w:leader="dot" w:pos="9282"/>
        </w:tabs>
      </w:pPr>
      <w:r>
        <w:fldChar w:fldCharType="begin"/>
      </w:r>
      <w:r>
        <w:instrText xml:space="preserve"> HYPERLINK \l "_Toc_4_4_0000000009" </w:instrText>
      </w:r>
      <w:r>
        <w:fldChar w:fldCharType="separate"/>
      </w:r>
      <w:r>
        <w:t>6.街道、社区综合事务经费绩效目标表</w:t>
      </w:r>
      <w:r>
        <w:tab/>
      </w:r>
      <w:r>
        <w:fldChar w:fldCharType="begin"/>
      </w:r>
      <w:r>
        <w:instrText xml:space="preserve">PAGEREF _Toc_4_4_0000000009 \h</w:instrText>
      </w:r>
      <w:r>
        <w:fldChar w:fldCharType="separate"/>
      </w:r>
      <w:r>
        <w:t>9</w:t>
      </w:r>
      <w:r>
        <w:fldChar w:fldCharType="end"/>
      </w:r>
      <w:r>
        <w:fldChar w:fldCharType="end"/>
      </w:r>
    </w:p>
    <w:p>
      <w:pPr>
        <w:pStyle w:val="17"/>
        <w:tabs>
          <w:tab w:val="right" w:leader="dot" w:pos="9282"/>
        </w:tabs>
      </w:pPr>
      <w:r>
        <w:fldChar w:fldCharType="begin"/>
      </w:r>
      <w:r>
        <w:instrText xml:space="preserve"> HYPERLINK \l "_Toc_4_4_0000000010" </w:instrText>
      </w:r>
      <w:r>
        <w:fldChar w:fldCharType="separate"/>
      </w:r>
      <w:r>
        <w:t>7.街道工作专项补助绩效目标表</w:t>
      </w:r>
      <w:r>
        <w:tab/>
      </w:r>
      <w:r>
        <w:fldChar w:fldCharType="begin"/>
      </w:r>
      <w:r>
        <w:instrText xml:space="preserve">PAGEREF _Toc_4_4_0000000010 \h</w:instrText>
      </w:r>
      <w:r>
        <w:fldChar w:fldCharType="separate"/>
      </w:r>
      <w:r>
        <w:t>10</w:t>
      </w:r>
      <w:r>
        <w:fldChar w:fldCharType="end"/>
      </w:r>
      <w:r>
        <w:fldChar w:fldCharType="end"/>
      </w:r>
    </w:p>
    <w:p>
      <w:pPr>
        <w:pStyle w:val="17"/>
        <w:tabs>
          <w:tab w:val="right" w:leader="dot" w:pos="9282"/>
        </w:tabs>
      </w:pPr>
      <w:r>
        <w:fldChar w:fldCharType="begin"/>
      </w:r>
      <w:r>
        <w:instrText xml:space="preserve"> HYPERLINK \l "_Toc_4_4_0000000011" </w:instrText>
      </w:r>
      <w:r>
        <w:fldChar w:fldCharType="separate"/>
      </w:r>
      <w:r>
        <w:t>8.社区党组服务群众经费绩效目标表</w:t>
      </w:r>
      <w:r>
        <w:tab/>
      </w:r>
      <w:r>
        <w:fldChar w:fldCharType="begin"/>
      </w:r>
      <w:r>
        <w:instrText xml:space="preserve">PAGEREF _Toc_4_4_0000000011 \h</w:instrText>
      </w:r>
      <w:r>
        <w:fldChar w:fldCharType="separate"/>
      </w:r>
      <w:r>
        <w:t>11</w:t>
      </w:r>
      <w:r>
        <w:fldChar w:fldCharType="end"/>
      </w:r>
      <w:r>
        <w:fldChar w:fldCharType="end"/>
      </w:r>
    </w:p>
    <w:p>
      <w:pPr>
        <w:pStyle w:val="17"/>
        <w:tabs>
          <w:tab w:val="right" w:leader="dot" w:pos="9282"/>
        </w:tabs>
      </w:pPr>
      <w:r>
        <w:fldChar w:fldCharType="begin"/>
      </w:r>
      <w:r>
        <w:instrText xml:space="preserve"> HYPERLINK \l "_Toc_4_4_0000000012" </w:instrText>
      </w:r>
      <w:r>
        <w:fldChar w:fldCharType="separate"/>
      </w:r>
      <w:r>
        <w:t>9.社区党组织服务群众专项经费绩效目标表</w:t>
      </w:r>
      <w:r>
        <w:tab/>
      </w:r>
      <w:r>
        <w:fldChar w:fldCharType="begin"/>
      </w:r>
      <w:r>
        <w:instrText xml:space="preserve">PAGEREF _Toc_4_4_0000000012 \h</w:instrText>
      </w:r>
      <w:r>
        <w:fldChar w:fldCharType="separate"/>
      </w:r>
      <w:r>
        <w:t>12</w:t>
      </w:r>
      <w:r>
        <w:fldChar w:fldCharType="end"/>
      </w:r>
      <w:r>
        <w:fldChar w:fldCharType="end"/>
      </w:r>
    </w:p>
    <w:p>
      <w:pPr>
        <w:pStyle w:val="17"/>
        <w:tabs>
          <w:tab w:val="right" w:leader="dot" w:pos="9282"/>
        </w:tabs>
      </w:pPr>
      <w:r>
        <w:fldChar w:fldCharType="begin"/>
      </w:r>
      <w:r>
        <w:instrText xml:space="preserve"> HYPERLINK \l "_Toc_4_4_0000000013" </w:instrText>
      </w:r>
      <w:r>
        <w:fldChar w:fldCharType="separate"/>
      </w:r>
      <w:r>
        <w:t>10.社区工作经费绩效目标表</w:t>
      </w:r>
      <w:r>
        <w:tab/>
      </w:r>
      <w:r>
        <w:fldChar w:fldCharType="begin"/>
      </w:r>
      <w:r>
        <w:instrText xml:space="preserve">PAGEREF _Toc_4_4_0000000013 \h</w:instrText>
      </w:r>
      <w:r>
        <w:fldChar w:fldCharType="separate"/>
      </w:r>
      <w:r>
        <w:t>13</w:t>
      </w:r>
      <w:r>
        <w:fldChar w:fldCharType="end"/>
      </w:r>
      <w:r>
        <w:fldChar w:fldCharType="end"/>
      </w:r>
    </w:p>
    <w:p>
      <w:pPr>
        <w:pStyle w:val="17"/>
        <w:tabs>
          <w:tab w:val="right" w:leader="dot" w:pos="9282"/>
        </w:tabs>
      </w:pPr>
      <w:r>
        <w:fldChar w:fldCharType="begin"/>
      </w:r>
      <w:r>
        <w:instrText xml:space="preserve"> HYPERLINK \l "_Toc_4_4_0000000014" </w:instrText>
      </w:r>
      <w:r>
        <w:fldChar w:fldCharType="separate"/>
      </w:r>
      <w:r>
        <w:t>11.社区工作专项补助绩效目标表</w:t>
      </w:r>
      <w:r>
        <w:tab/>
      </w:r>
      <w:r>
        <w:fldChar w:fldCharType="begin"/>
      </w:r>
      <w:r>
        <w:instrText xml:space="preserve">PAGEREF _Toc_4_4_0000000014 \h</w:instrText>
      </w:r>
      <w:r>
        <w:fldChar w:fldCharType="separate"/>
      </w:r>
      <w:r>
        <w:t>14</w:t>
      </w:r>
      <w:r>
        <w:fldChar w:fldCharType="end"/>
      </w:r>
      <w:r>
        <w:fldChar w:fldCharType="end"/>
      </w:r>
    </w:p>
    <w:p>
      <w:pPr>
        <w:pStyle w:val="17"/>
        <w:tabs>
          <w:tab w:val="right" w:leader="dot" w:pos="9282"/>
        </w:tabs>
      </w:pPr>
      <w:r>
        <w:fldChar w:fldCharType="begin"/>
      </w:r>
      <w:r>
        <w:instrText xml:space="preserve"> HYPERLINK \l "_Toc_4_4_0000000015" </w:instrText>
      </w:r>
      <w:r>
        <w:fldChar w:fldCharType="separate"/>
      </w:r>
      <w:r>
        <w:t>12.社区老居委会生活补贴绩效目标表</w:t>
      </w:r>
      <w:r>
        <w:tab/>
      </w:r>
      <w:r>
        <w:fldChar w:fldCharType="begin"/>
      </w:r>
      <w:r>
        <w:instrText xml:space="preserve">PAGEREF _Toc_4_4_0000000015 \h</w:instrText>
      </w:r>
      <w:r>
        <w:fldChar w:fldCharType="separate"/>
      </w:r>
      <w:r>
        <w:t>15</w:t>
      </w:r>
      <w:r>
        <w:fldChar w:fldCharType="end"/>
      </w:r>
      <w:r>
        <w:fldChar w:fldCharType="end"/>
      </w:r>
    </w:p>
    <w:p>
      <w:r>
        <w:fldChar w:fldCharType="end"/>
      </w:r>
    </w:p>
    <w:p>
      <w:pPr>
        <w:sectPr>
          <w:footerReference r:id="rId3" w:type="default"/>
          <w:footerReference r:id="rId4" w:type="even"/>
          <w:pgSz w:w="16840" w:h="11900" w:orient="landscape"/>
          <w:pgMar w:top="1304" w:right="1984" w:bottom="1304" w:left="1134" w:header="720" w:footer="720" w:gutter="0"/>
          <w:pgNumType w:start="1"/>
          <w:cols w:space="720" w:num="1"/>
          <w:docGrid w:linePitch="326" w:charSpace="0"/>
        </w:sectPr>
      </w:pPr>
      <w:r>
        <w:br w:type="page"/>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第一部分</w:t>
      </w:r>
    </w:p>
    <w:p>
      <w:pPr>
        <w:jc w:val="center"/>
        <w:outlineLvl w:val="0"/>
      </w:pP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整体绩效目标</w:t>
      </w:r>
    </w:p>
    <w:p>
      <w:pPr>
        <w:jc w:val="center"/>
      </w:pPr>
      <w:r>
        <w:rPr>
          <w:rFonts w:ascii="方正小标宋_GBK" w:hAnsi="方正小标宋_GBK" w:eastAsia="方正小标宋_GBK" w:cs="方正小标宋_GBK"/>
          <w:color w:val="000000"/>
          <w:sz w:val="44"/>
        </w:rPr>
        <w:t xml:space="preserve"> </w:t>
      </w:r>
    </w:p>
    <w:p>
      <w:pPr>
        <w:spacing w:before="10" w:after="10"/>
        <w:ind w:firstLine="560"/>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7"/>
      </w:pPr>
      <w:r>
        <w:t>一、总体绩效目标</w:t>
      </w:r>
    </w:p>
    <w:p>
      <w:pPr>
        <w:pStyle w:val="7"/>
      </w:pPr>
    </w:p>
    <w:p>
      <w:pPr>
        <w:pStyle w:val="7"/>
      </w:pPr>
      <w:r>
        <w:t>总体目标：</w:t>
      </w:r>
    </w:p>
    <w:p>
      <w:pPr>
        <w:pStyle w:val="7"/>
      </w:pPr>
      <w:r>
        <w:t xml:space="preserve">坚持以习近平新时代中国特色社会主义思想为指导，深入贯彻习近平总书记系列重要讲话精神，严格落实中央和省、市工作部署，按照区委、区政府要求，扎实做好“六稳”工作、全面落实“六保”任务，认真开展“三重四创五优化”活动和“三基”建设年活动，坚持“讲政治、勇担当、抓落实、促发展”工作导向，坚持全面从严治党、依规治党，严格落实“两个责任”，加强监督检查，持之以恒纠正“四风”，以铁的纪律加强街道服务体系建设，为促进我区经济和社会各项事业迅速协调发展，构建和谐山海关奠定坚实基础。                                                                   </w:t>
      </w:r>
    </w:p>
    <w:p>
      <w:pPr>
        <w:pStyle w:val="7"/>
      </w:pPr>
    </w:p>
    <w:p>
      <w:pPr>
        <w:spacing w:before="10" w:after="10"/>
        <w:ind w:firstLine="560"/>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8"/>
      </w:pPr>
      <w:r>
        <w:t>职责分类绩效目标：</w:t>
      </w:r>
    </w:p>
    <w:p>
      <w:pPr>
        <w:pStyle w:val="8"/>
      </w:pPr>
      <w:r>
        <w:t>一、党建基层组织工作</w:t>
      </w:r>
    </w:p>
    <w:p>
      <w:pPr>
        <w:pStyle w:val="8"/>
      </w:pPr>
      <w:r>
        <w:t>绩效目标：促进立法交流与合作，提高立法人员业务水平，促进立法工作的科学化、民主化，不断提高立法质量和水平。</w:t>
      </w:r>
    </w:p>
    <w:p>
      <w:pPr>
        <w:pStyle w:val="8"/>
      </w:pPr>
      <w:r>
        <w:t>二、工委党员干部管理工作</w:t>
      </w:r>
    </w:p>
    <w:p>
      <w:pPr>
        <w:pStyle w:val="8"/>
      </w:pPr>
      <w:r>
        <w:t>绩效目标：开展理论学习活动。按规定做好七清理工作。每年按规章发展新党员。</w:t>
      </w:r>
    </w:p>
    <w:p>
      <w:pPr>
        <w:pStyle w:val="8"/>
      </w:pPr>
      <w:r>
        <w:t>三、人大监督</w:t>
      </w:r>
    </w:p>
    <w:p>
      <w:pPr>
        <w:pStyle w:val="8"/>
      </w:pPr>
      <w:r>
        <w:t>绩效目标：提高法规质量，保障其有效实施；发挥常委及代表的桥梁纽带作用，集中反映民意，促进依法履职。组织人大代表开展活动。</w:t>
      </w:r>
    </w:p>
    <w:p>
      <w:pPr>
        <w:pStyle w:val="8"/>
      </w:pPr>
      <w:r>
        <w:t>四、精神文明建设</w:t>
      </w:r>
    </w:p>
    <w:p>
      <w:pPr>
        <w:pStyle w:val="8"/>
      </w:pPr>
      <w:r>
        <w:t>绩效目标：精神文明建设工作。</w:t>
      </w:r>
    </w:p>
    <w:p>
      <w:pPr>
        <w:pStyle w:val="8"/>
      </w:pPr>
      <w:r>
        <w:t>五、群众组织工作</w:t>
      </w:r>
    </w:p>
    <w:p>
      <w:pPr>
        <w:pStyle w:val="8"/>
      </w:pPr>
      <w:r>
        <w:t>绩效目标：确保对基层党组织的领导，加强工青妇组织建设。完成依法征兵任务。</w:t>
      </w:r>
    </w:p>
    <w:p>
      <w:pPr>
        <w:pStyle w:val="8"/>
      </w:pPr>
      <w:r>
        <w:t>六、党风廉政建设工作</w:t>
      </w:r>
    </w:p>
    <w:p>
      <w:pPr>
        <w:pStyle w:val="8"/>
      </w:pPr>
      <w:r>
        <w:t>绩效目标：无公车私用现象；公务往来不收礼，不送礼。</w:t>
      </w:r>
    </w:p>
    <w:p>
      <w:pPr>
        <w:pStyle w:val="8"/>
      </w:pPr>
      <w:r>
        <w:t>七、人大事务管理</w:t>
      </w:r>
    </w:p>
    <w:p>
      <w:pPr>
        <w:pStyle w:val="8"/>
      </w:pPr>
      <w:r>
        <w:t>绩效目标：保障新闻宣传与新闻发布工作正常开展，提高人大信息透明度和影响力，加强人大对内、对外交流。保障会议表决系统正常运转；网络与办公平台正常运行；促进社会和谐稳定。</w:t>
      </w:r>
    </w:p>
    <w:p>
      <w:pPr>
        <w:pStyle w:val="8"/>
      </w:pPr>
      <w:r>
        <w:t>八、综合治理工作</w:t>
      </w:r>
    </w:p>
    <w:p>
      <w:pPr>
        <w:pStyle w:val="8"/>
      </w:pPr>
      <w:r>
        <w:t>绩效目标：开展法制宣传活动，排查矛盾纠纷，并及时调节。稳控、“双清”、重症精神障碍以奖代补工作。</w:t>
      </w:r>
    </w:p>
    <w:p>
      <w:pPr>
        <w:pStyle w:val="8"/>
      </w:pPr>
      <w:r>
        <w:t>九、其他指导、管理、协调和服务职能</w:t>
      </w:r>
    </w:p>
    <w:p>
      <w:pPr>
        <w:pStyle w:val="8"/>
      </w:pPr>
      <w:r>
        <w:t>绩效目标：努力与相关部门协调，积极发挥管理及服务职能，完成各项辅助工作。</w:t>
      </w:r>
    </w:p>
    <w:p>
      <w:pPr>
        <w:pStyle w:val="8"/>
      </w:pPr>
      <w:r>
        <w:t>十、参政议政</w:t>
      </w:r>
    </w:p>
    <w:p>
      <w:pPr>
        <w:pStyle w:val="8"/>
      </w:pPr>
      <w:r>
        <w:t>绩效目标：努力与相关部门协调，积极发挥管理及服务职能，完成各项辅助工作。</w:t>
      </w:r>
    </w:p>
    <w:p>
      <w:pPr>
        <w:pStyle w:val="8"/>
      </w:pPr>
      <w:r>
        <w:t>十一、人口与计生工作</w:t>
      </w:r>
    </w:p>
    <w:p>
      <w:pPr>
        <w:pStyle w:val="8"/>
      </w:pPr>
      <w:r>
        <w:t>绩效目标：完成区级下达各项工作指标</w:t>
      </w:r>
    </w:p>
    <w:p>
      <w:pPr>
        <w:spacing w:before="10" w:after="10"/>
        <w:ind w:firstLine="560"/>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9"/>
      </w:pPr>
      <w:r>
        <w:t>一是保民生：以人为本促和谐。坚持就业惠民、创业富民、社保安民、以创建“和谐社区”为着眼点，不断做好各项社会保障服务，营造文明祥和的社区氛围。</w:t>
      </w:r>
    </w:p>
    <w:p>
      <w:pPr>
        <w:pStyle w:val="9"/>
      </w:pPr>
      <w:r>
        <w:t xml:space="preserve">二是抓全盘：社会事业工作齐头并进。为了进一步确保街道各项工作全面推进，街道落实领导负责制、中心工作包保制、具体工作分责制，做到任务落实及时，工作成效显著。      </w:t>
      </w:r>
    </w:p>
    <w:p>
      <w:pPr>
        <w:pStyle w:val="9"/>
      </w:pPr>
      <w:r>
        <w:t>三是树亮点特色工作促发展抓服务，创新社会管理模式。抓特色，家庭手工进社区，撑起扶贫帮困半边天；促和谐，以社区服务为依托，实现居家养老全覆盖。</w:t>
      </w:r>
    </w:p>
    <w:p>
      <w:pPr>
        <w:jc w:val="center"/>
        <w:sectPr>
          <w:pgSz w:w="16840" w:h="11900" w:orient="landscape"/>
          <w:pgMar w:top="1304" w:right="1984" w:bottom="1304" w:left="1134" w:header="720" w:footer="720" w:gutter="0"/>
          <w:pgNumType w:start="1"/>
          <w:cols w:space="720" w:num="1"/>
          <w:docGrid w:linePitch="326" w:charSpace="0"/>
        </w:sectPr>
      </w:pPr>
      <w:r>
        <w:rPr>
          <w:rFonts w:ascii="方正书宋_GBK" w:hAnsi="方正书宋_GBK" w:eastAsia="方正书宋_GBK" w:cs="方正书宋_GBK"/>
          <w:color w:val="000000"/>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44"/>
        </w:rPr>
        <w:t>第二部分</w:t>
      </w:r>
    </w:p>
    <w:p>
      <w:pPr>
        <w:jc w:val="center"/>
      </w:pPr>
      <w:r>
        <w:rPr>
          <w:rFonts w:ascii="方正小标宋_GBK" w:hAnsi="方正小标宋_GBK" w:eastAsia="方正小标宋_GBK" w:cs="方正小标宋_GBK"/>
          <w:color w:val="000000"/>
          <w:sz w:val="44"/>
        </w:rPr>
        <w:t xml:space="preserve"> </w:t>
      </w:r>
    </w:p>
    <w:p>
      <w:pPr>
        <w:jc w:val="center"/>
        <w:outlineLvl w:val="0"/>
      </w:pPr>
      <w:r>
        <w:rPr>
          <w:rFonts w:ascii="方正小标宋_GBK" w:hAnsi="方正小标宋_GBK" w:eastAsia="方正小标宋_GBK" w:cs="方正小标宋_GBK"/>
          <w:color w:val="000000"/>
          <w:sz w:val="44"/>
        </w:rPr>
        <w:t>预算项目绩效目标</w:t>
      </w:r>
    </w:p>
    <w:p>
      <w:pPr>
        <w:jc w:val="center"/>
        <w:sectPr>
          <w:pgSz w:w="16840" w:h="11900" w:orient="landscape"/>
          <w:pgMar w:top="1304" w:right="1984" w:bottom="1304" w:left="1134" w:header="720" w:footer="720" w:gutter="0"/>
          <w:cols w:space="720" w:num="1"/>
          <w:docGrid w:linePitch="326" w:charSpace="0"/>
        </w:sectPr>
      </w:pPr>
      <w:r>
        <w:rPr>
          <w:rFonts w:ascii="方正书宋_GBK" w:hAnsi="方正书宋_GBK" w:eastAsia="方正书宋_GBK" w:cs="方正书宋_GBK"/>
          <w:color w:val="000000"/>
        </w:rPr>
        <w:t xml:space="preserve"> </w:t>
      </w: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4"/>
      <w:r>
        <w:rPr>
          <w:rFonts w:ascii="方正仿宋_GBK" w:hAnsi="方正仿宋_GBK" w:eastAsia="方正仿宋_GBK" w:cs="方正仿宋_GBK"/>
          <w:color w:val="000000"/>
          <w:sz w:val="28"/>
        </w:rPr>
        <w:t>1.车辆保险费绩效目标表</w:t>
      </w:r>
      <w:bookmarkEnd w:id="3"/>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13030322P00397010017P</w:t>
            </w:r>
          </w:p>
        </w:tc>
        <w:tc>
          <w:tcPr>
            <w:tcW w:w="1587" w:type="dxa"/>
            <w:vAlign w:val="center"/>
          </w:tcPr>
          <w:p>
            <w:pPr>
              <w:pStyle w:val="13"/>
            </w:pPr>
            <w:r>
              <w:t>项目名称</w:t>
            </w:r>
          </w:p>
        </w:tc>
        <w:tc>
          <w:tcPr>
            <w:tcW w:w="4422" w:type="dxa"/>
            <w:gridSpan w:val="3"/>
            <w:vAlign w:val="center"/>
          </w:tcPr>
          <w:p>
            <w:pPr>
              <w:pStyle w:val="12"/>
            </w:pPr>
            <w: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0.40</w:t>
            </w:r>
          </w:p>
        </w:tc>
        <w:tc>
          <w:tcPr>
            <w:tcW w:w="1587" w:type="dxa"/>
            <w:vAlign w:val="center"/>
          </w:tcPr>
          <w:p>
            <w:pPr>
              <w:pStyle w:val="13"/>
            </w:pPr>
            <w:r>
              <w:t>其中：财政    资金</w:t>
            </w:r>
          </w:p>
        </w:tc>
        <w:tc>
          <w:tcPr>
            <w:tcW w:w="1304" w:type="dxa"/>
            <w:vAlign w:val="center"/>
          </w:tcPr>
          <w:p>
            <w:pPr>
              <w:pStyle w:val="12"/>
            </w:pPr>
            <w:r>
              <w:t>0.40</w:t>
            </w:r>
          </w:p>
        </w:tc>
        <w:tc>
          <w:tcPr>
            <w:tcW w:w="1276" w:type="dxa"/>
            <w:vAlign w:val="center"/>
          </w:tcPr>
          <w:p>
            <w:pPr>
              <w:pStyle w:val="13"/>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保障公务用车保险费用</w:t>
            </w:r>
            <w:r>
              <w:tab/>
            </w:r>
            <w:r>
              <w:tab/>
            </w:r>
            <w:r>
              <w:tab/>
            </w:r>
            <w:r>
              <w:tab/>
            </w:r>
            <w:r>
              <w:tab/>
            </w:r>
            <w:r>
              <w:tab/>
            </w:r>
            <w:r>
              <w:tab/>
            </w:r>
          </w:p>
          <w:p>
            <w:pPr>
              <w:pStyle w:val="12"/>
            </w:pPr>
            <w:r>
              <w:t>保障公务用车正常运转</w:t>
            </w:r>
            <w:r>
              <w:tab/>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1.保障公务用车保险费用</w:t>
            </w:r>
            <w:r>
              <w:tab/>
            </w:r>
            <w:r>
              <w:tab/>
            </w:r>
            <w:r>
              <w:tab/>
            </w:r>
            <w:r>
              <w:tab/>
            </w:r>
            <w:r>
              <w:tab/>
            </w:r>
            <w:r>
              <w:tab/>
            </w:r>
            <w:r>
              <w:tab/>
            </w:r>
          </w:p>
          <w:p>
            <w:pPr>
              <w:pStyle w:val="12"/>
            </w:pPr>
            <w:r>
              <w:t>保障公务用车正常运转</w:t>
            </w:r>
            <w:r>
              <w:tab/>
            </w:r>
            <w:r>
              <w:tab/>
            </w: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出车次数</w:t>
            </w:r>
          </w:p>
        </w:tc>
        <w:tc>
          <w:tcPr>
            <w:tcW w:w="2891" w:type="dxa"/>
            <w:vAlign w:val="center"/>
          </w:tcPr>
          <w:p>
            <w:pPr>
              <w:pStyle w:val="12"/>
            </w:pPr>
            <w:r>
              <w:t>出车次数及时登记公车系统</w:t>
            </w:r>
          </w:p>
        </w:tc>
        <w:tc>
          <w:tcPr>
            <w:tcW w:w="1276" w:type="dxa"/>
            <w:vAlign w:val="center"/>
          </w:tcPr>
          <w:p>
            <w:pPr>
              <w:pStyle w:val="12"/>
            </w:pPr>
            <w:r>
              <w:t>次</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公车正常运行率</w:t>
            </w:r>
          </w:p>
        </w:tc>
        <w:tc>
          <w:tcPr>
            <w:tcW w:w="2891" w:type="dxa"/>
            <w:vAlign w:val="center"/>
          </w:tcPr>
          <w:p>
            <w:pPr>
              <w:pStyle w:val="12"/>
            </w:pPr>
            <w:r>
              <w:t>公车正常运行率</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按项目计划完成工作</w:t>
            </w:r>
          </w:p>
        </w:tc>
        <w:tc>
          <w:tcPr>
            <w:tcW w:w="2891" w:type="dxa"/>
            <w:vAlign w:val="center"/>
          </w:tcPr>
          <w:p>
            <w:pPr>
              <w:pStyle w:val="12"/>
            </w:pPr>
            <w:r>
              <w:t>按照工作要求按时完成预定计划</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经济效益指标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单位工作人员满意度</w:t>
            </w:r>
          </w:p>
        </w:tc>
        <w:tc>
          <w:tcPr>
            <w:tcW w:w="2891" w:type="dxa"/>
            <w:vAlign w:val="center"/>
          </w:tcPr>
          <w:p>
            <w:pPr>
              <w:pStyle w:val="12"/>
            </w:pPr>
            <w:r>
              <w:t>调查中单位人员对单位公车使用满意和较满意的人数占调查总人数的比率</w:t>
            </w:r>
          </w:p>
        </w:tc>
        <w:tc>
          <w:tcPr>
            <w:tcW w:w="1276" w:type="dxa"/>
            <w:vAlign w:val="center"/>
          </w:tcPr>
          <w:p>
            <w:pPr>
              <w:pStyle w:val="12"/>
            </w:pPr>
            <w:r>
              <w:t>≥95%</w:t>
            </w:r>
          </w:p>
        </w:tc>
        <w:tc>
          <w:tcPr>
            <w:tcW w:w="1843" w:type="dxa"/>
            <w:vAlign w:val="center"/>
          </w:tcPr>
          <w:p>
            <w:pPr>
              <w:pStyle w:val="12"/>
            </w:pPr>
            <w:r>
              <w:t>年度工作计划</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5"/>
      <w:r>
        <w:rPr>
          <w:rFonts w:ascii="方正仿宋_GBK" w:hAnsi="方正仿宋_GBK" w:eastAsia="方正仿宋_GBK" w:cs="方正仿宋_GBK"/>
          <w:color w:val="000000"/>
          <w:sz w:val="28"/>
        </w:rPr>
        <w:t>2.2021年市级社区干部生活补贴绩效目标表</w:t>
      </w:r>
      <w:bookmarkEnd w:id="4"/>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13030321P00EGD010004G</w:t>
            </w:r>
          </w:p>
        </w:tc>
        <w:tc>
          <w:tcPr>
            <w:tcW w:w="1587" w:type="dxa"/>
            <w:vAlign w:val="center"/>
          </w:tcPr>
          <w:p>
            <w:pPr>
              <w:pStyle w:val="13"/>
            </w:pPr>
            <w:r>
              <w:t>项目名称</w:t>
            </w:r>
          </w:p>
        </w:tc>
        <w:tc>
          <w:tcPr>
            <w:tcW w:w="4422" w:type="dxa"/>
            <w:gridSpan w:val="3"/>
            <w:vAlign w:val="center"/>
          </w:tcPr>
          <w:p>
            <w:pPr>
              <w:pStyle w:val="12"/>
            </w:pPr>
            <w:r>
              <w:t>2021年市级社区干部生活补贴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7.00</w:t>
            </w:r>
          </w:p>
        </w:tc>
        <w:tc>
          <w:tcPr>
            <w:tcW w:w="1587" w:type="dxa"/>
            <w:vAlign w:val="center"/>
          </w:tcPr>
          <w:p>
            <w:pPr>
              <w:pStyle w:val="13"/>
            </w:pPr>
            <w:r>
              <w:t>其中：财政    资金</w:t>
            </w:r>
          </w:p>
        </w:tc>
        <w:tc>
          <w:tcPr>
            <w:tcW w:w="1304" w:type="dxa"/>
            <w:vAlign w:val="center"/>
          </w:tcPr>
          <w:p>
            <w:pPr>
              <w:pStyle w:val="12"/>
            </w:pPr>
            <w:r>
              <w:t>7.00</w:t>
            </w:r>
          </w:p>
        </w:tc>
        <w:tc>
          <w:tcPr>
            <w:tcW w:w="1276" w:type="dxa"/>
            <w:vAlign w:val="center"/>
          </w:tcPr>
          <w:p>
            <w:pPr>
              <w:pStyle w:val="13"/>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保障本单位社区人员工资及保险按时拨付</w:t>
            </w:r>
            <w:r>
              <w:tab/>
            </w:r>
            <w:r>
              <w:tab/>
            </w:r>
            <w:r>
              <w:tab/>
            </w:r>
            <w:r>
              <w:tab/>
            </w:r>
            <w:r>
              <w:tab/>
            </w:r>
            <w:r>
              <w:tab/>
            </w:r>
            <w:r>
              <w:tab/>
            </w:r>
          </w:p>
          <w:p>
            <w:pPr>
              <w:pStyle w:val="12"/>
            </w:pPr>
            <w:r>
              <w:t>保障本单位社区人员工资及保险足额发放和缴纳</w:t>
            </w:r>
            <w:r>
              <w:tab/>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1.保障本单位社区人员工资及保险按时拨付</w:t>
            </w:r>
            <w:r>
              <w:tab/>
            </w:r>
            <w:r>
              <w:tab/>
            </w:r>
            <w:r>
              <w:tab/>
            </w:r>
            <w:r>
              <w:tab/>
            </w:r>
            <w:r>
              <w:tab/>
            </w:r>
            <w:r>
              <w:tab/>
            </w:r>
            <w:r>
              <w:tab/>
            </w:r>
          </w:p>
          <w:p>
            <w:pPr>
              <w:pStyle w:val="12"/>
            </w:pPr>
          </w:p>
          <w:p>
            <w:pPr>
              <w:pStyle w:val="12"/>
            </w:pPr>
            <w:r>
              <w:t>2.保障本单位社区人员工资及保险足额发放和缴纳</w:t>
            </w:r>
            <w:r>
              <w:tab/>
            </w:r>
            <w:r>
              <w:tab/>
            </w: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支付工资及保险人员数量</w:t>
            </w:r>
          </w:p>
        </w:tc>
        <w:tc>
          <w:tcPr>
            <w:tcW w:w="2891" w:type="dxa"/>
            <w:vAlign w:val="center"/>
          </w:tcPr>
          <w:p>
            <w:pPr>
              <w:pStyle w:val="12"/>
            </w:pPr>
            <w:r>
              <w:t>支付工资及保险人员数量</w:t>
            </w:r>
          </w:p>
        </w:tc>
        <w:tc>
          <w:tcPr>
            <w:tcW w:w="1276" w:type="dxa"/>
            <w:vAlign w:val="center"/>
          </w:tcPr>
          <w:p>
            <w:pPr>
              <w:pStyle w:val="12"/>
            </w:pPr>
            <w:r>
              <w:t>19人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工资及保险发放准确率</w:t>
            </w:r>
          </w:p>
        </w:tc>
        <w:tc>
          <w:tcPr>
            <w:tcW w:w="2891" w:type="dxa"/>
            <w:vAlign w:val="center"/>
          </w:tcPr>
          <w:p>
            <w:pPr>
              <w:pStyle w:val="12"/>
            </w:pPr>
            <w:r>
              <w:t>工资及保险发放准确率</w:t>
            </w:r>
          </w:p>
        </w:tc>
        <w:tc>
          <w:tcPr>
            <w:tcW w:w="1276" w:type="dxa"/>
            <w:vAlign w:val="center"/>
          </w:tcPr>
          <w:p>
            <w:pPr>
              <w:pStyle w:val="12"/>
            </w:pPr>
            <w:r>
              <w:t>19人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控制在预算资金内</w:t>
            </w:r>
          </w:p>
        </w:tc>
        <w:tc>
          <w:tcPr>
            <w:tcW w:w="2891" w:type="dxa"/>
            <w:vAlign w:val="center"/>
          </w:tcPr>
          <w:p>
            <w:pPr>
              <w:pStyle w:val="12"/>
            </w:pPr>
            <w:r>
              <w:t>控制在预算资金内</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可持续影响指标</w:t>
            </w:r>
          </w:p>
        </w:tc>
        <w:tc>
          <w:tcPr>
            <w:tcW w:w="1332" w:type="dxa"/>
            <w:vAlign w:val="center"/>
          </w:tcPr>
          <w:p>
            <w:pPr>
              <w:pStyle w:val="12"/>
            </w:pPr>
            <w:r>
              <w:t>保障工作完成</w:t>
            </w:r>
          </w:p>
        </w:tc>
        <w:tc>
          <w:tcPr>
            <w:tcW w:w="2891" w:type="dxa"/>
            <w:vAlign w:val="center"/>
          </w:tcPr>
          <w:p>
            <w:pPr>
              <w:pStyle w:val="12"/>
            </w:pPr>
            <w:r>
              <w:t>保障工作顺利完成</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经济效益指标</w:t>
            </w:r>
          </w:p>
        </w:tc>
        <w:tc>
          <w:tcPr>
            <w:tcW w:w="1332" w:type="dxa"/>
            <w:vAlign w:val="center"/>
          </w:tcPr>
          <w:p>
            <w:pPr>
              <w:pStyle w:val="12"/>
            </w:pPr>
            <w:r>
              <w:t>资金使用效益</w:t>
            </w:r>
          </w:p>
        </w:tc>
        <w:tc>
          <w:tcPr>
            <w:tcW w:w="2891" w:type="dxa"/>
            <w:vAlign w:val="center"/>
          </w:tcPr>
          <w:p>
            <w:pPr>
              <w:pStyle w:val="12"/>
            </w:pPr>
            <w:r>
              <w:t>资金支出情况</w:t>
            </w:r>
          </w:p>
        </w:tc>
        <w:tc>
          <w:tcPr>
            <w:tcW w:w="1276" w:type="dxa"/>
            <w:vAlign w:val="center"/>
          </w:tcPr>
          <w:p>
            <w:pPr>
              <w:pStyle w:val="12"/>
            </w:pPr>
            <w:r>
              <w:t>按要求支出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业务工作稳定性</w:t>
            </w:r>
          </w:p>
        </w:tc>
        <w:tc>
          <w:tcPr>
            <w:tcW w:w="2891" w:type="dxa"/>
            <w:vAlign w:val="center"/>
          </w:tcPr>
          <w:p>
            <w:pPr>
              <w:pStyle w:val="12"/>
            </w:pPr>
            <w:r>
              <w:t>通过日常工作稳定运转</w:t>
            </w:r>
          </w:p>
        </w:tc>
        <w:tc>
          <w:tcPr>
            <w:tcW w:w="1276" w:type="dxa"/>
            <w:vAlign w:val="center"/>
          </w:tcPr>
          <w:p>
            <w:pPr>
              <w:pStyle w:val="12"/>
            </w:pPr>
            <w:r>
              <w:t>进一步推动</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保障社会发展</w:t>
            </w:r>
          </w:p>
        </w:tc>
        <w:tc>
          <w:tcPr>
            <w:tcW w:w="2891" w:type="dxa"/>
            <w:vAlign w:val="center"/>
          </w:tcPr>
          <w:p>
            <w:pPr>
              <w:pStyle w:val="12"/>
            </w:pPr>
            <w:r>
              <w:t>有效提供后勤保障</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职工满意度</w:t>
            </w:r>
          </w:p>
        </w:tc>
        <w:tc>
          <w:tcPr>
            <w:tcW w:w="2891" w:type="dxa"/>
            <w:vAlign w:val="center"/>
          </w:tcPr>
          <w:p>
            <w:pPr>
              <w:pStyle w:val="12"/>
            </w:pPr>
            <w:r>
              <w:t>满意度人员占总职工人数</w:t>
            </w:r>
          </w:p>
        </w:tc>
        <w:tc>
          <w:tcPr>
            <w:tcW w:w="1276" w:type="dxa"/>
            <w:vAlign w:val="center"/>
          </w:tcPr>
          <w:p>
            <w:pPr>
              <w:pStyle w:val="12"/>
            </w:pPr>
            <w:r>
              <w:t>≥95%</w:t>
            </w:r>
          </w:p>
        </w:tc>
        <w:tc>
          <w:tcPr>
            <w:tcW w:w="1843" w:type="dxa"/>
            <w:vAlign w:val="center"/>
          </w:tcPr>
          <w:p>
            <w:pPr>
              <w:pStyle w:val="12"/>
            </w:pPr>
            <w:r>
              <w:t>年度工作计划</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6"/>
      <w:r>
        <w:rPr>
          <w:rFonts w:ascii="方正仿宋_GBK" w:hAnsi="方正仿宋_GBK" w:eastAsia="方正仿宋_GBK" w:cs="方正仿宋_GBK"/>
          <w:color w:val="000000"/>
          <w:sz w:val="28"/>
        </w:rPr>
        <w:t>3.办事处、社区工作经费绩效目标表</w:t>
      </w:r>
      <w:bookmarkEnd w:id="5"/>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13030322P00410910003J</w:t>
            </w:r>
          </w:p>
        </w:tc>
        <w:tc>
          <w:tcPr>
            <w:tcW w:w="1587" w:type="dxa"/>
            <w:vAlign w:val="center"/>
          </w:tcPr>
          <w:p>
            <w:pPr>
              <w:pStyle w:val="13"/>
            </w:pPr>
            <w:r>
              <w:t>项目名称</w:t>
            </w:r>
          </w:p>
        </w:tc>
        <w:tc>
          <w:tcPr>
            <w:tcW w:w="4422" w:type="dxa"/>
            <w:gridSpan w:val="3"/>
            <w:vAlign w:val="center"/>
          </w:tcPr>
          <w:p>
            <w:pPr>
              <w:pStyle w:val="12"/>
            </w:pPr>
            <w:r>
              <w:t>办事处、社区工作经费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5.71</w:t>
            </w:r>
          </w:p>
        </w:tc>
        <w:tc>
          <w:tcPr>
            <w:tcW w:w="1587" w:type="dxa"/>
            <w:vAlign w:val="center"/>
          </w:tcPr>
          <w:p>
            <w:pPr>
              <w:pStyle w:val="13"/>
            </w:pPr>
            <w:r>
              <w:t>其中：财政    资金</w:t>
            </w:r>
          </w:p>
        </w:tc>
        <w:tc>
          <w:tcPr>
            <w:tcW w:w="1304" w:type="dxa"/>
            <w:vAlign w:val="center"/>
          </w:tcPr>
          <w:p>
            <w:pPr>
              <w:pStyle w:val="12"/>
            </w:pPr>
            <w:r>
              <w:t>5.71</w:t>
            </w:r>
          </w:p>
        </w:tc>
        <w:tc>
          <w:tcPr>
            <w:tcW w:w="1276" w:type="dxa"/>
            <w:vAlign w:val="center"/>
          </w:tcPr>
          <w:p>
            <w:pPr>
              <w:pStyle w:val="13"/>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用于弥补办事处、社区经费，用于预算外人员工资。</w:t>
            </w:r>
            <w:r>
              <w:tab/>
            </w:r>
            <w:r>
              <w:tab/>
            </w:r>
            <w:r>
              <w:tab/>
            </w:r>
            <w:r>
              <w:tab/>
            </w:r>
            <w:r>
              <w:tab/>
            </w:r>
            <w:r>
              <w:tab/>
            </w:r>
            <w:r>
              <w:tab/>
            </w:r>
          </w:p>
          <w:p>
            <w:pPr>
              <w:pStyle w:val="12"/>
            </w:pP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1.用于弥补办事处、社区经费，用于预算外人员工资。</w:t>
            </w:r>
            <w:r>
              <w:tab/>
            </w:r>
            <w:r>
              <w:tab/>
            </w: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时效指标</w:t>
            </w:r>
          </w:p>
        </w:tc>
        <w:tc>
          <w:tcPr>
            <w:tcW w:w="1332" w:type="dxa"/>
            <w:vAlign w:val="center"/>
          </w:tcPr>
          <w:p>
            <w:pPr>
              <w:pStyle w:val="12"/>
            </w:pPr>
            <w:r>
              <w:t>及时率</w:t>
            </w:r>
          </w:p>
        </w:tc>
        <w:tc>
          <w:tcPr>
            <w:tcW w:w="2891" w:type="dxa"/>
            <w:vAlign w:val="center"/>
          </w:tcPr>
          <w:p>
            <w:pPr>
              <w:pStyle w:val="12"/>
            </w:pPr>
            <w:r>
              <w:t>及时发放预算外人员工资，缴纳保险</w:t>
            </w:r>
          </w:p>
        </w:tc>
        <w:tc>
          <w:tcPr>
            <w:tcW w:w="1276" w:type="dxa"/>
            <w:vAlign w:val="center"/>
          </w:tcPr>
          <w:p>
            <w:pPr>
              <w:pStyle w:val="12"/>
            </w:pPr>
            <w:r>
              <w:t>是/否</w:t>
            </w:r>
          </w:p>
        </w:tc>
        <w:tc>
          <w:tcPr>
            <w:tcW w:w="1843" w:type="dxa"/>
            <w:vAlign w:val="center"/>
          </w:tcPr>
          <w:p>
            <w:pPr>
              <w:pStyle w:val="12"/>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足额率</w:t>
            </w:r>
          </w:p>
        </w:tc>
        <w:tc>
          <w:tcPr>
            <w:tcW w:w="2891" w:type="dxa"/>
            <w:vAlign w:val="center"/>
          </w:tcPr>
          <w:p>
            <w:pPr>
              <w:pStyle w:val="12"/>
            </w:pPr>
            <w:r>
              <w:t>足额发放预算外人员工资，缴纳保险</w:t>
            </w:r>
          </w:p>
        </w:tc>
        <w:tc>
          <w:tcPr>
            <w:tcW w:w="1276" w:type="dxa"/>
            <w:vAlign w:val="center"/>
          </w:tcPr>
          <w:p>
            <w:pPr>
              <w:pStyle w:val="12"/>
            </w:pPr>
            <w:r>
              <w:t>是/否</w:t>
            </w:r>
          </w:p>
        </w:tc>
        <w:tc>
          <w:tcPr>
            <w:tcW w:w="1843" w:type="dxa"/>
            <w:vAlign w:val="center"/>
          </w:tcPr>
          <w:p>
            <w:pPr>
              <w:pStyle w:val="12"/>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按项目计划完成工作</w:t>
            </w:r>
          </w:p>
        </w:tc>
        <w:tc>
          <w:tcPr>
            <w:tcW w:w="2891" w:type="dxa"/>
            <w:vAlign w:val="center"/>
          </w:tcPr>
          <w:p>
            <w:pPr>
              <w:pStyle w:val="12"/>
            </w:pPr>
            <w:r>
              <w:t>按照工作要求按时完成预定计划</w:t>
            </w:r>
          </w:p>
        </w:tc>
        <w:tc>
          <w:tcPr>
            <w:tcW w:w="1276" w:type="dxa"/>
            <w:vAlign w:val="center"/>
          </w:tcPr>
          <w:p>
            <w:pPr>
              <w:pStyle w:val="12"/>
            </w:pPr>
            <w:r>
              <w:t>是/否</w:t>
            </w:r>
          </w:p>
        </w:tc>
        <w:tc>
          <w:tcPr>
            <w:tcW w:w="1843" w:type="dxa"/>
            <w:vAlign w:val="center"/>
          </w:tcPr>
          <w:p>
            <w:pPr>
              <w:pStyle w:val="12"/>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项目控制预算数</w:t>
            </w:r>
          </w:p>
        </w:tc>
        <w:tc>
          <w:tcPr>
            <w:tcW w:w="2891" w:type="dxa"/>
            <w:vAlign w:val="center"/>
          </w:tcPr>
          <w:p>
            <w:pPr>
              <w:pStyle w:val="12"/>
            </w:pPr>
            <w:r>
              <w:t>不超过财政支持经费</w:t>
            </w:r>
          </w:p>
        </w:tc>
        <w:tc>
          <w:tcPr>
            <w:tcW w:w="1276" w:type="dxa"/>
            <w:vAlign w:val="center"/>
          </w:tcPr>
          <w:p>
            <w:pPr>
              <w:pStyle w:val="12"/>
            </w:pPr>
            <w:r>
              <w:t>是/否</w:t>
            </w:r>
          </w:p>
        </w:tc>
        <w:tc>
          <w:tcPr>
            <w:tcW w:w="1843" w:type="dxa"/>
            <w:vAlign w:val="center"/>
          </w:tcPr>
          <w:p>
            <w:pPr>
              <w:pStyle w:val="12"/>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经济效益指标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业务保障能力</w:t>
            </w:r>
          </w:p>
        </w:tc>
        <w:tc>
          <w:tcPr>
            <w:tcW w:w="2891" w:type="dxa"/>
            <w:vAlign w:val="center"/>
          </w:tcPr>
          <w:p>
            <w:pPr>
              <w:pStyle w:val="12"/>
            </w:pPr>
            <w:r>
              <w:t>保障相关业务、工作等开展的情况</w:t>
            </w:r>
          </w:p>
        </w:tc>
        <w:tc>
          <w:tcPr>
            <w:tcW w:w="1276" w:type="dxa"/>
            <w:vAlign w:val="center"/>
          </w:tcPr>
          <w:p>
            <w:pPr>
              <w:pStyle w:val="12"/>
            </w:pPr>
            <w:r>
              <w:t>是/否</w:t>
            </w:r>
          </w:p>
        </w:tc>
        <w:tc>
          <w:tcPr>
            <w:tcW w:w="1843" w:type="dxa"/>
            <w:vAlign w:val="center"/>
          </w:tcPr>
          <w:p>
            <w:pPr>
              <w:pStyle w:val="12"/>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节约成本</w:t>
            </w:r>
          </w:p>
        </w:tc>
        <w:tc>
          <w:tcPr>
            <w:tcW w:w="2891" w:type="dxa"/>
            <w:vAlign w:val="center"/>
          </w:tcPr>
          <w:p>
            <w:pPr>
              <w:pStyle w:val="12"/>
            </w:pPr>
            <w:r>
              <w:t>节约水、电等资源，降低能耗，实现绿色办公</w:t>
            </w:r>
          </w:p>
        </w:tc>
        <w:tc>
          <w:tcPr>
            <w:tcW w:w="1276" w:type="dxa"/>
            <w:vAlign w:val="center"/>
          </w:tcPr>
          <w:p>
            <w:pPr>
              <w:pStyle w:val="12"/>
            </w:pPr>
            <w:r>
              <w:t>是/否</w:t>
            </w:r>
          </w:p>
        </w:tc>
        <w:tc>
          <w:tcPr>
            <w:tcW w:w="1843" w:type="dxa"/>
            <w:vAlign w:val="center"/>
          </w:tcPr>
          <w:p>
            <w:pPr>
              <w:pStyle w:val="12"/>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单位工作人员满意度</w:t>
            </w:r>
          </w:p>
        </w:tc>
        <w:tc>
          <w:tcPr>
            <w:tcW w:w="2891" w:type="dxa"/>
            <w:vAlign w:val="center"/>
          </w:tcPr>
          <w:p>
            <w:pPr>
              <w:pStyle w:val="12"/>
            </w:pPr>
            <w:r>
              <w:t>调查中单位人员对单位环境满意和较满意的人数占调查总人数的比率</w:t>
            </w:r>
          </w:p>
        </w:tc>
        <w:tc>
          <w:tcPr>
            <w:tcW w:w="1276" w:type="dxa"/>
            <w:vAlign w:val="center"/>
          </w:tcPr>
          <w:p>
            <w:pPr>
              <w:pStyle w:val="12"/>
            </w:pPr>
            <w:r>
              <w:t>≥95%</w:t>
            </w:r>
          </w:p>
        </w:tc>
        <w:tc>
          <w:tcPr>
            <w:tcW w:w="1843" w:type="dxa"/>
            <w:vAlign w:val="center"/>
          </w:tcPr>
          <w:p>
            <w:pPr>
              <w:pStyle w:val="12"/>
            </w:pPr>
            <w:r>
              <w:t>冀财资[2017]674号</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07"/>
      <w:r>
        <w:rPr>
          <w:rFonts w:ascii="方正仿宋_GBK" w:hAnsi="方正仿宋_GBK" w:eastAsia="方正仿宋_GBK" w:cs="方正仿宋_GBK"/>
          <w:color w:val="000000"/>
          <w:sz w:val="28"/>
        </w:rPr>
        <w:t>4.古城社区居民清洁取暖补贴绩效目标表</w:t>
      </w:r>
      <w:bookmarkEnd w:id="6"/>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13030322P00411210001T</w:t>
            </w:r>
          </w:p>
        </w:tc>
        <w:tc>
          <w:tcPr>
            <w:tcW w:w="1587" w:type="dxa"/>
            <w:vAlign w:val="center"/>
          </w:tcPr>
          <w:p>
            <w:pPr>
              <w:pStyle w:val="13"/>
            </w:pPr>
            <w:r>
              <w:t>项目名称</w:t>
            </w:r>
          </w:p>
        </w:tc>
        <w:tc>
          <w:tcPr>
            <w:tcW w:w="4422" w:type="dxa"/>
            <w:gridSpan w:val="3"/>
            <w:vAlign w:val="center"/>
          </w:tcPr>
          <w:p>
            <w:pPr>
              <w:pStyle w:val="12"/>
            </w:pPr>
            <w:r>
              <w:t>古城社区居民清洁取暖补贴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135.00</w:t>
            </w:r>
          </w:p>
        </w:tc>
        <w:tc>
          <w:tcPr>
            <w:tcW w:w="1587" w:type="dxa"/>
            <w:vAlign w:val="center"/>
          </w:tcPr>
          <w:p>
            <w:pPr>
              <w:pStyle w:val="13"/>
            </w:pPr>
            <w:r>
              <w:t>其中：财政    资金</w:t>
            </w:r>
          </w:p>
        </w:tc>
        <w:tc>
          <w:tcPr>
            <w:tcW w:w="1304" w:type="dxa"/>
            <w:vAlign w:val="center"/>
          </w:tcPr>
          <w:p>
            <w:pPr>
              <w:pStyle w:val="12"/>
            </w:pPr>
            <w:r>
              <w:t>135.00</w:t>
            </w:r>
          </w:p>
        </w:tc>
        <w:tc>
          <w:tcPr>
            <w:tcW w:w="1276" w:type="dxa"/>
            <w:vAlign w:val="center"/>
          </w:tcPr>
          <w:p>
            <w:pPr>
              <w:pStyle w:val="13"/>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深入推进古城冬季清洁取暖工作</w:t>
            </w:r>
            <w:r>
              <w:tab/>
            </w:r>
            <w:r>
              <w:t>、改善古城环境卫生和空气质量</w:t>
            </w:r>
            <w:r>
              <w:tab/>
            </w:r>
            <w:r>
              <w:tab/>
            </w:r>
            <w:r>
              <w:tab/>
            </w:r>
            <w:r>
              <w:tab/>
            </w:r>
            <w:r>
              <w:tab/>
            </w:r>
            <w:r>
              <w:tab/>
            </w:r>
          </w:p>
          <w:p>
            <w:pPr>
              <w:pStyle w:val="12"/>
            </w:pPr>
            <w:r>
              <w:tab/>
            </w:r>
            <w:r>
              <w:tab/>
            </w:r>
            <w:r>
              <w:tab/>
            </w:r>
            <w:r>
              <w:tab/>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1.深入推进古城冬季清洁取暖工作</w:t>
            </w:r>
            <w:r>
              <w:tab/>
            </w:r>
            <w:r>
              <w:t>、改善古城环境卫生和空气质量</w:t>
            </w:r>
            <w:r>
              <w:tab/>
            </w:r>
            <w:r>
              <w:tab/>
            </w:r>
            <w:r>
              <w:tab/>
            </w:r>
            <w:r>
              <w:tab/>
            </w:r>
            <w:r>
              <w:tab/>
            </w:r>
            <w:r>
              <w:tab/>
            </w:r>
          </w:p>
          <w:p>
            <w:pPr>
              <w:pStyle w:val="12"/>
            </w:pP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补贴发放准确率</w:t>
            </w:r>
          </w:p>
        </w:tc>
        <w:tc>
          <w:tcPr>
            <w:tcW w:w="2891" w:type="dxa"/>
            <w:vAlign w:val="center"/>
          </w:tcPr>
          <w:p>
            <w:pPr>
              <w:pStyle w:val="12"/>
            </w:pPr>
            <w:r>
              <w:t>补贴发放准确率</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符合条件申报对象覆盖率</w:t>
            </w:r>
          </w:p>
        </w:tc>
        <w:tc>
          <w:tcPr>
            <w:tcW w:w="2891" w:type="dxa"/>
            <w:vAlign w:val="center"/>
          </w:tcPr>
          <w:p>
            <w:pPr>
              <w:pStyle w:val="12"/>
            </w:pPr>
            <w:r>
              <w:t>享受补贴政策人数占符合条件申报对象总数的比例</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控制在预算资金内</w:t>
            </w:r>
          </w:p>
        </w:tc>
        <w:tc>
          <w:tcPr>
            <w:tcW w:w="2891" w:type="dxa"/>
            <w:vAlign w:val="center"/>
          </w:tcPr>
          <w:p>
            <w:pPr>
              <w:pStyle w:val="12"/>
            </w:pPr>
            <w:r>
              <w:t>控制在预算资金内</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古城辖区大气环境标准</w:t>
            </w:r>
          </w:p>
        </w:tc>
        <w:tc>
          <w:tcPr>
            <w:tcW w:w="2891" w:type="dxa"/>
            <w:vAlign w:val="center"/>
          </w:tcPr>
          <w:p>
            <w:pPr>
              <w:pStyle w:val="12"/>
            </w:pPr>
            <w:r>
              <w:t>古城辖区大气浓度PM2.5平均值小于35.0微克/立方米</w:t>
            </w:r>
          </w:p>
        </w:tc>
        <w:tc>
          <w:tcPr>
            <w:tcW w:w="1276" w:type="dxa"/>
            <w:vAlign w:val="center"/>
          </w:tcPr>
          <w:p>
            <w:pPr>
              <w:pStyle w:val="12"/>
            </w:pPr>
            <w:r>
              <w:t>≤35微克/立方米</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业务保障能力</w:t>
            </w:r>
          </w:p>
        </w:tc>
        <w:tc>
          <w:tcPr>
            <w:tcW w:w="2891" w:type="dxa"/>
            <w:vAlign w:val="center"/>
          </w:tcPr>
          <w:p>
            <w:pPr>
              <w:pStyle w:val="12"/>
            </w:pPr>
            <w:r>
              <w:t>保障相关业务、工作等开展的情况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2891" w:type="dxa"/>
            <w:vAlign w:val="center"/>
          </w:tcPr>
          <w:p>
            <w:pPr>
              <w:pStyle w:val="12"/>
            </w:pPr>
            <w:r>
              <w:t>群众满意数量占总数的比例。</w:t>
            </w:r>
          </w:p>
        </w:tc>
        <w:tc>
          <w:tcPr>
            <w:tcW w:w="1276" w:type="dxa"/>
            <w:vAlign w:val="center"/>
          </w:tcPr>
          <w:p>
            <w:pPr>
              <w:pStyle w:val="12"/>
            </w:pPr>
            <w:r>
              <w:t>≥95%</w:t>
            </w:r>
          </w:p>
        </w:tc>
        <w:tc>
          <w:tcPr>
            <w:tcW w:w="1843" w:type="dxa"/>
            <w:vAlign w:val="center"/>
          </w:tcPr>
          <w:p>
            <w:pPr>
              <w:pStyle w:val="12"/>
            </w:pPr>
            <w:r>
              <w:t>年度工作计划</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08"/>
      <w:r>
        <w:rPr>
          <w:rFonts w:ascii="方正仿宋_GBK" w:hAnsi="方正仿宋_GBK" w:eastAsia="方正仿宋_GBK" w:cs="方正仿宋_GBK"/>
          <w:color w:val="000000"/>
          <w:sz w:val="28"/>
        </w:rPr>
        <w:t>5.基层武装部建设经费绩效目标表</w:t>
      </w:r>
      <w:bookmarkEnd w:id="7"/>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13030322P004135100045</w:t>
            </w:r>
          </w:p>
        </w:tc>
        <w:tc>
          <w:tcPr>
            <w:tcW w:w="1587" w:type="dxa"/>
            <w:vAlign w:val="center"/>
          </w:tcPr>
          <w:p>
            <w:pPr>
              <w:pStyle w:val="13"/>
            </w:pPr>
            <w:r>
              <w:t>项目名称</w:t>
            </w:r>
          </w:p>
        </w:tc>
        <w:tc>
          <w:tcPr>
            <w:tcW w:w="4422" w:type="dxa"/>
            <w:gridSpan w:val="3"/>
            <w:vAlign w:val="center"/>
          </w:tcPr>
          <w:p>
            <w:pPr>
              <w:pStyle w:val="12"/>
            </w:pPr>
            <w:r>
              <w:t>基层武装部建设经费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w:t>
            </w:r>
          </w:p>
        </w:tc>
        <w:tc>
          <w:tcPr>
            <w:tcW w:w="1587" w:type="dxa"/>
            <w:vAlign w:val="center"/>
          </w:tcPr>
          <w:p>
            <w:pPr>
              <w:pStyle w:val="13"/>
            </w:pPr>
            <w:r>
              <w:t>其中：财政    资金</w:t>
            </w:r>
          </w:p>
        </w:tc>
        <w:tc>
          <w:tcPr>
            <w:tcW w:w="1304" w:type="dxa"/>
            <w:vAlign w:val="center"/>
          </w:tcPr>
          <w:p>
            <w:pPr>
              <w:pStyle w:val="12"/>
            </w:pPr>
            <w:r>
              <w:t>2.00</w:t>
            </w:r>
          </w:p>
        </w:tc>
        <w:tc>
          <w:tcPr>
            <w:tcW w:w="1276" w:type="dxa"/>
            <w:vAlign w:val="center"/>
          </w:tcPr>
          <w:p>
            <w:pPr>
              <w:pStyle w:val="13"/>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党管武装，民兵整组，征兵工作，教育培训，民兵营连部规范化建设经费</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1.党管武装，民兵整组，征兵工作，教育培训，民兵营连部规范化建设</w:t>
            </w:r>
          </w:p>
        </w:tc>
      </w:tr>
    </w:tbl>
    <w:p>
      <w:pPr>
        <w:spacing w:line="2" w:lineRule="exact"/>
        <w:jc w:val="center"/>
      </w:pPr>
      <w:r>
        <w:rPr>
          <w:rFonts w:ascii="方正书宋_GBK" w:hAnsi="方正书宋_GBK" w:eastAsia="方正书宋_GBK" w:cs="方正书宋_GBK"/>
          <w:color w:val="000000"/>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质量指标</w:t>
            </w:r>
          </w:p>
        </w:tc>
        <w:tc>
          <w:tcPr>
            <w:tcW w:w="1332" w:type="dxa"/>
            <w:vAlign w:val="center"/>
          </w:tcPr>
          <w:p>
            <w:pPr>
              <w:pStyle w:val="12"/>
            </w:pPr>
            <w:r>
              <w:t>活动开展次数</w:t>
            </w:r>
          </w:p>
        </w:tc>
        <w:tc>
          <w:tcPr>
            <w:tcW w:w="2891" w:type="dxa"/>
            <w:vAlign w:val="center"/>
          </w:tcPr>
          <w:p>
            <w:pPr>
              <w:pStyle w:val="12"/>
            </w:pPr>
            <w:r>
              <w:t>开展民兵点验拉动，征兵宣传</w:t>
            </w:r>
          </w:p>
        </w:tc>
        <w:tc>
          <w:tcPr>
            <w:tcW w:w="1276" w:type="dxa"/>
            <w:vAlign w:val="center"/>
          </w:tcPr>
          <w:p>
            <w:pPr>
              <w:pStyle w:val="12"/>
            </w:pPr>
            <w:r>
              <w:t>≥2次</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项目控制预算数</w:t>
            </w:r>
          </w:p>
        </w:tc>
        <w:tc>
          <w:tcPr>
            <w:tcW w:w="2891" w:type="dxa"/>
            <w:vAlign w:val="center"/>
          </w:tcPr>
          <w:p>
            <w:pPr>
              <w:pStyle w:val="12"/>
            </w:pPr>
            <w:r>
              <w:t>不超财政预算经费</w:t>
            </w:r>
          </w:p>
        </w:tc>
        <w:tc>
          <w:tcPr>
            <w:tcW w:w="1276" w:type="dxa"/>
            <w:vAlign w:val="center"/>
          </w:tcPr>
          <w:p>
            <w:pPr>
              <w:pStyle w:val="12"/>
            </w:pPr>
            <w:r>
              <w:t>2万元</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覆盖人数</w:t>
            </w:r>
          </w:p>
        </w:tc>
        <w:tc>
          <w:tcPr>
            <w:tcW w:w="2891" w:type="dxa"/>
            <w:vAlign w:val="center"/>
          </w:tcPr>
          <w:p>
            <w:pPr>
              <w:pStyle w:val="12"/>
            </w:pPr>
            <w:r>
              <w:t>活动覆盖人数</w:t>
            </w:r>
          </w:p>
        </w:tc>
        <w:tc>
          <w:tcPr>
            <w:tcW w:w="1276" w:type="dxa"/>
            <w:vAlign w:val="center"/>
          </w:tcPr>
          <w:p>
            <w:pPr>
              <w:pStyle w:val="12"/>
            </w:pPr>
            <w:r>
              <w:t>≥30人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工作完成率</w:t>
            </w:r>
          </w:p>
        </w:tc>
        <w:tc>
          <w:tcPr>
            <w:tcW w:w="2891" w:type="dxa"/>
            <w:vAlign w:val="center"/>
          </w:tcPr>
          <w:p>
            <w:pPr>
              <w:pStyle w:val="12"/>
            </w:pPr>
            <w:r>
              <w:t>按工作要求完成计划</w:t>
            </w:r>
          </w:p>
        </w:tc>
        <w:tc>
          <w:tcPr>
            <w:tcW w:w="1276" w:type="dxa"/>
            <w:vAlign w:val="center"/>
          </w:tcPr>
          <w:p>
            <w:pPr>
              <w:pStyle w:val="12"/>
            </w:pPr>
            <w:r>
              <w:t>≥95百分比</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长期使用性</w:t>
            </w:r>
          </w:p>
        </w:tc>
        <w:tc>
          <w:tcPr>
            <w:tcW w:w="2891" w:type="dxa"/>
            <w:vAlign w:val="center"/>
          </w:tcPr>
          <w:p>
            <w:pPr>
              <w:pStyle w:val="12"/>
            </w:pPr>
            <w:r>
              <w:t>能够长期较好满足工作需要</w:t>
            </w:r>
          </w:p>
        </w:tc>
        <w:tc>
          <w:tcPr>
            <w:tcW w:w="1276" w:type="dxa"/>
            <w:vAlign w:val="center"/>
          </w:tcPr>
          <w:p>
            <w:pPr>
              <w:pStyle w:val="12"/>
            </w:pPr>
            <w:r>
              <w:t>≥95百分比</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提高工作效率</w:t>
            </w:r>
          </w:p>
        </w:tc>
        <w:tc>
          <w:tcPr>
            <w:tcW w:w="2891" w:type="dxa"/>
            <w:vAlign w:val="center"/>
          </w:tcPr>
          <w:p>
            <w:pPr>
              <w:pStyle w:val="12"/>
            </w:pPr>
            <w:r>
              <w:t>是否提高工作效率</w:t>
            </w:r>
          </w:p>
        </w:tc>
        <w:tc>
          <w:tcPr>
            <w:tcW w:w="1276" w:type="dxa"/>
            <w:vAlign w:val="center"/>
          </w:tcPr>
          <w:p>
            <w:pPr>
              <w:pStyle w:val="12"/>
            </w:pPr>
            <w:r>
              <w:t>≥95百分比</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活动覆盖情况</w:t>
            </w:r>
          </w:p>
        </w:tc>
        <w:tc>
          <w:tcPr>
            <w:tcW w:w="2891" w:type="dxa"/>
            <w:vAlign w:val="center"/>
          </w:tcPr>
          <w:p>
            <w:pPr>
              <w:pStyle w:val="12"/>
            </w:pPr>
            <w:r>
              <w:t>活动参与人数</w:t>
            </w:r>
          </w:p>
        </w:tc>
        <w:tc>
          <w:tcPr>
            <w:tcW w:w="1276" w:type="dxa"/>
            <w:vAlign w:val="center"/>
          </w:tcPr>
          <w:p>
            <w:pPr>
              <w:pStyle w:val="12"/>
            </w:pPr>
            <w:r>
              <w:t>≥30人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节约成本</w:t>
            </w:r>
          </w:p>
        </w:tc>
        <w:tc>
          <w:tcPr>
            <w:tcW w:w="2891" w:type="dxa"/>
            <w:vAlign w:val="center"/>
          </w:tcPr>
          <w:p>
            <w:pPr>
              <w:pStyle w:val="12"/>
            </w:pPr>
            <w:r>
              <w:t>节约水电气暖成本</w:t>
            </w:r>
          </w:p>
        </w:tc>
        <w:tc>
          <w:tcPr>
            <w:tcW w:w="1276" w:type="dxa"/>
            <w:vAlign w:val="center"/>
          </w:tcPr>
          <w:p>
            <w:pPr>
              <w:pStyle w:val="12"/>
            </w:pPr>
            <w:r>
              <w:t>≥95百分比</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满意度</w:t>
            </w:r>
          </w:p>
        </w:tc>
        <w:tc>
          <w:tcPr>
            <w:tcW w:w="2891" w:type="dxa"/>
            <w:vAlign w:val="center"/>
          </w:tcPr>
          <w:p>
            <w:pPr>
              <w:pStyle w:val="12"/>
            </w:pPr>
            <w:r>
              <w:t>活动开展满意度</w:t>
            </w:r>
          </w:p>
        </w:tc>
        <w:tc>
          <w:tcPr>
            <w:tcW w:w="1276" w:type="dxa"/>
            <w:vAlign w:val="center"/>
          </w:tcPr>
          <w:p>
            <w:pPr>
              <w:pStyle w:val="12"/>
            </w:pPr>
            <w:r>
              <w:t>≥95百分比</w:t>
            </w:r>
          </w:p>
        </w:tc>
        <w:tc>
          <w:tcPr>
            <w:tcW w:w="1843" w:type="dxa"/>
            <w:vAlign w:val="center"/>
          </w:tcPr>
          <w:p>
            <w:pPr>
              <w:pStyle w:val="12"/>
            </w:pPr>
            <w:r>
              <w:t>年度工作计划</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09"/>
      <w:r>
        <w:rPr>
          <w:rFonts w:ascii="方正仿宋_GBK" w:hAnsi="方正仿宋_GBK" w:eastAsia="方正仿宋_GBK" w:cs="方正仿宋_GBK"/>
          <w:color w:val="000000"/>
          <w:sz w:val="28"/>
        </w:rPr>
        <w:t>6.街道、社区综合事务经费绩效目标表</w:t>
      </w:r>
      <w:bookmarkEnd w:id="8"/>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13030322P00411510004N</w:t>
            </w:r>
          </w:p>
        </w:tc>
        <w:tc>
          <w:tcPr>
            <w:tcW w:w="1587" w:type="dxa"/>
            <w:vAlign w:val="center"/>
          </w:tcPr>
          <w:p>
            <w:pPr>
              <w:pStyle w:val="13"/>
            </w:pPr>
            <w:r>
              <w:t>项目名称</w:t>
            </w:r>
          </w:p>
        </w:tc>
        <w:tc>
          <w:tcPr>
            <w:tcW w:w="4422" w:type="dxa"/>
            <w:gridSpan w:val="3"/>
            <w:vAlign w:val="center"/>
          </w:tcPr>
          <w:p>
            <w:pPr>
              <w:pStyle w:val="12"/>
            </w:pPr>
            <w:r>
              <w:t>街道、社区综合事务经费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10.00</w:t>
            </w:r>
          </w:p>
        </w:tc>
        <w:tc>
          <w:tcPr>
            <w:tcW w:w="1587" w:type="dxa"/>
            <w:vAlign w:val="center"/>
          </w:tcPr>
          <w:p>
            <w:pPr>
              <w:pStyle w:val="13"/>
            </w:pPr>
            <w:r>
              <w:t>其中：财政    资金</w:t>
            </w:r>
          </w:p>
        </w:tc>
        <w:tc>
          <w:tcPr>
            <w:tcW w:w="1304" w:type="dxa"/>
            <w:vAlign w:val="center"/>
          </w:tcPr>
          <w:p>
            <w:pPr>
              <w:pStyle w:val="12"/>
            </w:pPr>
            <w:r>
              <w:t>10.00</w:t>
            </w:r>
          </w:p>
        </w:tc>
        <w:tc>
          <w:tcPr>
            <w:tcW w:w="1276" w:type="dxa"/>
            <w:vAlign w:val="center"/>
          </w:tcPr>
          <w:p>
            <w:pPr>
              <w:pStyle w:val="13"/>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保障办事处各项工作正常开展、街道社区正常运转。</w:t>
            </w:r>
            <w:r>
              <w:tab/>
            </w:r>
            <w:r>
              <w:tab/>
            </w:r>
            <w:r>
              <w:tab/>
            </w:r>
            <w:r>
              <w:tab/>
            </w:r>
            <w:r>
              <w:tab/>
            </w:r>
            <w:r>
              <w:tab/>
            </w:r>
            <w:r>
              <w:tab/>
            </w:r>
          </w:p>
          <w:p>
            <w:pPr>
              <w:pStyle w:val="12"/>
            </w:pP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1.保障办事处各项工作正常开展、街道社区正常运转。</w:t>
            </w:r>
            <w:r>
              <w:tab/>
            </w:r>
            <w:r>
              <w:tab/>
            </w: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综合事务保障率</w:t>
            </w:r>
          </w:p>
        </w:tc>
        <w:tc>
          <w:tcPr>
            <w:tcW w:w="2891" w:type="dxa"/>
            <w:vAlign w:val="center"/>
          </w:tcPr>
          <w:p>
            <w:pPr>
              <w:pStyle w:val="12"/>
            </w:pPr>
            <w:r>
              <w:t>反映保障机关正常运转，承办区委、区政府下达各项综合事务。</w:t>
            </w:r>
          </w:p>
          <w:p>
            <w:pPr>
              <w:pStyle w:val="12"/>
            </w:pP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辖区各项工作落实率</w:t>
            </w:r>
          </w:p>
        </w:tc>
        <w:tc>
          <w:tcPr>
            <w:tcW w:w="2891" w:type="dxa"/>
            <w:vAlign w:val="center"/>
          </w:tcPr>
          <w:p>
            <w:pPr>
              <w:pStyle w:val="12"/>
            </w:pPr>
            <w:r>
              <w:t>按要求完成辖区各项工作任务情况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按项目计划完成工作</w:t>
            </w:r>
          </w:p>
        </w:tc>
        <w:tc>
          <w:tcPr>
            <w:tcW w:w="2891" w:type="dxa"/>
            <w:vAlign w:val="center"/>
          </w:tcPr>
          <w:p>
            <w:pPr>
              <w:pStyle w:val="12"/>
            </w:pPr>
            <w:r>
              <w:t>按照工作要求按时完成预定计划</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项目控制预算数</w:t>
            </w:r>
          </w:p>
        </w:tc>
        <w:tc>
          <w:tcPr>
            <w:tcW w:w="2891" w:type="dxa"/>
            <w:vAlign w:val="center"/>
          </w:tcPr>
          <w:p>
            <w:pPr>
              <w:pStyle w:val="12"/>
            </w:pPr>
            <w:r>
              <w:t>不超过财政支持经费</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经济效益指标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业务保障能力</w:t>
            </w:r>
          </w:p>
        </w:tc>
        <w:tc>
          <w:tcPr>
            <w:tcW w:w="2891" w:type="dxa"/>
            <w:vAlign w:val="center"/>
          </w:tcPr>
          <w:p>
            <w:pPr>
              <w:pStyle w:val="12"/>
            </w:pPr>
            <w:r>
              <w:t>保障相关业务、工作等开展的情况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节约成本</w:t>
            </w:r>
          </w:p>
        </w:tc>
        <w:tc>
          <w:tcPr>
            <w:tcW w:w="2891" w:type="dxa"/>
            <w:vAlign w:val="center"/>
          </w:tcPr>
          <w:p>
            <w:pPr>
              <w:pStyle w:val="12"/>
            </w:pPr>
            <w:r>
              <w:t>节约水、电等资源，降低能耗，实现绿色办公</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单位工作人员满意度</w:t>
            </w:r>
          </w:p>
        </w:tc>
        <w:tc>
          <w:tcPr>
            <w:tcW w:w="2891" w:type="dxa"/>
            <w:vAlign w:val="center"/>
          </w:tcPr>
          <w:p>
            <w:pPr>
              <w:pStyle w:val="12"/>
            </w:pPr>
            <w:r>
              <w:t>调查中单位人员对单位环境满意和较满意的人数占调查总人数的比率</w:t>
            </w:r>
          </w:p>
        </w:tc>
        <w:tc>
          <w:tcPr>
            <w:tcW w:w="1276" w:type="dxa"/>
            <w:vAlign w:val="center"/>
          </w:tcPr>
          <w:p>
            <w:pPr>
              <w:pStyle w:val="12"/>
            </w:pPr>
            <w:r>
              <w:t>≥95%</w:t>
            </w:r>
          </w:p>
        </w:tc>
        <w:tc>
          <w:tcPr>
            <w:tcW w:w="1843" w:type="dxa"/>
            <w:vAlign w:val="center"/>
          </w:tcPr>
          <w:p>
            <w:pPr>
              <w:pStyle w:val="12"/>
            </w:pPr>
            <w:r>
              <w:t>年度工作计划</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0"/>
      <w:r>
        <w:rPr>
          <w:rFonts w:ascii="方正仿宋_GBK" w:hAnsi="方正仿宋_GBK" w:eastAsia="方正仿宋_GBK" w:cs="方正仿宋_GBK"/>
          <w:color w:val="000000"/>
          <w:sz w:val="28"/>
        </w:rPr>
        <w:t>7.街道工作专项补助绩效目标表</w:t>
      </w:r>
      <w:bookmarkEnd w:id="9"/>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13030322P004117100042</w:t>
            </w:r>
          </w:p>
        </w:tc>
        <w:tc>
          <w:tcPr>
            <w:tcW w:w="1587" w:type="dxa"/>
            <w:vAlign w:val="center"/>
          </w:tcPr>
          <w:p>
            <w:pPr>
              <w:pStyle w:val="13"/>
            </w:pPr>
            <w:r>
              <w:t>项目名称</w:t>
            </w:r>
          </w:p>
        </w:tc>
        <w:tc>
          <w:tcPr>
            <w:tcW w:w="4422" w:type="dxa"/>
            <w:gridSpan w:val="3"/>
            <w:vAlign w:val="center"/>
          </w:tcPr>
          <w:p>
            <w:pPr>
              <w:pStyle w:val="12"/>
            </w:pPr>
            <w:r>
              <w:t>街道工作专项补助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188.00</w:t>
            </w:r>
          </w:p>
        </w:tc>
        <w:tc>
          <w:tcPr>
            <w:tcW w:w="1587" w:type="dxa"/>
            <w:vAlign w:val="center"/>
          </w:tcPr>
          <w:p>
            <w:pPr>
              <w:pStyle w:val="13"/>
            </w:pPr>
            <w:r>
              <w:t>其中：财政    资金</w:t>
            </w:r>
          </w:p>
        </w:tc>
        <w:tc>
          <w:tcPr>
            <w:tcW w:w="1304" w:type="dxa"/>
            <w:vAlign w:val="center"/>
          </w:tcPr>
          <w:p>
            <w:pPr>
              <w:pStyle w:val="12"/>
            </w:pPr>
            <w:r>
              <w:t>188.00</w:t>
            </w:r>
          </w:p>
        </w:tc>
        <w:tc>
          <w:tcPr>
            <w:tcW w:w="1276" w:type="dxa"/>
            <w:vAlign w:val="center"/>
          </w:tcPr>
          <w:p>
            <w:pPr>
              <w:pStyle w:val="13"/>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事业自收自支人员经费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1.保障本单位事业人员工资及保险按时拨付</w:t>
            </w:r>
            <w:r>
              <w:tab/>
            </w:r>
            <w:r>
              <w:t>，保障本单位事业人员工资及保险足额发放和缴纳</w:t>
            </w:r>
            <w:r>
              <w:tab/>
            </w:r>
            <w:r>
              <w:tab/>
            </w:r>
            <w:r>
              <w:tab/>
            </w:r>
            <w:r>
              <w:tab/>
            </w:r>
            <w:r>
              <w:tab/>
            </w:r>
            <w:r>
              <w:tab/>
            </w:r>
            <w:r>
              <w:tab/>
            </w:r>
          </w:p>
          <w:p>
            <w:pPr>
              <w:pStyle w:val="12"/>
            </w:pPr>
            <w:r>
              <w:tab/>
            </w: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支付工资及保险人员数量</w:t>
            </w:r>
          </w:p>
        </w:tc>
        <w:tc>
          <w:tcPr>
            <w:tcW w:w="2891" w:type="dxa"/>
            <w:vAlign w:val="center"/>
          </w:tcPr>
          <w:p>
            <w:pPr>
              <w:pStyle w:val="12"/>
            </w:pPr>
            <w:r>
              <w:t>支付工资及保险人员数量</w:t>
            </w:r>
          </w:p>
        </w:tc>
        <w:tc>
          <w:tcPr>
            <w:tcW w:w="1276" w:type="dxa"/>
            <w:vAlign w:val="center"/>
          </w:tcPr>
          <w:p>
            <w:pPr>
              <w:pStyle w:val="12"/>
            </w:pPr>
            <w:r>
              <w:t>16人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工资及保险发放准确率</w:t>
            </w:r>
          </w:p>
        </w:tc>
        <w:tc>
          <w:tcPr>
            <w:tcW w:w="2891" w:type="dxa"/>
            <w:vAlign w:val="center"/>
          </w:tcPr>
          <w:p>
            <w:pPr>
              <w:pStyle w:val="12"/>
            </w:pPr>
            <w:r>
              <w:t>工资及保险发放准确率</w:t>
            </w:r>
          </w:p>
        </w:tc>
        <w:tc>
          <w:tcPr>
            <w:tcW w:w="1276" w:type="dxa"/>
            <w:vAlign w:val="center"/>
          </w:tcPr>
          <w:p>
            <w:pPr>
              <w:pStyle w:val="12"/>
            </w:pPr>
            <w:r>
              <w:t>16人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控制在预算资金内</w:t>
            </w:r>
          </w:p>
        </w:tc>
        <w:tc>
          <w:tcPr>
            <w:tcW w:w="2891" w:type="dxa"/>
            <w:vAlign w:val="center"/>
          </w:tcPr>
          <w:p>
            <w:pPr>
              <w:pStyle w:val="12"/>
            </w:pPr>
            <w:r>
              <w:t>控制在预算资金内</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可持续影响指标</w:t>
            </w:r>
          </w:p>
        </w:tc>
        <w:tc>
          <w:tcPr>
            <w:tcW w:w="1332" w:type="dxa"/>
            <w:vAlign w:val="center"/>
          </w:tcPr>
          <w:p>
            <w:pPr>
              <w:pStyle w:val="12"/>
            </w:pPr>
            <w:r>
              <w:t>保障工作完成</w:t>
            </w:r>
          </w:p>
        </w:tc>
        <w:tc>
          <w:tcPr>
            <w:tcW w:w="2891" w:type="dxa"/>
            <w:vAlign w:val="center"/>
          </w:tcPr>
          <w:p>
            <w:pPr>
              <w:pStyle w:val="12"/>
            </w:pPr>
            <w:r>
              <w:t>保障工作顺利完成</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经济效益指标</w:t>
            </w:r>
          </w:p>
        </w:tc>
        <w:tc>
          <w:tcPr>
            <w:tcW w:w="1332" w:type="dxa"/>
            <w:vAlign w:val="center"/>
          </w:tcPr>
          <w:p>
            <w:pPr>
              <w:pStyle w:val="12"/>
            </w:pPr>
            <w:r>
              <w:t>资金使用效益</w:t>
            </w:r>
          </w:p>
        </w:tc>
        <w:tc>
          <w:tcPr>
            <w:tcW w:w="2891" w:type="dxa"/>
            <w:vAlign w:val="center"/>
          </w:tcPr>
          <w:p>
            <w:pPr>
              <w:pStyle w:val="12"/>
            </w:pPr>
            <w:r>
              <w:t>资金支出情况</w:t>
            </w:r>
          </w:p>
        </w:tc>
        <w:tc>
          <w:tcPr>
            <w:tcW w:w="1276" w:type="dxa"/>
            <w:vAlign w:val="center"/>
          </w:tcPr>
          <w:p>
            <w:pPr>
              <w:pStyle w:val="12"/>
            </w:pPr>
            <w:r>
              <w:t>按要求支出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业务工作稳定性</w:t>
            </w:r>
          </w:p>
        </w:tc>
        <w:tc>
          <w:tcPr>
            <w:tcW w:w="2891" w:type="dxa"/>
            <w:vAlign w:val="center"/>
          </w:tcPr>
          <w:p>
            <w:pPr>
              <w:pStyle w:val="12"/>
            </w:pPr>
            <w:r>
              <w:t>通过日常工作稳定运转</w:t>
            </w:r>
          </w:p>
        </w:tc>
        <w:tc>
          <w:tcPr>
            <w:tcW w:w="1276" w:type="dxa"/>
            <w:vAlign w:val="center"/>
          </w:tcPr>
          <w:p>
            <w:pPr>
              <w:pStyle w:val="12"/>
            </w:pPr>
            <w:r>
              <w:t>进一步推动</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保障社会发展</w:t>
            </w:r>
          </w:p>
        </w:tc>
        <w:tc>
          <w:tcPr>
            <w:tcW w:w="2891" w:type="dxa"/>
            <w:vAlign w:val="center"/>
          </w:tcPr>
          <w:p>
            <w:pPr>
              <w:pStyle w:val="12"/>
            </w:pPr>
            <w:r>
              <w:t>有效提供后勤保障</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职工满意度</w:t>
            </w:r>
          </w:p>
        </w:tc>
        <w:tc>
          <w:tcPr>
            <w:tcW w:w="2891" w:type="dxa"/>
            <w:vAlign w:val="center"/>
          </w:tcPr>
          <w:p>
            <w:pPr>
              <w:pStyle w:val="12"/>
            </w:pPr>
            <w:r>
              <w:t>满意度人员占总职工人数</w:t>
            </w:r>
          </w:p>
        </w:tc>
        <w:tc>
          <w:tcPr>
            <w:tcW w:w="1276" w:type="dxa"/>
            <w:vAlign w:val="center"/>
          </w:tcPr>
          <w:p>
            <w:pPr>
              <w:pStyle w:val="12"/>
            </w:pPr>
            <w:r>
              <w:t>≥95%</w:t>
            </w:r>
          </w:p>
        </w:tc>
        <w:tc>
          <w:tcPr>
            <w:tcW w:w="1843" w:type="dxa"/>
            <w:vAlign w:val="center"/>
          </w:tcPr>
          <w:p>
            <w:pPr>
              <w:pStyle w:val="12"/>
            </w:pPr>
            <w:r>
              <w:t>年度工作计划</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1"/>
      <w:r>
        <w:rPr>
          <w:rFonts w:ascii="方正仿宋_GBK" w:hAnsi="方正仿宋_GBK" w:eastAsia="方正仿宋_GBK" w:cs="方正仿宋_GBK"/>
          <w:color w:val="000000"/>
          <w:sz w:val="28"/>
        </w:rPr>
        <w:t>8.社区党组服务群众经费绩效目标表</w:t>
      </w:r>
      <w:bookmarkEnd w:id="10"/>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13030321FVX8CQSYXPUNY</w:t>
            </w:r>
          </w:p>
        </w:tc>
        <w:tc>
          <w:tcPr>
            <w:tcW w:w="1587" w:type="dxa"/>
            <w:vAlign w:val="center"/>
          </w:tcPr>
          <w:p>
            <w:pPr>
              <w:pStyle w:val="13"/>
            </w:pPr>
            <w:r>
              <w:t>项目名称</w:t>
            </w:r>
          </w:p>
        </w:tc>
        <w:tc>
          <w:tcPr>
            <w:tcW w:w="4422" w:type="dxa"/>
            <w:gridSpan w:val="3"/>
            <w:vAlign w:val="center"/>
          </w:tcPr>
          <w:p>
            <w:pPr>
              <w:pStyle w:val="12"/>
            </w:pPr>
            <w:r>
              <w:t>社区党组服务群众经费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6.00</w:t>
            </w:r>
          </w:p>
        </w:tc>
        <w:tc>
          <w:tcPr>
            <w:tcW w:w="1587" w:type="dxa"/>
            <w:vAlign w:val="center"/>
          </w:tcPr>
          <w:p>
            <w:pPr>
              <w:pStyle w:val="13"/>
            </w:pPr>
            <w:r>
              <w:t>其中：财政    资金</w:t>
            </w:r>
          </w:p>
        </w:tc>
        <w:tc>
          <w:tcPr>
            <w:tcW w:w="1304" w:type="dxa"/>
            <w:vAlign w:val="center"/>
          </w:tcPr>
          <w:p>
            <w:pPr>
              <w:pStyle w:val="12"/>
            </w:pPr>
            <w:r>
              <w:t>6.00</w:t>
            </w:r>
          </w:p>
        </w:tc>
        <w:tc>
          <w:tcPr>
            <w:tcW w:w="1276" w:type="dxa"/>
            <w:vAlign w:val="center"/>
          </w:tcPr>
          <w:p>
            <w:pPr>
              <w:pStyle w:val="13"/>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东城社区、西城社区、服远社区党组织服务群众经费。</w:t>
            </w:r>
            <w:r>
              <w:tab/>
            </w:r>
            <w:r>
              <w:tab/>
            </w:r>
            <w:r>
              <w:tab/>
            </w:r>
            <w:r>
              <w:tab/>
            </w:r>
            <w:r>
              <w:tab/>
            </w:r>
            <w:r>
              <w:tab/>
            </w:r>
          </w:p>
          <w:p>
            <w:pPr>
              <w:pStyle w:val="12"/>
            </w:pPr>
            <w:r>
              <w:t>完善、开展东城社区、西城社区、服远社区党组织服务群众活动。</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1.东城社区、西城社区、服远社区党组织服务群众经费。</w:t>
            </w:r>
          </w:p>
          <w:p>
            <w:pPr>
              <w:pStyle w:val="12"/>
            </w:pPr>
            <w:r>
              <w:t>2.完善、开展东城社区、西城社区、服远社区党组织服务群众活动。</w:t>
            </w:r>
          </w:p>
        </w:tc>
      </w:tr>
    </w:tbl>
    <w:p>
      <w:pPr>
        <w:spacing w:line="2" w:lineRule="exact"/>
        <w:jc w:val="center"/>
      </w:pPr>
      <w:r>
        <w:rPr>
          <w:rFonts w:ascii="方正书宋_GBK" w:hAnsi="方正书宋_GBK" w:eastAsia="方正书宋_GBK" w:cs="方正书宋_GBK"/>
          <w:color w:val="000000"/>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质量指标</w:t>
            </w:r>
          </w:p>
        </w:tc>
        <w:tc>
          <w:tcPr>
            <w:tcW w:w="1332" w:type="dxa"/>
            <w:vAlign w:val="center"/>
          </w:tcPr>
          <w:p>
            <w:pPr>
              <w:pStyle w:val="12"/>
            </w:pPr>
            <w:r>
              <w:t>辖区各项工作落实率</w:t>
            </w:r>
          </w:p>
        </w:tc>
        <w:tc>
          <w:tcPr>
            <w:tcW w:w="2891" w:type="dxa"/>
            <w:vAlign w:val="center"/>
          </w:tcPr>
          <w:p>
            <w:pPr>
              <w:pStyle w:val="12"/>
            </w:pPr>
            <w:r>
              <w:t>按要求完成辖区各项工作任务情况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按项目计划完成工作</w:t>
            </w:r>
          </w:p>
        </w:tc>
        <w:tc>
          <w:tcPr>
            <w:tcW w:w="2891" w:type="dxa"/>
            <w:vAlign w:val="center"/>
          </w:tcPr>
          <w:p>
            <w:pPr>
              <w:pStyle w:val="12"/>
            </w:pPr>
            <w:r>
              <w:t>按照工作要求按时完成预定计划</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项目控制预算数</w:t>
            </w:r>
          </w:p>
        </w:tc>
        <w:tc>
          <w:tcPr>
            <w:tcW w:w="2891" w:type="dxa"/>
            <w:vAlign w:val="center"/>
          </w:tcPr>
          <w:p>
            <w:pPr>
              <w:pStyle w:val="12"/>
            </w:pPr>
            <w:r>
              <w:t>不超过财政支持经费</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组织宣传活动次数（次）</w:t>
            </w:r>
          </w:p>
        </w:tc>
        <w:tc>
          <w:tcPr>
            <w:tcW w:w="2891" w:type="dxa"/>
            <w:vAlign w:val="center"/>
          </w:tcPr>
          <w:p>
            <w:pPr>
              <w:pStyle w:val="12"/>
            </w:pPr>
            <w:r>
              <w:t>组织宣传活动次数</w:t>
            </w:r>
          </w:p>
        </w:tc>
        <w:tc>
          <w:tcPr>
            <w:tcW w:w="1276" w:type="dxa"/>
            <w:vAlign w:val="center"/>
          </w:tcPr>
          <w:p>
            <w:pPr>
              <w:pStyle w:val="12"/>
            </w:pPr>
            <w:r>
              <w:t>≥10次</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经济效益指标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业务保障能力</w:t>
            </w:r>
          </w:p>
        </w:tc>
        <w:tc>
          <w:tcPr>
            <w:tcW w:w="2891" w:type="dxa"/>
            <w:vAlign w:val="center"/>
          </w:tcPr>
          <w:p>
            <w:pPr>
              <w:pStyle w:val="12"/>
            </w:pPr>
            <w:r>
              <w:t>保障相关业务、工作等开展的情况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节约成本</w:t>
            </w:r>
          </w:p>
        </w:tc>
        <w:tc>
          <w:tcPr>
            <w:tcW w:w="2891" w:type="dxa"/>
            <w:vAlign w:val="center"/>
          </w:tcPr>
          <w:p>
            <w:pPr>
              <w:pStyle w:val="12"/>
            </w:pPr>
            <w:r>
              <w:t>节约水、电等资源，降低能耗，实现绿色办公</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单位工作人员满意度</w:t>
            </w:r>
          </w:p>
        </w:tc>
        <w:tc>
          <w:tcPr>
            <w:tcW w:w="2891" w:type="dxa"/>
            <w:vAlign w:val="center"/>
          </w:tcPr>
          <w:p>
            <w:pPr>
              <w:pStyle w:val="12"/>
            </w:pPr>
            <w:r>
              <w:t>调查中单位人员对单位环境满意和较满意的人数占调查总人数的比率</w:t>
            </w:r>
          </w:p>
        </w:tc>
        <w:tc>
          <w:tcPr>
            <w:tcW w:w="1276" w:type="dxa"/>
            <w:vAlign w:val="center"/>
          </w:tcPr>
          <w:p>
            <w:pPr>
              <w:pStyle w:val="12"/>
            </w:pPr>
            <w:r>
              <w:t>≥95%</w:t>
            </w:r>
          </w:p>
        </w:tc>
        <w:tc>
          <w:tcPr>
            <w:tcW w:w="1843" w:type="dxa"/>
            <w:vAlign w:val="center"/>
          </w:tcPr>
          <w:p>
            <w:pPr>
              <w:pStyle w:val="12"/>
            </w:pPr>
            <w:r>
              <w:t>年度工作计划</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2"/>
      <w:r>
        <w:rPr>
          <w:rFonts w:ascii="方正仿宋_GBK" w:hAnsi="方正仿宋_GBK" w:eastAsia="方正仿宋_GBK" w:cs="方正仿宋_GBK"/>
          <w:color w:val="000000"/>
          <w:sz w:val="28"/>
        </w:rPr>
        <w:t>9.社区党组织服务群众专项经费绩效目标表</w:t>
      </w:r>
      <w:bookmarkEnd w:id="11"/>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13030322P00412010004H</w:t>
            </w:r>
          </w:p>
        </w:tc>
        <w:tc>
          <w:tcPr>
            <w:tcW w:w="1587" w:type="dxa"/>
            <w:vAlign w:val="center"/>
          </w:tcPr>
          <w:p>
            <w:pPr>
              <w:pStyle w:val="13"/>
            </w:pPr>
            <w:r>
              <w:t>项目名称</w:t>
            </w:r>
          </w:p>
        </w:tc>
        <w:tc>
          <w:tcPr>
            <w:tcW w:w="4422" w:type="dxa"/>
            <w:gridSpan w:val="3"/>
            <w:vAlign w:val="center"/>
          </w:tcPr>
          <w:p>
            <w:pPr>
              <w:pStyle w:val="12"/>
            </w:pPr>
            <w:r>
              <w:t>社区党组织服务群众专项经费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30.00</w:t>
            </w:r>
          </w:p>
        </w:tc>
        <w:tc>
          <w:tcPr>
            <w:tcW w:w="1587" w:type="dxa"/>
            <w:vAlign w:val="center"/>
          </w:tcPr>
          <w:p>
            <w:pPr>
              <w:pStyle w:val="13"/>
            </w:pPr>
            <w:r>
              <w:t>其中：财政    资金</w:t>
            </w:r>
          </w:p>
        </w:tc>
        <w:tc>
          <w:tcPr>
            <w:tcW w:w="1304" w:type="dxa"/>
            <w:vAlign w:val="center"/>
          </w:tcPr>
          <w:p>
            <w:pPr>
              <w:pStyle w:val="12"/>
            </w:pPr>
            <w:r>
              <w:t>30.00</w:t>
            </w:r>
          </w:p>
        </w:tc>
        <w:tc>
          <w:tcPr>
            <w:tcW w:w="1276" w:type="dxa"/>
            <w:vAlign w:val="center"/>
          </w:tcPr>
          <w:p>
            <w:pPr>
              <w:pStyle w:val="13"/>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完善、开展东城社区、西城社区、服远社区党组织服务群众活动。</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1.东城社区、西城社区、服远社区党组织服务群众经费。</w:t>
            </w:r>
          </w:p>
          <w:p>
            <w:pPr>
              <w:pStyle w:val="12"/>
            </w:pPr>
            <w:r>
              <w:t>2.完善、开展东城社区、西城社区、服远社区党组织服务群众活动。</w:t>
            </w:r>
          </w:p>
        </w:tc>
      </w:tr>
    </w:tbl>
    <w:p>
      <w:pPr>
        <w:spacing w:line="2" w:lineRule="exact"/>
        <w:jc w:val="center"/>
      </w:pPr>
      <w:r>
        <w:rPr>
          <w:rFonts w:ascii="方正书宋_GBK" w:hAnsi="方正书宋_GBK" w:eastAsia="方正书宋_GBK" w:cs="方正书宋_GBK"/>
          <w:color w:val="000000"/>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质量指标</w:t>
            </w:r>
          </w:p>
        </w:tc>
        <w:tc>
          <w:tcPr>
            <w:tcW w:w="1332" w:type="dxa"/>
            <w:vAlign w:val="center"/>
          </w:tcPr>
          <w:p>
            <w:pPr>
              <w:pStyle w:val="12"/>
            </w:pPr>
            <w:r>
              <w:t>辖区各项工作落实率</w:t>
            </w:r>
          </w:p>
        </w:tc>
        <w:tc>
          <w:tcPr>
            <w:tcW w:w="2891" w:type="dxa"/>
            <w:vAlign w:val="center"/>
          </w:tcPr>
          <w:p>
            <w:pPr>
              <w:pStyle w:val="12"/>
            </w:pPr>
            <w:r>
              <w:t>按要求完成辖区各项工作任务情况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按项目计划完成工作</w:t>
            </w:r>
          </w:p>
        </w:tc>
        <w:tc>
          <w:tcPr>
            <w:tcW w:w="2891" w:type="dxa"/>
            <w:vAlign w:val="center"/>
          </w:tcPr>
          <w:p>
            <w:pPr>
              <w:pStyle w:val="12"/>
            </w:pPr>
            <w:r>
              <w:t>按照工作要求按时完成预定计划</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项目控制预算数</w:t>
            </w:r>
          </w:p>
        </w:tc>
        <w:tc>
          <w:tcPr>
            <w:tcW w:w="2891" w:type="dxa"/>
            <w:vAlign w:val="center"/>
          </w:tcPr>
          <w:p>
            <w:pPr>
              <w:pStyle w:val="12"/>
            </w:pPr>
            <w:r>
              <w:t>不超过财政支持经费</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组织宣传活动次数（次）</w:t>
            </w:r>
          </w:p>
        </w:tc>
        <w:tc>
          <w:tcPr>
            <w:tcW w:w="2891" w:type="dxa"/>
            <w:vAlign w:val="center"/>
          </w:tcPr>
          <w:p>
            <w:pPr>
              <w:pStyle w:val="12"/>
            </w:pPr>
            <w:r>
              <w:t>组织宣传活动次数</w:t>
            </w:r>
          </w:p>
        </w:tc>
        <w:tc>
          <w:tcPr>
            <w:tcW w:w="1276" w:type="dxa"/>
            <w:vAlign w:val="center"/>
          </w:tcPr>
          <w:p>
            <w:pPr>
              <w:pStyle w:val="12"/>
            </w:pPr>
            <w:r>
              <w:t>≥10次</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经济效益指标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业务保障能力</w:t>
            </w:r>
          </w:p>
        </w:tc>
        <w:tc>
          <w:tcPr>
            <w:tcW w:w="2891" w:type="dxa"/>
            <w:vAlign w:val="center"/>
          </w:tcPr>
          <w:p>
            <w:pPr>
              <w:pStyle w:val="12"/>
            </w:pPr>
            <w:r>
              <w:t>保障相关业务、工作等开展的情况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节约成本</w:t>
            </w:r>
          </w:p>
        </w:tc>
        <w:tc>
          <w:tcPr>
            <w:tcW w:w="2891" w:type="dxa"/>
            <w:vAlign w:val="center"/>
          </w:tcPr>
          <w:p>
            <w:pPr>
              <w:pStyle w:val="12"/>
            </w:pPr>
            <w:r>
              <w:t>节约水、电等资源，降低能耗，实现绿色办公</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单位工作人员满意度</w:t>
            </w:r>
          </w:p>
        </w:tc>
        <w:tc>
          <w:tcPr>
            <w:tcW w:w="2891" w:type="dxa"/>
            <w:vAlign w:val="center"/>
          </w:tcPr>
          <w:p>
            <w:pPr>
              <w:pStyle w:val="12"/>
            </w:pPr>
            <w:r>
              <w:t>调查中单位人员对单位环境满意和较满意的人数占调查总人数的比率</w:t>
            </w:r>
          </w:p>
        </w:tc>
        <w:tc>
          <w:tcPr>
            <w:tcW w:w="1276" w:type="dxa"/>
            <w:vAlign w:val="center"/>
          </w:tcPr>
          <w:p>
            <w:pPr>
              <w:pStyle w:val="12"/>
            </w:pPr>
            <w:r>
              <w:t>≥95%</w:t>
            </w:r>
          </w:p>
        </w:tc>
        <w:tc>
          <w:tcPr>
            <w:tcW w:w="1843" w:type="dxa"/>
            <w:vAlign w:val="center"/>
          </w:tcPr>
          <w:p>
            <w:pPr>
              <w:pStyle w:val="12"/>
            </w:pPr>
            <w:r>
              <w:t>年度工作计划</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3"/>
      <w:r>
        <w:rPr>
          <w:rFonts w:ascii="方正仿宋_GBK" w:hAnsi="方正仿宋_GBK" w:eastAsia="方正仿宋_GBK" w:cs="方正仿宋_GBK"/>
          <w:color w:val="000000"/>
          <w:sz w:val="28"/>
        </w:rPr>
        <w:t>10.社区工作经费绩效目标表</w:t>
      </w:r>
      <w:bookmarkEnd w:id="12"/>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13030322P004123100056</w:t>
            </w:r>
          </w:p>
        </w:tc>
        <w:tc>
          <w:tcPr>
            <w:tcW w:w="1587" w:type="dxa"/>
            <w:vAlign w:val="center"/>
          </w:tcPr>
          <w:p>
            <w:pPr>
              <w:pStyle w:val="13"/>
            </w:pPr>
            <w:r>
              <w:t>项目名称</w:t>
            </w:r>
          </w:p>
        </w:tc>
        <w:tc>
          <w:tcPr>
            <w:tcW w:w="4422" w:type="dxa"/>
            <w:gridSpan w:val="3"/>
            <w:vAlign w:val="center"/>
          </w:tcPr>
          <w:p>
            <w:pPr>
              <w:pStyle w:val="12"/>
            </w:pPr>
            <w:r>
              <w:t>社区工作经费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15.00</w:t>
            </w:r>
          </w:p>
        </w:tc>
        <w:tc>
          <w:tcPr>
            <w:tcW w:w="1587" w:type="dxa"/>
            <w:vAlign w:val="center"/>
          </w:tcPr>
          <w:p>
            <w:pPr>
              <w:pStyle w:val="13"/>
            </w:pPr>
            <w:r>
              <w:t>其中：财政    资金</w:t>
            </w:r>
          </w:p>
        </w:tc>
        <w:tc>
          <w:tcPr>
            <w:tcW w:w="1304" w:type="dxa"/>
            <w:vAlign w:val="center"/>
          </w:tcPr>
          <w:p>
            <w:pPr>
              <w:pStyle w:val="12"/>
            </w:pPr>
            <w:r>
              <w:t>15.00</w:t>
            </w:r>
          </w:p>
        </w:tc>
        <w:tc>
          <w:tcPr>
            <w:tcW w:w="1276" w:type="dxa"/>
            <w:vAlign w:val="center"/>
          </w:tcPr>
          <w:p>
            <w:pPr>
              <w:pStyle w:val="13"/>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东城社区、西城社区、服远社区工作经费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1.进一步强化城市社区服务群众，凝聚人心，优化管理，维护稳定的功能，加强和创新社会管理，促进辖区和谐稳定。</w:t>
            </w:r>
            <w:r>
              <w:tab/>
            </w:r>
            <w:r>
              <w:tab/>
            </w: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支付公用经费人数</w:t>
            </w:r>
          </w:p>
        </w:tc>
        <w:tc>
          <w:tcPr>
            <w:tcW w:w="2891" w:type="dxa"/>
            <w:vAlign w:val="center"/>
          </w:tcPr>
          <w:p>
            <w:pPr>
              <w:pStyle w:val="12"/>
            </w:pPr>
            <w:r>
              <w:t>支付公用经费人数</w:t>
            </w:r>
          </w:p>
        </w:tc>
        <w:tc>
          <w:tcPr>
            <w:tcW w:w="1276" w:type="dxa"/>
            <w:vAlign w:val="center"/>
          </w:tcPr>
          <w:p>
            <w:pPr>
              <w:pStyle w:val="12"/>
            </w:pPr>
            <w:r>
              <w:t>19人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辖区各项工作落实率</w:t>
            </w:r>
          </w:p>
        </w:tc>
        <w:tc>
          <w:tcPr>
            <w:tcW w:w="2891" w:type="dxa"/>
            <w:vAlign w:val="center"/>
          </w:tcPr>
          <w:p>
            <w:pPr>
              <w:pStyle w:val="12"/>
            </w:pPr>
            <w:r>
              <w:t>按要求完成辖区各项工作任务情况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按项目计划完成工作</w:t>
            </w:r>
          </w:p>
        </w:tc>
        <w:tc>
          <w:tcPr>
            <w:tcW w:w="2891" w:type="dxa"/>
            <w:vAlign w:val="center"/>
          </w:tcPr>
          <w:p>
            <w:pPr>
              <w:pStyle w:val="12"/>
            </w:pPr>
            <w:r>
              <w:t>按照工作要求按时完成预定计划</w:t>
            </w:r>
          </w:p>
        </w:tc>
        <w:tc>
          <w:tcPr>
            <w:tcW w:w="1276" w:type="dxa"/>
            <w:vAlign w:val="center"/>
          </w:tcPr>
          <w:p>
            <w:pPr>
              <w:pStyle w:val="12"/>
            </w:pPr>
            <w:r>
              <w:t>≥95%</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项目控制预算数</w:t>
            </w:r>
          </w:p>
        </w:tc>
        <w:tc>
          <w:tcPr>
            <w:tcW w:w="2891" w:type="dxa"/>
            <w:vAlign w:val="center"/>
          </w:tcPr>
          <w:p>
            <w:pPr>
              <w:pStyle w:val="12"/>
            </w:pPr>
            <w:r>
              <w:t>不超过财政支持经费</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可持续影响指标</w:t>
            </w:r>
          </w:p>
        </w:tc>
        <w:tc>
          <w:tcPr>
            <w:tcW w:w="1332" w:type="dxa"/>
            <w:vAlign w:val="center"/>
          </w:tcPr>
          <w:p>
            <w:pPr>
              <w:pStyle w:val="12"/>
            </w:pPr>
            <w:r>
              <w:t>长期使用性</w:t>
            </w:r>
          </w:p>
        </w:tc>
        <w:tc>
          <w:tcPr>
            <w:tcW w:w="2891" w:type="dxa"/>
            <w:vAlign w:val="center"/>
          </w:tcPr>
          <w:p>
            <w:pPr>
              <w:pStyle w:val="12"/>
            </w:pPr>
            <w:r>
              <w:t>能够长期较好地满足工作需求</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经济效益指标</w:t>
            </w:r>
          </w:p>
        </w:tc>
        <w:tc>
          <w:tcPr>
            <w:tcW w:w="1332" w:type="dxa"/>
            <w:vAlign w:val="center"/>
          </w:tcPr>
          <w:p>
            <w:pPr>
              <w:pStyle w:val="12"/>
            </w:pPr>
            <w:r>
              <w:t>提高工作效率</w:t>
            </w:r>
          </w:p>
        </w:tc>
        <w:tc>
          <w:tcPr>
            <w:tcW w:w="2891" w:type="dxa"/>
            <w:vAlign w:val="center"/>
          </w:tcPr>
          <w:p>
            <w:pPr>
              <w:pStyle w:val="12"/>
            </w:pPr>
            <w:r>
              <w:t>是否能提高工作效率</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业务保障能力</w:t>
            </w:r>
          </w:p>
        </w:tc>
        <w:tc>
          <w:tcPr>
            <w:tcW w:w="2891" w:type="dxa"/>
            <w:vAlign w:val="center"/>
          </w:tcPr>
          <w:p>
            <w:pPr>
              <w:pStyle w:val="12"/>
            </w:pPr>
            <w:r>
              <w:t>保障相关业务、工作等开展的情况</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节约成本</w:t>
            </w:r>
          </w:p>
        </w:tc>
        <w:tc>
          <w:tcPr>
            <w:tcW w:w="2891" w:type="dxa"/>
            <w:vAlign w:val="center"/>
          </w:tcPr>
          <w:p>
            <w:pPr>
              <w:pStyle w:val="12"/>
            </w:pPr>
            <w:r>
              <w:t>节约水、电等资源，降低能耗，实现绿色办公</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单位工作人员满意度</w:t>
            </w:r>
          </w:p>
        </w:tc>
        <w:tc>
          <w:tcPr>
            <w:tcW w:w="2891" w:type="dxa"/>
            <w:vAlign w:val="center"/>
          </w:tcPr>
          <w:p>
            <w:pPr>
              <w:pStyle w:val="12"/>
            </w:pPr>
            <w:r>
              <w:t>调查中单位人员对单位环境满意和较满意的人数占调查总人数的比率</w:t>
            </w:r>
          </w:p>
        </w:tc>
        <w:tc>
          <w:tcPr>
            <w:tcW w:w="1276" w:type="dxa"/>
            <w:vAlign w:val="center"/>
          </w:tcPr>
          <w:p>
            <w:pPr>
              <w:pStyle w:val="12"/>
            </w:pPr>
            <w:r>
              <w:t>≥95%</w:t>
            </w:r>
          </w:p>
        </w:tc>
        <w:tc>
          <w:tcPr>
            <w:tcW w:w="1843" w:type="dxa"/>
            <w:vAlign w:val="center"/>
          </w:tcPr>
          <w:p>
            <w:pPr>
              <w:pStyle w:val="12"/>
            </w:pPr>
            <w:r>
              <w:t>年度工作计划</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4"/>
      <w:r>
        <w:rPr>
          <w:rFonts w:ascii="方正仿宋_GBK" w:hAnsi="方正仿宋_GBK" w:eastAsia="方正仿宋_GBK" w:cs="方正仿宋_GBK"/>
          <w:color w:val="000000"/>
          <w:sz w:val="28"/>
        </w:rPr>
        <w:t>11.社区工作专项补助绩效目标表</w:t>
      </w:r>
      <w:bookmarkEnd w:id="13"/>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13030322P004126100057</w:t>
            </w:r>
          </w:p>
        </w:tc>
        <w:tc>
          <w:tcPr>
            <w:tcW w:w="1587" w:type="dxa"/>
            <w:vAlign w:val="center"/>
          </w:tcPr>
          <w:p>
            <w:pPr>
              <w:pStyle w:val="13"/>
            </w:pPr>
            <w:r>
              <w:t>项目名称</w:t>
            </w:r>
          </w:p>
        </w:tc>
        <w:tc>
          <w:tcPr>
            <w:tcW w:w="4422" w:type="dxa"/>
            <w:gridSpan w:val="3"/>
            <w:vAlign w:val="center"/>
          </w:tcPr>
          <w:p>
            <w:pPr>
              <w:pStyle w:val="12"/>
            </w:pPr>
            <w:r>
              <w:t>社区工作专项补助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94.00</w:t>
            </w:r>
          </w:p>
        </w:tc>
        <w:tc>
          <w:tcPr>
            <w:tcW w:w="1587" w:type="dxa"/>
            <w:vAlign w:val="center"/>
          </w:tcPr>
          <w:p>
            <w:pPr>
              <w:pStyle w:val="13"/>
            </w:pPr>
            <w:r>
              <w:t>其中：财政    资金</w:t>
            </w:r>
          </w:p>
        </w:tc>
        <w:tc>
          <w:tcPr>
            <w:tcW w:w="1304" w:type="dxa"/>
            <w:vAlign w:val="center"/>
          </w:tcPr>
          <w:p>
            <w:pPr>
              <w:pStyle w:val="12"/>
            </w:pPr>
            <w:r>
              <w:t>94.00</w:t>
            </w:r>
          </w:p>
        </w:tc>
        <w:tc>
          <w:tcPr>
            <w:tcW w:w="1276" w:type="dxa"/>
            <w:vAlign w:val="center"/>
          </w:tcPr>
          <w:p>
            <w:pPr>
              <w:pStyle w:val="13"/>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东城社区、西城社区、服远社区人员经费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1.保障本单位社区人员工资及保险按时拨付</w:t>
            </w:r>
            <w:r>
              <w:tab/>
            </w:r>
            <w:r>
              <w:tab/>
            </w: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支付工资及保险人员数量</w:t>
            </w:r>
          </w:p>
        </w:tc>
        <w:tc>
          <w:tcPr>
            <w:tcW w:w="2891" w:type="dxa"/>
            <w:vAlign w:val="center"/>
          </w:tcPr>
          <w:p>
            <w:pPr>
              <w:pStyle w:val="12"/>
            </w:pPr>
            <w:r>
              <w:t>支付工资及保险人员数量</w:t>
            </w:r>
          </w:p>
        </w:tc>
        <w:tc>
          <w:tcPr>
            <w:tcW w:w="1276" w:type="dxa"/>
            <w:vAlign w:val="center"/>
          </w:tcPr>
          <w:p>
            <w:pPr>
              <w:pStyle w:val="12"/>
            </w:pPr>
            <w:r>
              <w:t>19人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工资及保险发放准确率</w:t>
            </w:r>
          </w:p>
        </w:tc>
        <w:tc>
          <w:tcPr>
            <w:tcW w:w="2891" w:type="dxa"/>
            <w:vAlign w:val="center"/>
          </w:tcPr>
          <w:p>
            <w:pPr>
              <w:pStyle w:val="12"/>
            </w:pPr>
            <w:r>
              <w:t>工资及保险发放准确率</w:t>
            </w:r>
          </w:p>
        </w:tc>
        <w:tc>
          <w:tcPr>
            <w:tcW w:w="1276" w:type="dxa"/>
            <w:vAlign w:val="center"/>
          </w:tcPr>
          <w:p>
            <w:pPr>
              <w:pStyle w:val="12"/>
            </w:pPr>
            <w:r>
              <w:t>19人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控制在预算资金内</w:t>
            </w:r>
          </w:p>
        </w:tc>
        <w:tc>
          <w:tcPr>
            <w:tcW w:w="2891" w:type="dxa"/>
            <w:vAlign w:val="center"/>
          </w:tcPr>
          <w:p>
            <w:pPr>
              <w:pStyle w:val="12"/>
            </w:pPr>
            <w:r>
              <w:t>控制在预算资金内</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可持续影响指标</w:t>
            </w:r>
          </w:p>
        </w:tc>
        <w:tc>
          <w:tcPr>
            <w:tcW w:w="1332" w:type="dxa"/>
            <w:vAlign w:val="center"/>
          </w:tcPr>
          <w:p>
            <w:pPr>
              <w:pStyle w:val="12"/>
            </w:pPr>
            <w:r>
              <w:t>保障工作完成</w:t>
            </w:r>
          </w:p>
        </w:tc>
        <w:tc>
          <w:tcPr>
            <w:tcW w:w="2891" w:type="dxa"/>
            <w:vAlign w:val="center"/>
          </w:tcPr>
          <w:p>
            <w:pPr>
              <w:pStyle w:val="12"/>
            </w:pPr>
            <w:r>
              <w:t>保障工作顺利完成</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经济效益指标</w:t>
            </w:r>
          </w:p>
        </w:tc>
        <w:tc>
          <w:tcPr>
            <w:tcW w:w="1332" w:type="dxa"/>
            <w:vAlign w:val="center"/>
          </w:tcPr>
          <w:p>
            <w:pPr>
              <w:pStyle w:val="12"/>
            </w:pPr>
            <w:r>
              <w:t>资金使用效益</w:t>
            </w:r>
          </w:p>
        </w:tc>
        <w:tc>
          <w:tcPr>
            <w:tcW w:w="2891" w:type="dxa"/>
            <w:vAlign w:val="center"/>
          </w:tcPr>
          <w:p>
            <w:pPr>
              <w:pStyle w:val="12"/>
            </w:pPr>
            <w:r>
              <w:t>资金支出情况</w:t>
            </w:r>
          </w:p>
        </w:tc>
        <w:tc>
          <w:tcPr>
            <w:tcW w:w="1276" w:type="dxa"/>
            <w:vAlign w:val="center"/>
          </w:tcPr>
          <w:p>
            <w:pPr>
              <w:pStyle w:val="12"/>
            </w:pPr>
            <w:r>
              <w:t>按要求支出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业务工作稳定性</w:t>
            </w:r>
          </w:p>
        </w:tc>
        <w:tc>
          <w:tcPr>
            <w:tcW w:w="2891" w:type="dxa"/>
            <w:vAlign w:val="center"/>
          </w:tcPr>
          <w:p>
            <w:pPr>
              <w:pStyle w:val="12"/>
            </w:pPr>
            <w:r>
              <w:t>通过日常工作稳定运转</w:t>
            </w:r>
          </w:p>
        </w:tc>
        <w:tc>
          <w:tcPr>
            <w:tcW w:w="1276" w:type="dxa"/>
            <w:vAlign w:val="center"/>
          </w:tcPr>
          <w:p>
            <w:pPr>
              <w:pStyle w:val="12"/>
            </w:pPr>
            <w:r>
              <w:t>进一步推动</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保障社会发展</w:t>
            </w:r>
          </w:p>
        </w:tc>
        <w:tc>
          <w:tcPr>
            <w:tcW w:w="2891" w:type="dxa"/>
            <w:vAlign w:val="center"/>
          </w:tcPr>
          <w:p>
            <w:pPr>
              <w:pStyle w:val="12"/>
            </w:pPr>
            <w:r>
              <w:t>有效提供后勤保障</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职工满意度</w:t>
            </w:r>
          </w:p>
        </w:tc>
        <w:tc>
          <w:tcPr>
            <w:tcW w:w="2891" w:type="dxa"/>
            <w:vAlign w:val="center"/>
          </w:tcPr>
          <w:p>
            <w:pPr>
              <w:pStyle w:val="12"/>
            </w:pPr>
            <w:r>
              <w:t>满意度人员占总职工人数</w:t>
            </w:r>
          </w:p>
        </w:tc>
        <w:tc>
          <w:tcPr>
            <w:tcW w:w="1276" w:type="dxa"/>
            <w:vAlign w:val="center"/>
          </w:tcPr>
          <w:p>
            <w:pPr>
              <w:pStyle w:val="12"/>
            </w:pPr>
            <w:r>
              <w:t>≥95%</w:t>
            </w:r>
          </w:p>
        </w:tc>
        <w:tc>
          <w:tcPr>
            <w:tcW w:w="1843" w:type="dxa"/>
            <w:vAlign w:val="center"/>
          </w:tcPr>
          <w:p>
            <w:pPr>
              <w:pStyle w:val="12"/>
            </w:pPr>
            <w:r>
              <w:t>年度工作计划</w:t>
            </w:r>
          </w:p>
        </w:tc>
      </w:tr>
    </w:tbl>
    <w:p>
      <w:pPr>
        <w:sectPr>
          <w:pgSz w:w="16840" w:h="11900" w:orient="landscape"/>
          <w:pgMar w:top="1304" w:right="1984" w:bottom="1304" w:left="113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5"/>
      <w:r>
        <w:rPr>
          <w:rFonts w:ascii="方正仿宋_GBK" w:hAnsi="方正仿宋_GBK" w:eastAsia="方正仿宋_GBK" w:cs="方正仿宋_GBK"/>
          <w:color w:val="000000"/>
          <w:sz w:val="28"/>
        </w:rPr>
        <w:t>12.社区老居委会生活补贴绩效目标表</w:t>
      </w:r>
      <w:bookmarkEnd w:id="14"/>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1"/>
            </w:pPr>
            <w:r>
              <w:t>610001古城街道办事处部门秦皇岛市山海关区古城街道办事处本级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2"/>
            </w:pPr>
            <w:r>
              <w:t>13030322P00412810005J</w:t>
            </w:r>
          </w:p>
        </w:tc>
        <w:tc>
          <w:tcPr>
            <w:tcW w:w="1587" w:type="dxa"/>
            <w:vAlign w:val="center"/>
          </w:tcPr>
          <w:p>
            <w:pPr>
              <w:pStyle w:val="13"/>
            </w:pPr>
            <w:r>
              <w:t>项目名称</w:t>
            </w:r>
          </w:p>
        </w:tc>
        <w:tc>
          <w:tcPr>
            <w:tcW w:w="4422" w:type="dxa"/>
            <w:gridSpan w:val="3"/>
            <w:vAlign w:val="center"/>
          </w:tcPr>
          <w:p>
            <w:pPr>
              <w:pStyle w:val="12"/>
            </w:pPr>
            <w:r>
              <w:t>社区老居委会生活补贴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8.53</w:t>
            </w:r>
          </w:p>
        </w:tc>
        <w:tc>
          <w:tcPr>
            <w:tcW w:w="1587" w:type="dxa"/>
            <w:vAlign w:val="center"/>
          </w:tcPr>
          <w:p>
            <w:pPr>
              <w:pStyle w:val="13"/>
            </w:pPr>
            <w:r>
              <w:t>其中：财政    资金</w:t>
            </w:r>
          </w:p>
        </w:tc>
        <w:tc>
          <w:tcPr>
            <w:tcW w:w="1304" w:type="dxa"/>
            <w:vAlign w:val="center"/>
          </w:tcPr>
          <w:p>
            <w:pPr>
              <w:pStyle w:val="12"/>
            </w:pPr>
            <w:r>
              <w:t>8.53</w:t>
            </w:r>
          </w:p>
        </w:tc>
        <w:tc>
          <w:tcPr>
            <w:tcW w:w="1276" w:type="dxa"/>
            <w:vAlign w:val="center"/>
          </w:tcPr>
          <w:p>
            <w:pPr>
              <w:pStyle w:val="13"/>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本单位14名退休居委会老主任工资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2"/>
            </w:pPr>
            <w:r>
              <w:t>1.保障本单位14名退休居委会老主任工资按时拨付</w:t>
            </w:r>
            <w:r>
              <w:tab/>
            </w:r>
            <w:r>
              <w:tab/>
            </w: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支付工资人员数量</w:t>
            </w:r>
          </w:p>
        </w:tc>
        <w:tc>
          <w:tcPr>
            <w:tcW w:w="2891" w:type="dxa"/>
            <w:vAlign w:val="center"/>
          </w:tcPr>
          <w:p>
            <w:pPr>
              <w:pStyle w:val="12"/>
            </w:pPr>
            <w:r>
              <w:t>支付工资人员数量</w:t>
            </w:r>
          </w:p>
        </w:tc>
        <w:tc>
          <w:tcPr>
            <w:tcW w:w="1276" w:type="dxa"/>
            <w:vAlign w:val="center"/>
          </w:tcPr>
          <w:p>
            <w:pPr>
              <w:pStyle w:val="12"/>
            </w:pPr>
            <w:r>
              <w:t>14人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工资发放准确率</w:t>
            </w:r>
          </w:p>
        </w:tc>
        <w:tc>
          <w:tcPr>
            <w:tcW w:w="2891" w:type="dxa"/>
            <w:vAlign w:val="center"/>
          </w:tcPr>
          <w:p>
            <w:pPr>
              <w:pStyle w:val="12"/>
            </w:pPr>
            <w:r>
              <w:t>工资发放准确率</w:t>
            </w:r>
          </w:p>
        </w:tc>
        <w:tc>
          <w:tcPr>
            <w:tcW w:w="1276" w:type="dxa"/>
            <w:vAlign w:val="center"/>
          </w:tcPr>
          <w:p>
            <w:pPr>
              <w:pStyle w:val="12"/>
            </w:pPr>
            <w:r>
              <w:t>14人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100%</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控制在预算资金内</w:t>
            </w:r>
          </w:p>
        </w:tc>
        <w:tc>
          <w:tcPr>
            <w:tcW w:w="2891" w:type="dxa"/>
            <w:vAlign w:val="center"/>
          </w:tcPr>
          <w:p>
            <w:pPr>
              <w:pStyle w:val="12"/>
            </w:pPr>
            <w:r>
              <w:t>控制在预算资金内</w:t>
            </w:r>
          </w:p>
        </w:tc>
        <w:tc>
          <w:tcPr>
            <w:tcW w:w="1276" w:type="dxa"/>
            <w:vAlign w:val="center"/>
          </w:tcPr>
          <w:p>
            <w:pPr>
              <w:pStyle w:val="12"/>
            </w:pPr>
            <w:r>
              <w:t>是/否</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可持续影响指标</w:t>
            </w:r>
          </w:p>
        </w:tc>
        <w:tc>
          <w:tcPr>
            <w:tcW w:w="1332" w:type="dxa"/>
            <w:vAlign w:val="center"/>
          </w:tcPr>
          <w:p>
            <w:pPr>
              <w:pStyle w:val="12"/>
            </w:pPr>
            <w:r>
              <w:t>保障工作完成</w:t>
            </w:r>
          </w:p>
        </w:tc>
        <w:tc>
          <w:tcPr>
            <w:tcW w:w="2891" w:type="dxa"/>
            <w:vAlign w:val="center"/>
          </w:tcPr>
          <w:p>
            <w:pPr>
              <w:pStyle w:val="12"/>
            </w:pPr>
            <w:r>
              <w:t>保障工作顺利完成</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经济效益指标</w:t>
            </w:r>
          </w:p>
        </w:tc>
        <w:tc>
          <w:tcPr>
            <w:tcW w:w="1332" w:type="dxa"/>
            <w:vAlign w:val="center"/>
          </w:tcPr>
          <w:p>
            <w:pPr>
              <w:pStyle w:val="12"/>
            </w:pPr>
            <w:r>
              <w:t>资金使用效益</w:t>
            </w:r>
          </w:p>
        </w:tc>
        <w:tc>
          <w:tcPr>
            <w:tcW w:w="2891" w:type="dxa"/>
            <w:vAlign w:val="center"/>
          </w:tcPr>
          <w:p>
            <w:pPr>
              <w:pStyle w:val="12"/>
            </w:pPr>
            <w:r>
              <w:t>资金支出情况</w:t>
            </w:r>
          </w:p>
        </w:tc>
        <w:tc>
          <w:tcPr>
            <w:tcW w:w="1276" w:type="dxa"/>
            <w:vAlign w:val="center"/>
          </w:tcPr>
          <w:p>
            <w:pPr>
              <w:pStyle w:val="12"/>
            </w:pPr>
            <w:r>
              <w:t>按要求支出</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业务工作稳定性</w:t>
            </w:r>
          </w:p>
        </w:tc>
        <w:tc>
          <w:tcPr>
            <w:tcW w:w="2891" w:type="dxa"/>
            <w:vAlign w:val="center"/>
          </w:tcPr>
          <w:p>
            <w:pPr>
              <w:pStyle w:val="12"/>
            </w:pPr>
            <w:r>
              <w:t>通过日常工作稳定运转</w:t>
            </w:r>
          </w:p>
        </w:tc>
        <w:tc>
          <w:tcPr>
            <w:tcW w:w="1276" w:type="dxa"/>
            <w:vAlign w:val="center"/>
          </w:tcPr>
          <w:p>
            <w:pPr>
              <w:pStyle w:val="12"/>
            </w:pPr>
            <w:r>
              <w:t>进一步推动</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保障社会发展</w:t>
            </w:r>
          </w:p>
        </w:tc>
        <w:tc>
          <w:tcPr>
            <w:tcW w:w="2891" w:type="dxa"/>
            <w:vAlign w:val="center"/>
          </w:tcPr>
          <w:p>
            <w:pPr>
              <w:pStyle w:val="12"/>
            </w:pPr>
            <w:r>
              <w:t>有效提供后勤保障</w:t>
            </w:r>
          </w:p>
        </w:tc>
        <w:tc>
          <w:tcPr>
            <w:tcW w:w="1276" w:type="dxa"/>
            <w:vAlign w:val="center"/>
          </w:tcPr>
          <w:p>
            <w:pPr>
              <w:pStyle w:val="12"/>
            </w:pPr>
            <w:r>
              <w:t>进一步保障</w:t>
            </w:r>
          </w:p>
        </w:tc>
        <w:tc>
          <w:tcPr>
            <w:tcW w:w="1843"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职工满意度</w:t>
            </w:r>
          </w:p>
        </w:tc>
        <w:tc>
          <w:tcPr>
            <w:tcW w:w="2891" w:type="dxa"/>
            <w:vAlign w:val="center"/>
          </w:tcPr>
          <w:p>
            <w:pPr>
              <w:pStyle w:val="12"/>
            </w:pPr>
            <w:r>
              <w:t>满意度人员占总职工人数</w:t>
            </w:r>
          </w:p>
        </w:tc>
        <w:tc>
          <w:tcPr>
            <w:tcW w:w="1276" w:type="dxa"/>
            <w:vAlign w:val="center"/>
          </w:tcPr>
          <w:p>
            <w:pPr>
              <w:pStyle w:val="12"/>
            </w:pPr>
            <w:r>
              <w:t>≥95%</w:t>
            </w:r>
          </w:p>
        </w:tc>
        <w:tc>
          <w:tcPr>
            <w:tcW w:w="1843" w:type="dxa"/>
            <w:vAlign w:val="center"/>
          </w:tcPr>
          <w:p>
            <w:pPr>
              <w:pStyle w:val="12"/>
            </w:pPr>
            <w:r>
              <w:t>年度工作计划</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OWVjZDhiYmU5MDk4MzlhNTRiMmRmYTEwZTUxMzEifQ=="/>
  </w:docVars>
  <w:rsids>
    <w:rsidRoot w:val="00353304"/>
    <w:rsid w:val="000D6584"/>
    <w:rsid w:val="000E2A73"/>
    <w:rsid w:val="00127A30"/>
    <w:rsid w:val="00137D33"/>
    <w:rsid w:val="001B2B01"/>
    <w:rsid w:val="001C7913"/>
    <w:rsid w:val="001D1763"/>
    <w:rsid w:val="002114E6"/>
    <w:rsid w:val="00232B9D"/>
    <w:rsid w:val="00245855"/>
    <w:rsid w:val="002A5169"/>
    <w:rsid w:val="00353304"/>
    <w:rsid w:val="0041686C"/>
    <w:rsid w:val="00432054"/>
    <w:rsid w:val="005955D2"/>
    <w:rsid w:val="005957C7"/>
    <w:rsid w:val="005A546B"/>
    <w:rsid w:val="00620F0D"/>
    <w:rsid w:val="0066532A"/>
    <w:rsid w:val="0068148B"/>
    <w:rsid w:val="00717EB9"/>
    <w:rsid w:val="007537C0"/>
    <w:rsid w:val="007B0B86"/>
    <w:rsid w:val="007D5ABC"/>
    <w:rsid w:val="0081560F"/>
    <w:rsid w:val="00825462"/>
    <w:rsid w:val="00873588"/>
    <w:rsid w:val="008A77C2"/>
    <w:rsid w:val="008E44BC"/>
    <w:rsid w:val="009633C8"/>
    <w:rsid w:val="009D0F9F"/>
    <w:rsid w:val="009F2715"/>
    <w:rsid w:val="00A41036"/>
    <w:rsid w:val="00A771D7"/>
    <w:rsid w:val="00BA747E"/>
    <w:rsid w:val="00BB57E7"/>
    <w:rsid w:val="00DE5E54"/>
    <w:rsid w:val="00E05150"/>
    <w:rsid w:val="00F47E21"/>
    <w:rsid w:val="00F72B05"/>
    <w:rsid w:val="00FA50C6"/>
    <w:rsid w:val="037C160D"/>
    <w:rsid w:val="25DC07D0"/>
    <w:rsid w:val="26407CBC"/>
    <w:rsid w:val="35D5316B"/>
    <w:rsid w:val="3FFE29C4"/>
    <w:rsid w:val="5E312ED0"/>
    <w:rsid w:val="6AB07304"/>
    <w:rsid w:val="6E643F84"/>
    <w:rsid w:val="71050507"/>
    <w:rsid w:val="75DF3C17"/>
    <w:rsid w:val="7DEB5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9"/>
    <w:autoRedefine/>
    <w:semiHidden/>
    <w:unhideWhenUsed/>
    <w:uiPriority w:val="99"/>
    <w:pPr>
      <w:widowControl/>
      <w:tabs>
        <w:tab w:val="center" w:pos="4153"/>
        <w:tab w:val="right" w:pos="8306"/>
      </w:tabs>
      <w:snapToGrid w:val="0"/>
      <w:jc w:val="left"/>
    </w:pPr>
    <w:rPr>
      <w:rFonts w:ascii="Times New Roman" w:hAnsi="Times New Roman" w:eastAsia="Times New Roman" w:cs="Times New Roman"/>
      <w:kern w:val="0"/>
      <w:sz w:val="18"/>
      <w:szCs w:val="18"/>
      <w:lang w:eastAsia="uk-UA"/>
    </w:rPr>
  </w:style>
  <w:style w:type="paragraph" w:styleId="3">
    <w:name w:val="header"/>
    <w:basedOn w:val="1"/>
    <w:link w:val="18"/>
    <w:autoRedefine/>
    <w:semiHidden/>
    <w:unhideWhenUsed/>
    <w:qFormat/>
    <w:uiPriority w:val="99"/>
    <w:pPr>
      <w:widowControl/>
      <w:pBdr>
        <w:bottom w:val="single" w:color="auto" w:sz="6" w:space="1"/>
      </w:pBdr>
      <w:tabs>
        <w:tab w:val="center" w:pos="4153"/>
        <w:tab w:val="right" w:pos="8306"/>
      </w:tabs>
      <w:snapToGrid w:val="0"/>
      <w:jc w:val="center"/>
    </w:pPr>
    <w:rPr>
      <w:rFonts w:ascii="Times New Roman" w:hAnsi="Times New Roman" w:eastAsia="Times New Roman" w:cs="Times New Roman"/>
      <w:kern w:val="0"/>
      <w:sz w:val="18"/>
      <w:szCs w:val="18"/>
      <w:lang w:eastAsia="uk-UA"/>
    </w:rPr>
  </w:style>
  <w:style w:type="table" w:styleId="5">
    <w:name w:val="Table Grid"/>
    <w:basedOn w:val="4"/>
    <w:autoRedefine/>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插入文本样式-插入总体目标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8">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9">
    <w:name w:val="插入文本样式-插入实现年度发展规划目标的保障措施文件"/>
    <w:basedOn w:val="1"/>
    <w:autoRedefine/>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0">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1">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2">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13">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5">
    <w:name w:val="TOC 2"/>
    <w:basedOn w:val="1"/>
    <w:autoRedefine/>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16">
    <w:name w:val="TOC 4"/>
    <w:basedOn w:val="1"/>
    <w:autoRedefine/>
    <w:qFormat/>
    <w:uiPriority w:val="0"/>
    <w:pPr>
      <w:widowControl/>
      <w:ind w:left="720"/>
      <w:jc w:val="left"/>
    </w:pPr>
    <w:rPr>
      <w:rFonts w:ascii="Times New Roman" w:hAnsi="Times New Roman" w:eastAsia="Times New Roman" w:cs="Times New Roman"/>
      <w:kern w:val="0"/>
      <w:sz w:val="24"/>
      <w:szCs w:val="24"/>
      <w:lang w:eastAsia="uk-UA"/>
    </w:rPr>
  </w:style>
  <w:style w:type="paragraph" w:customStyle="1" w:styleId="17">
    <w:name w:val="TOC 1"/>
    <w:basedOn w:val="1"/>
    <w:autoRedefine/>
    <w:qFormat/>
    <w:uiPriority w:val="0"/>
    <w:pPr>
      <w:widowControl/>
      <w:spacing w:before="120"/>
      <w:jc w:val="left"/>
    </w:pPr>
    <w:rPr>
      <w:rFonts w:ascii="Times New Roman" w:hAnsi="Times New Roman" w:eastAsia="方正仿宋_GBK" w:cs="Times New Roman"/>
      <w:color w:val="000000"/>
      <w:kern w:val="0"/>
      <w:sz w:val="28"/>
      <w:szCs w:val="24"/>
      <w:lang w:eastAsia="uk-UA"/>
    </w:rPr>
  </w:style>
  <w:style w:type="character" w:customStyle="1" w:styleId="18">
    <w:name w:val="页眉 Char"/>
    <w:basedOn w:val="6"/>
    <w:link w:val="3"/>
    <w:autoRedefine/>
    <w:semiHidden/>
    <w:qFormat/>
    <w:uiPriority w:val="99"/>
    <w:rPr>
      <w:rFonts w:ascii="Times New Roman" w:hAnsi="Times New Roman" w:eastAsia="Times New Roman" w:cs="Times New Roman"/>
      <w:kern w:val="0"/>
      <w:sz w:val="18"/>
      <w:szCs w:val="18"/>
      <w:lang w:eastAsia="uk-UA"/>
    </w:rPr>
  </w:style>
  <w:style w:type="character" w:customStyle="1" w:styleId="19">
    <w:name w:val="页脚 Char"/>
    <w:basedOn w:val="6"/>
    <w:link w:val="2"/>
    <w:semiHidden/>
    <w:qFormat/>
    <w:uiPriority w:val="99"/>
    <w:rPr>
      <w:rFonts w:ascii="Times New Roman" w:hAnsi="Times New Roman" w:eastAsia="Times New Roman" w:cs="Times New Roman"/>
      <w:kern w:val="0"/>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58C0A9-1410-4B97-AA6A-2316AA08E13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13240</Words>
  <Characters>16130</Characters>
  <Lines>157</Lines>
  <Paragraphs>44</Paragraphs>
  <TotalTime>4</TotalTime>
  <ScaleCrop>false</ScaleCrop>
  <LinksUpToDate>false</LinksUpToDate>
  <CharactersWithSpaces>17327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2022-06-17T07:19:00Z</dcterms:created>
  <dc:creator>Administrator</dc:creator>
  <cp:lastModifiedBy>晶致</cp:lastModifiedBy>
  <dcterms:modified xsi:type="dcterms:W3CDTF">2024-01-19T07:17:00Z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9BD2FE18AEBA431BABE435325FB2A6E0</vt:lpwstr>
  </property>
</Properties>
</file>