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72"/>
          <w:highlight w:val="none"/>
        </w:rPr>
        <w:t>区自然资源和规划部门</w:t>
      </w:r>
    </w:p>
    <w:p>
      <w:pPr>
        <w:jc w:val="center"/>
        <w:rPr>
          <w:highlight w:val="none"/>
        </w:rPr>
      </w:pPr>
      <w:r>
        <w:rPr>
          <w:rFonts w:ascii="方正小标宋_GBK" w:hAnsi="方正小标宋_GBK" w:eastAsia="方正小标宋_GBK" w:cs="方正小标宋_GBK"/>
          <w:color w:val="000000"/>
          <w:sz w:val="72"/>
          <w:highlight w:val="none"/>
        </w:rPr>
        <w:t>2022年部门预算绩效文本</w:t>
      </w:r>
    </w:p>
    <w:p>
      <w:pPr>
        <w:jc w:val="center"/>
        <w:rPr>
          <w:highlight w:val="none"/>
        </w:rPr>
      </w:pPr>
      <w:r>
        <w:rPr>
          <w:rFonts w:ascii="方正小标宋_GBK" w:hAnsi="方正小标宋_GBK" w:eastAsia="方正小标宋_GBK" w:cs="方正小标宋_GBK"/>
          <w:color w:val="000000"/>
          <w:sz w:val="52"/>
          <w:highlight w:val="none"/>
        </w:rPr>
        <w:t>（草案）</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宋体" w:hAnsi="宋体" w:eastAsia="宋体" w:cs="宋体"/>
          <w:color w:val="000000"/>
          <w:sz w:val="21"/>
          <w:highlight w:val="none"/>
        </w:rPr>
        <w:t xml:space="preserve"> </w:t>
      </w:r>
    </w:p>
    <w:p>
      <w:pPr>
        <w:jc w:val="center"/>
        <w:rPr>
          <w:highlight w:val="none"/>
        </w:rPr>
      </w:pPr>
      <w:r>
        <w:rPr>
          <w:rFonts w:ascii="方正楷体_GBK" w:hAnsi="方正楷体_GBK" w:eastAsia="方正楷体_GBK" w:cs="方正楷体_GBK"/>
          <w:b/>
          <w:color w:val="000000"/>
          <w:sz w:val="32"/>
          <w:highlight w:val="none"/>
        </w:rPr>
        <w:t>区自然资源和规划部门编制</w:t>
      </w:r>
    </w:p>
    <w:p>
      <w:pPr>
        <w:jc w:val="center"/>
        <w:rPr>
          <w:highlight w:val="none"/>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highlight w:val="none"/>
        </w:rPr>
        <w:t>山海关区财政局审核</w:t>
      </w:r>
    </w:p>
    <w:p>
      <w:pPr>
        <w:jc w:val="center"/>
        <w:rPr>
          <w:highlight w:val="none"/>
        </w:rPr>
        <w:sectPr>
          <w:pgSz w:w="11900" w:h="16840"/>
          <w:pgMar w:top="1984" w:right="1304" w:bottom="1134" w:left="1304" w:header="720" w:footer="720" w:gutter="0"/>
          <w:cols w:space="720" w:num="1"/>
          <w:titlePg/>
        </w:sectPr>
      </w:pPr>
    </w:p>
    <w:p>
      <w:pPr>
        <w:jc w:val="center"/>
        <w:rPr>
          <w:highlight w:val="none"/>
        </w:rPr>
      </w:pPr>
      <w:r>
        <w:rPr>
          <w:rFonts w:ascii="方正小标宋_GBK" w:hAnsi="方正小标宋_GBK" w:eastAsia="方正小标宋_GBK" w:cs="方正小标宋_GBK"/>
          <w:color w:val="000000"/>
          <w:sz w:val="36"/>
          <w:highlight w:val="none"/>
        </w:rPr>
        <w:t xml:space="preserve"> </w:t>
      </w:r>
    </w:p>
    <w:p>
      <w:pPr>
        <w:jc w:val="center"/>
        <w:outlineLvl w:val="0"/>
        <w:rPr>
          <w:highlight w:val="none"/>
        </w:rPr>
      </w:pPr>
      <w:r>
        <w:rPr>
          <w:rFonts w:ascii="方正小标宋_GBK" w:hAnsi="方正小标宋_GBK" w:eastAsia="方正小标宋_GBK" w:cs="方正小标宋_GBK"/>
          <w:color w:val="000000"/>
          <w:sz w:val="36"/>
          <w:highlight w:val="none"/>
        </w:rPr>
        <w:t>目    录</w:t>
      </w:r>
    </w:p>
    <w:p>
      <w:pPr>
        <w:jc w:val="center"/>
        <w:rPr>
          <w:highlight w:val="none"/>
        </w:rPr>
      </w:pPr>
      <w:r>
        <w:rPr>
          <w:rFonts w:ascii="方正小标宋_GBK" w:hAnsi="方正小标宋_GBK" w:eastAsia="方正小标宋_GBK" w:cs="方正小标宋_GBK"/>
          <w:color w:val="000000"/>
          <w:sz w:val="30"/>
          <w:highlight w:val="none"/>
        </w:rPr>
        <w:t xml:space="preserve"> </w:t>
      </w:r>
    </w:p>
    <w:p>
      <w:pPr>
        <w:jc w:val="center"/>
        <w:rPr>
          <w:highlight w:val="none"/>
        </w:rPr>
      </w:pPr>
      <w:r>
        <w:rPr>
          <w:rFonts w:ascii="方正小标宋_GBK" w:hAnsi="方正小标宋_GBK" w:eastAsia="方正小标宋_GBK" w:cs="方正小标宋_GBK"/>
          <w:color w:val="000000"/>
          <w:sz w:val="30"/>
          <w:highlight w:val="none"/>
        </w:rPr>
        <w:t>第一部分 部门整体绩效目标</w:t>
      </w:r>
    </w:p>
    <w:p>
      <w:pPr>
        <w:pStyle w:val="15"/>
        <w:tabs>
          <w:tab w:val="right" w:leader="dot" w:pos="928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一、总体绩效目标</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二、分项绩效目标</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三、工作保障措施</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12</w:t>
      </w:r>
      <w:r>
        <w:rPr>
          <w:highlight w:val="none"/>
        </w:rPr>
        <w:fldChar w:fldCharType="end"/>
      </w:r>
      <w:r>
        <w:rPr>
          <w:highlight w:val="none"/>
        </w:rPr>
        <w:fldChar w:fldCharType="end"/>
      </w:r>
    </w:p>
    <w:p>
      <w:pPr>
        <w:rPr>
          <w:highlight w:val="none"/>
        </w:rPr>
      </w:pPr>
      <w:r>
        <w:rPr>
          <w:highlight w:val="none"/>
        </w:rPr>
        <w:fldChar w:fldCharType="end"/>
      </w:r>
    </w:p>
    <w:p>
      <w:pPr>
        <w:jc w:val="center"/>
        <w:rPr>
          <w:highlight w:val="none"/>
        </w:rPr>
      </w:pPr>
      <w:r>
        <w:rPr>
          <w:rFonts w:ascii="方正小标宋_GBK" w:hAnsi="方正小标宋_GBK" w:eastAsia="方正小标宋_GBK" w:cs="方正小标宋_GBK"/>
          <w:color w:val="000000"/>
          <w:sz w:val="30"/>
          <w:highlight w:val="none"/>
        </w:rPr>
        <w:t>第二部分 预算项目绩效目标</w:t>
      </w:r>
    </w:p>
    <w:p>
      <w:pPr>
        <w:pStyle w:val="15"/>
        <w:tabs>
          <w:tab w:val="right" w:leader="dot" w:pos="928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"_Toc_4_4_0000000004" </w:instrText>
      </w:r>
      <w:r>
        <w:rPr>
          <w:highlight w:val="none"/>
        </w:rPr>
        <w:fldChar w:fldCharType="separate"/>
      </w:r>
      <w:r>
        <w:rPr>
          <w:highlight w:val="none"/>
        </w:rPr>
        <w:t>1.车辆保险费绩效目标表</w:t>
      </w:r>
      <w:r>
        <w:rPr>
          <w:highlight w:val="none"/>
        </w:rPr>
        <w:tab/>
      </w:r>
      <w:r>
        <w:rPr>
          <w:highlight w:val="none"/>
        </w:rPr>
        <w:fldChar w:fldCharType="begin"/>
      </w:r>
      <w:r>
        <w:rPr>
          <w:highlight w:val="none"/>
        </w:rPr>
        <w:instrText xml:space="preserve">PAGEREF _Toc_4_4_0000000004 \h</w:instrText>
      </w:r>
      <w:r>
        <w:rPr>
          <w:highlight w:val="none"/>
        </w:rPr>
        <w:fldChar w:fldCharType="separate"/>
      </w:r>
      <w:r>
        <w:rPr>
          <w:highlight w:val="none"/>
        </w:rPr>
        <w:t>16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"_Toc_4_4_0000000005" </w:instrText>
      </w:r>
      <w:r>
        <w:rPr>
          <w:highlight w:val="none"/>
        </w:rPr>
        <w:fldChar w:fldCharType="separate"/>
      </w:r>
      <w:r>
        <w:rPr>
          <w:highlight w:val="none"/>
        </w:rPr>
        <w:t>2.2019-2021年度造林绿化所需资金补助绩效目标表</w:t>
      </w:r>
      <w:r>
        <w:rPr>
          <w:highlight w:val="none"/>
        </w:rPr>
        <w:tab/>
      </w:r>
      <w:r>
        <w:rPr>
          <w:highlight w:val="none"/>
        </w:rPr>
        <w:fldChar w:fldCharType="begin"/>
      </w:r>
      <w:r>
        <w:rPr>
          <w:highlight w:val="none"/>
        </w:rPr>
        <w:instrText xml:space="preserve">PAGEREF _Toc_4_4_0000000005 \h</w:instrText>
      </w:r>
      <w:r>
        <w:rPr>
          <w:highlight w:val="none"/>
        </w:rPr>
        <w:fldChar w:fldCharType="separate"/>
      </w:r>
      <w:r>
        <w:rPr>
          <w:highlight w:val="none"/>
        </w:rPr>
        <w:t>16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"_Toc_4_4_0000000006" </w:instrText>
      </w:r>
      <w:r>
        <w:rPr>
          <w:highlight w:val="none"/>
        </w:rPr>
        <w:fldChar w:fldCharType="separate"/>
      </w:r>
      <w:r>
        <w:rPr>
          <w:highlight w:val="none"/>
        </w:rPr>
        <w:t>3.2019年林业改革发展资金-森林生态效益补偿-管护补助绩效目标表</w:t>
      </w:r>
      <w:r>
        <w:rPr>
          <w:highlight w:val="none"/>
        </w:rPr>
        <w:tab/>
      </w:r>
      <w:r>
        <w:rPr>
          <w:highlight w:val="none"/>
        </w:rPr>
        <w:fldChar w:fldCharType="begin"/>
      </w:r>
      <w:r>
        <w:rPr>
          <w:highlight w:val="none"/>
        </w:rPr>
        <w:instrText xml:space="preserve">PAGEREF _Toc_4_4_0000000006 \h</w:instrText>
      </w:r>
      <w:r>
        <w:rPr>
          <w:highlight w:val="none"/>
        </w:rPr>
        <w:fldChar w:fldCharType="separate"/>
      </w:r>
      <w:r>
        <w:rPr>
          <w:highlight w:val="none"/>
        </w:rPr>
        <w:t>17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"_Toc_4_4_0000000007" </w:instrText>
      </w:r>
      <w:r>
        <w:rPr>
          <w:highlight w:val="none"/>
        </w:rPr>
        <w:fldChar w:fldCharType="separate"/>
      </w:r>
      <w:r>
        <w:rPr>
          <w:highlight w:val="none"/>
        </w:rPr>
        <w:t>4.2020年林业改革发展资金-森林生态效益补助-管护补助绩效目标表</w:t>
      </w:r>
      <w:r>
        <w:rPr>
          <w:highlight w:val="none"/>
        </w:rPr>
        <w:tab/>
      </w:r>
      <w:r>
        <w:rPr>
          <w:highlight w:val="none"/>
        </w:rPr>
        <w:fldChar w:fldCharType="begin"/>
      </w:r>
      <w:r>
        <w:rPr>
          <w:highlight w:val="none"/>
        </w:rPr>
        <w:instrText xml:space="preserve">PAGEREF _Toc_4_4_0000000007 \h</w:instrText>
      </w:r>
      <w:r>
        <w:rPr>
          <w:highlight w:val="none"/>
        </w:rPr>
        <w:fldChar w:fldCharType="separate"/>
      </w:r>
      <w:r>
        <w:rPr>
          <w:highlight w:val="none"/>
        </w:rPr>
        <w:t>18</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"_Toc_4_4_0000000008" </w:instrText>
      </w:r>
      <w:r>
        <w:rPr>
          <w:highlight w:val="none"/>
        </w:rPr>
        <w:fldChar w:fldCharType="separate"/>
      </w:r>
      <w:r>
        <w:rPr>
          <w:highlight w:val="none"/>
        </w:rPr>
        <w:t>5.2020年绿色秦皇岛工程补助资金绩效目标表</w:t>
      </w:r>
      <w:r>
        <w:rPr>
          <w:highlight w:val="none"/>
        </w:rPr>
        <w:tab/>
      </w:r>
      <w:r>
        <w:rPr>
          <w:highlight w:val="none"/>
        </w:rPr>
        <w:fldChar w:fldCharType="begin"/>
      </w:r>
      <w:r>
        <w:rPr>
          <w:highlight w:val="none"/>
        </w:rPr>
        <w:instrText xml:space="preserve">PAGEREF _Toc_4_4_0000000008 \h</w:instrText>
      </w:r>
      <w:r>
        <w:rPr>
          <w:highlight w:val="none"/>
        </w:rPr>
        <w:fldChar w:fldCharType="separate"/>
      </w:r>
      <w:r>
        <w:rPr>
          <w:highlight w:val="none"/>
        </w:rPr>
        <w:t>19</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"_Toc_4_4_0000000009" </w:instrText>
      </w:r>
      <w:r>
        <w:rPr>
          <w:highlight w:val="none"/>
        </w:rPr>
        <w:fldChar w:fldCharType="separate"/>
      </w:r>
      <w:r>
        <w:rPr>
          <w:highlight w:val="none"/>
        </w:rPr>
        <w:t>6.2020年省级林业发展补助资金绩效目标表</w:t>
      </w:r>
      <w:r>
        <w:rPr>
          <w:highlight w:val="none"/>
        </w:rPr>
        <w:tab/>
      </w:r>
      <w:r>
        <w:rPr>
          <w:highlight w:val="none"/>
        </w:rPr>
        <w:fldChar w:fldCharType="begin"/>
      </w:r>
      <w:r>
        <w:rPr>
          <w:highlight w:val="none"/>
        </w:rPr>
        <w:instrText xml:space="preserve">PAGEREF _Toc_4_4_0000000009 \h</w:instrText>
      </w:r>
      <w:r>
        <w:rPr>
          <w:highlight w:val="none"/>
        </w:rPr>
        <w:fldChar w:fldCharType="separate"/>
      </w:r>
      <w:r>
        <w:rPr>
          <w:highlight w:val="none"/>
        </w:rPr>
        <w:t>20</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"_Toc_4_4_0000000010" </w:instrText>
      </w:r>
      <w:r>
        <w:rPr>
          <w:highlight w:val="none"/>
        </w:rPr>
        <w:fldChar w:fldCharType="separate"/>
      </w:r>
      <w:r>
        <w:rPr>
          <w:highlight w:val="none"/>
        </w:rPr>
        <w:t>7.2021年度山海关区沿海防护林工程补助绩效目标表</w:t>
      </w:r>
      <w:r>
        <w:rPr>
          <w:highlight w:val="none"/>
        </w:rPr>
        <w:tab/>
      </w:r>
      <w:r>
        <w:rPr>
          <w:highlight w:val="none"/>
        </w:rPr>
        <w:fldChar w:fldCharType="begin"/>
      </w:r>
      <w:r>
        <w:rPr>
          <w:highlight w:val="none"/>
        </w:rPr>
        <w:instrText xml:space="preserve">PAGEREF _Toc_4_4_0000000010 \h</w:instrText>
      </w:r>
      <w:r>
        <w:rPr>
          <w:highlight w:val="none"/>
        </w:rPr>
        <w:fldChar w:fldCharType="separate"/>
      </w:r>
      <w:r>
        <w:rPr>
          <w:highlight w:val="none"/>
        </w:rPr>
        <w:t>21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"_Toc_4_4_0000000011" </w:instrText>
      </w:r>
      <w:r>
        <w:rPr>
          <w:highlight w:val="none"/>
        </w:rPr>
        <w:fldChar w:fldCharType="separate"/>
      </w:r>
      <w:r>
        <w:rPr>
          <w:highlight w:val="none"/>
        </w:rPr>
        <w:t>8.2021年高建庄100亩地块土地租赁差价绩效目标表</w:t>
      </w:r>
      <w:r>
        <w:rPr>
          <w:highlight w:val="none"/>
        </w:rPr>
        <w:tab/>
      </w:r>
      <w:r>
        <w:rPr>
          <w:highlight w:val="none"/>
        </w:rPr>
        <w:fldChar w:fldCharType="begin"/>
      </w:r>
      <w:r>
        <w:rPr>
          <w:highlight w:val="none"/>
        </w:rPr>
        <w:instrText xml:space="preserve">PAGEREF _Toc_4_4_0000000011 \h</w:instrText>
      </w:r>
      <w:r>
        <w:rPr>
          <w:highlight w:val="none"/>
        </w:rPr>
        <w:fldChar w:fldCharType="separate"/>
      </w:r>
      <w:r>
        <w:rPr>
          <w:highlight w:val="none"/>
        </w:rPr>
        <w:t>22</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"_Toc_4_4_0000000012" </w:instrText>
      </w:r>
      <w:r>
        <w:rPr>
          <w:highlight w:val="none"/>
        </w:rPr>
        <w:fldChar w:fldCharType="separate"/>
      </w:r>
      <w:r>
        <w:rPr>
          <w:highlight w:val="none"/>
        </w:rPr>
        <w:t>9.2021年环城绿化补偿费绩效目标表</w:t>
      </w:r>
      <w:r>
        <w:rPr>
          <w:highlight w:val="none"/>
        </w:rPr>
        <w:tab/>
      </w:r>
      <w:r>
        <w:rPr>
          <w:highlight w:val="none"/>
        </w:rPr>
        <w:fldChar w:fldCharType="begin"/>
      </w:r>
      <w:r>
        <w:rPr>
          <w:highlight w:val="none"/>
        </w:rPr>
        <w:instrText xml:space="preserve">PAGEREF _Toc_4_4_0000000012 \h</w:instrText>
      </w:r>
      <w:r>
        <w:rPr>
          <w:highlight w:val="none"/>
        </w:rPr>
        <w:fldChar w:fldCharType="separate"/>
      </w:r>
      <w:r>
        <w:rPr>
          <w:highlight w:val="none"/>
        </w:rPr>
        <w:t>23</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"_Toc_4_4_0000000013" </w:instrText>
      </w:r>
      <w:r>
        <w:rPr>
          <w:highlight w:val="none"/>
        </w:rPr>
        <w:fldChar w:fldCharType="separate"/>
      </w:r>
      <w:r>
        <w:rPr>
          <w:highlight w:val="none"/>
        </w:rPr>
        <w:t>10.2021年绿色秦皇岛工程补助资金绩效目标表</w:t>
      </w:r>
      <w:r>
        <w:rPr>
          <w:highlight w:val="none"/>
        </w:rPr>
        <w:tab/>
      </w:r>
      <w:r>
        <w:rPr>
          <w:highlight w:val="none"/>
        </w:rPr>
        <w:fldChar w:fldCharType="begin"/>
      </w:r>
      <w:r>
        <w:rPr>
          <w:highlight w:val="none"/>
        </w:rPr>
        <w:instrText xml:space="preserve">PAGEREF _Toc_4_4_0000000013 \h</w:instrText>
      </w:r>
      <w:r>
        <w:rPr>
          <w:highlight w:val="none"/>
        </w:rPr>
        <w:fldChar w:fldCharType="separate"/>
      </w:r>
      <w:r>
        <w:rPr>
          <w:highlight w:val="none"/>
        </w:rPr>
        <w:t>24</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"_Toc_4_4_0000000014" </w:instrText>
      </w:r>
      <w:r>
        <w:rPr>
          <w:highlight w:val="none"/>
        </w:rPr>
        <w:fldChar w:fldCharType="separate"/>
      </w:r>
      <w:r>
        <w:rPr>
          <w:highlight w:val="none"/>
        </w:rPr>
        <w:t>11.2021年生态保护支撑体系专项中央基建投资预算-秦皇岛市森林火灾高风险区综合治理工程建设项目绩效目标表</w:t>
      </w:r>
      <w:r>
        <w:rPr>
          <w:highlight w:val="none"/>
        </w:rPr>
        <w:tab/>
      </w:r>
      <w:r>
        <w:rPr>
          <w:highlight w:val="none"/>
        </w:rPr>
        <w:fldChar w:fldCharType="begin"/>
      </w:r>
      <w:r>
        <w:rPr>
          <w:highlight w:val="none"/>
        </w:rPr>
        <w:instrText xml:space="preserve">PAGEREF _Toc_4_4_0000000014 \h</w:instrText>
      </w:r>
      <w:r>
        <w:rPr>
          <w:highlight w:val="none"/>
        </w:rPr>
        <w:fldChar w:fldCharType="separate"/>
      </w:r>
      <w:r>
        <w:rPr>
          <w:highlight w:val="none"/>
        </w:rPr>
        <w:t>25</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"_Toc_4_4_0000000015" </w:instrText>
      </w:r>
      <w:r>
        <w:rPr>
          <w:highlight w:val="none"/>
        </w:rPr>
        <w:fldChar w:fldCharType="separate"/>
      </w:r>
      <w:r>
        <w:rPr>
          <w:highlight w:val="none"/>
        </w:rPr>
        <w:t>12.2021年中央财政林业改革发展资金-林业有害生物防治补助绩效目标表</w:t>
      </w:r>
      <w:r>
        <w:rPr>
          <w:highlight w:val="none"/>
        </w:rPr>
        <w:tab/>
      </w:r>
      <w:r>
        <w:rPr>
          <w:highlight w:val="none"/>
        </w:rPr>
        <w:fldChar w:fldCharType="begin"/>
      </w:r>
      <w:r>
        <w:rPr>
          <w:highlight w:val="none"/>
        </w:rPr>
        <w:instrText xml:space="preserve">PAGEREF _Toc_4_4_0000000015 \h</w:instrText>
      </w:r>
      <w:r>
        <w:rPr>
          <w:highlight w:val="none"/>
        </w:rPr>
        <w:fldChar w:fldCharType="separate"/>
      </w:r>
      <w:r>
        <w:rPr>
          <w:highlight w:val="none"/>
        </w:rPr>
        <w:t>26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"_Toc_4_4_0000000016" </w:instrText>
      </w:r>
      <w:r>
        <w:rPr>
          <w:highlight w:val="none"/>
        </w:rPr>
        <w:fldChar w:fldCharType="separate"/>
      </w:r>
      <w:r>
        <w:rPr>
          <w:highlight w:val="none"/>
        </w:rPr>
        <w:t>13.耕地开垦费绩效目标表</w:t>
      </w:r>
      <w:r>
        <w:rPr>
          <w:highlight w:val="none"/>
        </w:rPr>
        <w:tab/>
      </w:r>
      <w:r>
        <w:rPr>
          <w:highlight w:val="none"/>
        </w:rPr>
        <w:fldChar w:fldCharType="begin"/>
      </w:r>
      <w:r>
        <w:rPr>
          <w:highlight w:val="none"/>
        </w:rPr>
        <w:instrText xml:space="preserve">PAGEREF _Toc_4_4_0000000016 \h</w:instrText>
      </w:r>
      <w:r>
        <w:rPr>
          <w:highlight w:val="none"/>
        </w:rPr>
        <w:fldChar w:fldCharType="separate"/>
      </w:r>
      <w:r>
        <w:rPr>
          <w:highlight w:val="none"/>
        </w:rPr>
        <w:t>27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"_Toc_4_4_0000000017" </w:instrText>
      </w:r>
      <w:r>
        <w:rPr>
          <w:highlight w:val="none"/>
        </w:rPr>
        <w:fldChar w:fldCharType="separate"/>
      </w:r>
      <w:r>
        <w:rPr>
          <w:highlight w:val="none"/>
        </w:rPr>
        <w:t>14.耕地占用税绩效目标表</w:t>
      </w:r>
      <w:r>
        <w:rPr>
          <w:highlight w:val="none"/>
        </w:rPr>
        <w:tab/>
      </w:r>
      <w:r>
        <w:rPr>
          <w:highlight w:val="none"/>
        </w:rPr>
        <w:fldChar w:fldCharType="begin"/>
      </w:r>
      <w:r>
        <w:rPr>
          <w:highlight w:val="none"/>
        </w:rPr>
        <w:instrText xml:space="preserve">PAGEREF _Toc_4_4_0000000017 \h</w:instrText>
      </w:r>
      <w:r>
        <w:rPr>
          <w:highlight w:val="none"/>
        </w:rPr>
        <w:fldChar w:fldCharType="separate"/>
      </w:r>
      <w:r>
        <w:rPr>
          <w:highlight w:val="none"/>
        </w:rPr>
        <w:t>28</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"_Toc_4_4_0000000018" </w:instrText>
      </w:r>
      <w:r>
        <w:rPr>
          <w:highlight w:val="none"/>
        </w:rPr>
        <w:fldChar w:fldCharType="separate"/>
      </w:r>
      <w:r>
        <w:rPr>
          <w:highlight w:val="none"/>
        </w:rPr>
        <w:t>15.规划编制费绩效目标表</w:t>
      </w:r>
      <w:r>
        <w:rPr>
          <w:highlight w:val="none"/>
        </w:rPr>
        <w:tab/>
      </w:r>
      <w:r>
        <w:rPr>
          <w:highlight w:val="none"/>
        </w:rPr>
        <w:fldChar w:fldCharType="begin"/>
      </w:r>
      <w:r>
        <w:rPr>
          <w:highlight w:val="none"/>
        </w:rPr>
        <w:instrText xml:space="preserve">PAGEREF _Toc_4_4_0000000018 \h</w:instrText>
      </w:r>
      <w:r>
        <w:rPr>
          <w:highlight w:val="none"/>
        </w:rPr>
        <w:fldChar w:fldCharType="separate"/>
      </w:r>
      <w:r>
        <w:rPr>
          <w:highlight w:val="none"/>
        </w:rPr>
        <w:t>29</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"_Toc_4_4_0000000019" </w:instrText>
      </w:r>
      <w:r>
        <w:rPr>
          <w:highlight w:val="none"/>
        </w:rPr>
        <w:fldChar w:fldCharType="separate"/>
      </w:r>
      <w:r>
        <w:rPr>
          <w:highlight w:val="none"/>
        </w:rPr>
        <w:t>16.护林防火经费绩效目标表</w:t>
      </w:r>
      <w:r>
        <w:rPr>
          <w:highlight w:val="none"/>
        </w:rPr>
        <w:tab/>
      </w:r>
      <w:r>
        <w:rPr>
          <w:highlight w:val="none"/>
        </w:rPr>
        <w:fldChar w:fldCharType="begin"/>
      </w:r>
      <w:r>
        <w:rPr>
          <w:highlight w:val="none"/>
        </w:rPr>
        <w:instrText xml:space="preserve">PAGEREF _Toc_4_4_0000000019 \h</w:instrText>
      </w:r>
      <w:r>
        <w:rPr>
          <w:highlight w:val="none"/>
        </w:rPr>
        <w:fldChar w:fldCharType="separate"/>
      </w:r>
      <w:r>
        <w:rPr>
          <w:highlight w:val="none"/>
        </w:rPr>
        <w:t>30</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"_Toc_4_4_0000000020" </w:instrText>
      </w:r>
      <w:r>
        <w:rPr>
          <w:highlight w:val="none"/>
        </w:rPr>
        <w:fldChar w:fldCharType="separate"/>
      </w:r>
      <w:r>
        <w:rPr>
          <w:highlight w:val="none"/>
        </w:rPr>
        <w:t>17.佳龙拟建动物园片区相关费用绩效目标表</w:t>
      </w:r>
      <w:r>
        <w:rPr>
          <w:highlight w:val="none"/>
        </w:rPr>
        <w:tab/>
      </w:r>
      <w:r>
        <w:rPr>
          <w:highlight w:val="none"/>
        </w:rPr>
        <w:fldChar w:fldCharType="begin"/>
      </w:r>
      <w:r>
        <w:rPr>
          <w:highlight w:val="none"/>
        </w:rPr>
        <w:instrText xml:space="preserve">PAGEREF _Toc_4_4_0000000020 \h</w:instrText>
      </w:r>
      <w:r>
        <w:rPr>
          <w:highlight w:val="none"/>
        </w:rPr>
        <w:fldChar w:fldCharType="separate"/>
      </w:r>
      <w:r>
        <w:rPr>
          <w:highlight w:val="none"/>
        </w:rPr>
        <w:t>31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"_Toc_4_4_0000000021" </w:instrText>
      </w:r>
      <w:r>
        <w:rPr>
          <w:highlight w:val="none"/>
        </w:rPr>
        <w:fldChar w:fldCharType="separate"/>
      </w:r>
      <w:r>
        <w:rPr>
          <w:highlight w:val="none"/>
        </w:rPr>
        <w:t>18.林业草原生态保护恢复资金绩效目标表</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32</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"_Toc_4_4_0000000022" </w:instrText>
      </w:r>
      <w:r>
        <w:rPr>
          <w:highlight w:val="none"/>
        </w:rPr>
        <w:fldChar w:fldCharType="separate"/>
      </w:r>
      <w:r>
        <w:rPr>
          <w:highlight w:val="none"/>
        </w:rPr>
        <w:t>19.人事代理专项补助绩效目标表</w:t>
      </w:r>
      <w:r>
        <w:rPr>
          <w:highlight w:val="none"/>
        </w:rPr>
        <w:tab/>
      </w:r>
      <w:r>
        <w:rPr>
          <w:highlight w:val="none"/>
        </w:rPr>
        <w:fldChar w:fldCharType="begin"/>
      </w:r>
      <w:r>
        <w:rPr>
          <w:highlight w:val="none"/>
        </w:rPr>
        <w:instrText xml:space="preserve">PAGEREF _Toc_4_4_0000000022 \h</w:instrText>
      </w:r>
      <w:r>
        <w:rPr>
          <w:highlight w:val="none"/>
        </w:rPr>
        <w:fldChar w:fldCharType="separate"/>
      </w:r>
      <w:r>
        <w:rPr>
          <w:highlight w:val="none"/>
        </w:rPr>
        <w:t>33</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"_Toc_4_4_0000000023" </w:instrText>
      </w:r>
      <w:r>
        <w:rPr>
          <w:highlight w:val="none"/>
        </w:rPr>
        <w:fldChar w:fldCharType="separate"/>
      </w:r>
      <w:r>
        <w:rPr>
          <w:highlight w:val="none"/>
        </w:rPr>
        <w:t>20.山海关存量农村宅基地和集体建设用地及房屋登记资料汇交入库绩效目标表</w:t>
      </w:r>
      <w:r>
        <w:rPr>
          <w:highlight w:val="none"/>
        </w:rPr>
        <w:tab/>
      </w:r>
      <w:r>
        <w:rPr>
          <w:highlight w:val="none"/>
        </w:rPr>
        <w:fldChar w:fldCharType="begin"/>
      </w:r>
      <w:r>
        <w:rPr>
          <w:highlight w:val="none"/>
        </w:rPr>
        <w:instrText xml:space="preserve">PAGEREF _Toc_4_4_0000000023 \h</w:instrText>
      </w:r>
      <w:r>
        <w:rPr>
          <w:highlight w:val="none"/>
        </w:rPr>
        <w:fldChar w:fldCharType="separate"/>
      </w:r>
      <w:r>
        <w:rPr>
          <w:highlight w:val="none"/>
        </w:rPr>
        <w:t>34</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"_Toc_4_4_0000000024" </w:instrText>
      </w:r>
      <w:r>
        <w:rPr>
          <w:highlight w:val="none"/>
        </w:rPr>
        <w:fldChar w:fldCharType="separate"/>
      </w:r>
      <w:r>
        <w:rPr>
          <w:highlight w:val="none"/>
        </w:rPr>
        <w:t>21.山海关区2020年度、2021年度国土变更调查绩效目标表</w:t>
      </w:r>
      <w:r>
        <w:rPr>
          <w:highlight w:val="none"/>
        </w:rPr>
        <w:tab/>
      </w:r>
      <w:r>
        <w:rPr>
          <w:highlight w:val="none"/>
        </w:rPr>
        <w:fldChar w:fldCharType="begin"/>
      </w:r>
      <w:r>
        <w:rPr>
          <w:highlight w:val="none"/>
        </w:rPr>
        <w:instrText xml:space="preserve">PAGEREF _Toc_4_4_0000000024 \h</w:instrText>
      </w:r>
      <w:r>
        <w:rPr>
          <w:highlight w:val="none"/>
        </w:rPr>
        <w:fldChar w:fldCharType="separate"/>
      </w:r>
      <w:r>
        <w:rPr>
          <w:highlight w:val="none"/>
        </w:rPr>
        <w:t>36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"_Toc_4_4_0000000025" </w:instrText>
      </w:r>
      <w:r>
        <w:rPr>
          <w:highlight w:val="none"/>
        </w:rPr>
        <w:fldChar w:fldCharType="separate"/>
      </w:r>
      <w:r>
        <w:rPr>
          <w:highlight w:val="none"/>
        </w:rPr>
        <w:t>22.山海关土地征收成本开发方案绩效目标表</w:t>
      </w:r>
      <w:r>
        <w:rPr>
          <w:highlight w:val="none"/>
        </w:rPr>
        <w:tab/>
      </w:r>
      <w:r>
        <w:rPr>
          <w:highlight w:val="none"/>
        </w:rPr>
        <w:fldChar w:fldCharType="begin"/>
      </w:r>
      <w:r>
        <w:rPr>
          <w:highlight w:val="none"/>
        </w:rPr>
        <w:instrText xml:space="preserve">PAGEREF _Toc_4_4_0000000025 \h</w:instrText>
      </w:r>
      <w:r>
        <w:rPr>
          <w:highlight w:val="none"/>
        </w:rPr>
        <w:fldChar w:fldCharType="separate"/>
      </w:r>
      <w:r>
        <w:rPr>
          <w:highlight w:val="none"/>
        </w:rPr>
        <w:t>37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"_Toc_4_4_0000000026" </w:instrText>
      </w:r>
      <w:r>
        <w:rPr>
          <w:highlight w:val="none"/>
        </w:rPr>
        <w:fldChar w:fldCharType="separate"/>
      </w:r>
      <w:r>
        <w:rPr>
          <w:highlight w:val="none"/>
        </w:rPr>
        <w:t>23.失地农民养老基金绩效目标表</w:t>
      </w:r>
      <w:r>
        <w:rPr>
          <w:highlight w:val="none"/>
        </w:rPr>
        <w:tab/>
      </w:r>
      <w:r>
        <w:rPr>
          <w:highlight w:val="none"/>
        </w:rPr>
        <w:fldChar w:fldCharType="begin"/>
      </w:r>
      <w:r>
        <w:rPr>
          <w:highlight w:val="none"/>
        </w:rPr>
        <w:instrText xml:space="preserve">PAGEREF _Toc_4_4_0000000026 \h</w:instrText>
      </w:r>
      <w:r>
        <w:rPr>
          <w:highlight w:val="none"/>
        </w:rPr>
        <w:fldChar w:fldCharType="separate"/>
      </w:r>
      <w:r>
        <w:rPr>
          <w:highlight w:val="none"/>
        </w:rPr>
        <w:t>38</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"_Toc_4_4_0000000027" </w:instrText>
      </w:r>
      <w:r>
        <w:rPr>
          <w:highlight w:val="none"/>
        </w:rPr>
        <w:fldChar w:fldCharType="separate"/>
      </w:r>
      <w:r>
        <w:rPr>
          <w:highlight w:val="none"/>
        </w:rPr>
        <w:t>24.提前下达2020年中央财政林业改革发展资金-森林抚育绩效目标表</w:t>
      </w:r>
      <w:r>
        <w:rPr>
          <w:highlight w:val="none"/>
        </w:rPr>
        <w:tab/>
      </w:r>
      <w:r>
        <w:rPr>
          <w:highlight w:val="none"/>
        </w:rPr>
        <w:fldChar w:fldCharType="begin"/>
      </w:r>
      <w:r>
        <w:rPr>
          <w:highlight w:val="none"/>
        </w:rPr>
        <w:instrText xml:space="preserve">PAGEREF _Toc_4_4_0000000027 \h</w:instrText>
      </w:r>
      <w:r>
        <w:rPr>
          <w:highlight w:val="none"/>
        </w:rPr>
        <w:fldChar w:fldCharType="separate"/>
      </w:r>
      <w:r>
        <w:rPr>
          <w:highlight w:val="none"/>
        </w:rPr>
        <w:t>39</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"_Toc_4_4_0000000028" </w:instrText>
      </w:r>
      <w:r>
        <w:rPr>
          <w:highlight w:val="none"/>
        </w:rPr>
        <w:fldChar w:fldCharType="separate"/>
      </w:r>
      <w:r>
        <w:rPr>
          <w:highlight w:val="none"/>
        </w:rPr>
        <w:t>25.提前下达2021年省级林业改革发展补助资金-森林植被恢复费绩效目标表</w:t>
      </w:r>
      <w:r>
        <w:rPr>
          <w:highlight w:val="none"/>
        </w:rPr>
        <w:tab/>
      </w:r>
      <w:r>
        <w:rPr>
          <w:highlight w:val="none"/>
        </w:rPr>
        <w:fldChar w:fldCharType="begin"/>
      </w:r>
      <w:r>
        <w:rPr>
          <w:highlight w:val="none"/>
        </w:rPr>
        <w:instrText xml:space="preserve">PAGEREF _Toc_4_4_0000000028 \h</w:instrText>
      </w:r>
      <w:r>
        <w:rPr>
          <w:highlight w:val="none"/>
        </w:rPr>
        <w:fldChar w:fldCharType="separate"/>
      </w:r>
      <w:r>
        <w:rPr>
          <w:highlight w:val="none"/>
        </w:rPr>
        <w:t>40</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"_Toc_4_4_0000000029" </w:instrText>
      </w:r>
      <w:r>
        <w:rPr>
          <w:highlight w:val="none"/>
        </w:rPr>
        <w:fldChar w:fldCharType="separate"/>
      </w:r>
      <w:r>
        <w:rPr>
          <w:highlight w:val="none"/>
        </w:rPr>
        <w:t>26.提前下达2021年中央财政林业草原生态保护恢复资金预算-完善退耕还林政策补助绩效目标表</w:t>
      </w:r>
      <w:r>
        <w:rPr>
          <w:highlight w:val="none"/>
        </w:rPr>
        <w:tab/>
      </w:r>
      <w:r>
        <w:rPr>
          <w:highlight w:val="none"/>
        </w:rPr>
        <w:fldChar w:fldCharType="begin"/>
      </w:r>
      <w:r>
        <w:rPr>
          <w:highlight w:val="none"/>
        </w:rPr>
        <w:instrText xml:space="preserve">PAGEREF _Toc_4_4_0000000029 \h</w:instrText>
      </w:r>
      <w:r>
        <w:rPr>
          <w:highlight w:val="none"/>
        </w:rPr>
        <w:fldChar w:fldCharType="separate"/>
      </w:r>
      <w:r>
        <w:rPr>
          <w:highlight w:val="none"/>
        </w:rPr>
        <w:t>41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"_Toc_4_4_0000000030" </w:instrText>
      </w:r>
      <w:r>
        <w:rPr>
          <w:highlight w:val="none"/>
        </w:rPr>
        <w:fldChar w:fldCharType="separate"/>
      </w:r>
      <w:r>
        <w:rPr>
          <w:highlight w:val="none"/>
        </w:rPr>
        <w:t>27.提前下达2021年中央财政林业改革发展资金-森林抚育绩效目标表</w:t>
      </w:r>
      <w:r>
        <w:rPr>
          <w:highlight w:val="none"/>
        </w:rPr>
        <w:tab/>
      </w:r>
      <w:r>
        <w:rPr>
          <w:highlight w:val="none"/>
        </w:rPr>
        <w:fldChar w:fldCharType="begin"/>
      </w:r>
      <w:r>
        <w:rPr>
          <w:highlight w:val="none"/>
        </w:rPr>
        <w:instrText xml:space="preserve">PAGEREF _Toc_4_4_0000000030 \h</w:instrText>
      </w:r>
      <w:r>
        <w:rPr>
          <w:highlight w:val="none"/>
        </w:rPr>
        <w:fldChar w:fldCharType="separate"/>
      </w:r>
      <w:r>
        <w:rPr>
          <w:highlight w:val="none"/>
        </w:rPr>
        <w:t>42</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"_Toc_4_4_0000000031" </w:instrText>
      </w:r>
      <w:r>
        <w:rPr>
          <w:highlight w:val="none"/>
        </w:rPr>
        <w:fldChar w:fldCharType="separate"/>
      </w:r>
      <w:r>
        <w:rPr>
          <w:highlight w:val="none"/>
        </w:rPr>
        <w:t>28.提前下达2021年中央财政林业改革发展资金-森林生态效益补偿补助-公共管护补助绩效目标表</w:t>
      </w:r>
      <w:r>
        <w:rPr>
          <w:highlight w:val="none"/>
        </w:rPr>
        <w:tab/>
      </w:r>
      <w:r>
        <w:rPr>
          <w:highlight w:val="none"/>
        </w:rPr>
        <w:fldChar w:fldCharType="begin"/>
      </w:r>
      <w:r>
        <w:rPr>
          <w:highlight w:val="none"/>
        </w:rPr>
        <w:instrText xml:space="preserve">PAGEREF _Toc_4_4_0000000031 \h</w:instrText>
      </w:r>
      <w:r>
        <w:rPr>
          <w:highlight w:val="none"/>
        </w:rPr>
        <w:fldChar w:fldCharType="separate"/>
      </w:r>
      <w:r>
        <w:rPr>
          <w:highlight w:val="none"/>
        </w:rPr>
        <w:t>43</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"_Toc_4_4_0000000032" </w:instrText>
      </w:r>
      <w:r>
        <w:rPr>
          <w:highlight w:val="none"/>
        </w:rPr>
        <w:fldChar w:fldCharType="separate"/>
      </w:r>
      <w:r>
        <w:rPr>
          <w:highlight w:val="none"/>
        </w:rPr>
        <w:t>29.提前下达2021年中央财政林业改革发展资金-森林生态效益补偿补助-管护补助绩效目标表</w:t>
      </w:r>
      <w:r>
        <w:rPr>
          <w:highlight w:val="none"/>
        </w:rPr>
        <w:tab/>
      </w:r>
      <w:r>
        <w:rPr>
          <w:highlight w:val="none"/>
        </w:rPr>
        <w:fldChar w:fldCharType="begin"/>
      </w:r>
      <w:r>
        <w:rPr>
          <w:highlight w:val="none"/>
        </w:rPr>
        <w:instrText xml:space="preserve">PAGEREF _Toc_4_4_0000000032 \h</w:instrText>
      </w:r>
      <w:r>
        <w:rPr>
          <w:highlight w:val="none"/>
        </w:rPr>
        <w:fldChar w:fldCharType="separate"/>
      </w:r>
      <w:r>
        <w:rPr>
          <w:highlight w:val="none"/>
        </w:rPr>
        <w:t>44</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"_Toc_4_4_0000000033" </w:instrText>
      </w:r>
      <w:r>
        <w:rPr>
          <w:highlight w:val="none"/>
        </w:rPr>
        <w:fldChar w:fldCharType="separate"/>
      </w:r>
      <w:r>
        <w:rPr>
          <w:highlight w:val="none"/>
        </w:rPr>
        <w:t>30.提前下达2022年中央财政林业改革发展资金-林业有害生物防治绩效目标表</w:t>
      </w:r>
      <w:r>
        <w:rPr>
          <w:highlight w:val="none"/>
        </w:rPr>
        <w:tab/>
      </w:r>
      <w:r>
        <w:rPr>
          <w:highlight w:val="none"/>
        </w:rPr>
        <w:fldChar w:fldCharType="begin"/>
      </w:r>
      <w:r>
        <w:rPr>
          <w:highlight w:val="none"/>
        </w:rPr>
        <w:instrText xml:space="preserve">PAGEREF _Toc_4_4_0000000033 \h</w:instrText>
      </w:r>
      <w:r>
        <w:rPr>
          <w:highlight w:val="none"/>
        </w:rPr>
        <w:fldChar w:fldCharType="separate"/>
      </w:r>
      <w:r>
        <w:rPr>
          <w:highlight w:val="none"/>
        </w:rPr>
        <w:t>45</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"_Toc_4_4_0000000034" </w:instrText>
      </w:r>
      <w:r>
        <w:rPr>
          <w:highlight w:val="none"/>
        </w:rPr>
        <w:fldChar w:fldCharType="separate"/>
      </w:r>
      <w:r>
        <w:rPr>
          <w:highlight w:val="none"/>
        </w:rPr>
        <w:t>31.提前下达2022年中央财政林业改革发展资金-森林抚育（上一轮退耕还生态林）绩效目标表</w:t>
      </w:r>
      <w:r>
        <w:rPr>
          <w:highlight w:val="none"/>
        </w:rPr>
        <w:tab/>
      </w:r>
      <w:r>
        <w:rPr>
          <w:highlight w:val="none"/>
        </w:rPr>
        <w:fldChar w:fldCharType="begin"/>
      </w:r>
      <w:r>
        <w:rPr>
          <w:highlight w:val="none"/>
        </w:rPr>
        <w:instrText xml:space="preserve">PAGEREF _Toc_4_4_0000000034 \h</w:instrText>
      </w:r>
      <w:r>
        <w:rPr>
          <w:highlight w:val="none"/>
        </w:rPr>
        <w:fldChar w:fldCharType="separate"/>
      </w:r>
      <w:r>
        <w:rPr>
          <w:highlight w:val="none"/>
        </w:rPr>
        <w:t>46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"_Toc_4_4_0000000035" </w:instrText>
      </w:r>
      <w:r>
        <w:rPr>
          <w:highlight w:val="none"/>
        </w:rPr>
        <w:fldChar w:fldCharType="separate"/>
      </w:r>
      <w:r>
        <w:rPr>
          <w:highlight w:val="none"/>
        </w:rPr>
        <w:t>32.提前下达2022年中央财政林业改革发展资金-森林生态效益补偿补助-公共管护补助绩效目标表</w:t>
      </w:r>
      <w:r>
        <w:rPr>
          <w:highlight w:val="none"/>
        </w:rPr>
        <w:tab/>
      </w:r>
      <w:r>
        <w:rPr>
          <w:highlight w:val="none"/>
        </w:rPr>
        <w:fldChar w:fldCharType="begin"/>
      </w:r>
      <w:r>
        <w:rPr>
          <w:highlight w:val="none"/>
        </w:rPr>
        <w:instrText xml:space="preserve">PAGEREF _Toc_4_4_0000000035 \h</w:instrText>
      </w:r>
      <w:r>
        <w:rPr>
          <w:highlight w:val="none"/>
        </w:rPr>
        <w:fldChar w:fldCharType="separate"/>
      </w:r>
      <w:r>
        <w:rPr>
          <w:highlight w:val="none"/>
        </w:rPr>
        <w:t>47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"_Toc_4_4_0000000036" </w:instrText>
      </w:r>
      <w:r>
        <w:rPr>
          <w:highlight w:val="none"/>
        </w:rPr>
        <w:fldChar w:fldCharType="separate"/>
      </w:r>
      <w:r>
        <w:rPr>
          <w:highlight w:val="none"/>
        </w:rPr>
        <w:t>33.提前下达2022年中央财政林业改革发展资金-森林生态效益补偿补助-管护补助绩效目标表</w:t>
      </w:r>
      <w:r>
        <w:rPr>
          <w:highlight w:val="none"/>
        </w:rPr>
        <w:tab/>
      </w:r>
      <w:r>
        <w:rPr>
          <w:highlight w:val="none"/>
        </w:rPr>
        <w:fldChar w:fldCharType="begin"/>
      </w:r>
      <w:r>
        <w:rPr>
          <w:highlight w:val="none"/>
        </w:rPr>
        <w:instrText xml:space="preserve">PAGEREF _Toc_4_4_0000000036 \h</w:instrText>
      </w:r>
      <w:r>
        <w:rPr>
          <w:highlight w:val="none"/>
        </w:rPr>
        <w:fldChar w:fldCharType="separate"/>
      </w:r>
      <w:r>
        <w:rPr>
          <w:highlight w:val="none"/>
        </w:rPr>
        <w:t>48</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"_Toc_4_4_0000000037" </w:instrText>
      </w:r>
      <w:r>
        <w:rPr>
          <w:highlight w:val="none"/>
        </w:rPr>
        <w:fldChar w:fldCharType="separate"/>
      </w:r>
      <w:r>
        <w:rPr>
          <w:highlight w:val="none"/>
        </w:rPr>
        <w:t>34.土地出让金业务费绩效目标表</w:t>
      </w:r>
      <w:r>
        <w:rPr>
          <w:highlight w:val="none"/>
        </w:rPr>
        <w:tab/>
      </w:r>
      <w:r>
        <w:rPr>
          <w:highlight w:val="none"/>
        </w:rPr>
        <w:fldChar w:fldCharType="begin"/>
      </w:r>
      <w:r>
        <w:rPr>
          <w:highlight w:val="none"/>
        </w:rPr>
        <w:instrText xml:space="preserve">PAGEREF _Toc_4_4_0000000037 \h</w:instrText>
      </w:r>
      <w:r>
        <w:rPr>
          <w:highlight w:val="none"/>
        </w:rPr>
        <w:fldChar w:fldCharType="separate"/>
      </w:r>
      <w:r>
        <w:rPr>
          <w:highlight w:val="none"/>
        </w:rPr>
        <w:t>49</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"_Toc_4_4_0000000038" </w:instrText>
      </w:r>
      <w:r>
        <w:rPr>
          <w:highlight w:val="none"/>
        </w:rPr>
        <w:fldChar w:fldCharType="separate"/>
      </w:r>
      <w:r>
        <w:rPr>
          <w:highlight w:val="none"/>
        </w:rPr>
        <w:t>35.永久性防护林管护费绩效目标表</w:t>
      </w:r>
      <w:r>
        <w:rPr>
          <w:highlight w:val="none"/>
        </w:rPr>
        <w:tab/>
      </w:r>
      <w:r>
        <w:rPr>
          <w:highlight w:val="none"/>
        </w:rPr>
        <w:fldChar w:fldCharType="begin"/>
      </w:r>
      <w:r>
        <w:rPr>
          <w:highlight w:val="none"/>
        </w:rPr>
        <w:instrText xml:space="preserve">PAGEREF _Toc_4_4_0000000038 \h</w:instrText>
      </w:r>
      <w:r>
        <w:rPr>
          <w:highlight w:val="none"/>
        </w:rPr>
        <w:fldChar w:fldCharType="separate"/>
      </w:r>
      <w:r>
        <w:rPr>
          <w:highlight w:val="none"/>
        </w:rPr>
        <w:t>51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"_Toc_4_4_0000000039" </w:instrText>
      </w:r>
      <w:r>
        <w:rPr>
          <w:highlight w:val="none"/>
        </w:rPr>
        <w:fldChar w:fldCharType="separate"/>
      </w:r>
      <w:r>
        <w:rPr>
          <w:highlight w:val="none"/>
        </w:rPr>
        <w:t>36.征地拆迁补偿绩效目标表</w:t>
      </w:r>
      <w:r>
        <w:rPr>
          <w:highlight w:val="none"/>
        </w:rPr>
        <w:tab/>
      </w:r>
      <w:r>
        <w:rPr>
          <w:highlight w:val="none"/>
        </w:rPr>
        <w:fldChar w:fldCharType="begin"/>
      </w:r>
      <w:r>
        <w:rPr>
          <w:highlight w:val="none"/>
        </w:rPr>
        <w:instrText xml:space="preserve">PAGEREF _Toc_4_4_0000000039 \h</w:instrText>
      </w:r>
      <w:r>
        <w:rPr>
          <w:highlight w:val="none"/>
        </w:rPr>
        <w:fldChar w:fldCharType="separate"/>
      </w:r>
      <w:r>
        <w:rPr>
          <w:highlight w:val="none"/>
        </w:rPr>
        <w:t>52</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"_Toc_4_4_0000000040" </w:instrText>
      </w:r>
      <w:r>
        <w:rPr>
          <w:highlight w:val="none"/>
        </w:rPr>
        <w:fldChar w:fldCharType="separate"/>
      </w:r>
      <w:r>
        <w:rPr>
          <w:highlight w:val="none"/>
        </w:rPr>
        <w:t>37.征地拆迁补偿 绩效目标表</w:t>
      </w:r>
      <w:r>
        <w:rPr>
          <w:highlight w:val="none"/>
        </w:rPr>
        <w:tab/>
      </w:r>
      <w:r>
        <w:rPr>
          <w:highlight w:val="none"/>
        </w:rPr>
        <w:fldChar w:fldCharType="begin"/>
      </w:r>
      <w:r>
        <w:rPr>
          <w:highlight w:val="none"/>
        </w:rPr>
        <w:instrText xml:space="preserve">PAGEREF _Toc_4_4_0000000040 \h</w:instrText>
      </w:r>
      <w:r>
        <w:rPr>
          <w:highlight w:val="none"/>
        </w:rPr>
        <w:fldChar w:fldCharType="separate"/>
      </w:r>
      <w:r>
        <w:rPr>
          <w:highlight w:val="none"/>
        </w:rPr>
        <w:t>53</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"_Toc_4_4_0000000041" </w:instrText>
      </w:r>
      <w:r>
        <w:rPr>
          <w:highlight w:val="none"/>
        </w:rPr>
        <w:fldChar w:fldCharType="separate"/>
      </w:r>
      <w:r>
        <w:rPr>
          <w:highlight w:val="none"/>
        </w:rPr>
        <w:t>38.执法业务费绩效目标表</w:t>
      </w:r>
      <w:r>
        <w:rPr>
          <w:highlight w:val="none"/>
        </w:rPr>
        <w:tab/>
      </w:r>
      <w:r>
        <w:rPr>
          <w:highlight w:val="none"/>
        </w:rPr>
        <w:fldChar w:fldCharType="begin"/>
      </w:r>
      <w:r>
        <w:rPr>
          <w:highlight w:val="none"/>
        </w:rPr>
        <w:instrText xml:space="preserve">PAGEREF _Toc_4_4_0000000041 \h</w:instrText>
      </w:r>
      <w:r>
        <w:rPr>
          <w:highlight w:val="none"/>
        </w:rPr>
        <w:fldChar w:fldCharType="separate"/>
      </w:r>
      <w:r>
        <w:rPr>
          <w:highlight w:val="none"/>
        </w:rPr>
        <w:t>54</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"_Toc_4_4_0000000042" </w:instrText>
      </w:r>
      <w:r>
        <w:rPr>
          <w:highlight w:val="none"/>
        </w:rPr>
        <w:fldChar w:fldCharType="separate"/>
      </w:r>
      <w:r>
        <w:rPr>
          <w:highlight w:val="none"/>
        </w:rPr>
        <w:t>39.自然资源和规划局管理经费绩效目标表</w:t>
      </w:r>
      <w:r>
        <w:rPr>
          <w:highlight w:val="none"/>
        </w:rPr>
        <w:tab/>
      </w:r>
      <w:r>
        <w:rPr>
          <w:highlight w:val="none"/>
        </w:rPr>
        <w:fldChar w:fldCharType="begin"/>
      </w:r>
      <w:r>
        <w:rPr>
          <w:highlight w:val="none"/>
        </w:rPr>
        <w:instrText xml:space="preserve">PAGEREF _Toc_4_4_0000000042 \h</w:instrText>
      </w:r>
      <w:r>
        <w:rPr>
          <w:highlight w:val="none"/>
        </w:rPr>
        <w:fldChar w:fldCharType="separate"/>
      </w:r>
      <w:r>
        <w:rPr>
          <w:highlight w:val="none"/>
        </w:rPr>
        <w:t>55</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"_Toc_4_4_0000000043" </w:instrText>
      </w:r>
      <w:r>
        <w:rPr>
          <w:highlight w:val="none"/>
        </w:rPr>
        <w:fldChar w:fldCharType="separate"/>
      </w:r>
      <w:r>
        <w:rPr>
          <w:highlight w:val="none"/>
        </w:rPr>
        <w:t>40.护林防火“五清”经费绩效目标表</w:t>
      </w:r>
      <w:r>
        <w:rPr>
          <w:highlight w:val="none"/>
        </w:rPr>
        <w:tab/>
      </w:r>
      <w:r>
        <w:rPr>
          <w:highlight w:val="none"/>
        </w:rPr>
        <w:fldChar w:fldCharType="begin"/>
      </w:r>
      <w:r>
        <w:rPr>
          <w:highlight w:val="none"/>
        </w:rPr>
        <w:instrText xml:space="preserve">PAGEREF _Toc_4_4_0000000043 \h</w:instrText>
      </w:r>
      <w:r>
        <w:rPr>
          <w:highlight w:val="none"/>
        </w:rPr>
        <w:fldChar w:fldCharType="separate"/>
      </w:r>
      <w:r>
        <w:rPr>
          <w:highlight w:val="none"/>
        </w:rPr>
        <w:t>57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"_Toc_4_4_0000000044" </w:instrText>
      </w:r>
      <w:r>
        <w:rPr>
          <w:highlight w:val="none"/>
        </w:rPr>
        <w:fldChar w:fldCharType="separate"/>
      </w:r>
      <w:r>
        <w:rPr>
          <w:highlight w:val="none"/>
        </w:rPr>
        <w:t>41.护林员专项经费绩效目标表</w:t>
      </w:r>
      <w:r>
        <w:rPr>
          <w:highlight w:val="none"/>
        </w:rPr>
        <w:tab/>
      </w:r>
      <w:r>
        <w:rPr>
          <w:highlight w:val="none"/>
        </w:rPr>
        <w:fldChar w:fldCharType="begin"/>
      </w:r>
      <w:r>
        <w:rPr>
          <w:highlight w:val="none"/>
        </w:rPr>
        <w:instrText xml:space="preserve">PAGEREF _Toc_4_4_0000000044 \h</w:instrText>
      </w:r>
      <w:r>
        <w:rPr>
          <w:highlight w:val="none"/>
        </w:rPr>
        <w:fldChar w:fldCharType="separate"/>
      </w:r>
      <w:r>
        <w:rPr>
          <w:highlight w:val="none"/>
        </w:rPr>
        <w:t>58</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"_Toc_4_4_0000000045" </w:instrText>
      </w:r>
      <w:r>
        <w:rPr>
          <w:highlight w:val="none"/>
        </w:rPr>
        <w:fldChar w:fldCharType="separate"/>
      </w:r>
      <w:r>
        <w:rPr>
          <w:highlight w:val="none"/>
        </w:rPr>
        <w:t>42.林场差额补助绩效目标表</w:t>
      </w:r>
      <w:r>
        <w:rPr>
          <w:highlight w:val="none"/>
        </w:rPr>
        <w:tab/>
      </w:r>
      <w:r>
        <w:rPr>
          <w:highlight w:val="none"/>
        </w:rPr>
        <w:fldChar w:fldCharType="begin"/>
      </w:r>
      <w:r>
        <w:rPr>
          <w:highlight w:val="none"/>
        </w:rPr>
        <w:instrText xml:space="preserve">PAGEREF _Toc_4_4_0000000045 \h</w:instrText>
      </w:r>
      <w:r>
        <w:rPr>
          <w:highlight w:val="none"/>
        </w:rPr>
        <w:fldChar w:fldCharType="separate"/>
      </w:r>
      <w:r>
        <w:rPr>
          <w:highlight w:val="none"/>
        </w:rPr>
        <w:t>59</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"_Toc_4_4_0000000046" </w:instrText>
      </w:r>
      <w:r>
        <w:rPr>
          <w:highlight w:val="none"/>
        </w:rPr>
        <w:fldChar w:fldCharType="separate"/>
      </w:r>
      <w:r>
        <w:rPr>
          <w:highlight w:val="none"/>
        </w:rPr>
        <w:t>43.林场差额补助经费绩效目标表</w:t>
      </w:r>
      <w:r>
        <w:rPr>
          <w:highlight w:val="none"/>
        </w:rPr>
        <w:tab/>
      </w:r>
      <w:r>
        <w:rPr>
          <w:highlight w:val="none"/>
        </w:rPr>
        <w:fldChar w:fldCharType="begin"/>
      </w:r>
      <w:r>
        <w:rPr>
          <w:highlight w:val="none"/>
        </w:rPr>
        <w:instrText xml:space="preserve">PAGEREF _Toc_4_4_0000000046 \h</w:instrText>
      </w:r>
      <w:r>
        <w:rPr>
          <w:highlight w:val="none"/>
        </w:rPr>
        <w:fldChar w:fldCharType="separate"/>
      </w:r>
      <w:r>
        <w:rPr>
          <w:highlight w:val="none"/>
        </w:rPr>
        <w:t>60</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"_Toc_4_4_0000000047" </w:instrText>
      </w:r>
      <w:r>
        <w:rPr>
          <w:highlight w:val="none"/>
        </w:rPr>
        <w:fldChar w:fldCharType="separate"/>
      </w:r>
      <w:r>
        <w:rPr>
          <w:highlight w:val="none"/>
        </w:rPr>
        <w:t>44.提前下达2021年中央财政林业改革发展资金-森林生态效益补偿补助-管护补助绩效目标表</w:t>
      </w:r>
      <w:r>
        <w:rPr>
          <w:highlight w:val="none"/>
        </w:rPr>
        <w:tab/>
      </w:r>
      <w:r>
        <w:rPr>
          <w:highlight w:val="none"/>
        </w:rPr>
        <w:fldChar w:fldCharType="begin"/>
      </w:r>
      <w:r>
        <w:rPr>
          <w:highlight w:val="none"/>
        </w:rPr>
        <w:instrText xml:space="preserve">PAGEREF _Toc_4_4_0000000047 \h</w:instrText>
      </w:r>
      <w:r>
        <w:rPr>
          <w:highlight w:val="none"/>
        </w:rPr>
        <w:fldChar w:fldCharType="separate"/>
      </w:r>
      <w:r>
        <w:rPr>
          <w:highlight w:val="none"/>
        </w:rPr>
        <w:t>61</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"_Toc_4_4_0000000048" </w:instrText>
      </w:r>
      <w:r>
        <w:rPr>
          <w:highlight w:val="none"/>
        </w:rPr>
        <w:fldChar w:fldCharType="separate"/>
      </w:r>
      <w:r>
        <w:rPr>
          <w:highlight w:val="none"/>
        </w:rPr>
        <w:t>45.提前下达2021年中央财政林业改革发展资金-天然林停伐管护补助-国有管护补助绩效目标表</w:t>
      </w:r>
      <w:r>
        <w:rPr>
          <w:highlight w:val="none"/>
        </w:rPr>
        <w:tab/>
      </w:r>
      <w:r>
        <w:rPr>
          <w:highlight w:val="none"/>
        </w:rPr>
        <w:fldChar w:fldCharType="begin"/>
      </w:r>
      <w:r>
        <w:rPr>
          <w:highlight w:val="none"/>
        </w:rPr>
        <w:instrText xml:space="preserve">PAGEREF _Toc_4_4_0000000048 \h</w:instrText>
      </w:r>
      <w:r>
        <w:rPr>
          <w:highlight w:val="none"/>
        </w:rPr>
        <w:fldChar w:fldCharType="separate"/>
      </w:r>
      <w:r>
        <w:rPr>
          <w:highlight w:val="none"/>
        </w:rPr>
        <w:t>62</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"_Toc_4_4_0000000049" </w:instrText>
      </w:r>
      <w:r>
        <w:rPr>
          <w:highlight w:val="none"/>
        </w:rPr>
        <w:fldChar w:fldCharType="separate"/>
      </w:r>
      <w:r>
        <w:rPr>
          <w:highlight w:val="none"/>
        </w:rPr>
        <w:t>46.提前下达2022年中央财政林业草原生态保护恢复资金-全面停止天然林商业性采伐绩效目标表</w:t>
      </w:r>
      <w:r>
        <w:rPr>
          <w:highlight w:val="none"/>
        </w:rPr>
        <w:tab/>
      </w:r>
      <w:r>
        <w:rPr>
          <w:highlight w:val="none"/>
        </w:rPr>
        <w:fldChar w:fldCharType="begin"/>
      </w:r>
      <w:r>
        <w:rPr>
          <w:highlight w:val="none"/>
        </w:rPr>
        <w:instrText xml:space="preserve">PAGEREF _Toc_4_4_0000000049 \h</w:instrText>
      </w:r>
      <w:r>
        <w:rPr>
          <w:highlight w:val="none"/>
        </w:rPr>
        <w:fldChar w:fldCharType="separate"/>
      </w:r>
      <w:r>
        <w:rPr>
          <w:highlight w:val="none"/>
        </w:rPr>
        <w:t>63</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"_Toc_4_4_0000000050" </w:instrText>
      </w:r>
      <w:r>
        <w:rPr>
          <w:highlight w:val="none"/>
        </w:rPr>
        <w:fldChar w:fldCharType="separate"/>
      </w:r>
      <w:r>
        <w:rPr>
          <w:highlight w:val="none"/>
        </w:rPr>
        <w:t>47.提前下达2022年中央财政林业改革发展资金-森林生态效益补偿补助-管护补助绩效目标表</w:t>
      </w:r>
      <w:r>
        <w:rPr>
          <w:highlight w:val="none"/>
        </w:rPr>
        <w:tab/>
      </w:r>
      <w:r>
        <w:rPr>
          <w:highlight w:val="none"/>
        </w:rPr>
        <w:fldChar w:fldCharType="begin"/>
      </w:r>
      <w:r>
        <w:rPr>
          <w:highlight w:val="none"/>
        </w:rPr>
        <w:instrText xml:space="preserve">PAGEREF _Toc_4_4_0000000050 \h</w:instrText>
      </w:r>
      <w:r>
        <w:rPr>
          <w:highlight w:val="none"/>
        </w:rPr>
        <w:fldChar w:fldCharType="separate"/>
      </w:r>
      <w:r>
        <w:rPr>
          <w:highlight w:val="none"/>
        </w:rPr>
        <w:t>64</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"_Toc_4_4_0000000051" </w:instrText>
      </w:r>
      <w:r>
        <w:rPr>
          <w:highlight w:val="none"/>
        </w:rPr>
        <w:fldChar w:fldCharType="separate"/>
      </w:r>
      <w:r>
        <w:rPr>
          <w:highlight w:val="none"/>
        </w:rPr>
        <w:t>48.提前下达2022年中央财政林业改革发展资金-森林生态效益补偿补助-国有管护补助绩效目标表</w:t>
      </w:r>
      <w:r>
        <w:rPr>
          <w:highlight w:val="none"/>
        </w:rPr>
        <w:tab/>
      </w:r>
      <w:r>
        <w:rPr>
          <w:highlight w:val="none"/>
        </w:rPr>
        <w:fldChar w:fldCharType="begin"/>
      </w:r>
      <w:r>
        <w:rPr>
          <w:highlight w:val="none"/>
        </w:rPr>
        <w:instrText xml:space="preserve">PAGEREF _Toc_4_4_0000000051 \h</w:instrText>
      </w:r>
      <w:r>
        <w:rPr>
          <w:highlight w:val="none"/>
        </w:rPr>
        <w:fldChar w:fldCharType="separate"/>
      </w:r>
      <w:r>
        <w:rPr>
          <w:highlight w:val="none"/>
        </w:rPr>
        <w:t>65</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"_Toc_4_4_0000000052" </w:instrText>
      </w:r>
      <w:r>
        <w:rPr>
          <w:highlight w:val="none"/>
        </w:rPr>
        <w:fldChar w:fldCharType="separate"/>
      </w:r>
      <w:r>
        <w:rPr>
          <w:highlight w:val="none"/>
        </w:rPr>
        <w:t>49.专项补助绩效目标表</w:t>
      </w:r>
      <w:r>
        <w:rPr>
          <w:highlight w:val="none"/>
        </w:rPr>
        <w:tab/>
      </w:r>
      <w:r>
        <w:rPr>
          <w:highlight w:val="none"/>
        </w:rPr>
        <w:fldChar w:fldCharType="begin"/>
      </w:r>
      <w:r>
        <w:rPr>
          <w:highlight w:val="none"/>
        </w:rPr>
        <w:instrText xml:space="preserve">PAGEREF _Toc_4_4_0000000052 \h</w:instrText>
      </w:r>
      <w:r>
        <w:rPr>
          <w:highlight w:val="none"/>
        </w:rPr>
        <w:fldChar w:fldCharType="separate"/>
      </w:r>
      <w:r>
        <w:rPr>
          <w:highlight w:val="none"/>
        </w:rPr>
        <w:t>66</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"_Toc_4_4_0000000053" </w:instrText>
      </w:r>
      <w:r>
        <w:rPr>
          <w:highlight w:val="none"/>
        </w:rPr>
        <w:fldChar w:fldCharType="separate"/>
      </w:r>
      <w:r>
        <w:rPr>
          <w:highlight w:val="none"/>
        </w:rPr>
        <w:t>50.木材检查站补助经费绩效目标表</w:t>
      </w:r>
      <w:r>
        <w:rPr>
          <w:highlight w:val="none"/>
        </w:rPr>
        <w:tab/>
      </w:r>
      <w:r>
        <w:rPr>
          <w:highlight w:val="none"/>
        </w:rPr>
        <w:fldChar w:fldCharType="begin"/>
      </w:r>
      <w:r>
        <w:rPr>
          <w:highlight w:val="none"/>
        </w:rPr>
        <w:instrText xml:space="preserve">PAGEREF _Toc_4_4_0000000053 \h</w:instrText>
      </w:r>
      <w:r>
        <w:rPr>
          <w:highlight w:val="none"/>
        </w:rPr>
        <w:fldChar w:fldCharType="separate"/>
      </w:r>
      <w:r>
        <w:rPr>
          <w:highlight w:val="none"/>
        </w:rPr>
        <w:t>67</w:t>
      </w:r>
      <w:r>
        <w:rPr>
          <w:highlight w:val="none"/>
        </w:rPr>
        <w:fldChar w:fldCharType="end"/>
      </w:r>
      <w:r>
        <w:rPr>
          <w:highlight w:val="none"/>
        </w:rPr>
        <w:fldChar w:fldCharType="end"/>
      </w:r>
    </w:p>
    <w:p>
      <w:pPr>
        <w:pStyle w:val="15"/>
        <w:tabs>
          <w:tab w:val="right" w:leader="dot" w:pos="9282"/>
        </w:tabs>
        <w:rPr>
          <w:highlight w:val="none"/>
        </w:rPr>
      </w:pPr>
      <w:r>
        <w:rPr>
          <w:highlight w:val="none"/>
        </w:rPr>
        <w:fldChar w:fldCharType="begin"/>
      </w:r>
      <w:r>
        <w:rPr>
          <w:highlight w:val="none"/>
        </w:rPr>
        <w:instrText xml:space="preserve"> HYPERLINK \l "_Toc_4_4_0000000054" </w:instrText>
      </w:r>
      <w:r>
        <w:rPr>
          <w:highlight w:val="none"/>
        </w:rPr>
        <w:fldChar w:fldCharType="separate"/>
      </w:r>
      <w:r>
        <w:rPr>
          <w:highlight w:val="none"/>
        </w:rPr>
        <w:t>51.专项补助绩效目标表</w:t>
      </w:r>
      <w:r>
        <w:rPr>
          <w:highlight w:val="none"/>
        </w:rPr>
        <w:tab/>
      </w:r>
      <w:r>
        <w:rPr>
          <w:highlight w:val="none"/>
        </w:rPr>
        <w:fldChar w:fldCharType="begin"/>
      </w:r>
      <w:r>
        <w:rPr>
          <w:highlight w:val="none"/>
        </w:rPr>
        <w:instrText xml:space="preserve">PAGEREF _Toc_4_4_0000000054 \h</w:instrText>
      </w:r>
      <w:r>
        <w:rPr>
          <w:highlight w:val="none"/>
        </w:rPr>
        <w:fldChar w:fldCharType="separate"/>
      </w:r>
      <w:r>
        <w:rPr>
          <w:highlight w:val="none"/>
        </w:rPr>
        <w:t>68</w:t>
      </w:r>
      <w:r>
        <w:rPr>
          <w:highlight w:val="none"/>
        </w:rPr>
        <w:fldChar w:fldCharType="end"/>
      </w:r>
      <w:r>
        <w:rPr>
          <w:highlight w:val="none"/>
        </w:rPr>
        <w:fldChar w:fldCharType="end"/>
      </w:r>
    </w:p>
    <w:p>
      <w:pPr>
        <w:rPr>
          <w:highlight w:val="none"/>
        </w:rPr>
      </w:pPr>
      <w:r>
        <w:rPr>
          <w:highlight w:val="none"/>
        </w:rPr>
        <w:fldChar w:fldCharType="end"/>
      </w:r>
    </w:p>
    <w:p>
      <w:pPr>
        <w:rPr>
          <w:highlight w:val="none"/>
        </w:rPr>
        <w:sectPr>
          <w:footerReference r:id="rId3" w:type="default"/>
          <w:footerReference r:id="rId4" w:type="even"/>
          <w:pgSz w:w="11900" w:h="16840"/>
          <w:pgMar w:top="1984" w:right="1304" w:bottom="1134" w:left="1304" w:header="720" w:footer="720" w:gutter="0"/>
          <w:pgNumType w:start="1"/>
          <w:cols w:space="720" w:num="1"/>
        </w:sectPr>
      </w:pPr>
      <w:r>
        <w:rPr>
          <w:highlight w:val="none"/>
        </w:rPr>
        <w:br w:type="page"/>
      </w:r>
    </w:p>
    <w:p>
      <w:pPr>
        <w:jc w:val="center"/>
        <w:rPr>
          <w:highlight w:val="none"/>
        </w:rPr>
      </w:pPr>
      <w:r>
        <w:rPr>
          <w:rFonts w:ascii="方正小标宋_GBK" w:hAnsi="方正小标宋_GBK" w:eastAsia="方正小标宋_GBK" w:cs="方正小标宋_GBK"/>
          <w:color w:val="000000"/>
          <w:sz w:val="44"/>
          <w:highlight w:val="none"/>
        </w:rPr>
        <w:t xml:space="preserve"> </w:t>
      </w:r>
    </w:p>
    <w:p>
      <w:pPr>
        <w:jc w:val="center"/>
        <w:rPr>
          <w:highlight w:val="none"/>
        </w:rPr>
      </w:pPr>
      <w:r>
        <w:rPr>
          <w:rFonts w:ascii="方正小标宋_GBK" w:hAnsi="方正小标宋_GBK" w:eastAsia="方正小标宋_GBK" w:cs="方正小标宋_GBK"/>
          <w:color w:val="000000"/>
          <w:sz w:val="44"/>
          <w:highlight w:val="none"/>
        </w:rPr>
        <w:t>第一部分</w:t>
      </w:r>
    </w:p>
    <w:p>
      <w:pPr>
        <w:jc w:val="center"/>
        <w:outlineLvl w:val="0"/>
        <w:rPr>
          <w:highlight w:val="none"/>
        </w:rPr>
      </w:pPr>
      <w:r>
        <w:rPr>
          <w:rFonts w:ascii="方正小标宋_GBK" w:hAnsi="方正小标宋_GBK" w:eastAsia="方正小标宋_GBK" w:cs="方正小标宋_GBK"/>
          <w:color w:val="000000"/>
          <w:sz w:val="44"/>
          <w:highlight w:val="none"/>
        </w:rPr>
        <w:t>部门整体绩效目标</w:t>
      </w:r>
    </w:p>
    <w:p>
      <w:pPr>
        <w:jc w:val="center"/>
        <w:rPr>
          <w:highlight w:val="none"/>
        </w:rPr>
      </w:pPr>
      <w:r>
        <w:rPr>
          <w:rFonts w:ascii="方正小标宋_GBK" w:hAnsi="方正小标宋_GBK" w:eastAsia="方正小标宋_GBK" w:cs="方正小标宋_GBK"/>
          <w:color w:val="000000"/>
          <w:sz w:val="44"/>
          <w:highlight w:val="none"/>
        </w:rPr>
        <w:t xml:space="preserve"> </w:t>
      </w:r>
    </w:p>
    <w:p>
      <w:pPr>
        <w:spacing w:before="10" w:after="10"/>
        <w:ind w:firstLine="560"/>
        <w:outlineLvl w:val="1"/>
        <w:rPr>
          <w:highlight w:val="none"/>
        </w:rPr>
      </w:pPr>
      <w:bookmarkStart w:id="0" w:name="_Toc_2_2_0000000001"/>
      <w:r>
        <w:rPr>
          <w:rFonts w:ascii="方正黑体_GBK" w:hAnsi="方正黑体_GBK" w:eastAsia="方正黑体_GBK" w:cs="方正黑体_GBK"/>
          <w:color w:val="000000"/>
          <w:sz w:val="28"/>
          <w:highlight w:val="none"/>
        </w:rPr>
        <w:t>一、总体绩效目标</w:t>
      </w:r>
      <w:bookmarkEnd w:id="0"/>
    </w:p>
    <w:p>
      <w:pPr>
        <w:pStyle w:val="5"/>
        <w:rPr>
          <w:highlight w:val="none"/>
        </w:rPr>
      </w:pPr>
      <w:r>
        <w:rPr>
          <w:highlight w:val="none"/>
        </w:rPr>
        <w:t>总体绩效目标</w:t>
      </w:r>
    </w:p>
    <w:p>
      <w:pPr>
        <w:pStyle w:val="5"/>
        <w:rPr>
          <w:highlight w:val="none"/>
        </w:rPr>
      </w:pPr>
      <w:r>
        <w:rPr>
          <w:highlight w:val="none"/>
        </w:rPr>
        <w:t>秦皇岛市山海关区自然资源和规划局部门年度发展规划目标</w:t>
      </w:r>
    </w:p>
    <w:p>
      <w:pPr>
        <w:pStyle w:val="5"/>
        <w:rPr>
          <w:highlight w:val="none"/>
        </w:rPr>
      </w:pPr>
    </w:p>
    <w:p>
      <w:pPr>
        <w:pStyle w:val="5"/>
        <w:rPr>
          <w:highlight w:val="none"/>
        </w:rPr>
      </w:pPr>
      <w:r>
        <w:rPr>
          <w:highlight w:val="none"/>
        </w:rPr>
        <w:t>坚持以习近平新时代中国特色社会主义思想为指导，深入贯彻党的十九大和十九届二中、三中全会精神，牢固树立“四个意识”，牢牢坚持“两个维护”，落实上级关于自然资源和规划工作的方针政策和决策部署，坚持树立和落实习近平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pPr>
        <w:spacing w:before="10" w:after="10"/>
        <w:ind w:firstLine="560"/>
        <w:outlineLvl w:val="1"/>
        <w:rPr>
          <w:highlight w:val="none"/>
        </w:rPr>
      </w:pPr>
      <w:bookmarkStart w:id="1" w:name="_Toc_2_2_0000000002"/>
      <w:r>
        <w:rPr>
          <w:rFonts w:ascii="方正黑体_GBK" w:hAnsi="方正黑体_GBK" w:eastAsia="方正黑体_GBK" w:cs="方正黑体_GBK"/>
          <w:color w:val="000000"/>
          <w:sz w:val="28"/>
          <w:highlight w:val="none"/>
        </w:rPr>
        <w:t>二、分项绩效目标</w:t>
      </w:r>
      <w:bookmarkEnd w:id="1"/>
    </w:p>
    <w:p>
      <w:pPr>
        <w:pStyle w:val="6"/>
        <w:rPr>
          <w:highlight w:val="none"/>
        </w:rPr>
      </w:pPr>
      <w:r>
        <w:rPr>
          <w:highlight w:val="none"/>
        </w:rPr>
        <w:t>分项绩效目标</w:t>
      </w:r>
    </w:p>
    <w:p>
      <w:pPr>
        <w:pStyle w:val="6"/>
        <w:rPr>
          <w:highlight w:val="none"/>
        </w:rPr>
      </w:pPr>
      <w:r>
        <w:rPr>
          <w:highlight w:val="none"/>
        </w:rPr>
        <w:t>一）自然资源督查与执法管理。</w:t>
      </w:r>
    </w:p>
    <w:p>
      <w:pPr>
        <w:pStyle w:val="6"/>
        <w:rPr>
          <w:highlight w:val="none"/>
        </w:rPr>
      </w:pPr>
      <w:r>
        <w:rPr>
          <w:highlight w:val="none"/>
        </w:rPr>
        <w:t>绩效目标：</w:t>
      </w:r>
    </w:p>
    <w:p>
      <w:pPr>
        <w:pStyle w:val="6"/>
        <w:rPr>
          <w:highlight w:val="none"/>
        </w:rPr>
      </w:pPr>
      <w:r>
        <w:rPr>
          <w:highlight w:val="none"/>
        </w:rPr>
        <w:t>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pPr>
        <w:pStyle w:val="6"/>
        <w:rPr>
          <w:highlight w:val="none"/>
        </w:rPr>
      </w:pPr>
      <w:r>
        <w:rPr>
          <w:highlight w:val="none"/>
        </w:rPr>
        <w:t>绩效指标：</w:t>
      </w:r>
    </w:p>
    <w:p>
      <w:pPr>
        <w:pStyle w:val="6"/>
        <w:rPr>
          <w:highlight w:val="none"/>
        </w:rPr>
      </w:pPr>
      <w:r>
        <w:rPr>
          <w:highlight w:val="none"/>
        </w:rPr>
        <w:t>1、举报线索处置率。评价标准＞99%为优，99%-95%为良，95%-90%为中，≤90为差。</w:t>
      </w:r>
    </w:p>
    <w:p>
      <w:pPr>
        <w:pStyle w:val="6"/>
        <w:rPr>
          <w:highlight w:val="none"/>
        </w:rPr>
      </w:pPr>
      <w:r>
        <w:rPr>
          <w:highlight w:val="none"/>
        </w:rPr>
        <w:t>2、重大案件处理情况向交办单位反馈率。评价标准≥95%为优，95%-90%为良，≥90%为中，＜85%为差。</w:t>
      </w:r>
    </w:p>
    <w:p>
      <w:pPr>
        <w:pStyle w:val="6"/>
        <w:rPr>
          <w:highlight w:val="none"/>
        </w:rPr>
      </w:pPr>
      <w:r>
        <w:rPr>
          <w:highlight w:val="none"/>
        </w:rPr>
        <w:t>3、基础性保障项目完成率。评价标准≥90%为优，90%-80%为良，80%-70%为中，＜70%为差。</w:t>
      </w:r>
    </w:p>
    <w:p>
      <w:pPr>
        <w:pStyle w:val="6"/>
        <w:rPr>
          <w:highlight w:val="none"/>
        </w:rPr>
      </w:pPr>
      <w:r>
        <w:rPr>
          <w:highlight w:val="none"/>
        </w:rPr>
        <w:t>（二）自然资源资产管理</w:t>
      </w:r>
    </w:p>
    <w:p>
      <w:pPr>
        <w:pStyle w:val="6"/>
        <w:rPr>
          <w:highlight w:val="none"/>
        </w:rPr>
      </w:pPr>
      <w:r>
        <w:rPr>
          <w:highlight w:val="none"/>
        </w:rP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pPr>
        <w:pStyle w:val="6"/>
        <w:rPr>
          <w:highlight w:val="none"/>
        </w:rPr>
      </w:pPr>
      <w:r>
        <w:rPr>
          <w:highlight w:val="none"/>
        </w:rPr>
        <w:t>绩效指标：1. 矿业权权益金评估工作完成率。评价标准100%为优，≥95%为良，≥90%为中，＜90%为差。</w:t>
      </w:r>
    </w:p>
    <w:p>
      <w:pPr>
        <w:pStyle w:val="6"/>
        <w:rPr>
          <w:highlight w:val="none"/>
        </w:rPr>
      </w:pPr>
      <w:r>
        <w:rPr>
          <w:highlight w:val="none"/>
        </w:rPr>
        <w:t>2. 矿业权出让收益征收管理分析率。评价标准≥90%为优，90%-80%为良，80%-70%为中，＜70%为差。</w:t>
      </w:r>
    </w:p>
    <w:p>
      <w:pPr>
        <w:pStyle w:val="6"/>
        <w:rPr>
          <w:highlight w:val="none"/>
        </w:rPr>
      </w:pPr>
      <w:r>
        <w:rPr>
          <w:highlight w:val="none"/>
        </w:rPr>
        <w:t>3. 自然资源资产统计核算率。评价标准≥90%为优，90%-80%为良，80%-70%为中，＜70%为差。</w:t>
      </w:r>
    </w:p>
    <w:p>
      <w:pPr>
        <w:pStyle w:val="6"/>
        <w:rPr>
          <w:highlight w:val="none"/>
        </w:rPr>
      </w:pPr>
      <w:r>
        <w:rPr>
          <w:highlight w:val="none"/>
        </w:rPr>
        <w:t>（三）自然资源政务管理</w:t>
      </w:r>
    </w:p>
    <w:p>
      <w:pPr>
        <w:pStyle w:val="6"/>
        <w:rPr>
          <w:highlight w:val="none"/>
        </w:rPr>
      </w:pPr>
      <w:r>
        <w:rPr>
          <w:highlight w:val="none"/>
        </w:rPr>
        <w:t>绩效目标：进一步增强自然资源管理保障能力。规范做好自然资源调查监测评价，全面推行自然资源工作依法行政，推动普法工作落实，做好行政复议、行政应诉工作，推进自然资源科技的应用和推广。</w:t>
      </w:r>
    </w:p>
    <w:p>
      <w:pPr>
        <w:pStyle w:val="6"/>
        <w:rPr>
          <w:highlight w:val="none"/>
        </w:rPr>
      </w:pPr>
      <w:r>
        <w:rPr>
          <w:highlight w:val="none"/>
        </w:rPr>
        <w:t>绩效指标：</w:t>
      </w:r>
    </w:p>
    <w:p>
      <w:pPr>
        <w:pStyle w:val="6"/>
        <w:rPr>
          <w:highlight w:val="none"/>
        </w:rPr>
      </w:pPr>
      <w:r>
        <w:rPr>
          <w:highlight w:val="none"/>
        </w:rPr>
        <w:t>1. 综合业务管理工作完成率。评价标准100%为优，≥95%为良，≥90%为中，＜90%为差。</w:t>
      </w:r>
    </w:p>
    <w:p>
      <w:pPr>
        <w:pStyle w:val="6"/>
        <w:rPr>
          <w:highlight w:val="none"/>
        </w:rPr>
      </w:pPr>
      <w:r>
        <w:rPr>
          <w:highlight w:val="none"/>
        </w:rPr>
        <w:t>2. 综合事务管理工作完成率。评价标准≥90%为优，≥85%为良，≥70%为中，＜70%为差。</w:t>
      </w:r>
    </w:p>
    <w:p>
      <w:pPr>
        <w:pStyle w:val="6"/>
        <w:rPr>
          <w:highlight w:val="none"/>
        </w:rPr>
      </w:pPr>
      <w:r>
        <w:rPr>
          <w:highlight w:val="none"/>
        </w:rPr>
        <w:t>（四）国土空间用途管制</w:t>
      </w:r>
    </w:p>
    <w:p>
      <w:pPr>
        <w:pStyle w:val="6"/>
        <w:rPr>
          <w:highlight w:val="none"/>
        </w:rPr>
      </w:pPr>
      <w:r>
        <w:rPr>
          <w:highlight w:val="none"/>
        </w:rP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pPr>
        <w:pStyle w:val="6"/>
        <w:rPr>
          <w:highlight w:val="none"/>
        </w:rPr>
      </w:pPr>
      <w:r>
        <w:rPr>
          <w:highlight w:val="none"/>
        </w:rPr>
        <w:t>绩效指标：1. 各类规划编制率。评价标准≥95%为优，≥90%为良，≥80%为中，＜80%为差。</w:t>
      </w:r>
    </w:p>
    <w:p>
      <w:pPr>
        <w:pStyle w:val="6"/>
        <w:rPr>
          <w:highlight w:val="none"/>
        </w:rPr>
      </w:pPr>
      <w:r>
        <w:rPr>
          <w:highlight w:val="none"/>
        </w:rPr>
        <w:t>2. 规划数据库更新维护率。评价标准≥95%为优，≥90%为良，≥80%为中，＜80%为差。</w:t>
      </w:r>
    </w:p>
    <w:p>
      <w:pPr>
        <w:pStyle w:val="6"/>
        <w:rPr>
          <w:highlight w:val="none"/>
        </w:rPr>
      </w:pPr>
      <w:r>
        <w:rPr>
          <w:highlight w:val="none"/>
        </w:rPr>
        <w:t>3. 规划实施监测、评价完成率。评价标准≥95%为优，≥90%为良，≥80%为中，＜80%为差。</w:t>
      </w:r>
    </w:p>
    <w:p>
      <w:pPr>
        <w:pStyle w:val="6"/>
        <w:rPr>
          <w:highlight w:val="none"/>
        </w:rPr>
      </w:pPr>
      <w:r>
        <w:rPr>
          <w:highlight w:val="none"/>
        </w:rPr>
        <w:t>4. 国土空间用途管制管理工作完成率。评价标准≥95%为优，≥90%为良，≥80%为中，＜80%为差。</w:t>
      </w:r>
    </w:p>
    <w:p>
      <w:pPr>
        <w:pStyle w:val="6"/>
        <w:rPr>
          <w:highlight w:val="none"/>
        </w:rPr>
      </w:pPr>
      <w:r>
        <w:rPr>
          <w:highlight w:val="none"/>
        </w:rPr>
        <w:t>5. 建设用地项目用地预审工作完成率。评价标准100%为优，≥95%为良，≥90%为中，＜90%为差。</w:t>
      </w:r>
    </w:p>
    <w:p>
      <w:pPr>
        <w:pStyle w:val="6"/>
        <w:rPr>
          <w:highlight w:val="none"/>
        </w:rPr>
      </w:pPr>
      <w:r>
        <w:rPr>
          <w:highlight w:val="none"/>
        </w:rPr>
        <w:t>6. 各类土地用途转用的审核、报批工作完成率。评价标准100%为优，≥95%为良，≥90%为中，＜90%为差。</w:t>
      </w:r>
    </w:p>
    <w:p>
      <w:pPr>
        <w:pStyle w:val="6"/>
        <w:rPr>
          <w:highlight w:val="none"/>
        </w:rPr>
      </w:pPr>
      <w:r>
        <w:rPr>
          <w:highlight w:val="none"/>
        </w:rPr>
        <w:t>7. 耕地质量检测评价与定级完成率。评价标准≥95%为优，≥90%为良，≥80%为中，＜80%为差。</w:t>
      </w:r>
    </w:p>
    <w:p>
      <w:pPr>
        <w:pStyle w:val="6"/>
        <w:rPr>
          <w:highlight w:val="none"/>
        </w:rPr>
      </w:pPr>
      <w:r>
        <w:rPr>
          <w:highlight w:val="none"/>
        </w:rPr>
        <w:t>8. 永久基本农田数据库更新监管率。评价标准≥95%为优，≥90%为良，≥80%为中，＜80%为差。</w:t>
      </w:r>
    </w:p>
    <w:p>
      <w:pPr>
        <w:pStyle w:val="6"/>
        <w:rPr>
          <w:highlight w:val="none"/>
        </w:rPr>
      </w:pPr>
      <w:r>
        <w:rPr>
          <w:highlight w:val="none"/>
        </w:rPr>
        <w:t>9.复垦方案评审完成率。评价标准100%为优，≥95%为良，≥90%为中，＜90%为差。</w:t>
      </w:r>
    </w:p>
    <w:p>
      <w:pPr>
        <w:pStyle w:val="6"/>
        <w:rPr>
          <w:highlight w:val="none"/>
        </w:rPr>
      </w:pPr>
      <w:r>
        <w:rPr>
          <w:highlight w:val="none"/>
        </w:rPr>
        <w:t>（五）自然资源统一确权登记管理</w:t>
      </w:r>
    </w:p>
    <w:p>
      <w:pPr>
        <w:pStyle w:val="6"/>
        <w:rPr>
          <w:highlight w:val="none"/>
        </w:rPr>
      </w:pPr>
      <w:r>
        <w:rPr>
          <w:highlight w:val="none"/>
        </w:rP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pPr>
        <w:pStyle w:val="6"/>
        <w:rPr>
          <w:highlight w:val="none"/>
        </w:rPr>
      </w:pPr>
      <w:r>
        <w:rPr>
          <w:highlight w:val="none"/>
        </w:rPr>
        <w:t>绩效指标：1.变更调查完成率。评价标准≥95%为优，≥90%为良，≥80%为中，＜80%为差。2. 房地一体宅基地和集体建设用地确权登记完成率。评价标准≥90%为优，≥80%为良，≥70%为中，＜70%为差。3. 第三次国土调查完成率。评价标准≥95%为优，≥90%为良，≥80%为中，＜80%为差。4. 不动产权属争议调处达标率。评价标准≥95%为优，≥90%为良，≥80%为中，＜80%为差。5. 市县不动产登记信息数据上报率。评价标准100%为优，≥95%为良，≥90%为中，＜90%为差。</w:t>
      </w:r>
    </w:p>
    <w:p>
      <w:pPr>
        <w:pStyle w:val="6"/>
        <w:rPr>
          <w:highlight w:val="none"/>
        </w:rPr>
      </w:pPr>
      <w:r>
        <w:rPr>
          <w:highlight w:val="none"/>
        </w:rPr>
        <w:t>（六）国土空间生态修复管理</w:t>
      </w:r>
    </w:p>
    <w:p>
      <w:pPr>
        <w:pStyle w:val="6"/>
        <w:rPr>
          <w:highlight w:val="none"/>
        </w:rPr>
      </w:pPr>
      <w:r>
        <w:rPr>
          <w:highlight w:val="none"/>
        </w:rPr>
        <w:t>绩效目标：稳步推进矿山地质环境恢复治理；组织指导海域海岛海岸带整治修复工作；提高地质灾害预警预报能力；掌握地面沉降动态变化数据。</w:t>
      </w:r>
    </w:p>
    <w:p>
      <w:pPr>
        <w:pStyle w:val="6"/>
        <w:rPr>
          <w:highlight w:val="none"/>
        </w:rPr>
      </w:pPr>
      <w:r>
        <w:rPr>
          <w:highlight w:val="none"/>
        </w:rP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pPr>
        <w:pStyle w:val="6"/>
        <w:rPr>
          <w:highlight w:val="none"/>
        </w:rPr>
      </w:pPr>
      <w:r>
        <w:rPr>
          <w:highlight w:val="none"/>
        </w:rPr>
        <w:t>绩效指标：1. 矿山地质环境动态监测完成率。评价标准≥95%为优，≥90%为良，≥80%为中，＜80%为差。</w:t>
      </w:r>
    </w:p>
    <w:p>
      <w:pPr>
        <w:pStyle w:val="6"/>
        <w:rPr>
          <w:highlight w:val="none"/>
        </w:rPr>
      </w:pPr>
      <w:r>
        <w:rPr>
          <w:highlight w:val="none"/>
        </w:rPr>
        <w:t>2. 责任主体灭失矿山迹地修复率。评价标准≥95%为优，≥90%为良，≥80%为中，＜80%为差。</w:t>
      </w:r>
    </w:p>
    <w:p>
      <w:pPr>
        <w:pStyle w:val="6"/>
        <w:rPr>
          <w:highlight w:val="none"/>
        </w:rPr>
      </w:pPr>
      <w:r>
        <w:rPr>
          <w:highlight w:val="none"/>
        </w:rPr>
        <w:t>3. 矿山地质环境保护与治理恢复方案评审完成率。评价标准100%为优，≥95%为良，≥90%为中，＜90%为差。</w:t>
      </w:r>
    </w:p>
    <w:p>
      <w:pPr>
        <w:pStyle w:val="6"/>
        <w:rPr>
          <w:highlight w:val="none"/>
        </w:rPr>
      </w:pPr>
      <w:r>
        <w:rPr>
          <w:highlight w:val="none"/>
        </w:rPr>
        <w:t>4. 群众满意度。评价标准≥90%为优，≥80%为良，≥70%为中，＜70%为差。</w:t>
      </w:r>
    </w:p>
    <w:p>
      <w:pPr>
        <w:pStyle w:val="6"/>
        <w:rPr>
          <w:highlight w:val="none"/>
        </w:rPr>
      </w:pPr>
      <w:r>
        <w:rPr>
          <w:highlight w:val="none"/>
        </w:rPr>
        <w:t>5. 项目工程完成情况。评价标准100%为优，≥95%为良，≥90%为中，＜90%为差。</w:t>
      </w:r>
    </w:p>
    <w:p>
      <w:pPr>
        <w:pStyle w:val="6"/>
        <w:rPr>
          <w:highlight w:val="none"/>
        </w:rPr>
      </w:pPr>
      <w:r>
        <w:rPr>
          <w:highlight w:val="none"/>
        </w:rPr>
        <w:t>6. 地下水地质环境和地面沉降监测年度监测率。评价标准≥95%为优，≥90%为良，≥80%为中，＜80%为差。</w:t>
      </w:r>
    </w:p>
    <w:p>
      <w:pPr>
        <w:pStyle w:val="6"/>
        <w:rPr>
          <w:highlight w:val="none"/>
        </w:rPr>
      </w:pPr>
      <w:r>
        <w:rPr>
          <w:highlight w:val="none"/>
        </w:rPr>
        <w:t>7. 地质灾害隐患点核查排查率。评价标准≥95%为优，≥90%为良，≥80%为中，＜90%为差。</w:t>
      </w:r>
    </w:p>
    <w:p>
      <w:pPr>
        <w:pStyle w:val="6"/>
        <w:rPr>
          <w:highlight w:val="none"/>
        </w:rPr>
      </w:pPr>
      <w:r>
        <w:rPr>
          <w:highlight w:val="none"/>
        </w:rPr>
        <w:t>8. 地质灾害气象风险预警信息发布率。评价标准≥95%为优，≥90%为良，≥80%为中，＜90%为差。</w:t>
      </w:r>
    </w:p>
    <w:p>
      <w:pPr>
        <w:pStyle w:val="6"/>
        <w:rPr>
          <w:highlight w:val="none"/>
        </w:rPr>
      </w:pPr>
      <w:r>
        <w:rPr>
          <w:highlight w:val="none"/>
        </w:rPr>
        <w:t>（七）自然资源利用管理</w:t>
      </w:r>
    </w:p>
    <w:p>
      <w:pPr>
        <w:pStyle w:val="6"/>
        <w:rPr>
          <w:highlight w:val="none"/>
        </w:rPr>
      </w:pPr>
      <w:r>
        <w:rPr>
          <w:highlight w:val="none"/>
        </w:rP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pPr>
        <w:pStyle w:val="6"/>
        <w:rPr>
          <w:highlight w:val="none"/>
        </w:rPr>
      </w:pPr>
      <w:r>
        <w:rPr>
          <w:highlight w:val="none"/>
        </w:rPr>
        <w:t>绩效指标：1.资源开发利用现状掌握率。评价标准≥90%为优，≥80%为良，≥70%为中，＜70%为差。</w:t>
      </w:r>
    </w:p>
    <w:p>
      <w:pPr>
        <w:pStyle w:val="6"/>
        <w:rPr>
          <w:highlight w:val="none"/>
        </w:rPr>
      </w:pPr>
      <w:r>
        <w:rPr>
          <w:highlight w:val="none"/>
        </w:rPr>
        <w:t>2.资源利用考核评价成果省级汇总与分析更新完成率。评价标准≥90%为优，≥80%为良，≥70%为中，＜70%为差。</w:t>
      </w:r>
    </w:p>
    <w:p>
      <w:pPr>
        <w:pStyle w:val="6"/>
        <w:rPr>
          <w:highlight w:val="none"/>
        </w:rPr>
      </w:pPr>
      <w:r>
        <w:rPr>
          <w:highlight w:val="none"/>
        </w:rPr>
        <w:t>3.资源市场监测分析工作完成率。评价标准≥90%为优，≥80%为良，≥70%为中，＜70%为差。</w:t>
      </w:r>
    </w:p>
    <w:p>
      <w:pPr>
        <w:pStyle w:val="6"/>
        <w:rPr>
          <w:highlight w:val="none"/>
        </w:rPr>
      </w:pPr>
      <w:r>
        <w:rPr>
          <w:highlight w:val="none"/>
        </w:rPr>
        <w:t>4.开发利用统计分析率。评价标准≥90%为优，≥80%为良，≥70%为中，＜70%为差。</w:t>
      </w:r>
    </w:p>
    <w:p>
      <w:pPr>
        <w:pStyle w:val="6"/>
        <w:rPr>
          <w:highlight w:val="none"/>
        </w:rPr>
      </w:pPr>
      <w:r>
        <w:rPr>
          <w:highlight w:val="none"/>
        </w:rPr>
        <w:t>5. 矿产勘查实施方案评审率。评价标准≥90%为优，≥80%为良，≥70%为中，＜70%为差。</w:t>
      </w:r>
    </w:p>
    <w:p>
      <w:pPr>
        <w:pStyle w:val="6"/>
        <w:rPr>
          <w:highlight w:val="none"/>
        </w:rPr>
      </w:pPr>
    </w:p>
    <w:p>
      <w:pPr>
        <w:pStyle w:val="6"/>
        <w:rPr>
          <w:highlight w:val="none"/>
        </w:rPr>
      </w:pPr>
      <w:r>
        <w:rPr>
          <w:highlight w:val="none"/>
        </w:rPr>
        <w:t>6. 勘查设计工作量完成率。评价标准≥90%为优，≥80%为良，≥70%为中，＜70%为差。</w:t>
      </w:r>
    </w:p>
    <w:p>
      <w:pPr>
        <w:pStyle w:val="6"/>
        <w:rPr>
          <w:highlight w:val="none"/>
        </w:rPr>
      </w:pPr>
      <w:r>
        <w:rPr>
          <w:highlight w:val="none"/>
        </w:rPr>
        <w:t>7.进一步勘查工作地个数(个）。评价标准≥3为优，2为良，1为中，0为差。</w:t>
      </w:r>
    </w:p>
    <w:p>
      <w:pPr>
        <w:pStyle w:val="6"/>
        <w:rPr>
          <w:highlight w:val="none"/>
        </w:rPr>
      </w:pPr>
      <w:r>
        <w:rPr>
          <w:highlight w:val="none"/>
        </w:rPr>
        <w:t>8.成果统计率。评价标准≥90%为优，≥80%为良，≥70%为中，＜70%为差。</w:t>
      </w:r>
    </w:p>
    <w:p>
      <w:pPr>
        <w:pStyle w:val="6"/>
        <w:rPr>
          <w:highlight w:val="none"/>
        </w:rPr>
      </w:pPr>
      <w:r>
        <w:rPr>
          <w:highlight w:val="none"/>
        </w:rPr>
        <w:t>9.资源储量管理基础工作完成率。评价标准≥90%为优，≥80%为良，≥70%为中，＜70%为差。</w:t>
      </w:r>
    </w:p>
    <w:p>
      <w:pPr>
        <w:pStyle w:val="6"/>
        <w:rPr>
          <w:highlight w:val="none"/>
        </w:rPr>
      </w:pPr>
      <w:r>
        <w:rPr>
          <w:highlight w:val="none"/>
        </w:rPr>
        <w:t>10.目跟踪监控工作完成率。评价标准≥95%为优，≥90%为良，≥80%为中，＜80%为差。</w:t>
      </w:r>
    </w:p>
    <w:p>
      <w:pPr>
        <w:pStyle w:val="6"/>
        <w:rPr>
          <w:highlight w:val="none"/>
        </w:rPr>
      </w:pPr>
      <w:r>
        <w:rPr>
          <w:highlight w:val="none"/>
        </w:rPr>
        <w:t>11.权权属纠纷有效处理率。评价标准≥90%为优，≥80%为良，≥70%为中，＜70%为差。</w:t>
      </w:r>
    </w:p>
    <w:p>
      <w:pPr>
        <w:pStyle w:val="6"/>
        <w:rPr>
          <w:highlight w:val="none"/>
        </w:rPr>
      </w:pPr>
      <w:r>
        <w:rPr>
          <w:highlight w:val="none"/>
        </w:rPr>
        <w:t>12.压覆重要矿产资源查询率。评价标准≥90%为优，≥80%为良，≥70%为中，＜70%为差。</w:t>
      </w:r>
    </w:p>
    <w:p>
      <w:pPr>
        <w:pStyle w:val="6"/>
        <w:rPr>
          <w:highlight w:val="none"/>
        </w:rPr>
      </w:pPr>
      <w:r>
        <w:rPr>
          <w:highlight w:val="none"/>
        </w:rPr>
        <w:t>13.监督管理工作年度完成率。评价标准≥95%为优，≥90%为良，≥80%为中，＜80%为差。</w:t>
      </w:r>
    </w:p>
    <w:p>
      <w:pPr>
        <w:pStyle w:val="6"/>
        <w:rPr>
          <w:highlight w:val="none"/>
        </w:rPr>
      </w:pPr>
      <w:r>
        <w:rPr>
          <w:highlight w:val="none"/>
        </w:rPr>
        <w:t>14.管理工作完成率。评价标准≥90%为优，≥80%为良，≥70%为中，＜70%为差。</w:t>
      </w: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p>
    <w:p>
      <w:pPr>
        <w:pStyle w:val="6"/>
        <w:rPr>
          <w:highlight w:val="none"/>
        </w:rPr>
      </w:pPr>
      <w:r>
        <w:rPr>
          <w:highlight w:val="none"/>
        </w:rPr>
        <w:t>（八）测绘地理信息管理</w:t>
      </w:r>
    </w:p>
    <w:p>
      <w:pPr>
        <w:pStyle w:val="6"/>
        <w:rPr>
          <w:highlight w:val="none"/>
        </w:rPr>
      </w:pPr>
      <w:r>
        <w:rPr>
          <w:highlight w:val="none"/>
        </w:rP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pPr>
        <w:pStyle w:val="6"/>
        <w:rPr>
          <w:highlight w:val="none"/>
        </w:rPr>
      </w:pPr>
      <w:r>
        <w:rPr>
          <w:highlight w:val="none"/>
        </w:rPr>
        <w:t>绩效指标：</w:t>
      </w:r>
    </w:p>
    <w:p>
      <w:pPr>
        <w:pStyle w:val="6"/>
        <w:rPr>
          <w:highlight w:val="none"/>
        </w:rPr>
      </w:pPr>
      <w:r>
        <w:rPr>
          <w:highlight w:val="none"/>
        </w:rPr>
        <w:t>1.信息数据审核完成率。评价标准100%为优，≥90%为良，≥80%为中，＜80%为差。</w:t>
      </w:r>
    </w:p>
    <w:p>
      <w:pPr>
        <w:pStyle w:val="6"/>
        <w:rPr>
          <w:highlight w:val="none"/>
        </w:rPr>
      </w:pPr>
      <w:r>
        <w:rPr>
          <w:highlight w:val="none"/>
        </w:rPr>
        <w:t>2.运行维护完成率。评价标准100%为优，≥90%为良，≥80%为中，＜80%为差。</w:t>
      </w:r>
    </w:p>
    <w:p>
      <w:pPr>
        <w:pStyle w:val="6"/>
        <w:rPr>
          <w:highlight w:val="none"/>
        </w:rPr>
      </w:pPr>
      <w:r>
        <w:rPr>
          <w:highlight w:val="none"/>
        </w:rPr>
        <w:t>3.监管完成率。评价标准100%为优，≥90%为良，≥80%为中，＜80%为差。</w:t>
      </w:r>
    </w:p>
    <w:p>
      <w:pPr>
        <w:pStyle w:val="6"/>
        <w:rPr>
          <w:highlight w:val="none"/>
        </w:rPr>
      </w:pPr>
      <w:r>
        <w:rPr>
          <w:highlight w:val="none"/>
        </w:rPr>
        <w:t>4.信息成果保密培训、监督、检查完成率。评价标准100%为优，≥90%为良，≥80%为中，＜80%为差。</w:t>
      </w:r>
    </w:p>
    <w:p>
      <w:pPr>
        <w:pStyle w:val="6"/>
        <w:rPr>
          <w:highlight w:val="none"/>
        </w:rPr>
      </w:pPr>
      <w:r>
        <w:rPr>
          <w:highlight w:val="none"/>
        </w:rPr>
        <w:t>5.教育完成数量（次）。评价标准≥15为优，≥13为良，≥10为中，＜10为差。</w:t>
      </w:r>
    </w:p>
    <w:p>
      <w:pPr>
        <w:pStyle w:val="6"/>
        <w:rPr>
          <w:highlight w:val="none"/>
        </w:rPr>
      </w:pPr>
      <w:r>
        <w:rPr>
          <w:highlight w:val="none"/>
        </w:rPr>
        <w:t>6.编制完成率。评价标准100%为优，≥90%为良，≥80%为中，＜80%为差。</w:t>
      </w:r>
    </w:p>
    <w:p>
      <w:pPr>
        <w:pStyle w:val="6"/>
        <w:rPr>
          <w:highlight w:val="none"/>
        </w:rPr>
      </w:pPr>
      <w:r>
        <w:rPr>
          <w:highlight w:val="none"/>
        </w:rPr>
        <w:t>7.保障服务满意度。评价标准100%为优，≥90%为良，≥80%为中，＜80%为差。</w:t>
      </w:r>
    </w:p>
    <w:p>
      <w:pPr>
        <w:pStyle w:val="6"/>
        <w:rPr>
          <w:highlight w:val="none"/>
        </w:rPr>
      </w:pPr>
      <w:r>
        <w:rPr>
          <w:highlight w:val="none"/>
        </w:rPr>
        <w:t>8.完成率。评价标准100%为优，≥90%为良，≥80%为中，＜80%为差。</w:t>
      </w:r>
    </w:p>
    <w:p>
      <w:pPr>
        <w:pStyle w:val="6"/>
        <w:rPr>
          <w:highlight w:val="none"/>
        </w:rPr>
      </w:pPr>
      <w:r>
        <w:rPr>
          <w:highlight w:val="none"/>
        </w:rPr>
        <w:t>9.更新、运行维护考核等次。评价标准五星为优，四星为良，三星为中，二星为差。</w:t>
      </w:r>
    </w:p>
    <w:p>
      <w:pPr>
        <w:pStyle w:val="6"/>
        <w:rPr>
          <w:highlight w:val="none"/>
        </w:rPr>
      </w:pPr>
      <w:r>
        <w:rPr>
          <w:highlight w:val="none"/>
        </w:rPr>
        <w:t>10.天遥感影像成果数据完成率。评价标准100%为优，≥90%为良，≥80%为中，＜80%为差。</w:t>
      </w:r>
    </w:p>
    <w:p>
      <w:pPr>
        <w:pStyle w:val="6"/>
        <w:rPr>
          <w:highlight w:val="none"/>
        </w:rPr>
      </w:pPr>
      <w:r>
        <w:rPr>
          <w:highlight w:val="none"/>
        </w:rPr>
        <w:t>11.维护完成率。评价标准100%为优，≥90%为良，≥80%为中，＜80%为差。</w:t>
      </w:r>
    </w:p>
    <w:p>
      <w:pPr>
        <w:pStyle w:val="6"/>
        <w:rPr>
          <w:highlight w:val="none"/>
        </w:rPr>
      </w:pPr>
      <w:r>
        <w:rPr>
          <w:highlight w:val="none"/>
        </w:rPr>
        <w:t>12.息成果管理及分发服务完成率。评价标准100%为优，≥90%为良，≥80%为中，＜80%为差。</w:t>
      </w:r>
    </w:p>
    <w:p>
      <w:pPr>
        <w:pStyle w:val="6"/>
        <w:rPr>
          <w:highlight w:val="none"/>
        </w:rPr>
      </w:pPr>
      <w:r>
        <w:rPr>
          <w:highlight w:val="none"/>
        </w:rPr>
        <w:t>13.设与运维完成率。评价标准100%为优，≥90%为良，≥80%为中，＜80%为差。</w:t>
      </w:r>
    </w:p>
    <w:p>
      <w:pPr>
        <w:pStyle w:val="6"/>
        <w:rPr>
          <w:highlight w:val="none"/>
        </w:rPr>
      </w:pPr>
      <w:r>
        <w:rPr>
          <w:highlight w:val="none"/>
        </w:rPr>
        <w:t>（九）林业生态建设</w:t>
      </w:r>
    </w:p>
    <w:p>
      <w:pPr>
        <w:pStyle w:val="6"/>
        <w:rPr>
          <w:highlight w:val="none"/>
        </w:rPr>
      </w:pPr>
      <w:r>
        <w:rPr>
          <w:highlight w:val="none"/>
        </w:rPr>
        <w:t>绩效目标：指导公益林、天然林的培育，组织开展森林资源动态监测。</w:t>
      </w:r>
    </w:p>
    <w:p>
      <w:pPr>
        <w:pStyle w:val="6"/>
        <w:rPr>
          <w:highlight w:val="none"/>
        </w:rPr>
      </w:pPr>
      <w:r>
        <w:rPr>
          <w:highlight w:val="none"/>
        </w:rPr>
        <w:t>绩效指标：</w:t>
      </w:r>
    </w:p>
    <w:p>
      <w:pPr>
        <w:pStyle w:val="6"/>
        <w:rPr>
          <w:highlight w:val="none"/>
        </w:rPr>
      </w:pPr>
      <w:r>
        <w:rPr>
          <w:highlight w:val="none"/>
        </w:rPr>
        <w:t>1.公益林验收合格率（%），评价标准100%为优，≥90%为良，≥80%为中，＜80%为差。</w:t>
      </w:r>
    </w:p>
    <w:p>
      <w:pPr>
        <w:pStyle w:val="6"/>
        <w:rPr>
          <w:highlight w:val="none"/>
        </w:rPr>
      </w:pPr>
      <w:r>
        <w:rPr>
          <w:highlight w:val="none"/>
        </w:rPr>
        <w:t>2. 天然林商业性采伐落界核定任务完成率。评价标准100%为优，≥90%为良，≥80%为中，＜80%为差。</w:t>
      </w:r>
    </w:p>
    <w:p>
      <w:pPr>
        <w:pStyle w:val="6"/>
        <w:rPr>
          <w:highlight w:val="none"/>
        </w:rPr>
      </w:pPr>
      <w:r>
        <w:rPr>
          <w:highlight w:val="none"/>
        </w:rPr>
        <w:t>3. 公益林面积核查完成率（%）。评价标准100%为优，≥90%为良，≥80%为中，＜80%为差。</w:t>
      </w:r>
    </w:p>
    <w:p>
      <w:pPr>
        <w:pStyle w:val="6"/>
        <w:rPr>
          <w:highlight w:val="none"/>
        </w:rPr>
      </w:pPr>
      <w:r>
        <w:rPr>
          <w:highlight w:val="none"/>
        </w:rPr>
        <w:t>（十）促进林业发展</w:t>
      </w:r>
    </w:p>
    <w:p>
      <w:pPr>
        <w:pStyle w:val="6"/>
        <w:rPr>
          <w:highlight w:val="none"/>
        </w:rPr>
      </w:pPr>
      <w:r>
        <w:rPr>
          <w:highlight w:val="none"/>
        </w:rPr>
        <w:t>绩效目标：促进现有森林蓄积率稳定健康增长预防和减少林业有害生物对森林资源造成的损失，保护林业资源.</w:t>
      </w:r>
    </w:p>
    <w:p>
      <w:pPr>
        <w:pStyle w:val="6"/>
        <w:rPr>
          <w:highlight w:val="none"/>
        </w:rPr>
      </w:pPr>
      <w:r>
        <w:rPr>
          <w:highlight w:val="none"/>
        </w:rPr>
        <w:t>绩效指标：</w:t>
      </w:r>
    </w:p>
    <w:p>
      <w:pPr>
        <w:pStyle w:val="6"/>
        <w:rPr>
          <w:highlight w:val="none"/>
        </w:rPr>
      </w:pPr>
      <w:r>
        <w:rPr>
          <w:highlight w:val="none"/>
        </w:rPr>
        <w:t>1. 森林面积保存率（%）。评价标准100%为优，≥95%为良，≥90%为中，＜90%为差。</w:t>
      </w:r>
    </w:p>
    <w:p>
      <w:pPr>
        <w:pStyle w:val="6"/>
        <w:rPr>
          <w:highlight w:val="none"/>
        </w:rPr>
      </w:pPr>
      <w:r>
        <w:rPr>
          <w:highlight w:val="none"/>
        </w:rPr>
        <w:t>2. 森林蓄积增长率（%）。评价标准≥1.5%为优，1.4%- 1%为良，0.9%- 0.5%为中，0.4</w:t>
      </w:r>
      <w:r>
        <w:rPr>
          <w:rFonts w:hint="eastAsia"/>
          <w:highlight w:val="none"/>
          <w:lang w:val="en-US" w:eastAsia="zh-CN"/>
        </w:rPr>
        <w:t>%</w:t>
      </w:r>
      <w:r>
        <w:rPr>
          <w:highlight w:val="none"/>
        </w:rPr>
        <w:t>以下为差。</w:t>
      </w:r>
    </w:p>
    <w:p>
      <w:pPr>
        <w:pStyle w:val="6"/>
        <w:rPr>
          <w:highlight w:val="none"/>
        </w:rPr>
      </w:pPr>
      <w:r>
        <w:rPr>
          <w:highlight w:val="none"/>
        </w:rPr>
        <w:t>3. 森林覆盖面积增长率（%）。评价标准4%-5%为优，3%-3.9%为良1%-2.9%为中，0.9%以下为差。</w:t>
      </w:r>
    </w:p>
    <w:p>
      <w:pPr>
        <w:pStyle w:val="6"/>
        <w:rPr>
          <w:highlight w:val="none"/>
        </w:rPr>
      </w:pPr>
      <w:r>
        <w:rPr>
          <w:highlight w:val="none"/>
        </w:rPr>
        <w:t>4. 护林员日常巡查次数（次）。评价标准350次以上为优，320-349次为良，300-319次为中，299次以下为差。</w:t>
      </w:r>
    </w:p>
    <w:p>
      <w:pPr>
        <w:pStyle w:val="6"/>
        <w:rPr>
          <w:color w:val="auto"/>
          <w:highlight w:val="none"/>
        </w:rPr>
      </w:pPr>
      <w:r>
        <w:rPr>
          <w:color w:val="auto"/>
          <w:highlight w:val="none"/>
        </w:rPr>
        <w:t>5. 林业有害生物成灾控制率。评价标准小于等于1‰为优，大于1‰小于等于2‰为良，大于2‰小于等于</w:t>
      </w:r>
      <w:r>
        <w:rPr>
          <w:rFonts w:hint="eastAsia"/>
          <w:color w:val="auto"/>
          <w:highlight w:val="none"/>
          <w:lang w:val="en-US" w:eastAsia="zh-CN"/>
        </w:rPr>
        <w:t>4</w:t>
      </w:r>
      <w:r>
        <w:rPr>
          <w:color w:val="auto"/>
          <w:highlight w:val="none"/>
        </w:rPr>
        <w:t>‰为中，</w:t>
      </w:r>
      <w:r>
        <w:rPr>
          <w:rFonts w:hint="eastAsia"/>
          <w:color w:val="auto"/>
          <w:highlight w:val="none"/>
          <w:lang w:val="en-US" w:eastAsia="zh-CN"/>
        </w:rPr>
        <w:t>4</w:t>
      </w:r>
      <w:r>
        <w:rPr>
          <w:color w:val="auto"/>
          <w:highlight w:val="none"/>
        </w:rPr>
        <w:t>‰以上为差。</w:t>
      </w:r>
    </w:p>
    <w:p>
      <w:pPr>
        <w:pStyle w:val="6"/>
        <w:rPr>
          <w:highlight w:val="none"/>
        </w:rPr>
      </w:pPr>
      <w:r>
        <w:rPr>
          <w:highlight w:val="none"/>
        </w:rPr>
        <w:t>6. 林业有害生物的防治、检疫工作完成率。评价标准90%为优，80%-89%为良，60%-79%为中，59%以下为差。</w:t>
      </w:r>
    </w:p>
    <w:p>
      <w:pPr>
        <w:pStyle w:val="6"/>
        <w:rPr>
          <w:highlight w:val="none"/>
        </w:rPr>
      </w:pPr>
      <w:r>
        <w:rPr>
          <w:highlight w:val="none"/>
        </w:rPr>
        <w:t>（十一）国有林区森林防火工作</w:t>
      </w:r>
    </w:p>
    <w:p>
      <w:pPr>
        <w:pStyle w:val="6"/>
        <w:rPr>
          <w:highlight w:val="none"/>
        </w:rPr>
      </w:pPr>
      <w:r>
        <w:rPr>
          <w:highlight w:val="none"/>
        </w:rP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pPr>
        <w:pStyle w:val="6"/>
        <w:rPr>
          <w:highlight w:val="none"/>
        </w:rPr>
      </w:pPr>
      <w:r>
        <w:rPr>
          <w:highlight w:val="none"/>
        </w:rPr>
        <w:t>绩效指标：</w:t>
      </w:r>
    </w:p>
    <w:p>
      <w:pPr>
        <w:pStyle w:val="6"/>
        <w:rPr>
          <w:highlight w:val="none"/>
        </w:rPr>
      </w:pPr>
      <w:r>
        <w:rPr>
          <w:color w:val="auto"/>
          <w:highlight w:val="none"/>
        </w:rPr>
        <w:t>1. 护林员日常巡山次数（次）。</w:t>
      </w:r>
      <w:r>
        <w:rPr>
          <w:highlight w:val="none"/>
        </w:rPr>
        <w:t>评价标准231-240为优，226-230为良，220-225为中，219以下为差。</w:t>
      </w:r>
    </w:p>
    <w:p>
      <w:pPr>
        <w:pStyle w:val="6"/>
        <w:rPr>
          <w:highlight w:val="none"/>
        </w:rPr>
      </w:pPr>
      <w:r>
        <w:rPr>
          <w:highlight w:val="none"/>
        </w:rPr>
        <w:t>2. 护林员日常巡查日志记录次数（次）。评价标准231-240为优，226-230为良，220-225为中，219以下为差。</w:t>
      </w:r>
    </w:p>
    <w:p>
      <w:pPr>
        <w:pStyle w:val="6"/>
        <w:rPr>
          <w:highlight w:val="none"/>
        </w:rPr>
      </w:pPr>
      <w:r>
        <w:rPr>
          <w:highlight w:val="none"/>
        </w:rPr>
        <w:t>3. 督查护林员巡查次数（次）。评价标准231-240为优，226-230为良，220-225为中，219以下为差。</w:t>
      </w:r>
    </w:p>
    <w:p>
      <w:pPr>
        <w:pStyle w:val="6"/>
        <w:rPr>
          <w:highlight w:val="none"/>
        </w:rPr>
      </w:pPr>
      <w:r>
        <w:rPr>
          <w:highlight w:val="none"/>
        </w:rPr>
        <w:t>4. 粉刷防火宣传标语（条）、评价标准24-25为优，22-23为良，20-21为中，19以下为差。</w:t>
      </w:r>
    </w:p>
    <w:p>
      <w:pPr>
        <w:pStyle w:val="6"/>
        <w:rPr>
          <w:highlight w:val="none"/>
        </w:rPr>
      </w:pPr>
      <w:r>
        <w:rPr>
          <w:highlight w:val="none"/>
        </w:rPr>
        <w:t>5. 悬挂森林防火条幅（条）。评价标准22-24为优，22-25为良，25-26为中，24以下为差。</w:t>
      </w:r>
    </w:p>
    <w:p>
      <w:pPr>
        <w:pStyle w:val="6"/>
        <w:rPr>
          <w:highlight w:val="none"/>
        </w:rPr>
      </w:pPr>
      <w:r>
        <w:rPr>
          <w:highlight w:val="none"/>
        </w:rPr>
        <w:t>6. 维护更换森林防火宣传碑牌（个）。评价标准28-30为优，22-25为良，25-26为中，24以下为差。</w:t>
      </w:r>
    </w:p>
    <w:p>
      <w:pPr>
        <w:pStyle w:val="6"/>
        <w:rPr>
          <w:highlight w:val="none"/>
        </w:rPr>
      </w:pPr>
      <w:r>
        <w:rPr>
          <w:highlight w:val="none"/>
        </w:rPr>
        <w:t>7. 森林边界杂草清理率。评价标准100%为优，22-26为良，90%-94%为中，89%以下为差。</w:t>
      </w:r>
    </w:p>
    <w:p>
      <w:pPr>
        <w:pStyle w:val="6"/>
        <w:rPr>
          <w:highlight w:val="none"/>
        </w:rPr>
      </w:pPr>
      <w:r>
        <w:rPr>
          <w:highlight w:val="none"/>
        </w:rPr>
        <w:t>8. 坟区杂草易燃植被清理率。评价标准100%为优，22-27为良，90%-94%为中，89%以下为差。</w:t>
      </w:r>
    </w:p>
    <w:p>
      <w:pPr>
        <w:pStyle w:val="6"/>
        <w:rPr>
          <w:highlight w:val="none"/>
        </w:rPr>
      </w:pPr>
      <w:r>
        <w:rPr>
          <w:highlight w:val="none"/>
        </w:rPr>
        <w:t>9. 森林防火隔离带完成率。评价标准100%为优，22-28为良，90%-94%为中，89%以下为差。</w:t>
      </w:r>
    </w:p>
    <w:p>
      <w:pPr>
        <w:pStyle w:val="6"/>
        <w:rPr>
          <w:highlight w:val="none"/>
        </w:rPr>
      </w:pPr>
      <w:r>
        <w:rPr>
          <w:highlight w:val="none"/>
        </w:rPr>
        <w:t>（十二）林场管理</w:t>
      </w:r>
    </w:p>
    <w:p>
      <w:pPr>
        <w:pStyle w:val="6"/>
        <w:rPr>
          <w:highlight w:val="none"/>
        </w:rPr>
      </w:pPr>
      <w:r>
        <w:rPr>
          <w:highlight w:val="none"/>
        </w:rPr>
        <w:t>绩效目标：依法依规完成年度工作任务。</w:t>
      </w:r>
    </w:p>
    <w:p>
      <w:pPr>
        <w:pStyle w:val="6"/>
        <w:rPr>
          <w:highlight w:val="none"/>
        </w:rPr>
      </w:pPr>
      <w:r>
        <w:rPr>
          <w:highlight w:val="none"/>
        </w:rPr>
        <w:t>绩效指标：</w:t>
      </w:r>
    </w:p>
    <w:p>
      <w:pPr>
        <w:pStyle w:val="6"/>
        <w:rPr>
          <w:highlight w:val="none"/>
        </w:rPr>
      </w:pPr>
      <w:r>
        <w:rPr>
          <w:highlight w:val="none"/>
        </w:rPr>
        <w:t>1. 任务完成情况与年度目标对比。评价标准完成全年工作任务90%以上为优，22-29为良，完成全年工作任务60%-84%为中，完成全年工作任务59%以下为差。</w:t>
      </w:r>
    </w:p>
    <w:p>
      <w:pPr>
        <w:pStyle w:val="6"/>
        <w:rPr>
          <w:highlight w:val="none"/>
        </w:rPr>
      </w:pPr>
      <w:r>
        <w:rPr>
          <w:highlight w:val="none"/>
        </w:rPr>
        <w:t>2. 保障国家级森林公园完好率。评价标准100%以上为优，22-30为良，90%-94%为中，89%以下为差。</w:t>
      </w:r>
    </w:p>
    <w:p>
      <w:pPr>
        <w:pStyle w:val="6"/>
        <w:rPr>
          <w:color w:val="auto"/>
          <w:highlight w:val="none"/>
        </w:rPr>
      </w:pPr>
      <w:r>
        <w:rPr>
          <w:color w:val="auto"/>
          <w:highlight w:val="none"/>
        </w:rPr>
        <w:t>3. 完成林场改革与验收各项工作任务完成率。评价标准100%上为优，22-30为良，90%-94%为中，89%以下为差。</w:t>
      </w:r>
    </w:p>
    <w:p>
      <w:pPr>
        <w:pStyle w:val="6"/>
        <w:rPr>
          <w:highlight w:val="none"/>
        </w:rPr>
      </w:pPr>
      <w:r>
        <w:rPr>
          <w:highlight w:val="none"/>
        </w:rPr>
        <w:t>（十三）负责风景名胜资源的保护、综合管理与协调工作</w:t>
      </w:r>
    </w:p>
    <w:p>
      <w:pPr>
        <w:pStyle w:val="6"/>
        <w:rPr>
          <w:highlight w:val="none"/>
        </w:rPr>
      </w:pPr>
      <w:r>
        <w:rPr>
          <w:highlight w:val="none"/>
        </w:rP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pPr>
        <w:pStyle w:val="6"/>
        <w:rPr>
          <w:highlight w:val="none"/>
        </w:rPr>
      </w:pPr>
      <w:r>
        <w:rPr>
          <w:highlight w:val="none"/>
        </w:rPr>
        <w:t>绩效指标：</w:t>
      </w:r>
    </w:p>
    <w:p>
      <w:pPr>
        <w:pStyle w:val="6"/>
        <w:rPr>
          <w:highlight w:val="none"/>
        </w:rPr>
      </w:pPr>
      <w:r>
        <w:rPr>
          <w:highlight w:val="none"/>
        </w:rPr>
        <w:t>1.规划完成率。评价标准100-96%为优，95-91%为良，90-86%为中，＜85%为差。</w:t>
      </w:r>
    </w:p>
    <w:p>
      <w:pPr>
        <w:pStyle w:val="6"/>
        <w:rPr>
          <w:highlight w:val="none"/>
        </w:rPr>
      </w:pPr>
      <w:r>
        <w:rPr>
          <w:highlight w:val="none"/>
        </w:rPr>
        <w:t>2.总体规划完成率。评价标准100-96%为优，95-91%为良，90-86%为中，＜85%为差。</w:t>
      </w:r>
    </w:p>
    <w:p>
      <w:pPr>
        <w:pStyle w:val="6"/>
        <w:rPr>
          <w:highlight w:val="none"/>
        </w:rPr>
      </w:pPr>
      <w:r>
        <w:rPr>
          <w:highlight w:val="none"/>
        </w:rPr>
        <w:t>3.工作完成率。评价标准100-96%为优，95-91%为良，90-86%为中，＜85%为差。</w:t>
      </w:r>
    </w:p>
    <w:p>
      <w:pPr>
        <w:pStyle w:val="6"/>
        <w:rPr>
          <w:highlight w:val="none"/>
        </w:rPr>
      </w:pPr>
      <w:r>
        <w:rPr>
          <w:highlight w:val="none"/>
        </w:rPr>
        <w:t>4.人文资源普查率。评价标准100-96%为优，95-91%为良，90-86%为中，＜85%为差。</w:t>
      </w:r>
    </w:p>
    <w:p>
      <w:pPr>
        <w:pStyle w:val="6"/>
        <w:rPr>
          <w:highlight w:val="none"/>
        </w:rPr>
      </w:pPr>
      <w:r>
        <w:rPr>
          <w:highlight w:val="none"/>
        </w:rPr>
        <w:t>5.自然资源普查率。评价标准100-96%为优，95-91%为良，90-86%为中，＜85%为差。</w:t>
      </w:r>
    </w:p>
    <w:p>
      <w:pPr>
        <w:pStyle w:val="6"/>
        <w:rPr>
          <w:highlight w:val="none"/>
        </w:rPr>
      </w:pPr>
      <w:r>
        <w:rPr>
          <w:highlight w:val="none"/>
        </w:rPr>
        <w:t>6.资源景点普查。评价标准100-96%为优，95-91%为良，90-86%为中，＜85%为差。</w:t>
      </w:r>
    </w:p>
    <w:p>
      <w:pPr>
        <w:pStyle w:val="6"/>
        <w:rPr>
          <w:highlight w:val="none"/>
        </w:rPr>
      </w:pPr>
      <w:r>
        <w:rPr>
          <w:highlight w:val="none"/>
        </w:rPr>
        <w:t>7.管理办法规范率。评价标准100-91%为优，90-81%为良，80-71%为中，＜70%为差。</w:t>
      </w:r>
    </w:p>
    <w:p>
      <w:pPr>
        <w:pStyle w:val="6"/>
        <w:rPr>
          <w:highlight w:val="none"/>
        </w:rPr>
      </w:pPr>
      <w:r>
        <w:rPr>
          <w:highlight w:val="none"/>
        </w:rPr>
        <w:t>8.管理办法执行率。评价标准100-91%为优，90-81%为良，80-71%为中，＜70%为差。</w:t>
      </w:r>
    </w:p>
    <w:p>
      <w:pPr>
        <w:pStyle w:val="6"/>
        <w:rPr>
          <w:highlight w:val="none"/>
        </w:rPr>
      </w:pPr>
      <w:r>
        <w:rPr>
          <w:highlight w:val="none"/>
        </w:rPr>
        <w:t>9.群众满意率。评价标准100-91%为优，90-81%为良，80-71%为中，＜70%为差。</w:t>
      </w:r>
    </w:p>
    <w:p>
      <w:pPr>
        <w:pStyle w:val="6"/>
        <w:rPr>
          <w:highlight w:val="none"/>
        </w:rPr>
      </w:pPr>
      <w:r>
        <w:rPr>
          <w:highlight w:val="none"/>
        </w:rPr>
        <w:t>10.初审通过率。评价标准100-91%为优，90-81%为良，80-71%为中，＜70%为差。</w:t>
      </w:r>
    </w:p>
    <w:p>
      <w:pPr>
        <w:pStyle w:val="6"/>
        <w:rPr>
          <w:highlight w:val="none"/>
        </w:rPr>
      </w:pPr>
      <w:r>
        <w:rPr>
          <w:highlight w:val="none"/>
        </w:rPr>
        <w:t>11.项目上报率。评价标准100-91%为优，90-81%为良，80-71%为中，＜70%为差。</w:t>
      </w:r>
    </w:p>
    <w:p>
      <w:pPr>
        <w:pStyle w:val="6"/>
        <w:rPr>
          <w:highlight w:val="none"/>
        </w:rPr>
      </w:pPr>
      <w:r>
        <w:rPr>
          <w:highlight w:val="none"/>
        </w:rPr>
        <w:t>12.项目规范率。评价标准100-91%为优，90-81%为良，80-71%为中，＜70%为差。</w:t>
      </w:r>
    </w:p>
    <w:p>
      <w:pPr>
        <w:pStyle w:val="6"/>
        <w:rPr>
          <w:highlight w:val="none"/>
        </w:rPr>
      </w:pPr>
      <w:r>
        <w:rPr>
          <w:highlight w:val="none"/>
        </w:rPr>
        <w:t>13.安全责任率。评价标准100-91%为优，90-81%为良，80-71%为中，＜70%为差。</w:t>
      </w:r>
    </w:p>
    <w:p>
      <w:pPr>
        <w:pStyle w:val="6"/>
        <w:rPr>
          <w:highlight w:val="none"/>
        </w:rPr>
      </w:pPr>
      <w:r>
        <w:rPr>
          <w:highlight w:val="none"/>
        </w:rPr>
        <w:t>14.安全设施普及率。评价标准100-91%为优，90-81%为良，80-71%为中，＜70%为差。</w:t>
      </w:r>
    </w:p>
    <w:p>
      <w:pPr>
        <w:pStyle w:val="6"/>
        <w:rPr>
          <w:highlight w:val="none"/>
        </w:rPr>
      </w:pPr>
      <w:r>
        <w:rPr>
          <w:highlight w:val="none"/>
        </w:rPr>
        <w:t>15.预防意外发生率。评价标准100-91%为优，90-81%为良，80-71%为中，＜70%为差。</w:t>
      </w:r>
    </w:p>
    <w:p>
      <w:pPr>
        <w:pStyle w:val="6"/>
        <w:rPr>
          <w:highlight w:val="none"/>
        </w:rPr>
      </w:pPr>
      <w:r>
        <w:rPr>
          <w:highlight w:val="none"/>
        </w:rPr>
        <w:t>16. 对上级主管部门及区委、区政府</w:t>
      </w:r>
      <w:bookmarkStart w:id="54" w:name="_GoBack"/>
      <w:bookmarkEnd w:id="54"/>
      <w:r>
        <w:rPr>
          <w:highlight w:val="none"/>
        </w:rPr>
        <w:t>交予的其他临时性工作进行落实。评价标准100-90%为优，89-80%为良，79-70%为中，＜69%为差。</w:t>
      </w:r>
    </w:p>
    <w:p>
      <w:pPr>
        <w:pStyle w:val="6"/>
        <w:rPr>
          <w:highlight w:val="none"/>
        </w:rPr>
      </w:pPr>
    </w:p>
    <w:p>
      <w:pPr>
        <w:pStyle w:val="6"/>
        <w:rPr>
          <w:highlight w:val="none"/>
        </w:rPr>
      </w:pPr>
      <w:r>
        <w:rPr>
          <w:highlight w:val="none"/>
        </w:rPr>
        <w:t>（十四）征收管理</w:t>
      </w:r>
    </w:p>
    <w:p>
      <w:pPr>
        <w:pStyle w:val="6"/>
        <w:rPr>
          <w:highlight w:val="none"/>
        </w:rPr>
      </w:pPr>
      <w:r>
        <w:rPr>
          <w:highlight w:val="none"/>
        </w:rPr>
        <w:t>绩效目标：依法依规完成房屋征收工作任务。</w:t>
      </w:r>
    </w:p>
    <w:p>
      <w:pPr>
        <w:pStyle w:val="6"/>
        <w:rPr>
          <w:highlight w:val="none"/>
        </w:rPr>
      </w:pPr>
      <w:r>
        <w:rPr>
          <w:highlight w:val="none"/>
        </w:rPr>
        <w:t>绩效指标：</w:t>
      </w:r>
    </w:p>
    <w:p>
      <w:pPr>
        <w:pStyle w:val="6"/>
        <w:rPr>
          <w:highlight w:val="none"/>
        </w:rPr>
      </w:pPr>
      <w:r>
        <w:rPr>
          <w:highlight w:val="none"/>
        </w:rPr>
        <w:t>1、任务完成情况与年度目标对比：评价标准完成全年工作任务90%以上为优，完成全年工作任务60%-84%为</w:t>
      </w:r>
      <w:r>
        <w:rPr>
          <w:rFonts w:hint="eastAsia"/>
          <w:highlight w:val="none"/>
          <w:lang w:eastAsia="zh-CN"/>
        </w:rPr>
        <w:t>良</w:t>
      </w:r>
      <w:r>
        <w:rPr>
          <w:highlight w:val="none"/>
        </w:rPr>
        <w:t>，完成全年工作任务59%以下为差。</w:t>
      </w:r>
    </w:p>
    <w:p>
      <w:pPr>
        <w:pStyle w:val="6"/>
        <w:rPr>
          <w:highlight w:val="none"/>
        </w:rPr>
      </w:pPr>
      <w:r>
        <w:rPr>
          <w:highlight w:val="none"/>
        </w:rPr>
        <w:t>2、发放被征收户补偿金的及时和准确率。评价标准100%以上为优，90</w:t>
      </w:r>
      <w:r>
        <w:rPr>
          <w:rFonts w:hint="eastAsia"/>
          <w:highlight w:val="none"/>
          <w:lang w:val="en-US" w:eastAsia="zh-CN"/>
        </w:rPr>
        <w:t>%</w:t>
      </w:r>
      <w:r>
        <w:rPr>
          <w:highlight w:val="none"/>
        </w:rPr>
        <w:t>-94</w:t>
      </w:r>
      <w:r>
        <w:rPr>
          <w:rFonts w:hint="eastAsia"/>
          <w:highlight w:val="none"/>
          <w:lang w:val="en-US" w:eastAsia="zh-CN"/>
        </w:rPr>
        <w:t>%</w:t>
      </w:r>
      <w:r>
        <w:rPr>
          <w:highlight w:val="none"/>
        </w:rPr>
        <w:t>为</w:t>
      </w:r>
      <w:r>
        <w:rPr>
          <w:rFonts w:hint="eastAsia"/>
          <w:highlight w:val="none"/>
          <w:lang w:eastAsia="zh-CN"/>
        </w:rPr>
        <w:t>良</w:t>
      </w:r>
      <w:r>
        <w:rPr>
          <w:highlight w:val="none"/>
        </w:rPr>
        <w:t>，89%以下为差。</w:t>
      </w:r>
    </w:p>
    <w:p>
      <w:pPr>
        <w:pStyle w:val="6"/>
        <w:rPr>
          <w:highlight w:val="none"/>
        </w:rPr>
      </w:pPr>
      <w:r>
        <w:rPr>
          <w:highlight w:val="none"/>
        </w:rPr>
        <w:t>3、完成房屋征收计划实施情况及征收补偿方案落实工作任务完成率。评价标准100%以上为优，90%-94%为</w:t>
      </w:r>
      <w:r>
        <w:rPr>
          <w:rFonts w:hint="eastAsia"/>
          <w:highlight w:val="none"/>
          <w:lang w:eastAsia="zh-CN"/>
        </w:rPr>
        <w:t>良</w:t>
      </w:r>
      <w:r>
        <w:rPr>
          <w:highlight w:val="none"/>
        </w:rPr>
        <w:t>，89%以下为差。</w:t>
      </w:r>
    </w:p>
    <w:p>
      <w:pPr>
        <w:pStyle w:val="6"/>
        <w:rPr>
          <w:highlight w:val="none"/>
        </w:rPr>
      </w:pPr>
    </w:p>
    <w:p>
      <w:pPr>
        <w:spacing w:before="10" w:after="10"/>
        <w:ind w:firstLine="560"/>
        <w:outlineLvl w:val="1"/>
        <w:rPr>
          <w:highlight w:val="none"/>
        </w:rPr>
      </w:pPr>
      <w:bookmarkStart w:id="2" w:name="_Toc_2_2_0000000003"/>
      <w:r>
        <w:rPr>
          <w:rFonts w:ascii="方正黑体_GBK" w:hAnsi="方正黑体_GBK" w:eastAsia="方正黑体_GBK" w:cs="方正黑体_GBK"/>
          <w:color w:val="000000"/>
          <w:sz w:val="28"/>
          <w:highlight w:val="none"/>
        </w:rPr>
        <w:t>三、工作保障措施</w:t>
      </w:r>
      <w:bookmarkEnd w:id="2"/>
    </w:p>
    <w:p>
      <w:pPr>
        <w:pStyle w:val="7"/>
        <w:rPr>
          <w:highlight w:val="none"/>
        </w:rPr>
      </w:pPr>
      <w:r>
        <w:rPr>
          <w:highlight w:val="none"/>
        </w:rPr>
        <w:t>三、工作保障措施</w:t>
      </w:r>
    </w:p>
    <w:p>
      <w:pPr>
        <w:pStyle w:val="7"/>
        <w:rPr>
          <w:highlight w:val="none"/>
        </w:rPr>
      </w:pPr>
      <w:r>
        <w:rPr>
          <w:highlight w:val="none"/>
        </w:rPr>
        <w:t>秦皇岛市山海关区自然资源和规划局</w:t>
      </w:r>
    </w:p>
    <w:p>
      <w:pPr>
        <w:pStyle w:val="7"/>
        <w:rPr>
          <w:highlight w:val="none"/>
        </w:rPr>
      </w:pPr>
      <w:r>
        <w:rPr>
          <w:highlight w:val="none"/>
        </w:rPr>
        <w:t>年度目标及保障措施</w:t>
      </w:r>
    </w:p>
    <w:p>
      <w:pPr>
        <w:pStyle w:val="7"/>
        <w:rPr>
          <w:highlight w:val="none"/>
        </w:rPr>
      </w:pPr>
    </w:p>
    <w:p>
      <w:pPr>
        <w:pStyle w:val="7"/>
        <w:rPr>
          <w:highlight w:val="none"/>
        </w:rPr>
      </w:pPr>
      <w:r>
        <w:rPr>
          <w:highlight w:val="none"/>
        </w:rPr>
        <w:t>（一）加强组织领导，明确工作责任。</w:t>
      </w:r>
    </w:p>
    <w:p>
      <w:pPr>
        <w:pStyle w:val="7"/>
        <w:rPr>
          <w:highlight w:val="none"/>
        </w:rPr>
      </w:pPr>
      <w:r>
        <w:rPr>
          <w:highlight w:val="none"/>
        </w:rPr>
        <w:t>高度重视预算绩效各项工作，切实加强领导，增强责任意识，召开专题会议精心谋划，周密部署，明确责任分工，重点工作成立工作专班，扎实推动，确保落实。</w:t>
      </w:r>
    </w:p>
    <w:p>
      <w:pPr>
        <w:pStyle w:val="7"/>
        <w:rPr>
          <w:highlight w:val="none"/>
        </w:rPr>
      </w:pPr>
      <w:r>
        <w:rPr>
          <w:highlight w:val="none"/>
        </w:rPr>
        <w:t>（二）完善制度建设</w:t>
      </w:r>
    </w:p>
    <w:p>
      <w:pPr>
        <w:pStyle w:val="7"/>
        <w:rPr>
          <w:highlight w:val="none"/>
        </w:rPr>
      </w:pPr>
      <w:r>
        <w:rPr>
          <w:highlight w:val="none"/>
        </w:rP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7"/>
        <w:rPr>
          <w:highlight w:val="none"/>
        </w:rPr>
      </w:pPr>
      <w:r>
        <w:rPr>
          <w:highlight w:val="none"/>
        </w:rPr>
        <w:t>（三）加强支出管理</w:t>
      </w:r>
    </w:p>
    <w:p>
      <w:pPr>
        <w:pStyle w:val="7"/>
        <w:rPr>
          <w:highlight w:val="none"/>
        </w:rPr>
      </w:pPr>
      <w:r>
        <w:rPr>
          <w:highlight w:val="none"/>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7"/>
        <w:rPr>
          <w:highlight w:val="none"/>
        </w:rPr>
      </w:pPr>
      <w:r>
        <w:rPr>
          <w:highlight w:val="none"/>
        </w:rPr>
        <w:t>（四）加强绩效运行监控</w:t>
      </w:r>
    </w:p>
    <w:p>
      <w:pPr>
        <w:pStyle w:val="7"/>
        <w:rPr>
          <w:highlight w:val="none"/>
        </w:rPr>
      </w:pPr>
      <w:r>
        <w:rPr>
          <w:highlight w:val="none"/>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7"/>
        <w:rPr>
          <w:highlight w:val="none"/>
        </w:rPr>
      </w:pPr>
      <w:r>
        <w:rPr>
          <w:highlight w:val="none"/>
        </w:rPr>
        <w:t>（五）做好绩效自评</w:t>
      </w:r>
    </w:p>
    <w:p>
      <w:pPr>
        <w:pStyle w:val="7"/>
        <w:rPr>
          <w:highlight w:val="none"/>
        </w:rPr>
      </w:pPr>
      <w:r>
        <w:rPr>
          <w:highlight w:val="none"/>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7"/>
        <w:rPr>
          <w:highlight w:val="none"/>
        </w:rPr>
      </w:pPr>
      <w:r>
        <w:rPr>
          <w:highlight w:val="none"/>
        </w:rPr>
        <w:t>（六）规范财务资产管理</w:t>
      </w:r>
    </w:p>
    <w:p>
      <w:pPr>
        <w:pStyle w:val="7"/>
        <w:rPr>
          <w:highlight w:val="none"/>
        </w:rPr>
      </w:pPr>
      <w:r>
        <w:rPr>
          <w:highlight w:val="none"/>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7"/>
        <w:rPr>
          <w:highlight w:val="none"/>
        </w:rPr>
      </w:pPr>
      <w:r>
        <w:rPr>
          <w:highlight w:val="none"/>
        </w:rPr>
        <w:t>（七）加强内部监督</w:t>
      </w:r>
    </w:p>
    <w:p>
      <w:pPr>
        <w:pStyle w:val="7"/>
        <w:rPr>
          <w:highlight w:val="none"/>
        </w:rPr>
      </w:pPr>
      <w:r>
        <w:rPr>
          <w:highlight w:val="none"/>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7"/>
        <w:rPr>
          <w:highlight w:val="none"/>
        </w:rPr>
      </w:pPr>
      <w:r>
        <w:rPr>
          <w:highlight w:val="none"/>
        </w:rPr>
        <w:t>（八）加强宣传培训调研等</w:t>
      </w:r>
    </w:p>
    <w:p>
      <w:pPr>
        <w:pStyle w:val="7"/>
        <w:rPr>
          <w:highlight w:val="none"/>
        </w:rPr>
      </w:pPr>
      <w:r>
        <w:rPr>
          <w:highlight w:val="none"/>
        </w:rP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pPr>
        <w:jc w:val="center"/>
        <w:rPr>
          <w:highlight w:val="none"/>
        </w:rP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highlight w:val="none"/>
        </w:rPr>
        <w:t xml:space="preserve"> </w:t>
      </w:r>
    </w:p>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52"/>
          <w:highlight w:val="none"/>
        </w:rPr>
        <w:t xml:space="preserve"> </w:t>
      </w:r>
    </w:p>
    <w:p>
      <w:pPr>
        <w:jc w:val="center"/>
        <w:rPr>
          <w:highlight w:val="none"/>
        </w:rPr>
      </w:pPr>
      <w:r>
        <w:rPr>
          <w:rFonts w:ascii="方正小标宋_GBK" w:hAnsi="方正小标宋_GBK" w:eastAsia="方正小标宋_GBK" w:cs="方正小标宋_GBK"/>
          <w:color w:val="000000"/>
          <w:sz w:val="44"/>
          <w:highlight w:val="none"/>
        </w:rPr>
        <w:t>第二部分</w:t>
      </w:r>
    </w:p>
    <w:p>
      <w:pPr>
        <w:jc w:val="center"/>
        <w:rPr>
          <w:highlight w:val="none"/>
        </w:rPr>
      </w:pPr>
      <w:r>
        <w:rPr>
          <w:rFonts w:ascii="方正小标宋_GBK" w:hAnsi="方正小标宋_GBK" w:eastAsia="方正小标宋_GBK" w:cs="方正小标宋_GBK"/>
          <w:color w:val="000000"/>
          <w:sz w:val="44"/>
          <w:highlight w:val="none"/>
        </w:rPr>
        <w:t xml:space="preserve"> </w:t>
      </w:r>
    </w:p>
    <w:p>
      <w:pPr>
        <w:jc w:val="center"/>
        <w:outlineLvl w:val="0"/>
        <w:rPr>
          <w:highlight w:val="none"/>
        </w:rPr>
      </w:pPr>
      <w:r>
        <w:rPr>
          <w:rFonts w:ascii="方正小标宋_GBK" w:hAnsi="方正小标宋_GBK" w:eastAsia="方正小标宋_GBK" w:cs="方正小标宋_GBK"/>
          <w:color w:val="000000"/>
          <w:sz w:val="44"/>
          <w:highlight w:val="none"/>
        </w:rPr>
        <w:t>预算项目绩效目标</w:t>
      </w:r>
    </w:p>
    <w:p>
      <w:pPr>
        <w:jc w:val="center"/>
        <w:rPr>
          <w:highlight w:val="none"/>
        </w:rP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highlight w:val="none"/>
        </w:rPr>
        <w:t xml:space="preserve"> </w:t>
      </w: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 w:name="_Toc_4_4_0000000004"/>
      <w:r>
        <w:rPr>
          <w:rFonts w:ascii="方正仿宋_GBK" w:hAnsi="方正仿宋_GBK" w:eastAsia="方正仿宋_GBK" w:cs="方正仿宋_GBK"/>
          <w:color w:val="000000"/>
          <w:sz w:val="28"/>
          <w:highlight w:val="none"/>
        </w:rPr>
        <w:t>1.车辆保险费绩效目标表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13030322P004210100069</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4.80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4.80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保证车辆的正常使用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rFonts w:hint="eastAsia" w:eastAsia="方正书宋_GBK"/>
                <w:highlight w:val="none"/>
                <w:lang w:eastAsia="zh-CN"/>
              </w:rPr>
            </w:pPr>
            <w:r>
              <w:rPr>
                <w:rFonts w:hint="eastAsia"/>
                <w:highlight w:val="none"/>
                <w:lang w:val="en-US" w:eastAsia="zh-CN"/>
              </w:rPr>
              <w:t>0</w:t>
            </w:r>
          </w:p>
        </w:tc>
        <w:tc>
          <w:tcPr>
            <w:tcW w:w="1587" w:type="dxa"/>
            <w:vAlign w:val="center"/>
          </w:tcPr>
          <w:p>
            <w:pPr>
              <w:pStyle w:val="12"/>
              <w:rPr>
                <w:highlight w:val="none"/>
              </w:rPr>
            </w:pPr>
            <w:r>
              <w:rPr>
                <w:rFonts w:hint="eastAsia"/>
                <w:highlight w:val="none"/>
                <w:lang w:val="en-US" w:eastAsia="zh-CN"/>
              </w:rPr>
              <w:t>50</w:t>
            </w:r>
            <w:r>
              <w:rPr>
                <w:highlight w:val="none"/>
              </w:rPr>
              <w:t>%</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1.保证车辆的正常使用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上缴保险的车辆数量</w:t>
            </w:r>
          </w:p>
        </w:tc>
        <w:tc>
          <w:tcPr>
            <w:tcW w:w="2891" w:type="dxa"/>
            <w:vAlign w:val="center"/>
          </w:tcPr>
          <w:p>
            <w:pPr>
              <w:pStyle w:val="10"/>
              <w:rPr>
                <w:highlight w:val="none"/>
              </w:rPr>
            </w:pPr>
            <w:r>
              <w:rPr>
                <w:highlight w:val="none"/>
              </w:rPr>
              <w:t>上缴保险的车辆数量</w:t>
            </w:r>
          </w:p>
        </w:tc>
        <w:tc>
          <w:tcPr>
            <w:tcW w:w="1276" w:type="dxa"/>
            <w:vAlign w:val="center"/>
          </w:tcPr>
          <w:p>
            <w:pPr>
              <w:pStyle w:val="10"/>
              <w:rPr>
                <w:highlight w:val="none"/>
              </w:rPr>
            </w:pPr>
            <w:r>
              <w:rPr>
                <w:highlight w:val="none"/>
              </w:rPr>
              <w:t>≥12辆</w:t>
            </w:r>
          </w:p>
        </w:tc>
        <w:tc>
          <w:tcPr>
            <w:tcW w:w="1843" w:type="dxa"/>
            <w:vAlign w:val="center"/>
          </w:tcPr>
          <w:p>
            <w:pPr>
              <w:pStyle w:val="10"/>
              <w:rPr>
                <w:highlight w:val="none"/>
              </w:rPr>
            </w:pPr>
            <w:r>
              <w:rPr>
                <w:highlight w:val="none"/>
              </w:rPr>
              <w:t>疫情常态化管理相关文件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车辆事故保险赔付率</w:t>
            </w:r>
          </w:p>
        </w:tc>
        <w:tc>
          <w:tcPr>
            <w:tcW w:w="2891" w:type="dxa"/>
            <w:vAlign w:val="center"/>
          </w:tcPr>
          <w:p>
            <w:pPr>
              <w:pStyle w:val="10"/>
              <w:rPr>
                <w:highlight w:val="none"/>
              </w:rPr>
            </w:pPr>
            <w:r>
              <w:rPr>
                <w:highlight w:val="none"/>
              </w:rPr>
              <w:t>车辆事故保险赔付率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疫情常态化管理相关文件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保险缴纳及时率</w:t>
            </w:r>
          </w:p>
        </w:tc>
        <w:tc>
          <w:tcPr>
            <w:tcW w:w="2891" w:type="dxa"/>
            <w:vAlign w:val="center"/>
          </w:tcPr>
          <w:p>
            <w:pPr>
              <w:pStyle w:val="10"/>
              <w:rPr>
                <w:highlight w:val="none"/>
              </w:rPr>
            </w:pPr>
            <w:r>
              <w:rPr>
                <w:highlight w:val="none"/>
              </w:rPr>
              <w:t>按规定时间及时缴纳保险</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疫情常态化管理相关文件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成本预算控制数</w:t>
            </w:r>
          </w:p>
        </w:tc>
        <w:tc>
          <w:tcPr>
            <w:tcW w:w="2891" w:type="dxa"/>
            <w:vAlign w:val="center"/>
          </w:tcPr>
          <w:p>
            <w:pPr>
              <w:pStyle w:val="10"/>
              <w:rPr>
                <w:highlight w:val="none"/>
              </w:rPr>
            </w:pPr>
            <w:r>
              <w:rPr>
                <w:highlight w:val="none"/>
              </w:rPr>
              <w:t>支出金额控制在预算额度内</w:t>
            </w:r>
          </w:p>
        </w:tc>
        <w:tc>
          <w:tcPr>
            <w:tcW w:w="1276" w:type="dxa"/>
            <w:vAlign w:val="center"/>
          </w:tcPr>
          <w:p>
            <w:pPr>
              <w:pStyle w:val="10"/>
              <w:rPr>
                <w:highlight w:val="none"/>
              </w:rPr>
            </w:pPr>
            <w:r>
              <w:rPr>
                <w:highlight w:val="none"/>
              </w:rPr>
              <w:t>≤48000元</w:t>
            </w:r>
          </w:p>
        </w:tc>
        <w:tc>
          <w:tcPr>
            <w:tcW w:w="1843" w:type="dxa"/>
            <w:vAlign w:val="center"/>
          </w:tcPr>
          <w:p>
            <w:pPr>
              <w:pStyle w:val="10"/>
              <w:rPr>
                <w:highlight w:val="none"/>
              </w:rPr>
            </w:pPr>
            <w:r>
              <w:rPr>
                <w:highlight w:val="none"/>
              </w:rPr>
              <w:t>疫情常态化管理相关文件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保证用车安全</w:t>
            </w:r>
          </w:p>
        </w:tc>
        <w:tc>
          <w:tcPr>
            <w:tcW w:w="2891" w:type="dxa"/>
            <w:vAlign w:val="center"/>
          </w:tcPr>
          <w:p>
            <w:pPr>
              <w:pStyle w:val="10"/>
              <w:rPr>
                <w:highlight w:val="none"/>
              </w:rPr>
            </w:pPr>
            <w:r>
              <w:rPr>
                <w:highlight w:val="none"/>
              </w:rPr>
              <w:t>保证用车安全，减轻单位出车事故负担</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疫情常态化管理相关文件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color w:val="auto"/>
                <w:highlight w:val="none"/>
              </w:rPr>
            </w:pPr>
            <w:r>
              <w:rPr>
                <w:color w:val="auto"/>
                <w:highlight w:val="none"/>
              </w:rPr>
              <w:t>满意度指标</w:t>
            </w:r>
          </w:p>
        </w:tc>
        <w:tc>
          <w:tcPr>
            <w:tcW w:w="1276" w:type="dxa"/>
            <w:vAlign w:val="center"/>
          </w:tcPr>
          <w:p>
            <w:pPr>
              <w:pStyle w:val="10"/>
              <w:rPr>
                <w:color w:val="auto"/>
                <w:highlight w:val="none"/>
              </w:rPr>
            </w:pPr>
            <w:r>
              <w:rPr>
                <w:color w:val="auto"/>
                <w:highlight w:val="none"/>
              </w:rPr>
              <w:t>服务对象满意度指标</w:t>
            </w:r>
          </w:p>
        </w:tc>
        <w:tc>
          <w:tcPr>
            <w:tcW w:w="1332" w:type="dxa"/>
            <w:vAlign w:val="center"/>
          </w:tcPr>
          <w:p>
            <w:pPr>
              <w:pStyle w:val="10"/>
              <w:rPr>
                <w:color w:val="auto"/>
                <w:highlight w:val="none"/>
              </w:rPr>
            </w:pPr>
            <w:r>
              <w:rPr>
                <w:color w:val="auto"/>
                <w:highlight w:val="none"/>
              </w:rPr>
              <w:t>服务对象满意度</w:t>
            </w:r>
          </w:p>
        </w:tc>
        <w:tc>
          <w:tcPr>
            <w:tcW w:w="2891" w:type="dxa"/>
            <w:vAlign w:val="center"/>
          </w:tcPr>
          <w:p>
            <w:pPr>
              <w:pStyle w:val="10"/>
              <w:rPr>
                <w:color w:val="auto"/>
                <w:highlight w:val="none"/>
              </w:rPr>
            </w:pPr>
            <w:r>
              <w:rPr>
                <w:color w:val="auto"/>
                <w:highlight w:val="none"/>
              </w:rPr>
              <w:t>服务对象满意度</w:t>
            </w:r>
          </w:p>
        </w:tc>
        <w:tc>
          <w:tcPr>
            <w:tcW w:w="1276" w:type="dxa"/>
            <w:vAlign w:val="center"/>
          </w:tcPr>
          <w:p>
            <w:pPr>
              <w:pStyle w:val="10"/>
              <w:rPr>
                <w:color w:val="auto"/>
                <w:highlight w:val="none"/>
              </w:rPr>
            </w:pPr>
            <w:r>
              <w:rPr>
                <w:color w:val="auto"/>
                <w:highlight w:val="none"/>
              </w:rPr>
              <w:t>≥90%</w:t>
            </w:r>
          </w:p>
        </w:tc>
        <w:tc>
          <w:tcPr>
            <w:tcW w:w="1843" w:type="dxa"/>
            <w:vAlign w:val="center"/>
          </w:tcPr>
          <w:p>
            <w:pPr>
              <w:pStyle w:val="10"/>
              <w:rPr>
                <w:color w:val="auto"/>
                <w:highlight w:val="none"/>
              </w:rPr>
            </w:pPr>
            <w:r>
              <w:rPr>
                <w:color w:val="auto"/>
                <w:highlight w:val="none"/>
              </w:rPr>
              <w:t>问卷调查</w:t>
            </w:r>
          </w:p>
        </w:tc>
      </w:tr>
    </w:tbl>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4" w:name="_Toc_4_4_0000000005"/>
      <w:r>
        <w:rPr>
          <w:rFonts w:ascii="方正仿宋_GBK" w:hAnsi="方正仿宋_GBK" w:eastAsia="方正仿宋_GBK" w:cs="方正仿宋_GBK"/>
          <w:color w:val="000000"/>
          <w:sz w:val="28"/>
          <w:highlight w:val="none"/>
        </w:rPr>
        <w:t>2.2019-2021年度造林绿化所需资金补助绩效目标表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13030322P004256100164</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2019-2021年度造林绿化所需资金补助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240.00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240.00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保证2019-2021年度造林绿化所需资金的正确使用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1.保证2019-2021年度造林绿化所需资金的正确使用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完成造林绿化面积</w:t>
            </w:r>
          </w:p>
        </w:tc>
        <w:tc>
          <w:tcPr>
            <w:tcW w:w="2891" w:type="dxa"/>
            <w:vAlign w:val="center"/>
          </w:tcPr>
          <w:p>
            <w:pPr>
              <w:pStyle w:val="10"/>
              <w:rPr>
                <w:highlight w:val="none"/>
              </w:rPr>
            </w:pPr>
            <w:r>
              <w:rPr>
                <w:highlight w:val="none"/>
              </w:rPr>
              <w:t>完成造林绿化面积</w:t>
            </w:r>
          </w:p>
        </w:tc>
        <w:tc>
          <w:tcPr>
            <w:tcW w:w="1276" w:type="dxa"/>
            <w:vAlign w:val="center"/>
          </w:tcPr>
          <w:p>
            <w:pPr>
              <w:pStyle w:val="10"/>
              <w:rPr>
                <w:highlight w:val="none"/>
              </w:rPr>
            </w:pPr>
            <w:r>
              <w:rPr>
                <w:highlight w:val="none"/>
              </w:rPr>
              <w:t>≥8660亩</w:t>
            </w:r>
          </w:p>
        </w:tc>
        <w:tc>
          <w:tcPr>
            <w:tcW w:w="1843" w:type="dxa"/>
            <w:vAlign w:val="center"/>
          </w:tcPr>
          <w:p>
            <w:pPr>
              <w:pStyle w:val="10"/>
              <w:rPr>
                <w:highlight w:val="none"/>
              </w:rPr>
            </w:pPr>
            <w:r>
              <w:rPr>
                <w:highlight w:val="none"/>
              </w:rP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造林绿化地块存活率</w:t>
            </w:r>
          </w:p>
        </w:tc>
        <w:tc>
          <w:tcPr>
            <w:tcW w:w="2891" w:type="dxa"/>
            <w:vAlign w:val="center"/>
          </w:tcPr>
          <w:p>
            <w:pPr>
              <w:pStyle w:val="10"/>
              <w:rPr>
                <w:highlight w:val="none"/>
              </w:rPr>
            </w:pPr>
            <w:r>
              <w:rPr>
                <w:highlight w:val="none"/>
              </w:rPr>
              <w:t>造林绿化地块存活率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造林绿化完成的及时率</w:t>
            </w:r>
          </w:p>
        </w:tc>
        <w:tc>
          <w:tcPr>
            <w:tcW w:w="2891" w:type="dxa"/>
            <w:vAlign w:val="center"/>
          </w:tcPr>
          <w:p>
            <w:pPr>
              <w:pStyle w:val="10"/>
              <w:rPr>
                <w:highlight w:val="none"/>
              </w:rPr>
            </w:pPr>
            <w:r>
              <w:rPr>
                <w:highlight w:val="none"/>
              </w:rPr>
              <w:t>造林绿化按计划及时开展</w:t>
            </w:r>
          </w:p>
        </w:tc>
        <w:tc>
          <w:tcPr>
            <w:tcW w:w="1276" w:type="dxa"/>
            <w:vAlign w:val="center"/>
          </w:tcPr>
          <w:p>
            <w:pPr>
              <w:pStyle w:val="10"/>
              <w:rPr>
                <w:highlight w:val="none"/>
              </w:rPr>
            </w:pPr>
            <w:r>
              <w:rPr>
                <w:rFonts w:hint="eastAsia"/>
                <w:highlight w:val="none"/>
                <w:lang w:val="en-US" w:eastAsia="zh-CN"/>
              </w:rPr>
              <w:t>=</w:t>
            </w:r>
            <w:r>
              <w:rPr>
                <w:highlight w:val="none"/>
              </w:rPr>
              <w:t>100%</w:t>
            </w:r>
          </w:p>
        </w:tc>
        <w:tc>
          <w:tcPr>
            <w:tcW w:w="1843" w:type="dxa"/>
            <w:vAlign w:val="center"/>
          </w:tcPr>
          <w:p>
            <w:pPr>
              <w:pStyle w:val="10"/>
              <w:rPr>
                <w:highlight w:val="none"/>
              </w:rPr>
            </w:pPr>
            <w:r>
              <w:rPr>
                <w:highlight w:val="none"/>
              </w:rP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造林绿化补偿的支出</w:t>
            </w:r>
          </w:p>
        </w:tc>
        <w:tc>
          <w:tcPr>
            <w:tcW w:w="2891" w:type="dxa"/>
            <w:vAlign w:val="center"/>
          </w:tcPr>
          <w:p>
            <w:pPr>
              <w:pStyle w:val="10"/>
              <w:rPr>
                <w:highlight w:val="none"/>
              </w:rPr>
            </w:pPr>
            <w:r>
              <w:rPr>
                <w:highlight w:val="none"/>
              </w:rPr>
              <w:t>造林绿化补偿的支出</w:t>
            </w:r>
          </w:p>
        </w:tc>
        <w:tc>
          <w:tcPr>
            <w:tcW w:w="1276" w:type="dxa"/>
            <w:vAlign w:val="center"/>
          </w:tcPr>
          <w:p>
            <w:pPr>
              <w:pStyle w:val="10"/>
              <w:rPr>
                <w:highlight w:val="none"/>
              </w:rPr>
            </w:pPr>
            <w:r>
              <w:rPr>
                <w:highlight w:val="none"/>
              </w:rPr>
              <w:t>≤240万元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改善城乡的生态环境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问卷调查</w:t>
            </w:r>
          </w:p>
        </w:tc>
      </w:tr>
    </w:tbl>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5" w:name="_Toc_4_4_0000000006"/>
      <w:r>
        <w:rPr>
          <w:rFonts w:ascii="方正仿宋_GBK" w:hAnsi="方正仿宋_GBK" w:eastAsia="方正仿宋_GBK" w:cs="方正仿宋_GBK"/>
          <w:color w:val="000000"/>
          <w:sz w:val="28"/>
          <w:highlight w:val="none"/>
        </w:rPr>
        <w:t>3.2019年林业改革发展资金-森林生态效益补偿-管护补助绩效目标表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13030322P00423010003W</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2019年林业改革发展资金-森林生态效益补偿-管护补助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8.61</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8.61</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开展国家级公益林监督检查，促进我区生态林业与经济社会和谐发展</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1.开展国家级公益林监督检查，促进我区生态林业与经济社会和谐发展</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国家级公益林管护面积</w:t>
            </w:r>
          </w:p>
        </w:tc>
        <w:tc>
          <w:tcPr>
            <w:tcW w:w="2891" w:type="dxa"/>
            <w:vAlign w:val="center"/>
          </w:tcPr>
          <w:p>
            <w:pPr>
              <w:pStyle w:val="10"/>
              <w:rPr>
                <w:highlight w:val="none"/>
              </w:rPr>
            </w:pPr>
            <w:r>
              <w:rPr>
                <w:highlight w:val="none"/>
              </w:rPr>
              <w:t>国家级公益林管护面积</w:t>
            </w:r>
          </w:p>
        </w:tc>
        <w:tc>
          <w:tcPr>
            <w:tcW w:w="1276" w:type="dxa"/>
            <w:vAlign w:val="center"/>
          </w:tcPr>
          <w:p>
            <w:pPr>
              <w:pStyle w:val="10"/>
              <w:rPr>
                <w:highlight w:val="none"/>
              </w:rPr>
            </w:pPr>
            <w:r>
              <w:rPr>
                <w:highlight w:val="none"/>
              </w:rPr>
              <w:t>≥5500亩</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公益林保存率</w:t>
            </w:r>
          </w:p>
        </w:tc>
        <w:tc>
          <w:tcPr>
            <w:tcW w:w="2891" w:type="dxa"/>
            <w:vAlign w:val="center"/>
          </w:tcPr>
          <w:p>
            <w:pPr>
              <w:pStyle w:val="10"/>
              <w:rPr>
                <w:highlight w:val="none"/>
              </w:rPr>
            </w:pPr>
            <w:r>
              <w:rPr>
                <w:highlight w:val="none"/>
              </w:rPr>
              <w:t>公益林保存率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各项工作开展及时率</w:t>
            </w:r>
          </w:p>
        </w:tc>
        <w:tc>
          <w:tcPr>
            <w:tcW w:w="2891" w:type="dxa"/>
            <w:vAlign w:val="center"/>
          </w:tcPr>
          <w:p>
            <w:pPr>
              <w:pStyle w:val="10"/>
              <w:rPr>
                <w:highlight w:val="none"/>
              </w:rPr>
            </w:pPr>
            <w:r>
              <w:rPr>
                <w:highlight w:val="none"/>
              </w:rPr>
              <w:t>各项工作按计划及时开展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国家级公益林管护成本</w:t>
            </w:r>
          </w:p>
        </w:tc>
        <w:tc>
          <w:tcPr>
            <w:tcW w:w="2891" w:type="dxa"/>
            <w:vAlign w:val="center"/>
          </w:tcPr>
          <w:p>
            <w:pPr>
              <w:pStyle w:val="10"/>
              <w:rPr>
                <w:highlight w:val="none"/>
              </w:rPr>
            </w:pPr>
            <w:r>
              <w:rPr>
                <w:highlight w:val="none"/>
              </w:rPr>
              <w:t>国家级公益林管护中央财政补助成本</w:t>
            </w:r>
          </w:p>
        </w:tc>
        <w:tc>
          <w:tcPr>
            <w:tcW w:w="1276" w:type="dxa"/>
            <w:vAlign w:val="center"/>
          </w:tcPr>
          <w:p>
            <w:pPr>
              <w:pStyle w:val="10"/>
              <w:rPr>
                <w:highlight w:val="none"/>
              </w:rPr>
            </w:pPr>
            <w:r>
              <w:rPr>
                <w:highlight w:val="none"/>
              </w:rPr>
              <w:t>≤8.61元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逐步加快</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6" w:name="_Toc_4_4_0000000007"/>
      <w:r>
        <w:rPr>
          <w:rFonts w:ascii="方正仿宋_GBK" w:hAnsi="方正仿宋_GBK" w:eastAsia="方正仿宋_GBK" w:cs="方正仿宋_GBK"/>
          <w:color w:val="000000"/>
          <w:sz w:val="28"/>
          <w:highlight w:val="none"/>
        </w:rPr>
        <w:t>4.2020年林业改革发展资金-森林生态效益补助-管护补助绩效目标表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13030322P004230100029</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2020年林业改革发展资金-森林生态效益补助-管护补助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7.83</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7.83</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保证项目的正常运行</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1.保证项目的正常运行</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国家级公益林管护面积</w:t>
            </w:r>
          </w:p>
        </w:tc>
        <w:tc>
          <w:tcPr>
            <w:tcW w:w="2891" w:type="dxa"/>
            <w:vAlign w:val="center"/>
          </w:tcPr>
          <w:p>
            <w:pPr>
              <w:pStyle w:val="10"/>
              <w:rPr>
                <w:highlight w:val="none"/>
              </w:rPr>
            </w:pPr>
            <w:r>
              <w:rPr>
                <w:highlight w:val="none"/>
              </w:rPr>
              <w:t>国家级公益林管护面积</w:t>
            </w:r>
          </w:p>
        </w:tc>
        <w:tc>
          <w:tcPr>
            <w:tcW w:w="1276" w:type="dxa"/>
            <w:vAlign w:val="center"/>
          </w:tcPr>
          <w:p>
            <w:pPr>
              <w:pStyle w:val="10"/>
              <w:rPr>
                <w:highlight w:val="none"/>
              </w:rPr>
            </w:pPr>
            <w:r>
              <w:rPr>
                <w:highlight w:val="none"/>
              </w:rPr>
              <w:t>≥5500亩</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公益林保存率</w:t>
            </w:r>
          </w:p>
        </w:tc>
        <w:tc>
          <w:tcPr>
            <w:tcW w:w="2891" w:type="dxa"/>
            <w:vAlign w:val="center"/>
          </w:tcPr>
          <w:p>
            <w:pPr>
              <w:pStyle w:val="10"/>
              <w:rPr>
                <w:highlight w:val="none"/>
              </w:rPr>
            </w:pPr>
            <w:r>
              <w:rPr>
                <w:highlight w:val="none"/>
              </w:rPr>
              <w:t>公益林保存率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各项工作开展及时率</w:t>
            </w:r>
          </w:p>
        </w:tc>
        <w:tc>
          <w:tcPr>
            <w:tcW w:w="2891" w:type="dxa"/>
            <w:vAlign w:val="center"/>
          </w:tcPr>
          <w:p>
            <w:pPr>
              <w:pStyle w:val="10"/>
              <w:rPr>
                <w:highlight w:val="none"/>
              </w:rPr>
            </w:pPr>
            <w:r>
              <w:rPr>
                <w:highlight w:val="none"/>
              </w:rPr>
              <w:t>各项工作按计划及时开展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国家级公益林管护成本</w:t>
            </w:r>
          </w:p>
        </w:tc>
        <w:tc>
          <w:tcPr>
            <w:tcW w:w="2891" w:type="dxa"/>
            <w:vAlign w:val="center"/>
          </w:tcPr>
          <w:p>
            <w:pPr>
              <w:pStyle w:val="10"/>
              <w:rPr>
                <w:highlight w:val="none"/>
              </w:rPr>
            </w:pPr>
            <w:r>
              <w:rPr>
                <w:highlight w:val="none"/>
              </w:rPr>
              <w:t>国家级公益林管护中央财政补助成本</w:t>
            </w:r>
          </w:p>
        </w:tc>
        <w:tc>
          <w:tcPr>
            <w:tcW w:w="1276" w:type="dxa"/>
            <w:vAlign w:val="center"/>
          </w:tcPr>
          <w:p>
            <w:pPr>
              <w:pStyle w:val="10"/>
              <w:rPr>
                <w:highlight w:val="none"/>
              </w:rPr>
            </w:pPr>
            <w:r>
              <w:rPr>
                <w:highlight w:val="none"/>
              </w:rPr>
              <w:t>≤7.83元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逐步加快</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7" w:name="_Toc_4_4_0000000008"/>
      <w:r>
        <w:rPr>
          <w:rFonts w:ascii="方正仿宋_GBK" w:hAnsi="方正仿宋_GBK" w:eastAsia="方正仿宋_GBK" w:cs="方正仿宋_GBK"/>
          <w:color w:val="000000"/>
          <w:sz w:val="28"/>
          <w:highlight w:val="none"/>
        </w:rPr>
        <w:t>5.2020年绿色秦皇岛工程补助资金绩效目标表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13030322P00424810001A</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2020年绿色秦皇岛工程补助资金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53.47</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53.47</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2020年绿色秦皇岛工程补助资金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1.保证2020年绿色秦皇岛工程补助资金的正确使用和发放</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完成造林绿化面积</w:t>
            </w:r>
          </w:p>
        </w:tc>
        <w:tc>
          <w:tcPr>
            <w:tcW w:w="2891" w:type="dxa"/>
            <w:vAlign w:val="center"/>
          </w:tcPr>
          <w:p>
            <w:pPr>
              <w:pStyle w:val="10"/>
              <w:rPr>
                <w:highlight w:val="none"/>
              </w:rPr>
            </w:pPr>
            <w:r>
              <w:rPr>
                <w:highlight w:val="none"/>
              </w:rPr>
              <w:t>完成造林绿化面积</w:t>
            </w:r>
          </w:p>
        </w:tc>
        <w:tc>
          <w:tcPr>
            <w:tcW w:w="1276" w:type="dxa"/>
            <w:vAlign w:val="center"/>
          </w:tcPr>
          <w:p>
            <w:pPr>
              <w:pStyle w:val="10"/>
              <w:rPr>
                <w:highlight w:val="none"/>
              </w:rPr>
            </w:pPr>
            <w:r>
              <w:rPr>
                <w:highlight w:val="none"/>
              </w:rPr>
              <w:t>≥1800亩</w:t>
            </w:r>
          </w:p>
        </w:tc>
        <w:tc>
          <w:tcPr>
            <w:tcW w:w="1843" w:type="dxa"/>
            <w:vAlign w:val="center"/>
          </w:tcPr>
          <w:p>
            <w:pPr>
              <w:pStyle w:val="10"/>
              <w:rPr>
                <w:highlight w:val="none"/>
              </w:rPr>
            </w:pPr>
            <w:r>
              <w:rPr>
                <w:highlight w:val="none"/>
              </w:rPr>
              <w:t>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造林绿化地块存活率</w:t>
            </w:r>
          </w:p>
        </w:tc>
        <w:tc>
          <w:tcPr>
            <w:tcW w:w="2891" w:type="dxa"/>
            <w:vAlign w:val="center"/>
          </w:tcPr>
          <w:p>
            <w:pPr>
              <w:pStyle w:val="10"/>
              <w:rPr>
                <w:highlight w:val="none"/>
              </w:rPr>
            </w:pPr>
            <w:r>
              <w:rPr>
                <w:highlight w:val="none"/>
              </w:rPr>
              <w:t>造林绿化地块存活率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2依据《关于创建全国绿化模范城市的意见》（秦字【2007】10号）和《关于加快建设绿色秦皇岛的实施意见》（秦字【2006】3号）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造林绿化完成的及时率</w:t>
            </w:r>
          </w:p>
        </w:tc>
        <w:tc>
          <w:tcPr>
            <w:tcW w:w="2891" w:type="dxa"/>
            <w:vAlign w:val="center"/>
          </w:tcPr>
          <w:p>
            <w:pPr>
              <w:pStyle w:val="10"/>
              <w:rPr>
                <w:highlight w:val="none"/>
              </w:rPr>
            </w:pPr>
            <w:r>
              <w:rPr>
                <w:highlight w:val="none"/>
              </w:rPr>
              <w:t>造林绿化按计划及时开展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造林绿化补偿的支出</w:t>
            </w:r>
          </w:p>
        </w:tc>
        <w:tc>
          <w:tcPr>
            <w:tcW w:w="2891" w:type="dxa"/>
            <w:vAlign w:val="center"/>
          </w:tcPr>
          <w:p>
            <w:pPr>
              <w:pStyle w:val="10"/>
              <w:rPr>
                <w:highlight w:val="none"/>
              </w:rPr>
            </w:pPr>
            <w:r>
              <w:rPr>
                <w:highlight w:val="none"/>
              </w:rPr>
              <w:t>造林绿化补偿的支出</w:t>
            </w:r>
          </w:p>
        </w:tc>
        <w:tc>
          <w:tcPr>
            <w:tcW w:w="1276" w:type="dxa"/>
            <w:vAlign w:val="center"/>
          </w:tcPr>
          <w:p>
            <w:pPr>
              <w:pStyle w:val="10"/>
              <w:rPr>
                <w:highlight w:val="none"/>
              </w:rPr>
            </w:pPr>
            <w:r>
              <w:rPr>
                <w:highlight w:val="none"/>
              </w:rPr>
              <w:t>≤53.47万元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改善城乡的生态环境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8" w:name="_Toc_4_4_0000000009"/>
      <w:r>
        <w:rPr>
          <w:rFonts w:ascii="方正仿宋_GBK" w:hAnsi="方正仿宋_GBK" w:eastAsia="方正仿宋_GBK" w:cs="方正仿宋_GBK"/>
          <w:color w:val="000000"/>
          <w:sz w:val="28"/>
          <w:highlight w:val="none"/>
        </w:rPr>
        <w:t>6.2020年省级林业发展补助资金绩效目标表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13030322P004250100014</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2020年省级林业发展补助资金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165.00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165.00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改善城乡的生态环境</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1.改善城乡的生态环境</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完成造林绿化面积</w:t>
            </w:r>
          </w:p>
        </w:tc>
        <w:tc>
          <w:tcPr>
            <w:tcW w:w="2891" w:type="dxa"/>
            <w:vAlign w:val="center"/>
          </w:tcPr>
          <w:p>
            <w:pPr>
              <w:pStyle w:val="10"/>
              <w:rPr>
                <w:highlight w:val="none"/>
              </w:rPr>
            </w:pPr>
            <w:r>
              <w:rPr>
                <w:highlight w:val="none"/>
              </w:rPr>
              <w:t>完成造林绿化面积</w:t>
            </w:r>
          </w:p>
        </w:tc>
        <w:tc>
          <w:tcPr>
            <w:tcW w:w="1276" w:type="dxa"/>
            <w:vAlign w:val="center"/>
          </w:tcPr>
          <w:p>
            <w:pPr>
              <w:pStyle w:val="10"/>
              <w:rPr>
                <w:highlight w:val="none"/>
              </w:rPr>
            </w:pPr>
            <w:r>
              <w:rPr>
                <w:highlight w:val="none"/>
              </w:rPr>
              <w:t>≥2100亩</w:t>
            </w:r>
          </w:p>
        </w:tc>
        <w:tc>
          <w:tcPr>
            <w:tcW w:w="1843" w:type="dxa"/>
            <w:vAlign w:val="center"/>
          </w:tcPr>
          <w:p>
            <w:pPr>
              <w:pStyle w:val="10"/>
              <w:rPr>
                <w:highlight w:val="none"/>
              </w:rPr>
            </w:pPr>
            <w:r>
              <w:rPr>
                <w:highlight w:val="none"/>
              </w:rPr>
              <w:t>2020年山海关区造林绿化实施方案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造林绿化地块存活率</w:t>
            </w:r>
          </w:p>
        </w:tc>
        <w:tc>
          <w:tcPr>
            <w:tcW w:w="2891" w:type="dxa"/>
            <w:vAlign w:val="center"/>
          </w:tcPr>
          <w:p>
            <w:pPr>
              <w:pStyle w:val="10"/>
              <w:rPr>
                <w:highlight w:val="none"/>
              </w:rPr>
            </w:pPr>
            <w:r>
              <w:rPr>
                <w:highlight w:val="none"/>
              </w:rPr>
              <w:t>造林绿化地块存活率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2020年山海关区造林绿化实施方案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造林绿化完成的及时率</w:t>
            </w:r>
          </w:p>
        </w:tc>
        <w:tc>
          <w:tcPr>
            <w:tcW w:w="2891" w:type="dxa"/>
            <w:vAlign w:val="center"/>
          </w:tcPr>
          <w:p>
            <w:pPr>
              <w:pStyle w:val="10"/>
              <w:rPr>
                <w:highlight w:val="none"/>
              </w:rPr>
            </w:pPr>
            <w:r>
              <w:rPr>
                <w:highlight w:val="none"/>
              </w:rPr>
              <w:t>造林绿化按计划及时开展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2020年山海关区造林绿化实施方案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造林绿化补偿的支出</w:t>
            </w:r>
          </w:p>
        </w:tc>
        <w:tc>
          <w:tcPr>
            <w:tcW w:w="2891" w:type="dxa"/>
            <w:vAlign w:val="center"/>
          </w:tcPr>
          <w:p>
            <w:pPr>
              <w:pStyle w:val="10"/>
              <w:rPr>
                <w:highlight w:val="none"/>
              </w:rPr>
            </w:pPr>
            <w:r>
              <w:rPr>
                <w:highlight w:val="none"/>
              </w:rPr>
              <w:t>造林绿化补偿的支出</w:t>
            </w:r>
          </w:p>
        </w:tc>
        <w:tc>
          <w:tcPr>
            <w:tcW w:w="1276" w:type="dxa"/>
            <w:vAlign w:val="center"/>
          </w:tcPr>
          <w:p>
            <w:pPr>
              <w:pStyle w:val="10"/>
              <w:rPr>
                <w:highlight w:val="none"/>
              </w:rPr>
            </w:pPr>
            <w:r>
              <w:rPr>
                <w:highlight w:val="none"/>
              </w:rPr>
              <w:t>≤165万元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改善城乡的生态环境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9" w:name="_Toc_4_4_0000000010"/>
      <w:r>
        <w:rPr>
          <w:rFonts w:ascii="方正仿宋_GBK" w:hAnsi="方正仿宋_GBK" w:eastAsia="方正仿宋_GBK" w:cs="方正仿宋_GBK"/>
          <w:color w:val="000000"/>
          <w:sz w:val="28"/>
          <w:highlight w:val="none"/>
        </w:rPr>
        <w:t>7.2021年度山海关区沿海防护林工程补助绩效目标表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13030322P004249100010</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2021年度山海关区沿海防护林工程补助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115.89</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115.89</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保证2021年度山海关区沿海防护林工程护林工程补助的正确使用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1.保证2021年度山海关区沿海防护林工程护林工程补助的正确使用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完成造林绿化面积</w:t>
            </w:r>
          </w:p>
        </w:tc>
        <w:tc>
          <w:tcPr>
            <w:tcW w:w="2891" w:type="dxa"/>
            <w:vAlign w:val="center"/>
          </w:tcPr>
          <w:p>
            <w:pPr>
              <w:pStyle w:val="10"/>
              <w:rPr>
                <w:highlight w:val="none"/>
              </w:rPr>
            </w:pPr>
            <w:r>
              <w:rPr>
                <w:highlight w:val="none"/>
              </w:rPr>
              <w:t>完成造林绿化面积</w:t>
            </w:r>
          </w:p>
        </w:tc>
        <w:tc>
          <w:tcPr>
            <w:tcW w:w="1276" w:type="dxa"/>
            <w:vAlign w:val="center"/>
          </w:tcPr>
          <w:p>
            <w:pPr>
              <w:pStyle w:val="10"/>
              <w:rPr>
                <w:highlight w:val="none"/>
              </w:rPr>
            </w:pPr>
            <w:r>
              <w:rPr>
                <w:highlight w:val="none"/>
              </w:rPr>
              <w:t>≥2317.72亩</w:t>
            </w:r>
          </w:p>
        </w:tc>
        <w:tc>
          <w:tcPr>
            <w:tcW w:w="1843" w:type="dxa"/>
            <w:vAlign w:val="center"/>
          </w:tcPr>
          <w:p>
            <w:pPr>
              <w:pStyle w:val="10"/>
              <w:rPr>
                <w:highlight w:val="none"/>
              </w:rPr>
            </w:pPr>
            <w:r>
              <w:rPr>
                <w:highlight w:val="none"/>
              </w:rPr>
              <w:t>依据《山海关区沿海防护林工程》）设计和市级财政下达资金文件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造林绿化地块存活率</w:t>
            </w:r>
          </w:p>
        </w:tc>
        <w:tc>
          <w:tcPr>
            <w:tcW w:w="2891" w:type="dxa"/>
            <w:vAlign w:val="center"/>
          </w:tcPr>
          <w:p>
            <w:pPr>
              <w:pStyle w:val="10"/>
              <w:rPr>
                <w:highlight w:val="none"/>
              </w:rPr>
            </w:pPr>
            <w:r>
              <w:rPr>
                <w:highlight w:val="none"/>
              </w:rPr>
              <w:t>造林绿化地块存活率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依据《山海关区沿海防护林工程》）设计和市级财政下达资金文件）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造林绿化完成的及时率</w:t>
            </w:r>
          </w:p>
        </w:tc>
        <w:tc>
          <w:tcPr>
            <w:tcW w:w="2891" w:type="dxa"/>
            <w:vAlign w:val="center"/>
          </w:tcPr>
          <w:p>
            <w:pPr>
              <w:pStyle w:val="10"/>
              <w:rPr>
                <w:highlight w:val="none"/>
              </w:rPr>
            </w:pPr>
            <w:r>
              <w:rPr>
                <w:highlight w:val="none"/>
              </w:rPr>
              <w:t>造林绿化按计划及时开展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依据《山海关区沿海防护林工程》）设计和市级财政下达资金文件）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造林绿化补偿的支出</w:t>
            </w:r>
          </w:p>
        </w:tc>
        <w:tc>
          <w:tcPr>
            <w:tcW w:w="2891" w:type="dxa"/>
            <w:vAlign w:val="center"/>
          </w:tcPr>
          <w:p>
            <w:pPr>
              <w:pStyle w:val="10"/>
              <w:rPr>
                <w:highlight w:val="none"/>
              </w:rPr>
            </w:pPr>
            <w:r>
              <w:rPr>
                <w:highlight w:val="none"/>
              </w:rPr>
              <w:t>造林绿化补偿的支出</w:t>
            </w:r>
          </w:p>
        </w:tc>
        <w:tc>
          <w:tcPr>
            <w:tcW w:w="1276" w:type="dxa"/>
            <w:vAlign w:val="center"/>
          </w:tcPr>
          <w:p>
            <w:pPr>
              <w:pStyle w:val="10"/>
              <w:rPr>
                <w:highlight w:val="none"/>
              </w:rPr>
            </w:pPr>
            <w:r>
              <w:rPr>
                <w:highlight w:val="none"/>
              </w:rPr>
              <w:t>≤115.88115.886万元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改善城乡的生态环境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0" w:name="_Toc_4_4_0000000011"/>
      <w:r>
        <w:rPr>
          <w:rFonts w:ascii="方正仿宋_GBK" w:hAnsi="方正仿宋_GBK" w:eastAsia="方正仿宋_GBK" w:cs="方正仿宋_GBK"/>
          <w:color w:val="000000"/>
          <w:sz w:val="28"/>
          <w:highlight w:val="none"/>
        </w:rPr>
        <w:t>8.2021年高建庄100亩地块土地租赁差价绩效目标表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13030322P00425610017P</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2021年高建庄100亩地块土地租赁差价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7.00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7.00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保证此款项的正确使用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rFonts w:hint="default" w:eastAsia="方正书宋_GBK"/>
                <w:highlight w:val="none"/>
                <w:lang w:val="en-US" w:eastAsia="zh-CN"/>
              </w:rPr>
            </w:pPr>
            <w:r>
              <w:rPr>
                <w:rFonts w:hint="eastAsia"/>
                <w:highlight w:val="none"/>
                <w:lang w:val="en-US" w:eastAsia="zh-CN"/>
              </w:rPr>
              <w:t>100%</w:t>
            </w:r>
          </w:p>
        </w:tc>
        <w:tc>
          <w:tcPr>
            <w:tcW w:w="1587" w:type="dxa"/>
            <w:vAlign w:val="center"/>
          </w:tcPr>
          <w:p>
            <w:pPr>
              <w:pStyle w:val="12"/>
              <w:rPr>
                <w:highlight w:val="none"/>
              </w:rPr>
            </w:pPr>
            <w:r>
              <w:rPr>
                <w:highlight w:val="none"/>
              </w:rPr>
              <w:t>100%</w:t>
            </w:r>
          </w:p>
        </w:tc>
        <w:tc>
          <w:tcPr>
            <w:tcW w:w="1304" w:type="dxa"/>
            <w:vAlign w:val="center"/>
          </w:tcPr>
          <w:p>
            <w:pPr>
              <w:pStyle w:val="12"/>
              <w:rPr>
                <w:highlight w:val="none"/>
              </w:rPr>
            </w:pPr>
            <w:r>
              <w:rPr>
                <w:highlight w:val="none"/>
              </w:rPr>
              <w:t>100%</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1.保证此款项的正确使用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环城绿化面积</w:t>
            </w:r>
          </w:p>
        </w:tc>
        <w:tc>
          <w:tcPr>
            <w:tcW w:w="2891" w:type="dxa"/>
            <w:vAlign w:val="center"/>
          </w:tcPr>
          <w:p>
            <w:pPr>
              <w:pStyle w:val="10"/>
              <w:rPr>
                <w:highlight w:val="none"/>
              </w:rPr>
            </w:pPr>
            <w:r>
              <w:rPr>
                <w:highlight w:val="none"/>
              </w:rPr>
              <w:t>环城绿化造林面积</w:t>
            </w:r>
          </w:p>
        </w:tc>
        <w:tc>
          <w:tcPr>
            <w:tcW w:w="1276" w:type="dxa"/>
            <w:vAlign w:val="center"/>
          </w:tcPr>
          <w:p>
            <w:pPr>
              <w:pStyle w:val="10"/>
              <w:rPr>
                <w:highlight w:val="none"/>
              </w:rPr>
            </w:pPr>
            <w:r>
              <w:rPr>
                <w:highlight w:val="none"/>
              </w:rPr>
              <w:t>≥100亩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绿化覆盖率</w:t>
            </w:r>
          </w:p>
        </w:tc>
        <w:tc>
          <w:tcPr>
            <w:tcW w:w="2891" w:type="dxa"/>
            <w:vAlign w:val="center"/>
          </w:tcPr>
          <w:p>
            <w:pPr>
              <w:pStyle w:val="10"/>
              <w:rPr>
                <w:highlight w:val="none"/>
              </w:rPr>
            </w:pPr>
            <w:r>
              <w:rPr>
                <w:highlight w:val="none"/>
              </w:rPr>
              <w:t>每亩地种树棵树</w:t>
            </w:r>
          </w:p>
        </w:tc>
        <w:tc>
          <w:tcPr>
            <w:tcW w:w="1276" w:type="dxa"/>
            <w:vAlign w:val="center"/>
          </w:tcPr>
          <w:p>
            <w:pPr>
              <w:pStyle w:val="10"/>
              <w:rPr>
                <w:highlight w:val="none"/>
              </w:rPr>
            </w:pPr>
            <w:r>
              <w:rPr>
                <w:highlight w:val="none"/>
              </w:rPr>
              <w:t>≥70棵/亩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绿化补偿款发放的及时性</w:t>
            </w:r>
          </w:p>
        </w:tc>
        <w:tc>
          <w:tcPr>
            <w:tcW w:w="2891" w:type="dxa"/>
            <w:vAlign w:val="center"/>
          </w:tcPr>
          <w:p>
            <w:pPr>
              <w:pStyle w:val="10"/>
              <w:rPr>
                <w:highlight w:val="none"/>
              </w:rPr>
            </w:pPr>
            <w:r>
              <w:rPr>
                <w:highlight w:val="none"/>
              </w:rPr>
              <w:t>绿化补偿款发放的及时性</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环城绿化补偿成本</w:t>
            </w:r>
          </w:p>
        </w:tc>
        <w:tc>
          <w:tcPr>
            <w:tcW w:w="2891" w:type="dxa"/>
            <w:vAlign w:val="center"/>
          </w:tcPr>
          <w:p>
            <w:pPr>
              <w:pStyle w:val="10"/>
              <w:rPr>
                <w:highlight w:val="none"/>
              </w:rPr>
            </w:pPr>
            <w:r>
              <w:rPr>
                <w:highlight w:val="none"/>
              </w:rPr>
              <w:t>按预算控制各项成本</w:t>
            </w:r>
          </w:p>
        </w:tc>
        <w:tc>
          <w:tcPr>
            <w:tcW w:w="1276" w:type="dxa"/>
            <w:vAlign w:val="center"/>
          </w:tcPr>
          <w:p>
            <w:pPr>
              <w:pStyle w:val="10"/>
              <w:rPr>
                <w:highlight w:val="none"/>
              </w:rPr>
            </w:pPr>
            <w:r>
              <w:rPr>
                <w:highlight w:val="none"/>
              </w:rPr>
              <w:t>≤7万元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促进农民增收</w:t>
            </w:r>
          </w:p>
        </w:tc>
        <w:tc>
          <w:tcPr>
            <w:tcW w:w="2891" w:type="dxa"/>
            <w:vAlign w:val="center"/>
          </w:tcPr>
          <w:p>
            <w:pPr>
              <w:pStyle w:val="10"/>
              <w:rPr>
                <w:highlight w:val="none"/>
              </w:rPr>
            </w:pPr>
            <w:r>
              <w:rPr>
                <w:highlight w:val="none"/>
              </w:rPr>
              <w:t>促进农民增收，维护社会稳定</w:t>
            </w:r>
          </w:p>
        </w:tc>
        <w:tc>
          <w:tcPr>
            <w:tcW w:w="1276" w:type="dxa"/>
            <w:vAlign w:val="center"/>
          </w:tcPr>
          <w:p>
            <w:pPr>
              <w:pStyle w:val="10"/>
              <w:rPr>
                <w:highlight w:val="none"/>
              </w:rPr>
            </w:pPr>
            <w:r>
              <w:rPr>
                <w:highlight w:val="none"/>
              </w:rPr>
              <w:t>促进农民增收，维护社会稳定</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1" w:name="_Toc_4_4_0000000012"/>
      <w:r>
        <w:rPr>
          <w:rFonts w:ascii="方正仿宋_GBK" w:hAnsi="方正仿宋_GBK" w:eastAsia="方正仿宋_GBK" w:cs="方正仿宋_GBK"/>
          <w:color w:val="000000"/>
          <w:sz w:val="28"/>
          <w:highlight w:val="none"/>
        </w:rPr>
        <w:t>9.2021年环城绿化补偿费绩效目标表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13030322P00425610015G</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2021年环城绿化补偿费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247.32</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247.32</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给农民发放补偿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rFonts w:hint="eastAsia"/>
                <w:highlight w:val="none"/>
                <w:lang w:val="en-US" w:eastAsia="zh-CN"/>
              </w:rPr>
              <w:t>100</w:t>
            </w:r>
            <w:r>
              <w:rPr>
                <w:highlight w:val="none"/>
              </w:rPr>
              <w:t>%</w:t>
            </w:r>
          </w:p>
        </w:tc>
        <w:tc>
          <w:tcPr>
            <w:tcW w:w="1587" w:type="dxa"/>
            <w:vAlign w:val="center"/>
          </w:tcPr>
          <w:p>
            <w:pPr>
              <w:pStyle w:val="12"/>
              <w:rPr>
                <w:highlight w:val="none"/>
              </w:rPr>
            </w:pPr>
            <w:r>
              <w:rPr>
                <w:rFonts w:hint="eastAsia"/>
                <w:highlight w:val="none"/>
                <w:lang w:val="en-US" w:eastAsia="zh-CN"/>
              </w:rPr>
              <w:t>10</w:t>
            </w:r>
            <w:r>
              <w:rPr>
                <w:highlight w:val="none"/>
              </w:rPr>
              <w:t>0%</w:t>
            </w:r>
          </w:p>
        </w:tc>
        <w:tc>
          <w:tcPr>
            <w:tcW w:w="1304" w:type="dxa"/>
            <w:vAlign w:val="center"/>
          </w:tcPr>
          <w:p>
            <w:pPr>
              <w:pStyle w:val="12"/>
              <w:rPr>
                <w:highlight w:val="none"/>
              </w:rPr>
            </w:pPr>
            <w:r>
              <w:rPr>
                <w:rFonts w:hint="eastAsia"/>
                <w:highlight w:val="none"/>
                <w:lang w:val="en-US" w:eastAsia="zh-CN"/>
              </w:rPr>
              <w:t>100</w:t>
            </w:r>
            <w:r>
              <w:rPr>
                <w:highlight w:val="none"/>
              </w:rPr>
              <w:t>%</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1.给农民发放补偿，促进农民增收，维护社会稳定。</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环城绿化面积</w:t>
            </w:r>
          </w:p>
        </w:tc>
        <w:tc>
          <w:tcPr>
            <w:tcW w:w="2891" w:type="dxa"/>
            <w:vAlign w:val="center"/>
          </w:tcPr>
          <w:p>
            <w:pPr>
              <w:pStyle w:val="10"/>
              <w:rPr>
                <w:highlight w:val="none"/>
              </w:rPr>
            </w:pPr>
            <w:r>
              <w:rPr>
                <w:highlight w:val="none"/>
              </w:rPr>
              <w:t>环城绿化造林面积</w:t>
            </w:r>
          </w:p>
        </w:tc>
        <w:tc>
          <w:tcPr>
            <w:tcW w:w="1276" w:type="dxa"/>
            <w:vAlign w:val="center"/>
          </w:tcPr>
          <w:p>
            <w:pPr>
              <w:pStyle w:val="10"/>
              <w:rPr>
                <w:highlight w:val="none"/>
              </w:rPr>
            </w:pPr>
            <w:r>
              <w:rPr>
                <w:highlight w:val="none"/>
              </w:rPr>
              <w:t>≥2100亩</w:t>
            </w:r>
          </w:p>
        </w:tc>
        <w:tc>
          <w:tcPr>
            <w:tcW w:w="1843" w:type="dxa"/>
            <w:vAlign w:val="center"/>
          </w:tcPr>
          <w:p>
            <w:pPr>
              <w:pStyle w:val="10"/>
              <w:rPr>
                <w:highlight w:val="none"/>
              </w:rPr>
            </w:pPr>
            <w:r>
              <w:rPr>
                <w:highlight w:val="none"/>
              </w:rP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绿化覆盖率</w:t>
            </w:r>
          </w:p>
        </w:tc>
        <w:tc>
          <w:tcPr>
            <w:tcW w:w="2891" w:type="dxa"/>
            <w:vAlign w:val="center"/>
          </w:tcPr>
          <w:p>
            <w:pPr>
              <w:pStyle w:val="10"/>
              <w:rPr>
                <w:highlight w:val="none"/>
              </w:rPr>
            </w:pPr>
            <w:r>
              <w:rPr>
                <w:highlight w:val="none"/>
              </w:rPr>
              <w:t>每亩地种树棵树</w:t>
            </w:r>
          </w:p>
        </w:tc>
        <w:tc>
          <w:tcPr>
            <w:tcW w:w="1276" w:type="dxa"/>
            <w:vAlign w:val="center"/>
          </w:tcPr>
          <w:p>
            <w:pPr>
              <w:pStyle w:val="10"/>
              <w:rPr>
                <w:highlight w:val="none"/>
              </w:rPr>
            </w:pPr>
            <w:r>
              <w:rPr>
                <w:highlight w:val="none"/>
              </w:rPr>
              <w:t>≥70棵/亩</w:t>
            </w:r>
          </w:p>
        </w:tc>
        <w:tc>
          <w:tcPr>
            <w:tcW w:w="1843" w:type="dxa"/>
            <w:vAlign w:val="center"/>
          </w:tcPr>
          <w:p>
            <w:pPr>
              <w:pStyle w:val="10"/>
              <w:rPr>
                <w:highlight w:val="none"/>
              </w:rPr>
            </w:pPr>
            <w:r>
              <w:rPr>
                <w:highlight w:val="none"/>
              </w:rP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绿化补偿款发放的及时性</w:t>
            </w:r>
          </w:p>
        </w:tc>
        <w:tc>
          <w:tcPr>
            <w:tcW w:w="2891" w:type="dxa"/>
            <w:vAlign w:val="center"/>
          </w:tcPr>
          <w:p>
            <w:pPr>
              <w:pStyle w:val="10"/>
              <w:rPr>
                <w:highlight w:val="none"/>
              </w:rPr>
            </w:pPr>
            <w:r>
              <w:rPr>
                <w:highlight w:val="none"/>
              </w:rPr>
              <w:t>绿化补偿款发放的及时性</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环城绿化补偿成本</w:t>
            </w:r>
          </w:p>
        </w:tc>
        <w:tc>
          <w:tcPr>
            <w:tcW w:w="2891" w:type="dxa"/>
            <w:vAlign w:val="center"/>
          </w:tcPr>
          <w:p>
            <w:pPr>
              <w:pStyle w:val="10"/>
              <w:rPr>
                <w:highlight w:val="none"/>
              </w:rPr>
            </w:pPr>
            <w:r>
              <w:rPr>
                <w:highlight w:val="none"/>
              </w:rPr>
              <w:t>按预算控制各项成本</w:t>
            </w:r>
          </w:p>
        </w:tc>
        <w:tc>
          <w:tcPr>
            <w:tcW w:w="1276" w:type="dxa"/>
            <w:vAlign w:val="center"/>
          </w:tcPr>
          <w:p>
            <w:pPr>
              <w:pStyle w:val="10"/>
              <w:rPr>
                <w:highlight w:val="none"/>
              </w:rPr>
            </w:pPr>
            <w:r>
              <w:rPr>
                <w:highlight w:val="none"/>
              </w:rPr>
              <w:t>≤247.32万元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促进农民增收</w:t>
            </w:r>
          </w:p>
        </w:tc>
        <w:tc>
          <w:tcPr>
            <w:tcW w:w="2891" w:type="dxa"/>
            <w:vAlign w:val="center"/>
          </w:tcPr>
          <w:p>
            <w:pPr>
              <w:pStyle w:val="10"/>
              <w:rPr>
                <w:highlight w:val="none"/>
              </w:rPr>
            </w:pPr>
            <w:r>
              <w:rPr>
                <w:highlight w:val="none"/>
              </w:rPr>
              <w:t>促进农民增收，维护社会稳定</w:t>
            </w:r>
          </w:p>
        </w:tc>
        <w:tc>
          <w:tcPr>
            <w:tcW w:w="1276" w:type="dxa"/>
            <w:vAlign w:val="center"/>
          </w:tcPr>
          <w:p>
            <w:pPr>
              <w:pStyle w:val="10"/>
              <w:rPr>
                <w:highlight w:val="none"/>
              </w:rPr>
            </w:pPr>
            <w:r>
              <w:rPr>
                <w:highlight w:val="none"/>
              </w:rPr>
              <w:t>促进</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2" w:name="_Toc_4_4_0000000013"/>
      <w:r>
        <w:rPr>
          <w:rFonts w:ascii="方正仿宋_GBK" w:hAnsi="方正仿宋_GBK" w:eastAsia="方正仿宋_GBK" w:cs="方正仿宋_GBK"/>
          <w:color w:val="000000"/>
          <w:sz w:val="28"/>
          <w:highlight w:val="none"/>
        </w:rPr>
        <w:t>10.2021年绿色秦皇岛工程补助资金绩效目标表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13030322P00424810002X</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2021年绿色秦皇岛工程补助资金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13.10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13.10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保证2021年绿色秦皇岛工程补助资金的正确发放和使用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1.保证2021年绿色秦皇岛工程补助资金的正确发放和使用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完成造林绿化面积</w:t>
            </w:r>
          </w:p>
        </w:tc>
        <w:tc>
          <w:tcPr>
            <w:tcW w:w="2891" w:type="dxa"/>
            <w:vAlign w:val="center"/>
          </w:tcPr>
          <w:p>
            <w:pPr>
              <w:pStyle w:val="10"/>
              <w:rPr>
                <w:highlight w:val="none"/>
              </w:rPr>
            </w:pPr>
            <w:r>
              <w:rPr>
                <w:highlight w:val="none"/>
              </w:rPr>
              <w:t>完成造林绿化面积</w:t>
            </w:r>
          </w:p>
        </w:tc>
        <w:tc>
          <w:tcPr>
            <w:tcW w:w="1276" w:type="dxa"/>
            <w:vAlign w:val="center"/>
          </w:tcPr>
          <w:p>
            <w:pPr>
              <w:pStyle w:val="10"/>
              <w:rPr>
                <w:highlight w:val="none"/>
              </w:rPr>
            </w:pPr>
            <w:r>
              <w:rPr>
                <w:highlight w:val="none"/>
              </w:rPr>
              <w:t>≥1800亩</w:t>
            </w:r>
          </w:p>
        </w:tc>
        <w:tc>
          <w:tcPr>
            <w:tcW w:w="1843" w:type="dxa"/>
            <w:vAlign w:val="center"/>
          </w:tcPr>
          <w:p>
            <w:pPr>
              <w:pStyle w:val="10"/>
              <w:rPr>
                <w:highlight w:val="none"/>
              </w:rPr>
            </w:pPr>
            <w:r>
              <w:rPr>
                <w:highlight w:val="none"/>
              </w:rPr>
              <w:t>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造林绿化地块存活率</w:t>
            </w:r>
          </w:p>
        </w:tc>
        <w:tc>
          <w:tcPr>
            <w:tcW w:w="2891" w:type="dxa"/>
            <w:vAlign w:val="center"/>
          </w:tcPr>
          <w:p>
            <w:pPr>
              <w:pStyle w:val="10"/>
              <w:rPr>
                <w:highlight w:val="none"/>
              </w:rPr>
            </w:pPr>
            <w:r>
              <w:rPr>
                <w:highlight w:val="none"/>
              </w:rPr>
              <w:t>造林绿化地块存活率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2依据《关于创建全国绿化模范城市的意见》（秦字【2007】10号）和《关于加快建设绿色秦皇岛的实施意见》（秦字【2006】3号）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造林绿化完成的及时率</w:t>
            </w:r>
          </w:p>
        </w:tc>
        <w:tc>
          <w:tcPr>
            <w:tcW w:w="2891" w:type="dxa"/>
            <w:vAlign w:val="center"/>
          </w:tcPr>
          <w:p>
            <w:pPr>
              <w:pStyle w:val="10"/>
              <w:rPr>
                <w:highlight w:val="none"/>
              </w:rPr>
            </w:pPr>
            <w:r>
              <w:rPr>
                <w:highlight w:val="none"/>
              </w:rPr>
              <w:t>造林绿化按计划及时开展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依据《关于创建全国绿化模范城市的意见》（秦字【2007】10号）和《关于加快建设绿色秦皇岛的实施意见》（秦字【2006】3号）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造林绿化补偿的支出</w:t>
            </w:r>
          </w:p>
        </w:tc>
        <w:tc>
          <w:tcPr>
            <w:tcW w:w="2891" w:type="dxa"/>
            <w:vAlign w:val="center"/>
          </w:tcPr>
          <w:p>
            <w:pPr>
              <w:pStyle w:val="10"/>
              <w:rPr>
                <w:highlight w:val="none"/>
              </w:rPr>
            </w:pPr>
            <w:r>
              <w:rPr>
                <w:highlight w:val="none"/>
              </w:rPr>
              <w:t>造林绿化补偿的支出</w:t>
            </w:r>
          </w:p>
        </w:tc>
        <w:tc>
          <w:tcPr>
            <w:tcW w:w="1276" w:type="dxa"/>
            <w:vAlign w:val="center"/>
          </w:tcPr>
          <w:p>
            <w:pPr>
              <w:pStyle w:val="10"/>
              <w:rPr>
                <w:highlight w:val="none"/>
              </w:rPr>
            </w:pPr>
            <w:r>
              <w:rPr>
                <w:highlight w:val="none"/>
              </w:rPr>
              <w:t>≤535万元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改善城乡的生态环境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3" w:name="_Toc_4_4_0000000014"/>
      <w:r>
        <w:rPr>
          <w:rFonts w:ascii="方正仿宋_GBK" w:hAnsi="方正仿宋_GBK" w:eastAsia="方正仿宋_GBK" w:cs="方正仿宋_GBK"/>
          <w:color w:val="000000"/>
          <w:sz w:val="28"/>
          <w:highlight w:val="none"/>
        </w:rPr>
        <w:t>11.2021年生态保护支撑体系专项中央基建投资预算-秦皇岛市森林火灾高风险区综合治理工程建设项目绩效目标表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13030321P00J0R7100026</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2021年生态保护支撑体系专项中央基建投资预算-秦皇岛市森林火灾高风险区综合治理工程建设项目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97.00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97.00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保证此项目经费的正确使用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rFonts w:hint="eastAsia"/>
                <w:highlight w:val="none"/>
                <w:lang w:val="en-US" w:eastAsia="zh-CN"/>
              </w:rPr>
              <w:t>0</w:t>
            </w:r>
            <w:r>
              <w:rPr>
                <w:highlight w:val="none"/>
              </w:rPr>
              <w:t>%</w:t>
            </w:r>
          </w:p>
        </w:tc>
        <w:tc>
          <w:tcPr>
            <w:tcW w:w="1587" w:type="dxa"/>
            <w:vAlign w:val="center"/>
          </w:tcPr>
          <w:p>
            <w:pPr>
              <w:pStyle w:val="12"/>
              <w:rPr>
                <w:highlight w:val="none"/>
              </w:rPr>
            </w:pPr>
            <w:r>
              <w:rPr>
                <w:rFonts w:hint="eastAsia"/>
                <w:highlight w:val="none"/>
                <w:lang w:val="en-US" w:eastAsia="zh-CN"/>
              </w:rPr>
              <w:t>10</w:t>
            </w:r>
            <w:r>
              <w:rPr>
                <w:highlight w:val="none"/>
              </w:rPr>
              <w:t>0%</w:t>
            </w:r>
          </w:p>
        </w:tc>
        <w:tc>
          <w:tcPr>
            <w:tcW w:w="1304" w:type="dxa"/>
            <w:vAlign w:val="center"/>
          </w:tcPr>
          <w:p>
            <w:pPr>
              <w:pStyle w:val="12"/>
              <w:rPr>
                <w:highlight w:val="none"/>
              </w:rPr>
            </w:pPr>
            <w:r>
              <w:rPr>
                <w:rFonts w:hint="eastAsia"/>
                <w:highlight w:val="none"/>
                <w:lang w:val="en-US" w:eastAsia="zh-CN"/>
              </w:rPr>
              <w:t>100</w:t>
            </w:r>
            <w:r>
              <w:rPr>
                <w:highlight w:val="none"/>
              </w:rPr>
              <w:t>%</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1.保证此项目经费的正确使用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成本数额正确</w:t>
            </w:r>
          </w:p>
        </w:tc>
        <w:tc>
          <w:tcPr>
            <w:tcW w:w="2891" w:type="dxa"/>
            <w:vAlign w:val="center"/>
          </w:tcPr>
          <w:p>
            <w:pPr>
              <w:pStyle w:val="10"/>
              <w:rPr>
                <w:highlight w:val="none"/>
              </w:rPr>
            </w:pPr>
            <w:r>
              <w:rPr>
                <w:highlight w:val="none"/>
              </w:rPr>
              <w:t>成本数额正确</w:t>
            </w:r>
          </w:p>
        </w:tc>
        <w:tc>
          <w:tcPr>
            <w:tcW w:w="1276" w:type="dxa"/>
            <w:vAlign w:val="center"/>
          </w:tcPr>
          <w:p>
            <w:pPr>
              <w:pStyle w:val="10"/>
              <w:rPr>
                <w:highlight w:val="none"/>
              </w:rPr>
            </w:pPr>
            <w:r>
              <w:rPr>
                <w:highlight w:val="none"/>
              </w:rPr>
              <w:t>≤97万元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保证发放质量</w:t>
            </w:r>
          </w:p>
        </w:tc>
        <w:tc>
          <w:tcPr>
            <w:tcW w:w="2891" w:type="dxa"/>
            <w:vAlign w:val="center"/>
          </w:tcPr>
          <w:p>
            <w:pPr>
              <w:pStyle w:val="10"/>
              <w:rPr>
                <w:highlight w:val="none"/>
              </w:rPr>
            </w:pPr>
            <w:r>
              <w:rPr>
                <w:highlight w:val="none"/>
              </w:rPr>
              <w:t>保证发放质量</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保证及时发放</w:t>
            </w:r>
          </w:p>
        </w:tc>
        <w:tc>
          <w:tcPr>
            <w:tcW w:w="2891" w:type="dxa"/>
            <w:vAlign w:val="center"/>
          </w:tcPr>
          <w:p>
            <w:pPr>
              <w:pStyle w:val="10"/>
              <w:rPr>
                <w:highlight w:val="none"/>
              </w:rPr>
            </w:pPr>
            <w:r>
              <w:rPr>
                <w:highlight w:val="none"/>
              </w:rPr>
              <w:t>保证及时发放</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成本数额正确率</w:t>
            </w:r>
          </w:p>
        </w:tc>
        <w:tc>
          <w:tcPr>
            <w:tcW w:w="2891" w:type="dxa"/>
            <w:vAlign w:val="center"/>
          </w:tcPr>
          <w:p>
            <w:pPr>
              <w:pStyle w:val="10"/>
              <w:rPr>
                <w:highlight w:val="none"/>
              </w:rPr>
            </w:pPr>
            <w:r>
              <w:rPr>
                <w:highlight w:val="none"/>
              </w:rPr>
              <w:t>成本数额正确率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经济提标</w:t>
            </w:r>
          </w:p>
        </w:tc>
        <w:tc>
          <w:tcPr>
            <w:tcW w:w="2891" w:type="dxa"/>
            <w:vAlign w:val="center"/>
          </w:tcPr>
          <w:p>
            <w:pPr>
              <w:pStyle w:val="10"/>
              <w:rPr>
                <w:highlight w:val="none"/>
              </w:rPr>
            </w:pPr>
            <w:r>
              <w:rPr>
                <w:highlight w:val="none"/>
              </w:rPr>
              <w:t>经济提标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green"/>
              </w:rPr>
            </w:pPr>
            <w:r>
              <w:rPr>
                <w:highlight w:val="green"/>
              </w:rPr>
              <w:t>满意度指标</w:t>
            </w:r>
          </w:p>
        </w:tc>
        <w:tc>
          <w:tcPr>
            <w:tcW w:w="1276" w:type="dxa"/>
            <w:vAlign w:val="center"/>
          </w:tcPr>
          <w:p>
            <w:pPr>
              <w:pStyle w:val="10"/>
              <w:rPr>
                <w:highlight w:val="green"/>
              </w:rPr>
            </w:pPr>
            <w:r>
              <w:rPr>
                <w:highlight w:val="green"/>
              </w:rPr>
              <w:t>服务对象满意度指标</w:t>
            </w:r>
          </w:p>
        </w:tc>
        <w:tc>
          <w:tcPr>
            <w:tcW w:w="1332" w:type="dxa"/>
            <w:vAlign w:val="center"/>
          </w:tcPr>
          <w:p>
            <w:pPr>
              <w:pStyle w:val="10"/>
              <w:rPr>
                <w:highlight w:val="green"/>
              </w:rPr>
            </w:pPr>
            <w:r>
              <w:rPr>
                <w:highlight w:val="green"/>
              </w:rPr>
              <w:t>满意度</w:t>
            </w:r>
          </w:p>
        </w:tc>
        <w:tc>
          <w:tcPr>
            <w:tcW w:w="2891" w:type="dxa"/>
            <w:vAlign w:val="center"/>
          </w:tcPr>
          <w:p>
            <w:pPr>
              <w:pStyle w:val="10"/>
              <w:rPr>
                <w:highlight w:val="green"/>
              </w:rPr>
            </w:pPr>
            <w:r>
              <w:rPr>
                <w:highlight w:val="green"/>
              </w:rPr>
              <w:t>满意度</w:t>
            </w:r>
          </w:p>
        </w:tc>
        <w:tc>
          <w:tcPr>
            <w:tcW w:w="1276" w:type="dxa"/>
            <w:vAlign w:val="center"/>
          </w:tcPr>
          <w:p>
            <w:pPr>
              <w:pStyle w:val="10"/>
              <w:rPr>
                <w:highlight w:val="green"/>
              </w:rPr>
            </w:pPr>
            <w:r>
              <w:rPr>
                <w:highlight w:val="green"/>
              </w:rPr>
              <w:t>≥99%</w:t>
            </w:r>
          </w:p>
        </w:tc>
        <w:tc>
          <w:tcPr>
            <w:tcW w:w="1843" w:type="dxa"/>
            <w:vAlign w:val="center"/>
          </w:tcPr>
          <w:p>
            <w:pPr>
              <w:pStyle w:val="10"/>
              <w:rPr>
                <w:rFonts w:hint="eastAsia" w:eastAsia="方正书宋_GBK"/>
                <w:highlight w:val="green"/>
                <w:lang w:eastAsia="zh-CN"/>
              </w:rPr>
            </w:pPr>
            <w:r>
              <w:rPr>
                <w:rFonts w:hint="eastAsia"/>
                <w:highlight w:val="green"/>
                <w:lang w:eastAsia="zh-CN"/>
              </w:rPr>
              <w:t>调查问卷</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4" w:name="_Toc_4_4_0000000015"/>
      <w:r>
        <w:rPr>
          <w:rFonts w:ascii="方正仿宋_GBK" w:hAnsi="方正仿宋_GBK" w:eastAsia="方正仿宋_GBK" w:cs="方正仿宋_GBK"/>
          <w:color w:val="000000"/>
          <w:sz w:val="28"/>
          <w:highlight w:val="none"/>
        </w:rPr>
        <w:t>12.2021年中央财政林业改革发展资金-林业有害生物防治补助绩效目标表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13030321BVQUUIQ7RNADI</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2021年中央财政林业改革发展资金-林业有害生物防治补助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用于开展松材线虫病普查工作</w:t>
            </w:r>
            <w:r>
              <w:rPr>
                <w:highlight w:val="none"/>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1.预防和减少林业有害生物对森林资源的损失,保护森林资源</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林业有害生物防治面积</w:t>
            </w:r>
          </w:p>
        </w:tc>
        <w:tc>
          <w:tcPr>
            <w:tcW w:w="2891" w:type="dxa"/>
            <w:vAlign w:val="center"/>
          </w:tcPr>
          <w:p>
            <w:pPr>
              <w:pStyle w:val="10"/>
              <w:rPr>
                <w:highlight w:val="none"/>
              </w:rPr>
            </w:pPr>
            <w:r>
              <w:rPr>
                <w:highlight w:val="none"/>
              </w:rPr>
              <w:t>林业有害生物防治面积</w:t>
            </w:r>
          </w:p>
        </w:tc>
        <w:tc>
          <w:tcPr>
            <w:tcW w:w="1276" w:type="dxa"/>
            <w:vAlign w:val="center"/>
          </w:tcPr>
          <w:p>
            <w:pPr>
              <w:pStyle w:val="10"/>
              <w:rPr>
                <w:highlight w:val="none"/>
              </w:rPr>
            </w:pPr>
            <w:r>
              <w:rPr>
                <w:highlight w:val="none"/>
              </w:rPr>
              <w:t>≥24600亩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主要林业有害生物成灾率</w:t>
            </w:r>
          </w:p>
        </w:tc>
        <w:tc>
          <w:tcPr>
            <w:tcW w:w="2891" w:type="dxa"/>
            <w:vAlign w:val="center"/>
          </w:tcPr>
          <w:p>
            <w:pPr>
              <w:pStyle w:val="10"/>
              <w:rPr>
                <w:highlight w:val="none"/>
              </w:rPr>
            </w:pPr>
            <w:r>
              <w:rPr>
                <w:highlight w:val="none"/>
              </w:rPr>
              <w:t>主要林业有害生物成灾率</w:t>
            </w:r>
          </w:p>
        </w:tc>
        <w:tc>
          <w:tcPr>
            <w:tcW w:w="1276" w:type="dxa"/>
            <w:vAlign w:val="center"/>
          </w:tcPr>
          <w:p>
            <w:pPr>
              <w:pStyle w:val="10"/>
              <w:rPr>
                <w:highlight w:val="none"/>
              </w:rPr>
            </w:pPr>
            <w:r>
              <w:rPr>
                <w:highlight w:val="none"/>
              </w:rPr>
              <w:t>≤0.38%</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当年实际日常普查目标完成率</w:t>
            </w:r>
          </w:p>
        </w:tc>
        <w:tc>
          <w:tcPr>
            <w:tcW w:w="2891" w:type="dxa"/>
            <w:vAlign w:val="center"/>
          </w:tcPr>
          <w:p>
            <w:pPr>
              <w:pStyle w:val="10"/>
              <w:rPr>
                <w:highlight w:val="none"/>
              </w:rPr>
            </w:pPr>
            <w:r>
              <w:rPr>
                <w:highlight w:val="none"/>
              </w:rPr>
              <w:t>当年实际日常普查目标完成率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有害生物防治率</w:t>
            </w:r>
          </w:p>
        </w:tc>
        <w:tc>
          <w:tcPr>
            <w:tcW w:w="2891" w:type="dxa"/>
            <w:vAlign w:val="center"/>
          </w:tcPr>
          <w:p>
            <w:pPr>
              <w:pStyle w:val="10"/>
              <w:rPr>
                <w:highlight w:val="none"/>
              </w:rPr>
            </w:pPr>
            <w:r>
              <w:rPr>
                <w:highlight w:val="none"/>
              </w:rPr>
              <w:t>有害生物防治率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完成率</w:t>
            </w:r>
          </w:p>
        </w:tc>
        <w:tc>
          <w:tcPr>
            <w:tcW w:w="2891" w:type="dxa"/>
            <w:vAlign w:val="center"/>
          </w:tcPr>
          <w:p>
            <w:pPr>
              <w:pStyle w:val="10"/>
              <w:rPr>
                <w:highlight w:val="none"/>
              </w:rPr>
            </w:pPr>
            <w:r>
              <w:rPr>
                <w:highlight w:val="none"/>
              </w:rPr>
              <w:t>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普查及时率</w:t>
            </w:r>
          </w:p>
        </w:tc>
        <w:tc>
          <w:tcPr>
            <w:tcW w:w="2891" w:type="dxa"/>
            <w:vAlign w:val="center"/>
          </w:tcPr>
          <w:p>
            <w:pPr>
              <w:pStyle w:val="10"/>
              <w:rPr>
                <w:highlight w:val="none"/>
              </w:rPr>
            </w:pPr>
            <w:r>
              <w:rPr>
                <w:highlight w:val="none"/>
              </w:rPr>
              <w:t>普查任务完成及时情况</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资金成本</w:t>
            </w:r>
          </w:p>
        </w:tc>
        <w:tc>
          <w:tcPr>
            <w:tcW w:w="2891" w:type="dxa"/>
            <w:vAlign w:val="center"/>
          </w:tcPr>
          <w:p>
            <w:pPr>
              <w:pStyle w:val="10"/>
              <w:rPr>
                <w:highlight w:val="none"/>
              </w:rPr>
            </w:pPr>
            <w:r>
              <w:rPr>
                <w:highlight w:val="none"/>
              </w:rPr>
              <w:t>支出金额控制在预算额度内</w:t>
            </w:r>
          </w:p>
        </w:tc>
        <w:tc>
          <w:tcPr>
            <w:tcW w:w="1276" w:type="dxa"/>
            <w:vAlign w:val="center"/>
          </w:tcPr>
          <w:p>
            <w:pPr>
              <w:pStyle w:val="10"/>
              <w:rPr>
                <w:highlight w:val="none"/>
              </w:rPr>
            </w:pPr>
            <w:r>
              <w:rPr>
                <w:highlight w:val="none"/>
              </w:rPr>
              <w:t>≤10万元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降低森林资源损失</w:t>
            </w:r>
          </w:p>
        </w:tc>
        <w:tc>
          <w:tcPr>
            <w:tcW w:w="2891" w:type="dxa"/>
            <w:vAlign w:val="center"/>
          </w:tcPr>
          <w:p>
            <w:pPr>
              <w:pStyle w:val="10"/>
              <w:rPr>
                <w:highlight w:val="none"/>
              </w:rPr>
            </w:pPr>
            <w:r>
              <w:rPr>
                <w:highlight w:val="none"/>
              </w:rPr>
              <w:t>通过及时进行森林病虫害防治从而降低森林资源损失</w:t>
            </w:r>
          </w:p>
        </w:tc>
        <w:tc>
          <w:tcPr>
            <w:tcW w:w="1276" w:type="dxa"/>
            <w:vAlign w:val="center"/>
          </w:tcPr>
          <w:p>
            <w:pPr>
              <w:pStyle w:val="10"/>
              <w:rPr>
                <w:highlight w:val="none"/>
              </w:rPr>
            </w:pPr>
            <w:r>
              <w:rPr>
                <w:highlight w:val="none"/>
              </w:rPr>
              <w:t>有效降低</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5" w:name="_Toc_4_4_0000000016"/>
      <w:r>
        <w:rPr>
          <w:rFonts w:ascii="方正仿宋_GBK" w:hAnsi="方正仿宋_GBK" w:eastAsia="方正仿宋_GBK" w:cs="方正仿宋_GBK"/>
          <w:color w:val="000000"/>
          <w:sz w:val="28"/>
          <w:highlight w:val="none"/>
        </w:rPr>
        <w:t>13.耕地开垦费绩效目标表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13030322P004256100139</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耕地开垦费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7596.00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7596.00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及时缴纳耕地开垦费，保障区域内耕地“占补平衡”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1.1．及时缴纳耕地开垦费，保障区域内耕地“占补平衡”</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缴纳耕地开垦费的征地亩数</w:t>
            </w:r>
          </w:p>
        </w:tc>
        <w:tc>
          <w:tcPr>
            <w:tcW w:w="2891" w:type="dxa"/>
            <w:vAlign w:val="center"/>
          </w:tcPr>
          <w:p>
            <w:pPr>
              <w:pStyle w:val="10"/>
              <w:rPr>
                <w:highlight w:val="none"/>
              </w:rPr>
            </w:pPr>
            <w:r>
              <w:rPr>
                <w:highlight w:val="none"/>
              </w:rPr>
              <w:t>项目占用耕地，区内无法平衡，需由全市区域内平衡，保障项目占地后“占补平衡”</w:t>
            </w:r>
          </w:p>
        </w:tc>
        <w:tc>
          <w:tcPr>
            <w:tcW w:w="1276" w:type="dxa"/>
            <w:vAlign w:val="center"/>
          </w:tcPr>
          <w:p>
            <w:pPr>
              <w:pStyle w:val="10"/>
              <w:rPr>
                <w:highlight w:val="none"/>
              </w:rPr>
            </w:pPr>
            <w:r>
              <w:rPr>
                <w:highlight w:val="none"/>
              </w:rPr>
              <w:t>500亩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耕地开垦费缴纳准确性</w:t>
            </w:r>
          </w:p>
        </w:tc>
        <w:tc>
          <w:tcPr>
            <w:tcW w:w="2891" w:type="dxa"/>
            <w:vAlign w:val="center"/>
          </w:tcPr>
          <w:p>
            <w:pPr>
              <w:pStyle w:val="10"/>
              <w:rPr>
                <w:highlight w:val="none"/>
              </w:rPr>
            </w:pPr>
            <w:r>
              <w:rPr>
                <w:highlight w:val="none"/>
              </w:rPr>
              <w:t>核实项目占用耕地实际数量的准确性</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耕地开垦费缴纳及时性</w:t>
            </w:r>
          </w:p>
        </w:tc>
        <w:tc>
          <w:tcPr>
            <w:tcW w:w="2891" w:type="dxa"/>
            <w:vAlign w:val="center"/>
          </w:tcPr>
          <w:p>
            <w:pPr>
              <w:pStyle w:val="10"/>
              <w:rPr>
                <w:highlight w:val="none"/>
              </w:rPr>
            </w:pPr>
            <w:r>
              <w:rPr>
                <w:highlight w:val="none"/>
              </w:rPr>
              <w:t>项目用地核实后及时缴纳，保障区域“占补平衡”</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耕地开垦费缴纳成本支出</w:t>
            </w:r>
          </w:p>
        </w:tc>
        <w:tc>
          <w:tcPr>
            <w:tcW w:w="2891" w:type="dxa"/>
            <w:vAlign w:val="center"/>
          </w:tcPr>
          <w:p>
            <w:pPr>
              <w:pStyle w:val="10"/>
              <w:rPr>
                <w:highlight w:val="none"/>
              </w:rPr>
            </w:pPr>
            <w:r>
              <w:rPr>
                <w:highlight w:val="none"/>
              </w:rPr>
              <w:t>核实缴纳实际数值</w:t>
            </w:r>
          </w:p>
        </w:tc>
        <w:tc>
          <w:tcPr>
            <w:tcW w:w="1276" w:type="dxa"/>
            <w:vAlign w:val="center"/>
          </w:tcPr>
          <w:p>
            <w:pPr>
              <w:pStyle w:val="10"/>
              <w:rPr>
                <w:highlight w:val="none"/>
              </w:rPr>
            </w:pPr>
            <w:r>
              <w:rPr>
                <w:highlight w:val="none"/>
              </w:rPr>
              <w:t>7596万</w:t>
            </w:r>
          </w:p>
        </w:tc>
        <w:tc>
          <w:tcPr>
            <w:tcW w:w="1843" w:type="dxa"/>
            <w:vAlign w:val="center"/>
          </w:tcPr>
          <w:p>
            <w:pPr>
              <w:pStyle w:val="10"/>
              <w:rPr>
                <w:highlight w:val="none"/>
              </w:rPr>
            </w:pPr>
            <w:r>
              <w:rPr>
                <w:highlight w:val="none"/>
              </w:rPr>
              <w:t>按照政策缴纳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全市区域耕地不减少</w:t>
            </w:r>
          </w:p>
        </w:tc>
        <w:tc>
          <w:tcPr>
            <w:tcW w:w="2891" w:type="dxa"/>
            <w:vAlign w:val="center"/>
          </w:tcPr>
          <w:p>
            <w:pPr>
              <w:pStyle w:val="10"/>
              <w:rPr>
                <w:highlight w:val="none"/>
              </w:rPr>
            </w:pPr>
            <w:r>
              <w:rPr>
                <w:highlight w:val="none"/>
              </w:rPr>
              <w:t>区内无法“占补平衡”，市级区域平衡</w:t>
            </w:r>
          </w:p>
        </w:tc>
        <w:tc>
          <w:tcPr>
            <w:tcW w:w="1276" w:type="dxa"/>
            <w:vAlign w:val="center"/>
          </w:tcPr>
          <w:p>
            <w:pPr>
              <w:pStyle w:val="10"/>
              <w:rPr>
                <w:highlight w:val="none"/>
              </w:rPr>
            </w:pPr>
            <w:r>
              <w:rPr>
                <w:highlight w:val="none"/>
              </w:rPr>
              <w:t>保障区域平衡</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失地农民满意度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调查结果</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6" w:name="_Toc_4_4_0000000017"/>
      <w:r>
        <w:rPr>
          <w:rFonts w:ascii="方正仿宋_GBK" w:hAnsi="方正仿宋_GBK" w:eastAsia="方正仿宋_GBK" w:cs="方正仿宋_GBK"/>
          <w:color w:val="000000"/>
          <w:sz w:val="28"/>
          <w:highlight w:val="none"/>
        </w:rPr>
        <w:t>14.耕地占用税绩效目标表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13030322P00425610012M</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985.00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985.00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上缴耕地占用税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rFonts w:hint="eastAsia"/>
                <w:highlight w:val="none"/>
                <w:lang w:val="en-US" w:eastAsia="zh-CN"/>
              </w:rPr>
              <w:t>90</w:t>
            </w:r>
            <w:r>
              <w:rPr>
                <w:highlight w:val="none"/>
              </w:rPr>
              <w:t>%</w:t>
            </w:r>
          </w:p>
        </w:tc>
        <w:tc>
          <w:tcPr>
            <w:tcW w:w="1587" w:type="dxa"/>
            <w:vAlign w:val="center"/>
          </w:tcPr>
          <w:p>
            <w:pPr>
              <w:pStyle w:val="12"/>
              <w:rPr>
                <w:highlight w:val="none"/>
              </w:rPr>
            </w:pPr>
            <w:r>
              <w:rPr>
                <w:rFonts w:hint="eastAsia"/>
                <w:highlight w:val="none"/>
                <w:lang w:val="en-US" w:eastAsia="zh-CN"/>
              </w:rPr>
              <w:t>10</w:t>
            </w:r>
            <w:r>
              <w:rPr>
                <w:highlight w:val="none"/>
              </w:rPr>
              <w:t>0%</w:t>
            </w:r>
          </w:p>
        </w:tc>
        <w:tc>
          <w:tcPr>
            <w:tcW w:w="1304" w:type="dxa"/>
            <w:vAlign w:val="center"/>
          </w:tcPr>
          <w:p>
            <w:pPr>
              <w:pStyle w:val="12"/>
              <w:rPr>
                <w:highlight w:val="none"/>
              </w:rPr>
            </w:pPr>
            <w:r>
              <w:rPr>
                <w:rFonts w:hint="eastAsia"/>
                <w:highlight w:val="none"/>
                <w:lang w:val="en-US" w:eastAsia="zh-CN"/>
              </w:rPr>
              <w:t>100</w:t>
            </w:r>
            <w:r>
              <w:rPr>
                <w:highlight w:val="none"/>
              </w:rPr>
              <w:t>%</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1.1．及时上缴耕地占用税，提高政府税收，保障基础设施建设。</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耕地占用亩数</w:t>
            </w:r>
          </w:p>
          <w:p>
            <w:pPr>
              <w:pStyle w:val="10"/>
              <w:rPr>
                <w:highlight w:val="none"/>
              </w:rPr>
            </w:pPr>
          </w:p>
        </w:tc>
        <w:tc>
          <w:tcPr>
            <w:tcW w:w="2891" w:type="dxa"/>
            <w:vAlign w:val="center"/>
          </w:tcPr>
          <w:p>
            <w:pPr>
              <w:pStyle w:val="10"/>
              <w:rPr>
                <w:highlight w:val="none"/>
              </w:rPr>
            </w:pPr>
            <w:r>
              <w:rPr>
                <w:highlight w:val="none"/>
              </w:rPr>
              <w:t>耕地占用亩数</w:t>
            </w:r>
          </w:p>
        </w:tc>
        <w:tc>
          <w:tcPr>
            <w:tcW w:w="1276" w:type="dxa"/>
            <w:vAlign w:val="center"/>
          </w:tcPr>
          <w:p>
            <w:pPr>
              <w:pStyle w:val="10"/>
              <w:rPr>
                <w:highlight w:val="none"/>
              </w:rPr>
            </w:pPr>
            <w:r>
              <w:rPr>
                <w:highlight w:val="none"/>
              </w:rPr>
              <w:t>≤422亩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耕地占用税缴纳准确性</w:t>
            </w:r>
          </w:p>
          <w:p>
            <w:pPr>
              <w:pStyle w:val="10"/>
              <w:rPr>
                <w:highlight w:val="none"/>
              </w:rPr>
            </w:pPr>
          </w:p>
        </w:tc>
        <w:tc>
          <w:tcPr>
            <w:tcW w:w="2891" w:type="dxa"/>
            <w:vAlign w:val="center"/>
          </w:tcPr>
          <w:p>
            <w:pPr>
              <w:pStyle w:val="10"/>
              <w:rPr>
                <w:highlight w:val="none"/>
              </w:rPr>
            </w:pPr>
            <w:r>
              <w:rPr>
                <w:highlight w:val="none"/>
              </w:rPr>
              <w:t>耕地占用税缴纳准确性</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耕地占用税缴纳及时性</w:t>
            </w:r>
          </w:p>
          <w:p>
            <w:pPr>
              <w:pStyle w:val="10"/>
              <w:rPr>
                <w:highlight w:val="none"/>
              </w:rPr>
            </w:pPr>
          </w:p>
        </w:tc>
        <w:tc>
          <w:tcPr>
            <w:tcW w:w="2891" w:type="dxa"/>
            <w:vAlign w:val="center"/>
          </w:tcPr>
          <w:p>
            <w:pPr>
              <w:pStyle w:val="10"/>
              <w:rPr>
                <w:highlight w:val="none"/>
              </w:rPr>
            </w:pPr>
            <w:r>
              <w:rPr>
                <w:highlight w:val="none"/>
              </w:rPr>
              <w:t>保证及时上缴</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耕地占用税成本支出</w:t>
            </w:r>
          </w:p>
          <w:p>
            <w:pPr>
              <w:pStyle w:val="10"/>
              <w:rPr>
                <w:highlight w:val="none"/>
              </w:rPr>
            </w:pPr>
          </w:p>
        </w:tc>
        <w:tc>
          <w:tcPr>
            <w:tcW w:w="2891" w:type="dxa"/>
            <w:vAlign w:val="center"/>
          </w:tcPr>
          <w:p>
            <w:pPr>
              <w:pStyle w:val="10"/>
              <w:rPr>
                <w:highlight w:val="none"/>
              </w:rPr>
            </w:pPr>
            <w:r>
              <w:rPr>
                <w:highlight w:val="none"/>
              </w:rPr>
              <w:t>耕地占用税成本支出</w:t>
            </w:r>
          </w:p>
        </w:tc>
        <w:tc>
          <w:tcPr>
            <w:tcW w:w="1276" w:type="dxa"/>
            <w:vAlign w:val="center"/>
          </w:tcPr>
          <w:p>
            <w:pPr>
              <w:pStyle w:val="10"/>
              <w:rPr>
                <w:highlight w:val="none"/>
              </w:rPr>
            </w:pPr>
            <w:r>
              <w:rPr>
                <w:highlight w:val="none"/>
              </w:rPr>
              <w:t>≤985万元</w:t>
            </w:r>
          </w:p>
        </w:tc>
        <w:tc>
          <w:tcPr>
            <w:tcW w:w="1843" w:type="dxa"/>
            <w:vAlign w:val="center"/>
          </w:tcPr>
          <w:p>
            <w:pPr>
              <w:pStyle w:val="10"/>
              <w:rPr>
                <w:highlight w:val="none"/>
              </w:rPr>
            </w:pPr>
            <w:r>
              <w:rPr>
                <w:highlight w:val="none"/>
              </w:rPr>
              <w:t>每平米35元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提高政府税收</w:t>
            </w:r>
          </w:p>
          <w:p>
            <w:pPr>
              <w:pStyle w:val="10"/>
              <w:rPr>
                <w:highlight w:val="none"/>
              </w:rPr>
            </w:pPr>
          </w:p>
        </w:tc>
        <w:tc>
          <w:tcPr>
            <w:tcW w:w="2891" w:type="dxa"/>
            <w:vAlign w:val="center"/>
          </w:tcPr>
          <w:p>
            <w:pPr>
              <w:pStyle w:val="10"/>
              <w:rPr>
                <w:highlight w:val="none"/>
              </w:rPr>
            </w:pPr>
            <w:r>
              <w:rPr>
                <w:highlight w:val="none"/>
              </w:rPr>
              <w:t>提高政府税收</w:t>
            </w:r>
          </w:p>
        </w:tc>
        <w:tc>
          <w:tcPr>
            <w:tcW w:w="1276" w:type="dxa"/>
            <w:vAlign w:val="center"/>
          </w:tcPr>
          <w:p>
            <w:pPr>
              <w:pStyle w:val="10"/>
              <w:rPr>
                <w:highlight w:val="none"/>
              </w:rPr>
            </w:pPr>
            <w:r>
              <w:rPr>
                <w:highlight w:val="none"/>
              </w:rPr>
              <w:t>≤985万元</w:t>
            </w:r>
          </w:p>
        </w:tc>
        <w:tc>
          <w:tcPr>
            <w:tcW w:w="1843" w:type="dxa"/>
            <w:vAlign w:val="center"/>
          </w:tcPr>
          <w:p>
            <w:pPr>
              <w:pStyle w:val="10"/>
              <w:rPr>
                <w:highlight w:val="none"/>
              </w:rPr>
            </w:pPr>
            <w:r>
              <w:rPr>
                <w:highlight w:val="none"/>
              </w:rPr>
              <w:t>每平米35元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w:t>
            </w:r>
          </w:p>
          <w:p>
            <w:pPr>
              <w:pStyle w:val="10"/>
              <w:rPr>
                <w:highlight w:val="none"/>
              </w:rPr>
            </w:pPr>
            <w:r>
              <w:rPr>
                <w:highlight w:val="none"/>
              </w:rPr>
              <w:t>满意度指</w:t>
            </w:r>
          </w:p>
          <w:p>
            <w:pPr>
              <w:pStyle w:val="10"/>
              <w:rPr>
                <w:highlight w:val="none"/>
              </w:rPr>
            </w:pPr>
            <w:r>
              <w:rPr>
                <w:highlight w:val="none"/>
              </w:rPr>
              <w:t>标</w:t>
            </w:r>
          </w:p>
          <w:p>
            <w:pPr>
              <w:pStyle w:val="10"/>
              <w:rPr>
                <w:highlight w:val="none"/>
              </w:rPr>
            </w:pP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调查问卷</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7" w:name="_Toc_4_4_0000000018"/>
      <w:r>
        <w:rPr>
          <w:rFonts w:ascii="方正仿宋_GBK" w:hAnsi="方正仿宋_GBK" w:eastAsia="方正仿宋_GBK" w:cs="方正仿宋_GBK"/>
          <w:color w:val="000000"/>
          <w:sz w:val="28"/>
          <w:highlight w:val="none"/>
        </w:rPr>
        <w:t>15.规划编制费绩效目标表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13030322P00425610020A</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200.00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200.00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山海关区控制性详细规划单元修编、新编进度费用等。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1.1、重新修订、新编城镇开发边界内的控制性详细规划。</w:t>
            </w:r>
          </w:p>
          <w:p>
            <w:pPr>
              <w:pStyle w:val="10"/>
              <w:rPr>
                <w:highlight w:val="none"/>
              </w:rPr>
            </w:pPr>
            <w:r>
              <w:rPr>
                <w:highlight w:val="none"/>
              </w:rPr>
              <w:t>2、履行相关合同内容结清规划编制拖欠费用，并按时拨付新增进度费用，提高编制单位积极性及时完成各项工作任务。</w:t>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完成控规成果修编和新编</w:t>
            </w:r>
          </w:p>
        </w:tc>
        <w:tc>
          <w:tcPr>
            <w:tcW w:w="2891" w:type="dxa"/>
            <w:vAlign w:val="center"/>
          </w:tcPr>
          <w:p>
            <w:pPr>
              <w:pStyle w:val="10"/>
              <w:rPr>
                <w:highlight w:val="none"/>
              </w:rPr>
            </w:pPr>
            <w:r>
              <w:rPr>
                <w:highlight w:val="none"/>
              </w:rPr>
              <w:t>完成控规成果修编和新编</w:t>
            </w:r>
          </w:p>
        </w:tc>
        <w:tc>
          <w:tcPr>
            <w:tcW w:w="1276" w:type="dxa"/>
            <w:vAlign w:val="center"/>
          </w:tcPr>
          <w:p>
            <w:pPr>
              <w:pStyle w:val="10"/>
              <w:rPr>
                <w:highlight w:val="none"/>
              </w:rPr>
            </w:pPr>
            <w:r>
              <w:rPr>
                <w:highlight w:val="none"/>
              </w:rPr>
              <w:t>≥2个</w:t>
            </w:r>
          </w:p>
        </w:tc>
        <w:tc>
          <w:tcPr>
            <w:tcW w:w="1843" w:type="dxa"/>
            <w:vAlign w:val="center"/>
          </w:tcPr>
          <w:p>
            <w:pPr>
              <w:pStyle w:val="10"/>
              <w:rPr>
                <w:highlight w:val="none"/>
              </w:rPr>
            </w:pPr>
            <w:r>
              <w:rPr>
                <w:highlight w:val="none"/>
              </w:rP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完成成果编制</w:t>
            </w:r>
          </w:p>
        </w:tc>
        <w:tc>
          <w:tcPr>
            <w:tcW w:w="2891" w:type="dxa"/>
            <w:vAlign w:val="center"/>
          </w:tcPr>
          <w:p>
            <w:pPr>
              <w:pStyle w:val="10"/>
              <w:rPr>
                <w:highlight w:val="none"/>
              </w:rPr>
            </w:pPr>
            <w:r>
              <w:rPr>
                <w:highlight w:val="none"/>
              </w:rPr>
              <w:t>完成规划编制数量</w:t>
            </w:r>
          </w:p>
        </w:tc>
        <w:tc>
          <w:tcPr>
            <w:tcW w:w="1276" w:type="dxa"/>
            <w:vAlign w:val="center"/>
          </w:tcPr>
          <w:p>
            <w:pPr>
              <w:pStyle w:val="10"/>
              <w:rPr>
                <w:highlight w:val="none"/>
              </w:rPr>
            </w:pPr>
            <w:r>
              <w:rPr>
                <w:highlight w:val="none"/>
              </w:rPr>
              <w:t>≥6个</w:t>
            </w:r>
          </w:p>
        </w:tc>
        <w:tc>
          <w:tcPr>
            <w:tcW w:w="1843" w:type="dxa"/>
            <w:vAlign w:val="center"/>
          </w:tcPr>
          <w:p>
            <w:pPr>
              <w:pStyle w:val="10"/>
              <w:rPr>
                <w:highlight w:val="none"/>
              </w:rPr>
            </w:pPr>
            <w:r>
              <w:rPr>
                <w:highlight w:val="none"/>
              </w:rP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通过上级审查</w:t>
            </w:r>
          </w:p>
        </w:tc>
        <w:tc>
          <w:tcPr>
            <w:tcW w:w="2891" w:type="dxa"/>
            <w:vAlign w:val="center"/>
          </w:tcPr>
          <w:p>
            <w:pPr>
              <w:pStyle w:val="10"/>
              <w:rPr>
                <w:highlight w:val="none"/>
              </w:rPr>
            </w:pPr>
            <w:r>
              <w:rPr>
                <w:highlight w:val="none"/>
              </w:rPr>
              <w:t>通过市、区两级政府审查</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通过上级审查</w:t>
            </w:r>
          </w:p>
        </w:tc>
        <w:tc>
          <w:tcPr>
            <w:tcW w:w="2891" w:type="dxa"/>
            <w:vAlign w:val="center"/>
          </w:tcPr>
          <w:p>
            <w:pPr>
              <w:pStyle w:val="10"/>
              <w:rPr>
                <w:highlight w:val="none"/>
              </w:rPr>
            </w:pPr>
            <w:r>
              <w:rPr>
                <w:highlight w:val="none"/>
              </w:rPr>
              <w:t>通过市、区两级政府审查</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完成率</w:t>
            </w:r>
          </w:p>
        </w:tc>
        <w:tc>
          <w:tcPr>
            <w:tcW w:w="2891" w:type="dxa"/>
            <w:vAlign w:val="center"/>
          </w:tcPr>
          <w:p>
            <w:pPr>
              <w:pStyle w:val="10"/>
              <w:rPr>
                <w:highlight w:val="none"/>
              </w:rPr>
            </w:pPr>
            <w:r>
              <w:rPr>
                <w:highlight w:val="none"/>
              </w:rPr>
              <w:t>按时完成成果编制并通过上级审批</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完成率</w:t>
            </w:r>
          </w:p>
        </w:tc>
        <w:tc>
          <w:tcPr>
            <w:tcW w:w="2891" w:type="dxa"/>
            <w:vAlign w:val="center"/>
          </w:tcPr>
          <w:p>
            <w:pPr>
              <w:pStyle w:val="10"/>
              <w:rPr>
                <w:highlight w:val="none"/>
              </w:rPr>
            </w:pPr>
            <w:r>
              <w:rPr>
                <w:highlight w:val="none"/>
              </w:rPr>
              <w:t>按时完成成果编制并通过上级审批</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资金成本</w:t>
            </w:r>
          </w:p>
        </w:tc>
        <w:tc>
          <w:tcPr>
            <w:tcW w:w="2891" w:type="dxa"/>
            <w:vAlign w:val="center"/>
          </w:tcPr>
          <w:p>
            <w:pPr>
              <w:pStyle w:val="10"/>
              <w:rPr>
                <w:highlight w:val="none"/>
              </w:rPr>
            </w:pPr>
            <w:r>
              <w:rPr>
                <w:highlight w:val="none"/>
              </w:rPr>
              <w:t>支出金额控制在预算额度内</w:t>
            </w:r>
          </w:p>
        </w:tc>
        <w:tc>
          <w:tcPr>
            <w:tcW w:w="1276" w:type="dxa"/>
            <w:vAlign w:val="center"/>
          </w:tcPr>
          <w:p>
            <w:pPr>
              <w:pStyle w:val="10"/>
              <w:rPr>
                <w:highlight w:val="none"/>
              </w:rPr>
            </w:pPr>
            <w:r>
              <w:rPr>
                <w:highlight w:val="none"/>
              </w:rPr>
              <w:t>≤200万元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提高国民生产总值</w:t>
            </w:r>
          </w:p>
        </w:tc>
        <w:tc>
          <w:tcPr>
            <w:tcW w:w="2891" w:type="dxa"/>
            <w:vAlign w:val="center"/>
          </w:tcPr>
          <w:p>
            <w:pPr>
              <w:pStyle w:val="10"/>
              <w:rPr>
                <w:highlight w:val="none"/>
              </w:rPr>
            </w:pPr>
            <w:r>
              <w:rPr>
                <w:highlight w:val="none"/>
              </w:rPr>
              <w:t>优化布局，带动产业发展</w:t>
            </w:r>
          </w:p>
        </w:tc>
        <w:tc>
          <w:tcPr>
            <w:tcW w:w="1276" w:type="dxa"/>
            <w:vAlign w:val="center"/>
          </w:tcPr>
          <w:p>
            <w:pPr>
              <w:pStyle w:val="10"/>
              <w:rPr>
                <w:highlight w:val="none"/>
              </w:rPr>
            </w:pPr>
            <w:r>
              <w:rPr>
                <w:highlight w:val="none"/>
              </w:rPr>
              <w:t>有效提高</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8" w:name="_Toc_4_4_0000000019"/>
      <w:r>
        <w:rPr>
          <w:rFonts w:ascii="方正仿宋_GBK" w:hAnsi="方正仿宋_GBK" w:eastAsia="方正仿宋_GBK" w:cs="方正仿宋_GBK"/>
          <w:color w:val="000000"/>
          <w:sz w:val="28"/>
          <w:highlight w:val="none"/>
        </w:rPr>
        <w:t>16.护林防火经费绩效目标表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13030322P00425610019Y</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护林防火经费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87.00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87.00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用于护林防火工作经费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1.预防减少自然灾害、降低火灾损失、保持森林覆盖率。</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巡查保护林地面积</w:t>
            </w:r>
          </w:p>
        </w:tc>
        <w:tc>
          <w:tcPr>
            <w:tcW w:w="2891" w:type="dxa"/>
            <w:vAlign w:val="center"/>
          </w:tcPr>
          <w:p>
            <w:pPr>
              <w:pStyle w:val="10"/>
              <w:rPr>
                <w:highlight w:val="none"/>
              </w:rPr>
            </w:pPr>
            <w:r>
              <w:rPr>
                <w:highlight w:val="none"/>
              </w:rPr>
              <w:t>巡查保护林地面积</w:t>
            </w:r>
          </w:p>
        </w:tc>
        <w:tc>
          <w:tcPr>
            <w:tcW w:w="1276" w:type="dxa"/>
            <w:vAlign w:val="center"/>
          </w:tcPr>
          <w:p>
            <w:pPr>
              <w:pStyle w:val="10"/>
              <w:rPr>
                <w:highlight w:val="none"/>
              </w:rPr>
            </w:pPr>
            <w:r>
              <w:rPr>
                <w:highlight w:val="none"/>
              </w:rPr>
              <w:t>77880亩</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车辆采购数量</w:t>
            </w:r>
          </w:p>
        </w:tc>
        <w:tc>
          <w:tcPr>
            <w:tcW w:w="2891" w:type="dxa"/>
            <w:vAlign w:val="center"/>
          </w:tcPr>
          <w:p>
            <w:pPr>
              <w:pStyle w:val="10"/>
              <w:rPr>
                <w:highlight w:val="none"/>
              </w:rPr>
            </w:pPr>
            <w:r>
              <w:rPr>
                <w:highlight w:val="none"/>
              </w:rPr>
              <w:t>车辆采购数量</w:t>
            </w:r>
          </w:p>
        </w:tc>
        <w:tc>
          <w:tcPr>
            <w:tcW w:w="1276" w:type="dxa"/>
            <w:vAlign w:val="center"/>
          </w:tcPr>
          <w:p>
            <w:pPr>
              <w:pStyle w:val="10"/>
              <w:rPr>
                <w:highlight w:val="none"/>
              </w:rPr>
            </w:pPr>
            <w:r>
              <w:rPr>
                <w:highlight w:val="none"/>
              </w:rPr>
              <w:t>2辆</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验收合格率</w:t>
            </w:r>
          </w:p>
        </w:tc>
        <w:tc>
          <w:tcPr>
            <w:tcW w:w="2891" w:type="dxa"/>
            <w:vAlign w:val="center"/>
          </w:tcPr>
          <w:p>
            <w:pPr>
              <w:pStyle w:val="10"/>
              <w:rPr>
                <w:highlight w:val="none"/>
              </w:rPr>
            </w:pPr>
            <w:r>
              <w:rPr>
                <w:highlight w:val="none"/>
              </w:rPr>
              <w:t>采购车辆验收合格率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当年实际日常巡查目标完成率</w:t>
            </w:r>
          </w:p>
        </w:tc>
        <w:tc>
          <w:tcPr>
            <w:tcW w:w="2891" w:type="dxa"/>
            <w:vAlign w:val="center"/>
          </w:tcPr>
          <w:p>
            <w:pPr>
              <w:pStyle w:val="10"/>
              <w:rPr>
                <w:highlight w:val="none"/>
              </w:rPr>
            </w:pPr>
            <w:r>
              <w:rPr>
                <w:highlight w:val="none"/>
              </w:rPr>
              <w:t>当年实际日常巡查目标完成率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人员工资保障率</w:t>
            </w:r>
          </w:p>
        </w:tc>
        <w:tc>
          <w:tcPr>
            <w:tcW w:w="2891" w:type="dxa"/>
            <w:vAlign w:val="center"/>
          </w:tcPr>
          <w:p>
            <w:pPr>
              <w:pStyle w:val="10"/>
              <w:rPr>
                <w:highlight w:val="none"/>
              </w:rPr>
            </w:pPr>
            <w:r>
              <w:rPr>
                <w:highlight w:val="none"/>
              </w:rPr>
              <w:t>保障人员工资按时发放工资</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护林防火任务完成率</w:t>
            </w:r>
          </w:p>
        </w:tc>
        <w:tc>
          <w:tcPr>
            <w:tcW w:w="2891" w:type="dxa"/>
            <w:vAlign w:val="center"/>
          </w:tcPr>
          <w:p>
            <w:pPr>
              <w:pStyle w:val="10"/>
              <w:rPr>
                <w:highlight w:val="none"/>
              </w:rPr>
            </w:pPr>
            <w:r>
              <w:rPr>
                <w:highlight w:val="none"/>
              </w:rPr>
              <w:t>护林防火任务完成率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成本预算控制数</w:t>
            </w:r>
          </w:p>
        </w:tc>
        <w:tc>
          <w:tcPr>
            <w:tcW w:w="2891" w:type="dxa"/>
            <w:vAlign w:val="center"/>
          </w:tcPr>
          <w:p>
            <w:pPr>
              <w:pStyle w:val="10"/>
              <w:rPr>
                <w:highlight w:val="none"/>
              </w:rPr>
            </w:pPr>
            <w:r>
              <w:rPr>
                <w:highlight w:val="none"/>
              </w:rPr>
              <w:t>支出金额控制在预算额度内</w:t>
            </w:r>
          </w:p>
        </w:tc>
        <w:tc>
          <w:tcPr>
            <w:tcW w:w="1276" w:type="dxa"/>
            <w:vAlign w:val="center"/>
          </w:tcPr>
          <w:p>
            <w:pPr>
              <w:pStyle w:val="10"/>
              <w:rPr>
                <w:highlight w:val="none"/>
              </w:rPr>
            </w:pPr>
            <w:r>
              <w:rPr>
                <w:highlight w:val="none"/>
              </w:rPr>
              <w:t>≤87万元</w:t>
            </w:r>
          </w:p>
        </w:tc>
        <w:tc>
          <w:tcPr>
            <w:tcW w:w="1843" w:type="dxa"/>
            <w:vAlign w:val="center"/>
          </w:tcPr>
          <w:p>
            <w:pPr>
              <w:pStyle w:val="10"/>
              <w:rPr>
                <w:highlight w:val="none"/>
              </w:rPr>
            </w:pPr>
            <w:r>
              <w:rPr>
                <w:highlight w:val="none"/>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降低火灾损失</w:t>
            </w:r>
          </w:p>
        </w:tc>
        <w:tc>
          <w:tcPr>
            <w:tcW w:w="2891" w:type="dxa"/>
            <w:vAlign w:val="center"/>
          </w:tcPr>
          <w:p>
            <w:pPr>
              <w:pStyle w:val="10"/>
              <w:rPr>
                <w:highlight w:val="none"/>
              </w:rPr>
            </w:pPr>
            <w:r>
              <w:rPr>
                <w:highlight w:val="none"/>
              </w:rPr>
              <w:t>通过护林防火巡查从而减低火灾损失</w:t>
            </w:r>
          </w:p>
        </w:tc>
        <w:tc>
          <w:tcPr>
            <w:tcW w:w="1276" w:type="dxa"/>
            <w:vAlign w:val="center"/>
          </w:tcPr>
          <w:p>
            <w:pPr>
              <w:pStyle w:val="10"/>
              <w:rPr>
                <w:highlight w:val="none"/>
              </w:rPr>
            </w:pPr>
            <w:r>
              <w:rPr>
                <w:highlight w:val="none"/>
              </w:rPr>
              <w:t>有效降低</w:t>
            </w:r>
          </w:p>
        </w:tc>
        <w:tc>
          <w:tcPr>
            <w:tcW w:w="1843" w:type="dxa"/>
            <w:vAlign w:val="center"/>
          </w:tcPr>
          <w:p>
            <w:pPr>
              <w:pStyle w:val="10"/>
              <w:rPr>
                <w:highlight w:val="none"/>
              </w:rPr>
            </w:pPr>
            <w:r>
              <w:rPr>
                <w:highlight w:val="none"/>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19" w:name="_Toc_4_4_0000000020"/>
      <w:r>
        <w:rPr>
          <w:rFonts w:ascii="方正仿宋_GBK" w:hAnsi="方正仿宋_GBK" w:eastAsia="方正仿宋_GBK" w:cs="方正仿宋_GBK"/>
          <w:color w:val="000000"/>
          <w:sz w:val="28"/>
          <w:highlight w:val="none"/>
        </w:rPr>
        <w:t>17.佳龙拟建动物园片区相关费用绩效目标表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13030322P00425610065U</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佳龙拟建动物园片区相关费用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13.00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13.00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"保障佳龙拟建动物园区工作正常运转。</w:t>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shd w:val="clear" w:color="auto" w:fill="E2EFDA" w:themeFill="accent6" w:themeFillTint="32"/>
            <w:vAlign w:val="center"/>
          </w:tcPr>
          <w:p>
            <w:pPr>
              <w:pStyle w:val="12"/>
              <w:rPr>
                <w:highlight w:val="none"/>
              </w:rPr>
            </w:pPr>
            <w:r>
              <w:rPr>
                <w:rFonts w:hint="eastAsia"/>
                <w:highlight w:val="none"/>
                <w:lang w:val="en-US" w:eastAsia="zh-CN"/>
              </w:rPr>
              <w:t>100</w:t>
            </w:r>
            <w:r>
              <w:rPr>
                <w:highlight w:val="none"/>
              </w:rPr>
              <w:t>%</w:t>
            </w:r>
          </w:p>
        </w:tc>
        <w:tc>
          <w:tcPr>
            <w:tcW w:w="1587" w:type="dxa"/>
            <w:shd w:val="clear" w:color="auto" w:fill="E2EFDA" w:themeFill="accent6" w:themeFillTint="32"/>
            <w:vAlign w:val="center"/>
          </w:tcPr>
          <w:p>
            <w:pPr>
              <w:pStyle w:val="12"/>
              <w:rPr>
                <w:highlight w:val="none"/>
              </w:rPr>
            </w:pPr>
            <w:r>
              <w:rPr>
                <w:rFonts w:hint="eastAsia"/>
                <w:highlight w:val="none"/>
                <w:lang w:val="en-US" w:eastAsia="zh-CN"/>
              </w:rPr>
              <w:t>100</w:t>
            </w:r>
            <w:r>
              <w:rPr>
                <w:highlight w:val="none"/>
              </w:rPr>
              <w:t>%</w:t>
            </w:r>
          </w:p>
        </w:tc>
        <w:tc>
          <w:tcPr>
            <w:tcW w:w="1304" w:type="dxa"/>
            <w:shd w:val="clear" w:color="auto" w:fill="E2EFDA" w:themeFill="accent6" w:themeFillTint="32"/>
            <w:vAlign w:val="center"/>
          </w:tcPr>
          <w:p>
            <w:pPr>
              <w:pStyle w:val="12"/>
              <w:rPr>
                <w:highlight w:val="none"/>
              </w:rPr>
            </w:pPr>
            <w:r>
              <w:rPr>
                <w:rFonts w:hint="eastAsia"/>
                <w:highlight w:val="none"/>
                <w:lang w:val="en-US" w:eastAsia="zh-CN"/>
              </w:rPr>
              <w:t>100</w:t>
            </w:r>
            <w:r>
              <w:rPr>
                <w:highlight w:val="none"/>
              </w:rPr>
              <w:t>%</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1.保障佳龙拟建动物园区工作正常运转。</w:t>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租赁面积</w:t>
            </w:r>
          </w:p>
        </w:tc>
        <w:tc>
          <w:tcPr>
            <w:tcW w:w="2891" w:type="dxa"/>
            <w:vAlign w:val="center"/>
          </w:tcPr>
          <w:p>
            <w:pPr>
              <w:pStyle w:val="10"/>
              <w:rPr>
                <w:highlight w:val="none"/>
              </w:rPr>
            </w:pPr>
            <w:r>
              <w:rPr>
                <w:highlight w:val="none"/>
              </w:rPr>
              <w:t>租赁办公用房面积</w:t>
            </w:r>
          </w:p>
        </w:tc>
        <w:tc>
          <w:tcPr>
            <w:tcW w:w="1276" w:type="dxa"/>
            <w:vAlign w:val="center"/>
          </w:tcPr>
          <w:p>
            <w:pPr>
              <w:pStyle w:val="10"/>
              <w:rPr>
                <w:highlight w:val="none"/>
              </w:rPr>
            </w:pPr>
            <w:r>
              <w:rPr>
                <w:highlight w:val="none"/>
              </w:rPr>
              <w:t>100平方米</w:t>
            </w:r>
          </w:p>
        </w:tc>
        <w:tc>
          <w:tcPr>
            <w:tcW w:w="1843" w:type="dxa"/>
            <w:vAlign w:val="center"/>
          </w:tcPr>
          <w:p>
            <w:pPr>
              <w:pStyle w:val="10"/>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租赁办公用房质量情况</w:t>
            </w:r>
          </w:p>
        </w:tc>
        <w:tc>
          <w:tcPr>
            <w:tcW w:w="2891" w:type="dxa"/>
            <w:vAlign w:val="center"/>
          </w:tcPr>
          <w:p>
            <w:pPr>
              <w:pStyle w:val="10"/>
              <w:rPr>
                <w:highlight w:val="none"/>
              </w:rPr>
            </w:pPr>
            <w:r>
              <w:rPr>
                <w:highlight w:val="none"/>
              </w:rPr>
              <w:t>办公用房内各项设施齐全，运转正常</w:t>
            </w:r>
          </w:p>
        </w:tc>
        <w:tc>
          <w:tcPr>
            <w:tcW w:w="1276" w:type="dxa"/>
            <w:vAlign w:val="center"/>
          </w:tcPr>
          <w:p>
            <w:pPr>
              <w:pStyle w:val="10"/>
              <w:rPr>
                <w:highlight w:val="none"/>
              </w:rPr>
            </w:pPr>
            <w:r>
              <w:rPr>
                <w:highlight w:val="none"/>
              </w:rPr>
              <w:t>设施齐全，正常运转</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房租支出的及时性</w:t>
            </w:r>
          </w:p>
        </w:tc>
        <w:tc>
          <w:tcPr>
            <w:tcW w:w="2891" w:type="dxa"/>
            <w:vAlign w:val="center"/>
          </w:tcPr>
          <w:p>
            <w:pPr>
              <w:pStyle w:val="10"/>
              <w:rPr>
                <w:highlight w:val="none"/>
              </w:rPr>
            </w:pPr>
            <w:r>
              <w:rPr>
                <w:highlight w:val="none"/>
              </w:rPr>
              <w:t>按合同约定及时支付房租</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房屋租赁费</w:t>
            </w:r>
          </w:p>
        </w:tc>
        <w:tc>
          <w:tcPr>
            <w:tcW w:w="2891" w:type="dxa"/>
            <w:vAlign w:val="center"/>
          </w:tcPr>
          <w:p>
            <w:pPr>
              <w:pStyle w:val="10"/>
              <w:rPr>
                <w:highlight w:val="none"/>
              </w:rPr>
            </w:pPr>
            <w:r>
              <w:rPr>
                <w:highlight w:val="none"/>
              </w:rPr>
              <w:t>房屋租赁费</w:t>
            </w:r>
          </w:p>
        </w:tc>
        <w:tc>
          <w:tcPr>
            <w:tcW w:w="1276" w:type="dxa"/>
            <w:vAlign w:val="center"/>
          </w:tcPr>
          <w:p>
            <w:pPr>
              <w:pStyle w:val="10"/>
              <w:rPr>
                <w:highlight w:val="none"/>
              </w:rPr>
            </w:pPr>
            <w:r>
              <w:rPr>
                <w:highlight w:val="none"/>
              </w:rPr>
              <w:t>13万元</w:t>
            </w:r>
          </w:p>
        </w:tc>
        <w:tc>
          <w:tcPr>
            <w:tcW w:w="1843" w:type="dxa"/>
            <w:vAlign w:val="center"/>
          </w:tcPr>
          <w:p>
            <w:pPr>
              <w:pStyle w:val="10"/>
              <w:rPr>
                <w:highlight w:val="none"/>
              </w:rPr>
            </w:pPr>
            <w:r>
              <w:rPr>
                <w:highlight w:val="none"/>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改善办公条件</w:t>
            </w:r>
          </w:p>
        </w:tc>
        <w:tc>
          <w:tcPr>
            <w:tcW w:w="2891" w:type="dxa"/>
            <w:vAlign w:val="center"/>
          </w:tcPr>
          <w:p>
            <w:pPr>
              <w:pStyle w:val="10"/>
              <w:rPr>
                <w:highlight w:val="none"/>
              </w:rPr>
            </w:pPr>
            <w:r>
              <w:rPr>
                <w:highlight w:val="none"/>
              </w:rPr>
              <w:t>改善办公条件</w:t>
            </w:r>
          </w:p>
        </w:tc>
        <w:tc>
          <w:tcPr>
            <w:tcW w:w="1276" w:type="dxa"/>
            <w:vAlign w:val="center"/>
          </w:tcPr>
          <w:p>
            <w:pPr>
              <w:pStyle w:val="10"/>
              <w:rPr>
                <w:highlight w:val="none"/>
              </w:rPr>
            </w:pPr>
            <w:r>
              <w:rPr>
                <w:highlight w:val="none"/>
              </w:rPr>
              <w:t>逐渐改善</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群众满意度调查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0" w:name="_Toc_4_4_0000000021"/>
      <w:r>
        <w:rPr>
          <w:rFonts w:ascii="方正仿宋_GBK" w:hAnsi="方正仿宋_GBK" w:eastAsia="方正仿宋_GBK" w:cs="方正仿宋_GBK"/>
          <w:color w:val="000000"/>
          <w:sz w:val="28"/>
          <w:highlight w:val="none"/>
        </w:rPr>
        <w:t>18.林业草原生态保护恢复资金绩效目标表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13030322P00422910001H</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林业草原生态保护恢复资金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4.81</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4.81</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"依据检查验收结果发放农户补助</w:t>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1.依据检查验收结果发放农户补助</w:t>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造林任务完成率</w:t>
            </w:r>
          </w:p>
        </w:tc>
        <w:tc>
          <w:tcPr>
            <w:tcW w:w="2891" w:type="dxa"/>
            <w:vAlign w:val="center"/>
          </w:tcPr>
          <w:p>
            <w:pPr>
              <w:pStyle w:val="10"/>
              <w:rPr>
                <w:highlight w:val="none"/>
              </w:rPr>
            </w:pPr>
            <w:r>
              <w:rPr>
                <w:highlight w:val="none"/>
              </w:rPr>
              <w:t>完成预期目标</w:t>
            </w:r>
          </w:p>
        </w:tc>
        <w:tc>
          <w:tcPr>
            <w:tcW w:w="1276" w:type="dxa"/>
            <w:vAlign w:val="center"/>
          </w:tcPr>
          <w:p>
            <w:pPr>
              <w:pStyle w:val="10"/>
              <w:rPr>
                <w:highlight w:val="none"/>
              </w:rPr>
            </w:pPr>
            <w:r>
              <w:rPr>
                <w:rFonts w:hint="eastAsia"/>
                <w:highlight w:val="none"/>
                <w:lang w:val="en-US" w:eastAsia="zh-CN"/>
              </w:rPr>
              <w:t>=</w:t>
            </w:r>
            <w:r>
              <w:rPr>
                <w:highlight w:val="none"/>
              </w:rPr>
              <w:t>100%</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苗木保存率和成活率</w:t>
            </w:r>
          </w:p>
        </w:tc>
        <w:tc>
          <w:tcPr>
            <w:tcW w:w="2891" w:type="dxa"/>
            <w:vAlign w:val="center"/>
          </w:tcPr>
          <w:p>
            <w:pPr>
              <w:pStyle w:val="10"/>
              <w:rPr>
                <w:highlight w:val="none"/>
              </w:rPr>
            </w:pPr>
            <w:r>
              <w:rPr>
                <w:highlight w:val="none"/>
              </w:rPr>
              <w:t>苗木保存率和成活率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上一轮退耕还生态林苗木保存率</w:t>
            </w:r>
          </w:p>
        </w:tc>
        <w:tc>
          <w:tcPr>
            <w:tcW w:w="2891" w:type="dxa"/>
            <w:vAlign w:val="center"/>
          </w:tcPr>
          <w:p>
            <w:pPr>
              <w:pStyle w:val="10"/>
              <w:rPr>
                <w:highlight w:val="none"/>
              </w:rPr>
            </w:pPr>
            <w:r>
              <w:rPr>
                <w:highlight w:val="none"/>
              </w:rPr>
              <w:t>上一轮退耕还生态林农户苗木当期保存率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上一轮退耕还生态林中央财政补助</w:t>
            </w:r>
          </w:p>
        </w:tc>
        <w:tc>
          <w:tcPr>
            <w:tcW w:w="2891" w:type="dxa"/>
            <w:vAlign w:val="center"/>
          </w:tcPr>
          <w:p>
            <w:pPr>
              <w:pStyle w:val="10"/>
              <w:rPr>
                <w:highlight w:val="none"/>
              </w:rPr>
            </w:pPr>
            <w:r>
              <w:rPr>
                <w:highlight w:val="none"/>
              </w:rPr>
              <w:t>上一轮退耕还生态林中央财政补助</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完成预期目标</w:t>
            </w:r>
          </w:p>
        </w:tc>
        <w:tc>
          <w:tcPr>
            <w:tcW w:w="2891" w:type="dxa"/>
            <w:vAlign w:val="center"/>
          </w:tcPr>
          <w:p>
            <w:pPr>
              <w:pStyle w:val="10"/>
              <w:rPr>
                <w:highlight w:val="none"/>
              </w:rPr>
            </w:pPr>
            <w:r>
              <w:rPr>
                <w:highlight w:val="none"/>
              </w:rPr>
              <w:t>完成预期目标</w:t>
            </w:r>
          </w:p>
        </w:tc>
        <w:tc>
          <w:tcPr>
            <w:tcW w:w="1276" w:type="dxa"/>
            <w:vAlign w:val="center"/>
          </w:tcPr>
          <w:p>
            <w:pPr>
              <w:pStyle w:val="10"/>
              <w:rPr>
                <w:highlight w:val="none"/>
              </w:rPr>
            </w:pPr>
            <w:r>
              <w:rPr>
                <w:highlight w:val="none"/>
              </w:rPr>
              <w:t>≥95%</w:t>
            </w:r>
          </w:p>
        </w:tc>
        <w:tc>
          <w:tcPr>
            <w:tcW w:w="1843" w:type="dxa"/>
            <w:vAlign w:val="center"/>
          </w:tcPr>
          <w:p>
            <w:pPr>
              <w:pStyle w:val="10"/>
              <w:rPr>
                <w:rFonts w:hint="eastAsia" w:eastAsia="方正书宋_GBK"/>
                <w:highlight w:val="none"/>
                <w:lang w:eastAsia="zh-CN"/>
              </w:rPr>
            </w:pPr>
            <w:r>
              <w:rPr>
                <w:rFonts w:hint="eastAsia"/>
                <w:highlight w:val="none"/>
                <w:lang w:eastAsia="zh-CN"/>
              </w:rPr>
              <w:t>调查问卷</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1" w:name="_Toc_4_4_0000000022"/>
      <w:r>
        <w:rPr>
          <w:rFonts w:ascii="方正仿宋_GBK" w:hAnsi="方正仿宋_GBK" w:eastAsia="方正仿宋_GBK" w:cs="方正仿宋_GBK"/>
          <w:color w:val="000000"/>
          <w:sz w:val="28"/>
          <w:highlight w:val="none"/>
        </w:rPr>
        <w:t>19.人事代理专项补助绩效目标表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13030322P00426410008B</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36.00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36.00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保证专项补助的正确使用和发放</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1.保证专项补助的正确使用和发放</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成本数额正确</w:t>
            </w:r>
          </w:p>
        </w:tc>
        <w:tc>
          <w:tcPr>
            <w:tcW w:w="2891" w:type="dxa"/>
            <w:vAlign w:val="center"/>
          </w:tcPr>
          <w:p>
            <w:pPr>
              <w:pStyle w:val="10"/>
              <w:rPr>
                <w:highlight w:val="none"/>
              </w:rPr>
            </w:pPr>
            <w:r>
              <w:rPr>
                <w:highlight w:val="none"/>
              </w:rPr>
              <w:t>成本数额正确</w:t>
            </w:r>
          </w:p>
        </w:tc>
        <w:tc>
          <w:tcPr>
            <w:tcW w:w="1276" w:type="dxa"/>
            <w:vAlign w:val="center"/>
          </w:tcPr>
          <w:p>
            <w:pPr>
              <w:pStyle w:val="10"/>
              <w:rPr>
                <w:highlight w:val="none"/>
              </w:rPr>
            </w:pPr>
            <w:r>
              <w:rPr>
                <w:highlight w:val="none"/>
              </w:rPr>
              <w:t>≤36万元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保证发放质量</w:t>
            </w:r>
          </w:p>
        </w:tc>
        <w:tc>
          <w:tcPr>
            <w:tcW w:w="2891" w:type="dxa"/>
            <w:vAlign w:val="center"/>
          </w:tcPr>
          <w:p>
            <w:pPr>
              <w:pStyle w:val="10"/>
              <w:rPr>
                <w:highlight w:val="none"/>
              </w:rPr>
            </w:pPr>
            <w:r>
              <w:rPr>
                <w:highlight w:val="none"/>
              </w:rPr>
              <w:t>保证发放质量</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保证及时发放</w:t>
            </w:r>
          </w:p>
        </w:tc>
        <w:tc>
          <w:tcPr>
            <w:tcW w:w="2891" w:type="dxa"/>
            <w:vAlign w:val="center"/>
          </w:tcPr>
          <w:p>
            <w:pPr>
              <w:pStyle w:val="10"/>
              <w:rPr>
                <w:highlight w:val="none"/>
              </w:rPr>
            </w:pPr>
            <w:r>
              <w:rPr>
                <w:highlight w:val="none"/>
              </w:rPr>
              <w:t>保证及时发放</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成本数额正确率</w:t>
            </w:r>
          </w:p>
        </w:tc>
        <w:tc>
          <w:tcPr>
            <w:tcW w:w="2891" w:type="dxa"/>
            <w:vAlign w:val="center"/>
          </w:tcPr>
          <w:p>
            <w:pPr>
              <w:pStyle w:val="10"/>
              <w:rPr>
                <w:highlight w:val="none"/>
              </w:rPr>
            </w:pPr>
            <w:r>
              <w:rPr>
                <w:highlight w:val="none"/>
              </w:rPr>
              <w:t>成本数额正确率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经济提标</w:t>
            </w:r>
          </w:p>
        </w:tc>
        <w:tc>
          <w:tcPr>
            <w:tcW w:w="2891" w:type="dxa"/>
            <w:vAlign w:val="center"/>
          </w:tcPr>
          <w:p>
            <w:pPr>
              <w:pStyle w:val="10"/>
              <w:rPr>
                <w:highlight w:val="none"/>
              </w:rPr>
            </w:pPr>
            <w:r>
              <w:rPr>
                <w:highlight w:val="none"/>
              </w:rPr>
              <w:t>经济提标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green"/>
              </w:rPr>
            </w:pPr>
            <w:r>
              <w:rPr>
                <w:highlight w:val="green"/>
              </w:rPr>
              <w:t>满意度指标</w:t>
            </w:r>
          </w:p>
        </w:tc>
        <w:tc>
          <w:tcPr>
            <w:tcW w:w="1276" w:type="dxa"/>
            <w:vAlign w:val="center"/>
          </w:tcPr>
          <w:p>
            <w:pPr>
              <w:pStyle w:val="10"/>
              <w:rPr>
                <w:highlight w:val="green"/>
              </w:rPr>
            </w:pPr>
            <w:r>
              <w:rPr>
                <w:highlight w:val="green"/>
              </w:rPr>
              <w:t>服务对象满意度指标</w:t>
            </w:r>
          </w:p>
        </w:tc>
        <w:tc>
          <w:tcPr>
            <w:tcW w:w="1332" w:type="dxa"/>
            <w:vAlign w:val="center"/>
          </w:tcPr>
          <w:p>
            <w:pPr>
              <w:pStyle w:val="10"/>
              <w:rPr>
                <w:highlight w:val="green"/>
              </w:rPr>
            </w:pPr>
            <w:r>
              <w:rPr>
                <w:highlight w:val="green"/>
              </w:rPr>
              <w:t>满意度</w:t>
            </w:r>
          </w:p>
        </w:tc>
        <w:tc>
          <w:tcPr>
            <w:tcW w:w="2891" w:type="dxa"/>
            <w:vAlign w:val="center"/>
          </w:tcPr>
          <w:p>
            <w:pPr>
              <w:pStyle w:val="10"/>
              <w:rPr>
                <w:highlight w:val="green"/>
              </w:rPr>
            </w:pPr>
            <w:r>
              <w:rPr>
                <w:highlight w:val="green"/>
              </w:rPr>
              <w:t>满意度</w:t>
            </w:r>
          </w:p>
        </w:tc>
        <w:tc>
          <w:tcPr>
            <w:tcW w:w="1276" w:type="dxa"/>
            <w:vAlign w:val="center"/>
          </w:tcPr>
          <w:p>
            <w:pPr>
              <w:pStyle w:val="10"/>
              <w:rPr>
                <w:highlight w:val="green"/>
              </w:rPr>
            </w:pPr>
            <w:r>
              <w:rPr>
                <w:highlight w:val="green"/>
              </w:rPr>
              <w:t>≥99%</w:t>
            </w:r>
          </w:p>
        </w:tc>
        <w:tc>
          <w:tcPr>
            <w:tcW w:w="1843" w:type="dxa"/>
            <w:vAlign w:val="center"/>
          </w:tcPr>
          <w:p>
            <w:pPr>
              <w:pStyle w:val="10"/>
              <w:rPr>
                <w:rFonts w:hint="eastAsia" w:eastAsia="方正书宋_GBK"/>
                <w:highlight w:val="green"/>
                <w:lang w:eastAsia="zh-CN"/>
              </w:rPr>
            </w:pPr>
            <w:r>
              <w:rPr>
                <w:rFonts w:hint="eastAsia"/>
                <w:highlight w:val="green"/>
                <w:lang w:eastAsia="zh-CN"/>
              </w:rPr>
              <w:t>调查问卷</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2" w:name="_Toc_4_4_0000000023"/>
      <w:r>
        <w:rPr>
          <w:rFonts w:ascii="方正仿宋_GBK" w:hAnsi="方正仿宋_GBK" w:eastAsia="方正仿宋_GBK" w:cs="方正仿宋_GBK"/>
          <w:color w:val="000000"/>
          <w:sz w:val="28"/>
          <w:highlight w:val="none"/>
        </w:rPr>
        <w:t>20.山海关存量农村宅基地和集体建设用地及房屋登记资料汇交入库绩效目标表</w:t>
      </w:r>
      <w:bookmarkEnd w:id="2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13030322P00425610022H</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山海关存量农村宅基地和集体建设用地及房屋登记资料汇交入库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按照省市相关文件要求，通过区财政部门资金拨付支持，保障项目的全力开展，确保我区存量农村宅基地和集体建设用地及房屋登记资料汇交入库工作按时完成，使我区新增建设用地报批工作不受影响，从而保障我区整体建设及经济发展平稳发展。</w:t>
            </w:r>
            <w:r>
              <w:rPr>
                <w:highlight w:val="none"/>
              </w:rPr>
              <w:tab/>
            </w:r>
            <w:r>
              <w:rPr>
                <w:highlight w:val="none"/>
              </w:rPr>
              <w:tab/>
            </w:r>
            <w:r>
              <w:rPr>
                <w:highlight w:val="none"/>
              </w:rPr>
              <w:tab/>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按照省市相关文件要求，通过区财政部门资金拨付支持，保障项目的全力开展，确保我区存量农村宅基地和集体建设用地及房屋登记资料汇交入库工作按时完成，使我区新增建设用地报批工作不受影响，从而保障我区整体建设及经济发展平稳发展。</w:t>
            </w:r>
            <w:r>
              <w:rPr>
                <w:highlight w:val="none"/>
              </w:rPr>
              <w:tab/>
            </w:r>
            <w:r>
              <w:rPr>
                <w:highlight w:val="none"/>
              </w:rPr>
              <w:tab/>
            </w:r>
            <w:r>
              <w:rPr>
                <w:highlight w:val="none"/>
              </w:rPr>
              <w:tab/>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山海关区存量农村宅基地和集体建设用地及房屋登记资料汇交入库（17000宗）</w:t>
            </w:r>
          </w:p>
        </w:tc>
        <w:tc>
          <w:tcPr>
            <w:tcW w:w="2891" w:type="dxa"/>
            <w:vAlign w:val="center"/>
          </w:tcPr>
          <w:p>
            <w:pPr>
              <w:pStyle w:val="10"/>
              <w:rPr>
                <w:highlight w:val="none"/>
              </w:rPr>
            </w:pPr>
            <w:r>
              <w:rPr>
                <w:highlight w:val="none"/>
              </w:rPr>
              <w:t>针对山海关区已有存量农村宅基地和集体建设用地及房屋登记资料进行扫描及数据处理并上交省厅完成汇交入库</w:t>
            </w:r>
          </w:p>
        </w:tc>
        <w:tc>
          <w:tcPr>
            <w:tcW w:w="1276" w:type="dxa"/>
            <w:vAlign w:val="center"/>
          </w:tcPr>
          <w:p>
            <w:pPr>
              <w:pStyle w:val="10"/>
              <w:rPr>
                <w:highlight w:val="none"/>
              </w:rPr>
            </w:pPr>
            <w:r>
              <w:rPr>
                <w:highlight w:val="none"/>
              </w:rPr>
              <w:t>符合省厅汇交入库技术要求</w:t>
            </w:r>
          </w:p>
        </w:tc>
        <w:tc>
          <w:tcPr>
            <w:tcW w:w="1843" w:type="dxa"/>
            <w:vAlign w:val="center"/>
          </w:tcPr>
          <w:p>
            <w:pPr>
              <w:pStyle w:val="10"/>
              <w:rPr>
                <w:highlight w:val="none"/>
              </w:rPr>
            </w:pPr>
            <w:r>
              <w:rPr>
                <w:highlight w:val="none"/>
              </w:rPr>
              <w:t>自然资源部关于加快宅基地和集体建设用地使用权确权登记工作的通知（自然资发[2020]84号）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按照省厅技术要求按时限完成</w:t>
            </w:r>
          </w:p>
        </w:tc>
        <w:tc>
          <w:tcPr>
            <w:tcW w:w="2891" w:type="dxa"/>
            <w:vAlign w:val="center"/>
          </w:tcPr>
          <w:p>
            <w:pPr>
              <w:pStyle w:val="10"/>
              <w:rPr>
                <w:highlight w:val="none"/>
              </w:rPr>
            </w:pPr>
            <w:r>
              <w:rPr>
                <w:highlight w:val="none"/>
              </w:rPr>
              <w:t>汇交入库数据符合国家相关规范性文件</w:t>
            </w:r>
          </w:p>
        </w:tc>
        <w:tc>
          <w:tcPr>
            <w:tcW w:w="1276" w:type="dxa"/>
            <w:vAlign w:val="center"/>
          </w:tcPr>
          <w:p>
            <w:pPr>
              <w:pStyle w:val="10"/>
              <w:rPr>
                <w:highlight w:val="none"/>
              </w:rPr>
            </w:pPr>
            <w:r>
              <w:rPr>
                <w:highlight w:val="none"/>
              </w:rPr>
              <w:t>符合省厅汇交入库技术要求</w:t>
            </w:r>
          </w:p>
        </w:tc>
        <w:tc>
          <w:tcPr>
            <w:tcW w:w="1843" w:type="dxa"/>
            <w:vAlign w:val="center"/>
          </w:tcPr>
          <w:p>
            <w:pPr>
              <w:pStyle w:val="10"/>
              <w:rPr>
                <w:highlight w:val="none"/>
              </w:rPr>
            </w:pPr>
            <w:r>
              <w:rPr>
                <w:highlight w:val="none"/>
              </w:rP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省级自然资源管理部门具体要求</w:t>
            </w:r>
          </w:p>
        </w:tc>
        <w:tc>
          <w:tcPr>
            <w:tcW w:w="2891" w:type="dxa"/>
            <w:vAlign w:val="center"/>
          </w:tcPr>
          <w:p>
            <w:pPr>
              <w:pStyle w:val="10"/>
              <w:rPr>
                <w:highlight w:val="none"/>
              </w:rPr>
            </w:pPr>
            <w:r>
              <w:rPr>
                <w:highlight w:val="none"/>
              </w:rPr>
              <w:t>在省级自然资源管理部门要求的时间内完成相关工作</w:t>
            </w:r>
          </w:p>
        </w:tc>
        <w:tc>
          <w:tcPr>
            <w:tcW w:w="1276" w:type="dxa"/>
            <w:vAlign w:val="center"/>
          </w:tcPr>
          <w:p>
            <w:pPr>
              <w:pStyle w:val="10"/>
              <w:rPr>
                <w:highlight w:val="none"/>
              </w:rPr>
            </w:pPr>
            <w:r>
              <w:rPr>
                <w:highlight w:val="none"/>
              </w:rPr>
              <w:t>符合河北省自然资源管理部门关于该项目的时间要求</w:t>
            </w:r>
          </w:p>
        </w:tc>
        <w:tc>
          <w:tcPr>
            <w:tcW w:w="1843" w:type="dxa"/>
            <w:vAlign w:val="center"/>
          </w:tcPr>
          <w:p>
            <w:pPr>
              <w:pStyle w:val="10"/>
              <w:rPr>
                <w:highlight w:val="none"/>
              </w:rPr>
            </w:pPr>
            <w:r>
              <w:rPr>
                <w:highlight w:val="none"/>
              </w:rP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档案资料扫描、数字化处理、数据格式编制及数据库对接，并将相关数据与不动产登记系统进行数据挂接</w:t>
            </w:r>
          </w:p>
        </w:tc>
        <w:tc>
          <w:tcPr>
            <w:tcW w:w="2891" w:type="dxa"/>
            <w:vAlign w:val="center"/>
          </w:tcPr>
          <w:p>
            <w:pPr>
              <w:pStyle w:val="10"/>
              <w:rPr>
                <w:highlight w:val="none"/>
              </w:rPr>
            </w:pPr>
            <w:r>
              <w:rPr>
                <w:highlight w:val="none"/>
              </w:rPr>
              <w:t>按照省自然资源管理部门技术要求，对档案资料扫描、数字化处理、数据格式编制及数据库对接，并将相关数据与不动产登记系统进行数据挂接</w:t>
            </w:r>
          </w:p>
        </w:tc>
        <w:tc>
          <w:tcPr>
            <w:tcW w:w="1276" w:type="dxa"/>
            <w:vAlign w:val="center"/>
          </w:tcPr>
          <w:p>
            <w:pPr>
              <w:pStyle w:val="10"/>
              <w:rPr>
                <w:highlight w:val="none"/>
              </w:rPr>
            </w:pPr>
            <w:r>
              <w:rPr>
                <w:highlight w:val="none"/>
              </w:rPr>
              <w:t>≤80万元</w:t>
            </w:r>
          </w:p>
        </w:tc>
        <w:tc>
          <w:tcPr>
            <w:tcW w:w="1843" w:type="dxa"/>
            <w:vAlign w:val="center"/>
          </w:tcPr>
          <w:p>
            <w:pPr>
              <w:pStyle w:val="10"/>
              <w:rPr>
                <w:highlight w:val="none"/>
              </w:rPr>
            </w:pPr>
            <w:r>
              <w:rPr>
                <w:highlight w:val="none"/>
              </w:rPr>
              <w:t>山海关区存量农村宅基地和集体建设用地及房屋登记资料汇交入库预算表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按照省市相关文件要求，按时完成汇交入库，使我区新增建设用地报批工作不受影响，从而保障我区整体建设及经济发展平稳发展。</w:t>
            </w:r>
          </w:p>
        </w:tc>
        <w:tc>
          <w:tcPr>
            <w:tcW w:w="2891" w:type="dxa"/>
            <w:vAlign w:val="center"/>
          </w:tcPr>
          <w:p>
            <w:pPr>
              <w:pStyle w:val="10"/>
              <w:rPr>
                <w:highlight w:val="none"/>
              </w:rPr>
            </w:pPr>
            <w:r>
              <w:rPr>
                <w:highlight w:val="none"/>
              </w:rPr>
              <w:t>按照省市相关文件要求，按时完成汇交入库，使我区新增建设用地报批工作不受影响，从而保障我区整体建设及经济发展平稳发展。</w:t>
            </w:r>
          </w:p>
        </w:tc>
        <w:tc>
          <w:tcPr>
            <w:tcW w:w="1276" w:type="dxa"/>
            <w:vAlign w:val="center"/>
          </w:tcPr>
          <w:p>
            <w:pPr>
              <w:pStyle w:val="10"/>
              <w:rPr>
                <w:highlight w:val="none"/>
              </w:rPr>
            </w:pPr>
            <w:r>
              <w:rPr>
                <w:highlight w:val="none"/>
              </w:rPr>
              <w:t>按时完成</w:t>
            </w:r>
          </w:p>
        </w:tc>
        <w:tc>
          <w:tcPr>
            <w:tcW w:w="1843" w:type="dxa"/>
            <w:vAlign w:val="center"/>
          </w:tcPr>
          <w:p>
            <w:pPr>
              <w:pStyle w:val="10"/>
              <w:rPr>
                <w:highlight w:val="none"/>
              </w:rPr>
            </w:pPr>
            <w:r>
              <w:rPr>
                <w:highlight w:val="none"/>
              </w:rPr>
              <w:t>河北省自然资源厅信息中心通过汇交入库的通知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通过省级资源管理部门入库审查</w:t>
            </w:r>
          </w:p>
        </w:tc>
        <w:tc>
          <w:tcPr>
            <w:tcW w:w="2891" w:type="dxa"/>
            <w:vAlign w:val="center"/>
          </w:tcPr>
          <w:p>
            <w:pPr>
              <w:pStyle w:val="10"/>
              <w:rPr>
                <w:highlight w:val="none"/>
              </w:rPr>
            </w:pPr>
            <w:r>
              <w:rPr>
                <w:highlight w:val="none"/>
              </w:rPr>
              <w:t>通过省级部门相关质检要求，通过数据汇交入库审查</w:t>
            </w:r>
          </w:p>
        </w:tc>
        <w:tc>
          <w:tcPr>
            <w:tcW w:w="1276" w:type="dxa"/>
            <w:vAlign w:val="center"/>
          </w:tcPr>
          <w:p>
            <w:pPr>
              <w:pStyle w:val="10"/>
              <w:rPr>
                <w:highlight w:val="none"/>
              </w:rPr>
            </w:pPr>
            <w:r>
              <w:rPr>
                <w:highlight w:val="none"/>
              </w:rPr>
              <w:t>合格</w:t>
            </w:r>
          </w:p>
        </w:tc>
        <w:tc>
          <w:tcPr>
            <w:tcW w:w="1843" w:type="dxa"/>
            <w:vAlign w:val="center"/>
          </w:tcPr>
          <w:p>
            <w:pPr>
              <w:pStyle w:val="10"/>
              <w:rPr>
                <w:rFonts w:hint="eastAsia" w:eastAsia="方正书宋_GBK"/>
                <w:highlight w:val="none"/>
                <w:lang w:eastAsia="zh-CN"/>
              </w:rPr>
            </w:pPr>
            <w:r>
              <w:rPr>
                <w:rFonts w:hint="eastAsia"/>
                <w:highlight w:val="none"/>
                <w:lang w:eastAsia="zh-CN"/>
              </w:rPr>
              <w:t>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3" w:name="_Toc_4_4_0000000024"/>
      <w:r>
        <w:rPr>
          <w:rFonts w:ascii="方正仿宋_GBK" w:hAnsi="方正仿宋_GBK" w:eastAsia="方正仿宋_GBK" w:cs="方正仿宋_GBK"/>
          <w:color w:val="000000"/>
          <w:sz w:val="28"/>
          <w:highlight w:val="none"/>
        </w:rPr>
        <w:t>21.山海关区2020年度、2021年度国土变更调查绩效目标表</w:t>
      </w:r>
      <w:bookmarkEnd w:id="2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13030322P004256100235</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山海关区2020年度、2021年度国土变更调查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国土变更调查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1.1.开展2020年度国土变更调查，促进我区掌握国土利用变化情况</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国家审查通过图斑数量比例</w:t>
            </w:r>
          </w:p>
        </w:tc>
        <w:tc>
          <w:tcPr>
            <w:tcW w:w="2891" w:type="dxa"/>
            <w:vAlign w:val="center"/>
          </w:tcPr>
          <w:p>
            <w:pPr>
              <w:pStyle w:val="10"/>
              <w:rPr>
                <w:highlight w:val="none"/>
              </w:rPr>
            </w:pPr>
            <w:r>
              <w:rPr>
                <w:highlight w:val="none"/>
              </w:rPr>
              <w:t>国家审查通过图斑数量比例</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各项工作开展及时率</w:t>
            </w:r>
          </w:p>
        </w:tc>
        <w:tc>
          <w:tcPr>
            <w:tcW w:w="2891" w:type="dxa"/>
            <w:vAlign w:val="center"/>
          </w:tcPr>
          <w:p>
            <w:pPr>
              <w:pStyle w:val="10"/>
              <w:rPr>
                <w:highlight w:val="none"/>
              </w:rPr>
            </w:pPr>
            <w:r>
              <w:rPr>
                <w:highlight w:val="none"/>
              </w:rPr>
              <w:t>各项工作按计划及时开展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项目成本</w:t>
            </w:r>
          </w:p>
        </w:tc>
        <w:tc>
          <w:tcPr>
            <w:tcW w:w="2891" w:type="dxa"/>
            <w:vAlign w:val="center"/>
          </w:tcPr>
          <w:p>
            <w:pPr>
              <w:pStyle w:val="10"/>
              <w:rPr>
                <w:highlight w:val="none"/>
              </w:rPr>
            </w:pPr>
            <w:r>
              <w:rPr>
                <w:highlight w:val="none"/>
              </w:rPr>
              <w:t>项目支出成本</w:t>
            </w:r>
          </w:p>
        </w:tc>
        <w:tc>
          <w:tcPr>
            <w:tcW w:w="1276" w:type="dxa"/>
            <w:vAlign w:val="center"/>
          </w:tcPr>
          <w:p>
            <w:pPr>
              <w:pStyle w:val="10"/>
              <w:rPr>
                <w:highlight w:val="none"/>
              </w:rPr>
            </w:pPr>
            <w:r>
              <w:rPr>
                <w:highlight w:val="none"/>
              </w:rPr>
              <w:t>80万元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变更调查土地面积</w:t>
            </w:r>
          </w:p>
        </w:tc>
        <w:tc>
          <w:tcPr>
            <w:tcW w:w="2891" w:type="dxa"/>
            <w:vAlign w:val="center"/>
          </w:tcPr>
          <w:p>
            <w:pPr>
              <w:pStyle w:val="10"/>
              <w:rPr>
                <w:highlight w:val="none"/>
              </w:rPr>
            </w:pPr>
            <w:r>
              <w:rPr>
                <w:highlight w:val="none"/>
              </w:rPr>
              <w:t>山海关区变更调查土地面积</w:t>
            </w:r>
          </w:p>
          <w:p>
            <w:pPr>
              <w:pStyle w:val="10"/>
              <w:rPr>
                <w:highlight w:val="none"/>
              </w:rPr>
            </w:pPr>
          </w:p>
        </w:tc>
        <w:tc>
          <w:tcPr>
            <w:tcW w:w="1276" w:type="dxa"/>
            <w:vAlign w:val="center"/>
          </w:tcPr>
          <w:p>
            <w:pPr>
              <w:pStyle w:val="10"/>
              <w:rPr>
                <w:highlight w:val="none"/>
              </w:rPr>
            </w:pPr>
            <w:r>
              <w:rPr>
                <w:highlight w:val="none"/>
              </w:rPr>
              <w:t>&lt;400平方千米</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推进区域经济社会高质量发展</w:t>
            </w:r>
          </w:p>
        </w:tc>
        <w:tc>
          <w:tcPr>
            <w:tcW w:w="2891" w:type="dxa"/>
            <w:vAlign w:val="center"/>
          </w:tcPr>
          <w:p>
            <w:pPr>
              <w:pStyle w:val="10"/>
              <w:rPr>
                <w:highlight w:val="none"/>
              </w:rPr>
            </w:pPr>
            <w:r>
              <w:rPr>
                <w:highlight w:val="none"/>
              </w:rPr>
              <w:t>促进我区掌握国土利用变化情况，统筹优化土地利用布局，</w:t>
            </w:r>
          </w:p>
        </w:tc>
        <w:tc>
          <w:tcPr>
            <w:tcW w:w="1276" w:type="dxa"/>
            <w:vAlign w:val="center"/>
          </w:tcPr>
          <w:p>
            <w:pPr>
              <w:pStyle w:val="10"/>
              <w:rPr>
                <w:highlight w:val="none"/>
              </w:rPr>
            </w:pPr>
            <w:r>
              <w:rPr>
                <w:highlight w:val="none"/>
              </w:rPr>
              <w:t>逐步改善</w:t>
            </w:r>
          </w:p>
        </w:tc>
        <w:tc>
          <w:tcPr>
            <w:tcW w:w="1843" w:type="dxa"/>
            <w:vAlign w:val="center"/>
          </w:tcPr>
          <w:p>
            <w:pPr>
              <w:pStyle w:val="10"/>
              <w:rPr>
                <w:highlight w:val="none"/>
              </w:rPr>
            </w:pPr>
            <w:r>
              <w:rPr>
                <w:highlight w:val="none"/>
              </w:rPr>
              <w:t>《自然资源部办公厅关于开展2020年度全国国土变更调查工作的通知》</w:t>
            </w:r>
          </w:p>
          <w:p>
            <w:pPr>
              <w:pStyle w:val="10"/>
              <w:rPr>
                <w:highlight w:val="none"/>
              </w:rPr>
            </w:pPr>
            <w:r>
              <w:rPr>
                <w:highlight w:val="none"/>
              </w:rPr>
              <w:t>自然资办发〔2020〕56号</w:t>
            </w:r>
          </w:p>
          <w:p>
            <w:pPr>
              <w:pStyle w:val="1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4" w:name="_Toc_4_4_0000000025"/>
      <w:r>
        <w:rPr>
          <w:rFonts w:ascii="方正仿宋_GBK" w:hAnsi="方正仿宋_GBK" w:eastAsia="方正仿宋_GBK" w:cs="方正仿宋_GBK"/>
          <w:color w:val="000000"/>
          <w:sz w:val="28"/>
          <w:highlight w:val="none"/>
        </w:rPr>
        <w:t>22.山海关土地征收成本开发方案绩效目标表</w:t>
      </w:r>
      <w:bookmarkEnd w:id="2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13030322P00425610021X</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山海关土地征收成本开发方案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20.00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20.00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"1. 确定成片开发用地的位置、范围、基础设施条件、主要用途、实现的功能、拟安排的建设项目、开发时序和年度实施计划，测算公益用地比例</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 确定成片开发用地的位置、范围、基础设施条件、主要用途、实现的功能、拟安排的建设项目、开发时序和年度实施计划，测算公益用地比例</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方案文本</w:t>
            </w:r>
          </w:p>
        </w:tc>
        <w:tc>
          <w:tcPr>
            <w:tcW w:w="2891" w:type="dxa"/>
            <w:vAlign w:val="center"/>
          </w:tcPr>
          <w:p>
            <w:pPr>
              <w:pStyle w:val="10"/>
              <w:rPr>
                <w:highlight w:val="none"/>
              </w:rPr>
            </w:pPr>
            <w:r>
              <w:rPr>
                <w:highlight w:val="none"/>
              </w:rPr>
              <w:t>成片开发方案文本、图件、表格等</w:t>
            </w:r>
          </w:p>
        </w:tc>
        <w:tc>
          <w:tcPr>
            <w:tcW w:w="1276" w:type="dxa"/>
            <w:vAlign w:val="center"/>
          </w:tcPr>
          <w:p>
            <w:pPr>
              <w:pStyle w:val="10"/>
              <w:rPr>
                <w:highlight w:val="none"/>
              </w:rPr>
            </w:pPr>
            <w:r>
              <w:rPr>
                <w:highlight w:val="none"/>
              </w:rPr>
              <w:t>1个</w:t>
            </w:r>
          </w:p>
        </w:tc>
        <w:tc>
          <w:tcPr>
            <w:tcW w:w="1843" w:type="dxa"/>
            <w:vAlign w:val="center"/>
          </w:tcPr>
          <w:p>
            <w:pPr>
              <w:pStyle w:val="10"/>
              <w:rPr>
                <w:highlight w:val="none"/>
              </w:rPr>
            </w:pPr>
            <w:r>
              <w:rPr>
                <w:highlight w:val="none"/>
              </w:rP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通过审查</w:t>
            </w:r>
          </w:p>
        </w:tc>
        <w:tc>
          <w:tcPr>
            <w:tcW w:w="2891" w:type="dxa"/>
            <w:vAlign w:val="center"/>
          </w:tcPr>
          <w:p>
            <w:pPr>
              <w:pStyle w:val="10"/>
              <w:rPr>
                <w:highlight w:val="none"/>
              </w:rPr>
            </w:pPr>
            <w:r>
              <w:rPr>
                <w:highlight w:val="none"/>
              </w:rPr>
              <w:t>满足《河北省土地征收成片开发实施细则》要求</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按时完成</w:t>
            </w:r>
          </w:p>
        </w:tc>
        <w:tc>
          <w:tcPr>
            <w:tcW w:w="2891" w:type="dxa"/>
            <w:vAlign w:val="center"/>
          </w:tcPr>
          <w:p>
            <w:pPr>
              <w:pStyle w:val="10"/>
              <w:rPr>
                <w:highlight w:val="none"/>
              </w:rPr>
            </w:pPr>
            <w:r>
              <w:rPr>
                <w:highlight w:val="none"/>
              </w:rPr>
              <w:t>方案编制完成及时情况</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项目预算控制数</w:t>
            </w:r>
          </w:p>
        </w:tc>
        <w:tc>
          <w:tcPr>
            <w:tcW w:w="2891" w:type="dxa"/>
            <w:vAlign w:val="center"/>
          </w:tcPr>
          <w:p>
            <w:pPr>
              <w:pStyle w:val="10"/>
              <w:rPr>
                <w:highlight w:val="none"/>
              </w:rPr>
            </w:pPr>
            <w:r>
              <w:rPr>
                <w:highlight w:val="none"/>
              </w:rPr>
              <w:t>支出金额控制在预算额度内</w:t>
            </w:r>
          </w:p>
        </w:tc>
        <w:tc>
          <w:tcPr>
            <w:tcW w:w="1276" w:type="dxa"/>
            <w:vAlign w:val="center"/>
          </w:tcPr>
          <w:p>
            <w:pPr>
              <w:pStyle w:val="10"/>
              <w:rPr>
                <w:highlight w:val="none"/>
              </w:rPr>
            </w:pPr>
            <w:r>
              <w:rPr>
                <w:highlight w:val="none"/>
              </w:rPr>
              <w:t>20万元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推进区域经济社会高质量发展</w:t>
            </w:r>
          </w:p>
        </w:tc>
        <w:tc>
          <w:tcPr>
            <w:tcW w:w="2891" w:type="dxa"/>
            <w:vAlign w:val="center"/>
          </w:tcPr>
          <w:p>
            <w:pPr>
              <w:pStyle w:val="10"/>
              <w:rPr>
                <w:highlight w:val="none"/>
              </w:rPr>
            </w:pPr>
            <w:r>
              <w:rPr>
                <w:highlight w:val="none"/>
              </w:rPr>
              <w:t>优化资源要素配置，提高资源的利用率，降低能耗，提高土地的综合利用率</w:t>
            </w:r>
          </w:p>
        </w:tc>
        <w:tc>
          <w:tcPr>
            <w:tcW w:w="1276" w:type="dxa"/>
            <w:vAlign w:val="center"/>
          </w:tcPr>
          <w:p>
            <w:pPr>
              <w:pStyle w:val="10"/>
              <w:rPr>
                <w:highlight w:val="none"/>
              </w:rPr>
            </w:pPr>
            <w:r>
              <w:rPr>
                <w:highlight w:val="none"/>
              </w:rPr>
              <w:t>有效提高</w:t>
            </w:r>
          </w:p>
        </w:tc>
        <w:tc>
          <w:tcPr>
            <w:tcW w:w="1843" w:type="dxa"/>
            <w:vAlign w:val="center"/>
          </w:tcPr>
          <w:p>
            <w:pPr>
              <w:pStyle w:val="10"/>
              <w:rPr>
                <w:highlight w:val="none"/>
              </w:rPr>
            </w:pPr>
            <w:r>
              <w:rPr>
                <w:highlight w:val="none"/>
              </w:rP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群众满意度</w:t>
            </w:r>
          </w:p>
        </w:tc>
        <w:tc>
          <w:tcPr>
            <w:tcW w:w="2891" w:type="dxa"/>
            <w:vAlign w:val="center"/>
          </w:tcPr>
          <w:p>
            <w:pPr>
              <w:pStyle w:val="10"/>
              <w:rPr>
                <w:highlight w:val="none"/>
              </w:rPr>
            </w:pPr>
            <w:r>
              <w:rPr>
                <w:highlight w:val="none"/>
              </w:rPr>
              <w:t>被征地农民群众满意度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群众满意度调查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5" w:name="_Toc_4_4_0000000026"/>
      <w:r>
        <w:rPr>
          <w:rFonts w:ascii="方正仿宋_GBK" w:hAnsi="方正仿宋_GBK" w:eastAsia="方正仿宋_GBK" w:cs="方正仿宋_GBK"/>
          <w:color w:val="000000"/>
          <w:sz w:val="28"/>
          <w:highlight w:val="none"/>
        </w:rPr>
        <w:t>23.失地农民养老基金绩效目标表</w:t>
      </w:r>
      <w:bookmarkEnd w:id="2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13030322P00425610014W</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失地农民养老基金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1266.00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1266.00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缴纳失地农民养老保险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1.1．及时缴纳失地农民养老保险，保障失地农民基本收入，减少上访事件，维护社会稳定</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缴纳保险的征地亩数</w:t>
            </w:r>
          </w:p>
          <w:p>
            <w:pPr>
              <w:pStyle w:val="10"/>
              <w:rPr>
                <w:highlight w:val="none"/>
              </w:rPr>
            </w:pPr>
          </w:p>
        </w:tc>
        <w:tc>
          <w:tcPr>
            <w:tcW w:w="2891" w:type="dxa"/>
            <w:vAlign w:val="center"/>
          </w:tcPr>
          <w:p>
            <w:pPr>
              <w:pStyle w:val="10"/>
              <w:rPr>
                <w:highlight w:val="none"/>
              </w:rPr>
            </w:pPr>
            <w:r>
              <w:rPr>
                <w:highlight w:val="none"/>
              </w:rPr>
              <w:t>缴纳保险的征地亩数</w:t>
            </w:r>
          </w:p>
        </w:tc>
        <w:tc>
          <w:tcPr>
            <w:tcW w:w="1276" w:type="dxa"/>
            <w:vAlign w:val="center"/>
          </w:tcPr>
          <w:p>
            <w:pPr>
              <w:pStyle w:val="10"/>
              <w:rPr>
                <w:highlight w:val="none"/>
              </w:rPr>
            </w:pPr>
            <w:r>
              <w:rPr>
                <w:highlight w:val="none"/>
              </w:rPr>
              <w:t>765亩</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养老保险缴纳准确性</w:t>
            </w:r>
          </w:p>
          <w:p>
            <w:pPr>
              <w:pStyle w:val="10"/>
              <w:rPr>
                <w:highlight w:val="none"/>
              </w:rPr>
            </w:pPr>
          </w:p>
        </w:tc>
        <w:tc>
          <w:tcPr>
            <w:tcW w:w="2891" w:type="dxa"/>
            <w:vAlign w:val="center"/>
          </w:tcPr>
          <w:p>
            <w:pPr>
              <w:pStyle w:val="10"/>
              <w:rPr>
                <w:highlight w:val="none"/>
              </w:rPr>
            </w:pPr>
            <w:r>
              <w:rPr>
                <w:highlight w:val="none"/>
              </w:rPr>
              <w:t>养老保险缴纳准确性</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养老保险缴及时性</w:t>
            </w:r>
          </w:p>
          <w:p>
            <w:pPr>
              <w:pStyle w:val="10"/>
              <w:rPr>
                <w:highlight w:val="none"/>
              </w:rPr>
            </w:pPr>
          </w:p>
        </w:tc>
        <w:tc>
          <w:tcPr>
            <w:tcW w:w="2891" w:type="dxa"/>
            <w:vAlign w:val="center"/>
          </w:tcPr>
          <w:p>
            <w:pPr>
              <w:pStyle w:val="10"/>
              <w:rPr>
                <w:highlight w:val="none"/>
              </w:rPr>
            </w:pPr>
            <w:r>
              <w:rPr>
                <w:highlight w:val="none"/>
              </w:rPr>
              <w:t>养老保险缴纳及时性</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养老保险缴纳成本支出</w:t>
            </w:r>
          </w:p>
          <w:p>
            <w:pPr>
              <w:pStyle w:val="10"/>
              <w:rPr>
                <w:highlight w:val="none"/>
              </w:rPr>
            </w:pPr>
          </w:p>
        </w:tc>
        <w:tc>
          <w:tcPr>
            <w:tcW w:w="2891" w:type="dxa"/>
            <w:vAlign w:val="center"/>
          </w:tcPr>
          <w:p>
            <w:pPr>
              <w:pStyle w:val="10"/>
              <w:rPr>
                <w:highlight w:val="none"/>
              </w:rPr>
            </w:pPr>
            <w:r>
              <w:rPr>
                <w:highlight w:val="none"/>
              </w:rPr>
              <w:t>养老保险缴纳成本支出</w:t>
            </w:r>
          </w:p>
        </w:tc>
        <w:tc>
          <w:tcPr>
            <w:tcW w:w="1276" w:type="dxa"/>
            <w:vAlign w:val="center"/>
          </w:tcPr>
          <w:p>
            <w:pPr>
              <w:pStyle w:val="10"/>
              <w:rPr>
                <w:highlight w:val="none"/>
              </w:rPr>
            </w:pPr>
            <w:r>
              <w:rPr>
                <w:highlight w:val="none"/>
              </w:rPr>
              <w:t>1266万元</w:t>
            </w:r>
          </w:p>
        </w:tc>
        <w:tc>
          <w:tcPr>
            <w:tcW w:w="1843" w:type="dxa"/>
            <w:vAlign w:val="center"/>
          </w:tcPr>
          <w:p>
            <w:pPr>
              <w:pStyle w:val="10"/>
              <w:rPr>
                <w:highlight w:val="none"/>
              </w:rPr>
            </w:pPr>
            <w:r>
              <w:rPr>
                <w:highlight w:val="none"/>
              </w:rPr>
              <w:t>按照政策为区片地价15%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失地农民上访率</w:t>
            </w:r>
          </w:p>
          <w:p>
            <w:pPr>
              <w:pStyle w:val="10"/>
              <w:rPr>
                <w:highlight w:val="none"/>
              </w:rPr>
            </w:pPr>
          </w:p>
        </w:tc>
        <w:tc>
          <w:tcPr>
            <w:tcW w:w="2891" w:type="dxa"/>
            <w:vAlign w:val="center"/>
          </w:tcPr>
          <w:p>
            <w:pPr>
              <w:pStyle w:val="10"/>
              <w:rPr>
                <w:highlight w:val="none"/>
              </w:rPr>
            </w:pPr>
            <w:r>
              <w:rPr>
                <w:highlight w:val="none"/>
              </w:rPr>
              <w:t>失地农民上访率</w:t>
            </w:r>
          </w:p>
        </w:tc>
        <w:tc>
          <w:tcPr>
            <w:tcW w:w="1276" w:type="dxa"/>
            <w:vAlign w:val="center"/>
          </w:tcPr>
          <w:p>
            <w:pPr>
              <w:pStyle w:val="10"/>
              <w:rPr>
                <w:highlight w:val="none"/>
              </w:rPr>
            </w:pPr>
            <w:r>
              <w:rPr>
                <w:highlight w:val="none"/>
              </w:rPr>
              <w:t>零上访</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w:t>
            </w:r>
          </w:p>
          <w:p>
            <w:pPr>
              <w:pStyle w:val="10"/>
              <w:rPr>
                <w:highlight w:val="none"/>
              </w:rPr>
            </w:pPr>
            <w:r>
              <w:rPr>
                <w:highlight w:val="none"/>
              </w:rPr>
              <w:t>满意度指</w:t>
            </w:r>
          </w:p>
          <w:p>
            <w:pPr>
              <w:pStyle w:val="10"/>
              <w:rPr>
                <w:highlight w:val="none"/>
              </w:rPr>
            </w:pPr>
            <w:r>
              <w:rPr>
                <w:highlight w:val="none"/>
              </w:rPr>
              <w:t>标</w:t>
            </w:r>
          </w:p>
          <w:p>
            <w:pPr>
              <w:pStyle w:val="10"/>
              <w:rPr>
                <w:highlight w:val="none"/>
              </w:rPr>
            </w:pPr>
          </w:p>
        </w:tc>
        <w:tc>
          <w:tcPr>
            <w:tcW w:w="2891" w:type="dxa"/>
            <w:vAlign w:val="center"/>
          </w:tcPr>
          <w:p>
            <w:pPr>
              <w:pStyle w:val="10"/>
              <w:rPr>
                <w:highlight w:val="none"/>
              </w:rPr>
            </w:pPr>
            <w:r>
              <w:rPr>
                <w:highlight w:val="none"/>
              </w:rPr>
              <w:t>失地农民满</w:t>
            </w:r>
          </w:p>
          <w:p>
            <w:pPr>
              <w:pStyle w:val="10"/>
              <w:rPr>
                <w:highlight w:val="none"/>
              </w:rPr>
            </w:pPr>
            <w:r>
              <w:rPr>
                <w:highlight w:val="none"/>
              </w:rPr>
              <w:t>意度</w:t>
            </w:r>
          </w:p>
          <w:p>
            <w:pPr>
              <w:pStyle w:val="10"/>
              <w:rPr>
                <w:highlight w:val="none"/>
              </w:rPr>
            </w:pP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调查结果</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6" w:name="_Toc_4_4_0000000027"/>
      <w:r>
        <w:rPr>
          <w:rFonts w:ascii="方正仿宋_GBK" w:hAnsi="方正仿宋_GBK" w:eastAsia="方正仿宋_GBK" w:cs="方正仿宋_GBK"/>
          <w:color w:val="000000"/>
          <w:sz w:val="28"/>
          <w:highlight w:val="none"/>
        </w:rPr>
        <w:t>24.提前下达2020年中央财政林业改革发展资金-森林抚育绩效目标表</w:t>
      </w:r>
      <w:bookmarkEnd w:id="2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13030322P00423010001M</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提前下达2020年中央财政林业改革发展资金-森林抚育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4.25</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4.25</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"按照检查验收结果发放补助</w:t>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1.按照检查验收结果发放补助</w:t>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造林任务完成率</w:t>
            </w:r>
          </w:p>
        </w:tc>
        <w:tc>
          <w:tcPr>
            <w:tcW w:w="2891" w:type="dxa"/>
            <w:vAlign w:val="center"/>
          </w:tcPr>
          <w:p>
            <w:pPr>
              <w:pStyle w:val="10"/>
              <w:rPr>
                <w:highlight w:val="none"/>
              </w:rPr>
            </w:pPr>
            <w:r>
              <w:rPr>
                <w:highlight w:val="none"/>
              </w:rPr>
              <w:t>当年造林任务完成面积</w:t>
            </w:r>
          </w:p>
        </w:tc>
        <w:tc>
          <w:tcPr>
            <w:tcW w:w="1276" w:type="dxa"/>
            <w:vAlign w:val="center"/>
          </w:tcPr>
          <w:p>
            <w:pPr>
              <w:pStyle w:val="10"/>
              <w:rPr>
                <w:highlight w:val="none"/>
              </w:rPr>
            </w:pPr>
            <w:r>
              <w:rPr>
                <w:rFonts w:hint="eastAsia"/>
                <w:highlight w:val="none"/>
                <w:lang w:val="en-US" w:eastAsia="zh-CN"/>
              </w:rPr>
              <w:t>=</w:t>
            </w:r>
            <w:r>
              <w:rPr>
                <w:highlight w:val="none"/>
              </w:rPr>
              <w:t>100%</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苗木保存率和成活率</w:t>
            </w:r>
          </w:p>
        </w:tc>
        <w:tc>
          <w:tcPr>
            <w:tcW w:w="2891" w:type="dxa"/>
            <w:vAlign w:val="center"/>
          </w:tcPr>
          <w:p>
            <w:pPr>
              <w:pStyle w:val="10"/>
              <w:rPr>
                <w:highlight w:val="none"/>
              </w:rPr>
            </w:pPr>
            <w:r>
              <w:rPr>
                <w:highlight w:val="none"/>
              </w:rPr>
              <w:t>苗木保存率和成活率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上一轮退耕还林农户苗木保存率</w:t>
            </w:r>
          </w:p>
        </w:tc>
        <w:tc>
          <w:tcPr>
            <w:tcW w:w="2891" w:type="dxa"/>
            <w:vAlign w:val="center"/>
          </w:tcPr>
          <w:p>
            <w:pPr>
              <w:pStyle w:val="10"/>
              <w:rPr>
                <w:highlight w:val="none"/>
              </w:rPr>
            </w:pPr>
            <w:r>
              <w:rPr>
                <w:highlight w:val="none"/>
              </w:rPr>
              <w:t>上一轮退耕还林农户苗木保存率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上一轮退耕还生态林中央财政补助</w:t>
            </w:r>
          </w:p>
        </w:tc>
        <w:tc>
          <w:tcPr>
            <w:tcW w:w="2891" w:type="dxa"/>
            <w:vAlign w:val="center"/>
          </w:tcPr>
          <w:p>
            <w:pPr>
              <w:pStyle w:val="10"/>
              <w:rPr>
                <w:highlight w:val="none"/>
              </w:rPr>
            </w:pPr>
            <w:r>
              <w:rPr>
                <w:highlight w:val="none"/>
              </w:rPr>
              <w:t>上一轮退耕还生态林中央财政补助</w:t>
            </w:r>
          </w:p>
        </w:tc>
        <w:tc>
          <w:tcPr>
            <w:tcW w:w="1276" w:type="dxa"/>
            <w:vAlign w:val="center"/>
          </w:tcPr>
          <w:p>
            <w:pPr>
              <w:pStyle w:val="10"/>
              <w:rPr>
                <w:highlight w:val="none"/>
              </w:rPr>
            </w:pPr>
            <w:r>
              <w:rPr>
                <w:highlight w:val="none"/>
              </w:rPr>
              <w:t>≤4.25万元</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服务对象满意度</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7" w:name="_Toc_4_4_0000000028"/>
      <w:r>
        <w:rPr>
          <w:rFonts w:ascii="方正仿宋_GBK" w:hAnsi="方正仿宋_GBK" w:eastAsia="方正仿宋_GBK" w:cs="方正仿宋_GBK"/>
          <w:color w:val="000000"/>
          <w:sz w:val="28"/>
          <w:highlight w:val="none"/>
        </w:rPr>
        <w:t>25.提前下达2021年省级林业改革发展补助资金-森林植被恢复费绩效目标表</w:t>
      </w:r>
      <w:bookmarkEnd w:id="2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13030321ANXWULMZT25I4</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提前下达2021年省级林业改革发展补助资金-森林植被恢复费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5.00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5.00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保证此项目资金的正确使用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1.保证此项目资金的正确使用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成本数额正确</w:t>
            </w:r>
          </w:p>
        </w:tc>
        <w:tc>
          <w:tcPr>
            <w:tcW w:w="2891" w:type="dxa"/>
            <w:vAlign w:val="center"/>
          </w:tcPr>
          <w:p>
            <w:pPr>
              <w:pStyle w:val="10"/>
              <w:rPr>
                <w:highlight w:val="none"/>
              </w:rPr>
            </w:pPr>
            <w:r>
              <w:rPr>
                <w:highlight w:val="none"/>
              </w:rPr>
              <w:t>成本数额正确</w:t>
            </w:r>
          </w:p>
        </w:tc>
        <w:tc>
          <w:tcPr>
            <w:tcW w:w="1276" w:type="dxa"/>
            <w:vAlign w:val="center"/>
          </w:tcPr>
          <w:p>
            <w:pPr>
              <w:pStyle w:val="10"/>
              <w:rPr>
                <w:highlight w:val="none"/>
              </w:rPr>
            </w:pPr>
            <w:r>
              <w:rPr>
                <w:highlight w:val="none"/>
              </w:rPr>
              <w:t>≤5万元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保证发放质量</w:t>
            </w:r>
          </w:p>
        </w:tc>
        <w:tc>
          <w:tcPr>
            <w:tcW w:w="2891" w:type="dxa"/>
            <w:vAlign w:val="center"/>
          </w:tcPr>
          <w:p>
            <w:pPr>
              <w:pStyle w:val="10"/>
              <w:rPr>
                <w:highlight w:val="none"/>
              </w:rPr>
            </w:pPr>
            <w:r>
              <w:rPr>
                <w:highlight w:val="none"/>
              </w:rPr>
              <w:t>保证发放质量</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保证及时发放</w:t>
            </w:r>
          </w:p>
        </w:tc>
        <w:tc>
          <w:tcPr>
            <w:tcW w:w="2891" w:type="dxa"/>
            <w:vAlign w:val="center"/>
          </w:tcPr>
          <w:p>
            <w:pPr>
              <w:pStyle w:val="10"/>
              <w:rPr>
                <w:highlight w:val="none"/>
              </w:rPr>
            </w:pPr>
            <w:r>
              <w:rPr>
                <w:highlight w:val="none"/>
              </w:rPr>
              <w:t>保证及时发放</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成本数额正确率</w:t>
            </w:r>
          </w:p>
        </w:tc>
        <w:tc>
          <w:tcPr>
            <w:tcW w:w="2891" w:type="dxa"/>
            <w:vAlign w:val="center"/>
          </w:tcPr>
          <w:p>
            <w:pPr>
              <w:pStyle w:val="10"/>
              <w:rPr>
                <w:highlight w:val="none"/>
              </w:rPr>
            </w:pPr>
            <w:r>
              <w:rPr>
                <w:highlight w:val="none"/>
              </w:rPr>
              <w:t>成本数额正确率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经济提标</w:t>
            </w:r>
          </w:p>
        </w:tc>
        <w:tc>
          <w:tcPr>
            <w:tcW w:w="2891" w:type="dxa"/>
            <w:vAlign w:val="center"/>
          </w:tcPr>
          <w:p>
            <w:pPr>
              <w:pStyle w:val="10"/>
              <w:rPr>
                <w:highlight w:val="none"/>
              </w:rPr>
            </w:pPr>
            <w:r>
              <w:rPr>
                <w:highlight w:val="none"/>
              </w:rPr>
              <w:t>经济提标</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green"/>
              </w:rPr>
            </w:pPr>
            <w:r>
              <w:rPr>
                <w:highlight w:val="green"/>
              </w:rPr>
              <w:t>满意度指标</w:t>
            </w:r>
          </w:p>
        </w:tc>
        <w:tc>
          <w:tcPr>
            <w:tcW w:w="1276" w:type="dxa"/>
            <w:vAlign w:val="center"/>
          </w:tcPr>
          <w:p>
            <w:pPr>
              <w:pStyle w:val="10"/>
              <w:rPr>
                <w:highlight w:val="green"/>
              </w:rPr>
            </w:pPr>
            <w:r>
              <w:rPr>
                <w:highlight w:val="green"/>
              </w:rPr>
              <w:t>服务对象满意度指标</w:t>
            </w:r>
          </w:p>
        </w:tc>
        <w:tc>
          <w:tcPr>
            <w:tcW w:w="1332" w:type="dxa"/>
            <w:vAlign w:val="center"/>
          </w:tcPr>
          <w:p>
            <w:pPr>
              <w:pStyle w:val="10"/>
              <w:rPr>
                <w:highlight w:val="green"/>
              </w:rPr>
            </w:pPr>
            <w:r>
              <w:rPr>
                <w:highlight w:val="green"/>
              </w:rPr>
              <w:t>满意度</w:t>
            </w:r>
          </w:p>
        </w:tc>
        <w:tc>
          <w:tcPr>
            <w:tcW w:w="2891" w:type="dxa"/>
            <w:vAlign w:val="center"/>
          </w:tcPr>
          <w:p>
            <w:pPr>
              <w:pStyle w:val="10"/>
              <w:rPr>
                <w:highlight w:val="green"/>
              </w:rPr>
            </w:pPr>
            <w:r>
              <w:rPr>
                <w:highlight w:val="green"/>
              </w:rPr>
              <w:t>满意度</w:t>
            </w:r>
          </w:p>
        </w:tc>
        <w:tc>
          <w:tcPr>
            <w:tcW w:w="1276" w:type="dxa"/>
            <w:vAlign w:val="center"/>
          </w:tcPr>
          <w:p>
            <w:pPr>
              <w:pStyle w:val="10"/>
              <w:rPr>
                <w:highlight w:val="green"/>
              </w:rPr>
            </w:pPr>
            <w:r>
              <w:rPr>
                <w:highlight w:val="green"/>
              </w:rPr>
              <w:t>≥99%</w:t>
            </w:r>
          </w:p>
        </w:tc>
        <w:tc>
          <w:tcPr>
            <w:tcW w:w="1843" w:type="dxa"/>
            <w:vAlign w:val="center"/>
          </w:tcPr>
          <w:p>
            <w:pPr>
              <w:pStyle w:val="10"/>
              <w:rPr>
                <w:rFonts w:hint="eastAsia" w:eastAsia="方正书宋_GBK"/>
                <w:highlight w:val="green"/>
                <w:lang w:eastAsia="zh-CN"/>
              </w:rPr>
            </w:pPr>
            <w:r>
              <w:rPr>
                <w:rFonts w:hint="eastAsia"/>
                <w:highlight w:val="green"/>
                <w:lang w:eastAsia="zh-CN"/>
              </w:rPr>
              <w:t>调查问卷</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8" w:name="_Toc_4_4_0000000029"/>
      <w:r>
        <w:rPr>
          <w:rFonts w:ascii="方正仿宋_GBK" w:hAnsi="方正仿宋_GBK" w:eastAsia="方正仿宋_GBK" w:cs="方正仿宋_GBK"/>
          <w:color w:val="000000"/>
          <w:sz w:val="28"/>
          <w:highlight w:val="none"/>
        </w:rPr>
        <w:t>26.提前下达2021年中央财政林业草原生态保护恢复资金预算-完善退耕还林政策补助绩效目标表</w:t>
      </w:r>
      <w:bookmarkEnd w:id="2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13030321XBDDVTEQHLMS5</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提前下达2021年中央财政林业草原生态保护恢复资金预算-完善退耕还林政策补助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12.95</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12.95</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"1.完善退耕还林政策补助</w:t>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r>
              <w:rPr>
                <w:highlight w:val="none"/>
              </w:rPr>
              <w:t>"2.依据检查验收结果发放农户补助</w:t>
            </w:r>
            <w:r>
              <w:rPr>
                <w:highlight w:val="none"/>
              </w:rPr>
              <w:tab/>
            </w: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1.1.完善退耕还林政策补助</w:t>
            </w:r>
            <w:r>
              <w:rPr>
                <w:highlight w:val="none"/>
              </w:rPr>
              <w:tab/>
            </w:r>
          </w:p>
          <w:p>
            <w:pPr>
              <w:pStyle w:val="10"/>
              <w:rPr>
                <w:highlight w:val="none"/>
              </w:rPr>
            </w:pPr>
            <w:r>
              <w:rPr>
                <w:highlight w:val="none"/>
              </w:rPr>
              <w:t>2.2.依据检查验收结果发放农户补助</w:t>
            </w:r>
            <w:r>
              <w:rPr>
                <w:highlight w:val="none"/>
              </w:rPr>
              <w:tab/>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造林任务完成率</w:t>
            </w:r>
          </w:p>
        </w:tc>
        <w:tc>
          <w:tcPr>
            <w:tcW w:w="2891" w:type="dxa"/>
            <w:vAlign w:val="center"/>
          </w:tcPr>
          <w:p>
            <w:pPr>
              <w:pStyle w:val="10"/>
              <w:rPr>
                <w:highlight w:val="none"/>
              </w:rPr>
            </w:pPr>
            <w:r>
              <w:rPr>
                <w:highlight w:val="none"/>
              </w:rPr>
              <w:t>完成预期目标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苗木保存率和成活率</w:t>
            </w:r>
          </w:p>
        </w:tc>
        <w:tc>
          <w:tcPr>
            <w:tcW w:w="2891" w:type="dxa"/>
            <w:vAlign w:val="center"/>
          </w:tcPr>
          <w:p>
            <w:pPr>
              <w:pStyle w:val="10"/>
              <w:rPr>
                <w:highlight w:val="none"/>
              </w:rPr>
            </w:pPr>
            <w:r>
              <w:rPr>
                <w:highlight w:val="none"/>
              </w:rPr>
              <w:t>苗木保存率和成活率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上一轮退耕还生态林苗木保存率</w:t>
            </w:r>
          </w:p>
        </w:tc>
        <w:tc>
          <w:tcPr>
            <w:tcW w:w="2891" w:type="dxa"/>
            <w:vAlign w:val="center"/>
          </w:tcPr>
          <w:p>
            <w:pPr>
              <w:pStyle w:val="10"/>
              <w:rPr>
                <w:highlight w:val="none"/>
              </w:rPr>
            </w:pPr>
            <w:r>
              <w:rPr>
                <w:highlight w:val="none"/>
              </w:rPr>
              <w:t>上一轮退耕还生态林农户苗木当期保存率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上一轮退耕还生态林中央财政补助</w:t>
            </w:r>
          </w:p>
        </w:tc>
        <w:tc>
          <w:tcPr>
            <w:tcW w:w="2891" w:type="dxa"/>
            <w:vAlign w:val="center"/>
          </w:tcPr>
          <w:p>
            <w:pPr>
              <w:pStyle w:val="10"/>
              <w:rPr>
                <w:highlight w:val="none"/>
              </w:rPr>
            </w:pPr>
            <w:r>
              <w:rPr>
                <w:highlight w:val="none"/>
              </w:rPr>
              <w:t>上一轮退耕还生态林中央财政补助</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完成预期目标</w:t>
            </w:r>
          </w:p>
        </w:tc>
        <w:tc>
          <w:tcPr>
            <w:tcW w:w="2891" w:type="dxa"/>
            <w:vAlign w:val="center"/>
          </w:tcPr>
          <w:p>
            <w:pPr>
              <w:pStyle w:val="10"/>
              <w:rPr>
                <w:highlight w:val="none"/>
              </w:rPr>
            </w:pPr>
            <w:r>
              <w:rPr>
                <w:highlight w:val="none"/>
              </w:rPr>
              <w:t>完成预期目标</w:t>
            </w:r>
          </w:p>
        </w:tc>
        <w:tc>
          <w:tcPr>
            <w:tcW w:w="1276" w:type="dxa"/>
            <w:vAlign w:val="center"/>
          </w:tcPr>
          <w:p>
            <w:pPr>
              <w:pStyle w:val="10"/>
              <w:rPr>
                <w:highlight w:val="none"/>
              </w:rPr>
            </w:pPr>
            <w:r>
              <w:rPr>
                <w:highlight w:val="none"/>
              </w:rPr>
              <w:t>≥95%</w:t>
            </w:r>
          </w:p>
        </w:tc>
        <w:tc>
          <w:tcPr>
            <w:tcW w:w="1843" w:type="dxa"/>
            <w:vAlign w:val="center"/>
          </w:tcPr>
          <w:p>
            <w:pPr>
              <w:pStyle w:val="10"/>
              <w:rPr>
                <w:rFonts w:hint="eastAsia" w:eastAsia="方正书宋_GBK"/>
                <w:highlight w:val="none"/>
                <w:lang w:eastAsia="zh-CN"/>
              </w:rPr>
            </w:pPr>
            <w:r>
              <w:rPr>
                <w:rFonts w:hint="eastAsia"/>
                <w:highlight w:val="none"/>
                <w:lang w:eastAsia="zh-CN"/>
              </w:rPr>
              <w:t>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29" w:name="_Toc_4_4_0000000030"/>
      <w:r>
        <w:rPr>
          <w:rFonts w:ascii="方正仿宋_GBK" w:hAnsi="方正仿宋_GBK" w:eastAsia="方正仿宋_GBK" w:cs="方正仿宋_GBK"/>
          <w:color w:val="000000"/>
          <w:sz w:val="28"/>
          <w:highlight w:val="none"/>
        </w:rPr>
        <w:t>27.提前下达2021年中央财政林业改革发展资金-森林抚育绩效目标表</w:t>
      </w:r>
      <w:bookmarkEnd w:id="2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13030321K3XAT7HTGB8UP</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提前下达2021年中央财政林业改革发展资金-森林抚育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7.00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7.00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"1.上一轮退耕还林农户的森林抚育补助</w:t>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r>
              <w:rPr>
                <w:highlight w:val="none"/>
              </w:rPr>
              <w:t>"2.按照检查验收结果发放补助</w:t>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1.1.上一轮退耕还林农户的森林抚育补助</w:t>
            </w:r>
          </w:p>
          <w:p>
            <w:pPr>
              <w:pStyle w:val="10"/>
              <w:rPr>
                <w:highlight w:val="none"/>
              </w:rPr>
            </w:pPr>
          </w:p>
          <w:p>
            <w:pPr>
              <w:pStyle w:val="10"/>
              <w:rPr>
                <w:highlight w:val="none"/>
              </w:rPr>
            </w:pPr>
            <w:r>
              <w:rPr>
                <w:highlight w:val="none"/>
              </w:rPr>
              <w:t>2.2.按照检查验收结果发放补助</w:t>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造林任务完成率</w:t>
            </w:r>
          </w:p>
        </w:tc>
        <w:tc>
          <w:tcPr>
            <w:tcW w:w="2891" w:type="dxa"/>
            <w:vAlign w:val="center"/>
          </w:tcPr>
          <w:p>
            <w:pPr>
              <w:pStyle w:val="10"/>
              <w:rPr>
                <w:highlight w:val="none"/>
              </w:rPr>
            </w:pPr>
            <w:r>
              <w:rPr>
                <w:highlight w:val="none"/>
              </w:rPr>
              <w:t>当年造林任务完成面积</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苗木保存率和成活率</w:t>
            </w:r>
          </w:p>
        </w:tc>
        <w:tc>
          <w:tcPr>
            <w:tcW w:w="2891" w:type="dxa"/>
            <w:vAlign w:val="center"/>
          </w:tcPr>
          <w:p>
            <w:pPr>
              <w:pStyle w:val="10"/>
              <w:rPr>
                <w:highlight w:val="none"/>
              </w:rPr>
            </w:pPr>
            <w:r>
              <w:rPr>
                <w:highlight w:val="none"/>
              </w:rPr>
              <w:t>苗木保存率和成活率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上一轮退耕还林农户苗木保存率</w:t>
            </w:r>
          </w:p>
        </w:tc>
        <w:tc>
          <w:tcPr>
            <w:tcW w:w="2891" w:type="dxa"/>
            <w:vAlign w:val="center"/>
          </w:tcPr>
          <w:p>
            <w:pPr>
              <w:pStyle w:val="10"/>
              <w:rPr>
                <w:highlight w:val="none"/>
              </w:rPr>
            </w:pPr>
            <w:r>
              <w:rPr>
                <w:highlight w:val="none"/>
              </w:rPr>
              <w:t>上一轮退耕还林农户苗木保存率</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上一轮退耕还生态林中央财政补助</w:t>
            </w:r>
          </w:p>
        </w:tc>
        <w:tc>
          <w:tcPr>
            <w:tcW w:w="2891" w:type="dxa"/>
            <w:vAlign w:val="center"/>
          </w:tcPr>
          <w:p>
            <w:pPr>
              <w:pStyle w:val="10"/>
              <w:rPr>
                <w:highlight w:val="none"/>
              </w:rPr>
            </w:pPr>
            <w:r>
              <w:rPr>
                <w:highlight w:val="none"/>
              </w:rPr>
              <w:t>上一轮退耕还生态林中央财政补助</w:t>
            </w:r>
          </w:p>
        </w:tc>
        <w:tc>
          <w:tcPr>
            <w:tcW w:w="1276" w:type="dxa"/>
            <w:vAlign w:val="center"/>
          </w:tcPr>
          <w:p>
            <w:pPr>
              <w:pStyle w:val="10"/>
              <w:rPr>
                <w:highlight w:val="none"/>
              </w:rPr>
            </w:pPr>
            <w:r>
              <w:rPr>
                <w:highlight w:val="none"/>
              </w:rPr>
              <w:t>≤7万元</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≥85%</w:t>
            </w:r>
          </w:p>
        </w:tc>
        <w:tc>
          <w:tcPr>
            <w:tcW w:w="1843" w:type="dxa"/>
            <w:vAlign w:val="center"/>
          </w:tcPr>
          <w:p>
            <w:pPr>
              <w:pStyle w:val="10"/>
              <w:rPr>
                <w:highlight w:val="none"/>
              </w:rPr>
            </w:pPr>
            <w:r>
              <w:rPr>
                <w:highlight w:val="none"/>
              </w:rP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rFonts w:hint="eastAsia" w:eastAsia="方正书宋_GBK"/>
                <w:highlight w:val="none"/>
                <w:lang w:eastAsia="zh-CN"/>
              </w:rPr>
            </w:pPr>
            <w:r>
              <w:rPr>
                <w:highlight w:val="none"/>
              </w:rPr>
              <w:t>服务对象满意度</w:t>
            </w:r>
            <w:r>
              <w:rPr>
                <w:rFonts w:hint="eastAsia"/>
                <w:highlight w:val="none"/>
                <w:lang w:eastAsia="zh-CN"/>
              </w:rPr>
              <w:t>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0" w:name="_Toc_4_4_0000000031"/>
      <w:r>
        <w:rPr>
          <w:rFonts w:ascii="方正仿宋_GBK" w:hAnsi="方正仿宋_GBK" w:eastAsia="方正仿宋_GBK" w:cs="方正仿宋_GBK"/>
          <w:color w:val="000000"/>
          <w:sz w:val="28"/>
          <w:highlight w:val="none"/>
        </w:rPr>
        <w:t>28.提前下达2021年中央财政林业改革发展资金-森林生态效益补偿补助-公共管护补助绩效目标表</w:t>
      </w:r>
      <w:bookmarkEnd w:id="3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13030321NO9CFUG6C0Z7N</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提前下达2021年中央财政林业改革发展资金-森林生态效益补偿补助-公共管护补助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0.59</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0.59</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"1.组织开展森林资源动态监测</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r>
              <w:rPr>
                <w:highlight w:val="none"/>
              </w:rPr>
              <w:t>2.设立国家级公益林标牌，标明公益林、地点、四至范围、面积、林权权利人、管护责任人，保护管理责任和要求、监督单位、监督举报电话。</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1.1.组织开展森林资源动态监测</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p>
            <w:pPr>
              <w:pStyle w:val="10"/>
              <w:rPr>
                <w:highlight w:val="none"/>
              </w:rPr>
            </w:pPr>
          </w:p>
          <w:p>
            <w:pPr>
              <w:pStyle w:val="10"/>
              <w:rPr>
                <w:highlight w:val="none"/>
              </w:rPr>
            </w:pPr>
            <w:r>
              <w:rPr>
                <w:highlight w:val="none"/>
              </w:rPr>
              <w:t>2.2.设立国家级公益林标牌，标明公益林、地点、四至范围、面积、林权权利人、管护责任人，保护管理责任和要求、监督单位、监督举报电话。</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集体国家级公益林管护面积</w:t>
            </w:r>
          </w:p>
        </w:tc>
        <w:tc>
          <w:tcPr>
            <w:tcW w:w="2891" w:type="dxa"/>
            <w:vAlign w:val="center"/>
          </w:tcPr>
          <w:p>
            <w:pPr>
              <w:pStyle w:val="10"/>
              <w:rPr>
                <w:highlight w:val="none"/>
              </w:rPr>
            </w:pPr>
            <w:r>
              <w:rPr>
                <w:highlight w:val="none"/>
              </w:rPr>
              <w:t>国有国家级公益林管护面积</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管护公益林</w:t>
            </w:r>
          </w:p>
        </w:tc>
        <w:tc>
          <w:tcPr>
            <w:tcW w:w="2891" w:type="dxa"/>
            <w:vAlign w:val="center"/>
          </w:tcPr>
          <w:p>
            <w:pPr>
              <w:pStyle w:val="10"/>
              <w:rPr>
                <w:highlight w:val="none"/>
              </w:rPr>
            </w:pPr>
            <w:r>
              <w:rPr>
                <w:highlight w:val="none"/>
              </w:rPr>
              <w:t>管护公益林</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森林生态效益当期完成率</w:t>
            </w:r>
          </w:p>
        </w:tc>
        <w:tc>
          <w:tcPr>
            <w:tcW w:w="2891" w:type="dxa"/>
            <w:vAlign w:val="center"/>
          </w:tcPr>
          <w:p>
            <w:pPr>
              <w:pStyle w:val="10"/>
              <w:rPr>
                <w:highlight w:val="none"/>
              </w:rPr>
            </w:pPr>
            <w:r>
              <w:rPr>
                <w:highlight w:val="none"/>
              </w:rPr>
              <w:t>森林生态效益当期完成率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国家级公益林管护中央财政补助</w:t>
            </w:r>
          </w:p>
        </w:tc>
        <w:tc>
          <w:tcPr>
            <w:tcW w:w="2891" w:type="dxa"/>
            <w:vAlign w:val="center"/>
          </w:tcPr>
          <w:p>
            <w:pPr>
              <w:pStyle w:val="10"/>
              <w:rPr>
                <w:highlight w:val="none"/>
              </w:rPr>
            </w:pPr>
            <w:r>
              <w:rPr>
                <w:highlight w:val="none"/>
              </w:rPr>
              <w:t>国家级公益林管护中央财政补助</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完成预期目标</w:t>
            </w:r>
          </w:p>
        </w:tc>
        <w:tc>
          <w:tcPr>
            <w:tcW w:w="2891" w:type="dxa"/>
            <w:vAlign w:val="center"/>
          </w:tcPr>
          <w:p>
            <w:pPr>
              <w:pStyle w:val="10"/>
              <w:rPr>
                <w:highlight w:val="none"/>
              </w:rPr>
            </w:pPr>
            <w:r>
              <w:rPr>
                <w:highlight w:val="none"/>
              </w:rPr>
              <w:t>完成预期目标</w:t>
            </w:r>
          </w:p>
        </w:tc>
        <w:tc>
          <w:tcPr>
            <w:tcW w:w="1276" w:type="dxa"/>
            <w:vAlign w:val="center"/>
          </w:tcPr>
          <w:p>
            <w:pPr>
              <w:pStyle w:val="10"/>
              <w:rPr>
                <w:highlight w:val="none"/>
              </w:rPr>
            </w:pPr>
            <w:r>
              <w:rPr>
                <w:highlight w:val="none"/>
              </w:rPr>
              <w:t>≥95%</w:t>
            </w:r>
          </w:p>
        </w:tc>
        <w:tc>
          <w:tcPr>
            <w:tcW w:w="1843" w:type="dxa"/>
            <w:vAlign w:val="center"/>
          </w:tcPr>
          <w:p>
            <w:pPr>
              <w:pStyle w:val="10"/>
              <w:rPr>
                <w:rFonts w:hint="eastAsia" w:eastAsia="方正书宋_GBK"/>
                <w:highlight w:val="none"/>
                <w:lang w:eastAsia="zh-CN"/>
              </w:rPr>
            </w:pPr>
            <w:r>
              <w:rPr>
                <w:rFonts w:hint="eastAsia"/>
                <w:highlight w:val="none"/>
                <w:lang w:eastAsia="zh-CN"/>
              </w:rPr>
              <w:t>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1" w:name="_Toc_4_4_0000000032"/>
      <w:r>
        <w:rPr>
          <w:rFonts w:ascii="方正仿宋_GBK" w:hAnsi="方正仿宋_GBK" w:eastAsia="方正仿宋_GBK" w:cs="方正仿宋_GBK"/>
          <w:color w:val="000000"/>
          <w:sz w:val="28"/>
          <w:highlight w:val="none"/>
        </w:rPr>
        <w:t>29.提前下达2021年中央财政林业改革发展资金-森林生态效益补偿补助-管护补助绩效目标表</w:t>
      </w:r>
      <w:bookmarkEnd w:id="3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13030321BDWO0Y6BIEAU9</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提前下达2021年中央财政林业改革发展资金-森林生态效益补偿补助-管护补助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8.67</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8.67</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"开展国家级公益林监督检查，促进我区生态林业与经济社会和谐发展</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r>
              <w:rPr>
                <w:highlight w:val="none"/>
              </w:rPr>
              <w:t>开展国家级公益林评价，改善生态环境，保障可持续发展</w:t>
            </w:r>
            <w:r>
              <w:rPr>
                <w:highlight w:val="none"/>
              </w:rPr>
              <w:tab/>
            </w:r>
            <w:r>
              <w:rPr>
                <w:highlight w:val="none"/>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1.开展国家级公益林监督检查，促进我区生态林业与经济社会和谐发展</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p>
            <w:pPr>
              <w:pStyle w:val="10"/>
              <w:rPr>
                <w:highlight w:val="none"/>
              </w:rPr>
            </w:pPr>
            <w:r>
              <w:rPr>
                <w:highlight w:val="none"/>
              </w:rPr>
              <w:t>2.开展国家级公益林评价，改善生态环境，保障可持续发展</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国家级公益林管护面积</w:t>
            </w:r>
          </w:p>
        </w:tc>
        <w:tc>
          <w:tcPr>
            <w:tcW w:w="2891" w:type="dxa"/>
            <w:vAlign w:val="center"/>
          </w:tcPr>
          <w:p>
            <w:pPr>
              <w:pStyle w:val="10"/>
              <w:rPr>
                <w:highlight w:val="none"/>
              </w:rPr>
            </w:pPr>
            <w:r>
              <w:rPr>
                <w:highlight w:val="none"/>
              </w:rPr>
              <w:t>国家级公益林管护面积</w:t>
            </w:r>
          </w:p>
        </w:tc>
        <w:tc>
          <w:tcPr>
            <w:tcW w:w="1276" w:type="dxa"/>
            <w:vAlign w:val="center"/>
          </w:tcPr>
          <w:p>
            <w:pPr>
              <w:pStyle w:val="10"/>
              <w:rPr>
                <w:highlight w:val="none"/>
              </w:rPr>
            </w:pPr>
            <w:r>
              <w:rPr>
                <w:highlight w:val="none"/>
              </w:rPr>
              <w:t>5500亩</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公益林保存率</w:t>
            </w:r>
          </w:p>
        </w:tc>
        <w:tc>
          <w:tcPr>
            <w:tcW w:w="2891" w:type="dxa"/>
            <w:vAlign w:val="center"/>
          </w:tcPr>
          <w:p>
            <w:pPr>
              <w:pStyle w:val="10"/>
              <w:rPr>
                <w:highlight w:val="none"/>
              </w:rPr>
            </w:pPr>
            <w:r>
              <w:rPr>
                <w:highlight w:val="none"/>
              </w:rPr>
              <w:t>公益林保存率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各项工作开展及时率</w:t>
            </w:r>
          </w:p>
        </w:tc>
        <w:tc>
          <w:tcPr>
            <w:tcW w:w="2891" w:type="dxa"/>
            <w:vAlign w:val="center"/>
          </w:tcPr>
          <w:p>
            <w:pPr>
              <w:pStyle w:val="10"/>
              <w:rPr>
                <w:highlight w:val="none"/>
              </w:rPr>
            </w:pPr>
            <w:r>
              <w:rPr>
                <w:highlight w:val="none"/>
              </w:rPr>
              <w:t>各项工作按计划及时开展</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国家级公益林管护中央财政补助成本</w:t>
            </w:r>
          </w:p>
        </w:tc>
        <w:tc>
          <w:tcPr>
            <w:tcW w:w="2891" w:type="dxa"/>
            <w:vAlign w:val="center"/>
          </w:tcPr>
          <w:p>
            <w:pPr>
              <w:pStyle w:val="10"/>
              <w:rPr>
                <w:highlight w:val="none"/>
              </w:rPr>
            </w:pPr>
            <w:r>
              <w:rPr>
                <w:highlight w:val="none"/>
              </w:rPr>
              <w:t>国家级公益林管护中央财政补助成本</w:t>
            </w:r>
          </w:p>
        </w:tc>
        <w:tc>
          <w:tcPr>
            <w:tcW w:w="1276" w:type="dxa"/>
            <w:vAlign w:val="center"/>
          </w:tcPr>
          <w:p>
            <w:pPr>
              <w:pStyle w:val="10"/>
              <w:rPr>
                <w:highlight w:val="none"/>
              </w:rPr>
            </w:pPr>
            <w:r>
              <w:rPr>
                <w:highlight w:val="none"/>
              </w:rPr>
              <w:t>8.66万元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可持续影响指标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逐步加快</w:t>
            </w:r>
          </w:p>
        </w:tc>
        <w:tc>
          <w:tcPr>
            <w:tcW w:w="1843" w:type="dxa"/>
            <w:vAlign w:val="center"/>
          </w:tcPr>
          <w:p>
            <w:pPr>
              <w:pStyle w:val="10"/>
              <w:rPr>
                <w:highlight w:val="none"/>
              </w:rPr>
            </w:pPr>
            <w:r>
              <w:rPr>
                <w:highlight w:val="none"/>
              </w:rP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rFonts w:hint="eastAsia"/>
                <w:highlight w:val="none"/>
                <w:lang w:val="en-US" w:eastAsia="zh-CN"/>
              </w:rPr>
              <w:t>95</w:t>
            </w:r>
            <w:r>
              <w:rPr>
                <w:highlight w:val="none"/>
              </w:rPr>
              <w:t>%</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2" w:name="_Toc_4_4_0000000033"/>
      <w:r>
        <w:rPr>
          <w:rFonts w:ascii="方正仿宋_GBK" w:hAnsi="方正仿宋_GBK" w:eastAsia="方正仿宋_GBK" w:cs="方正仿宋_GBK"/>
          <w:color w:val="000000"/>
          <w:sz w:val="28"/>
          <w:highlight w:val="none"/>
        </w:rPr>
        <w:t>30.提前下达2022年中央财政林业改革发展资金-林业有害生物防治绩效目标表</w:t>
      </w:r>
      <w:bookmarkEnd w:id="3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13030322P00430910012A</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提前下达2022年中央财政林业改革发展资金-林业有害生物防治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预防和减少林业有害生物对森林资源的损失,保护森林资源</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1.预防和减少林业有害生物对森林资源的损失,保护森林资源</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林业有害生物防治面积(0.64万亩)</w:t>
            </w:r>
          </w:p>
        </w:tc>
        <w:tc>
          <w:tcPr>
            <w:tcW w:w="2891" w:type="dxa"/>
            <w:vAlign w:val="center"/>
          </w:tcPr>
          <w:p>
            <w:pPr>
              <w:pStyle w:val="10"/>
              <w:rPr>
                <w:highlight w:val="none"/>
              </w:rPr>
            </w:pPr>
            <w:r>
              <w:rPr>
                <w:highlight w:val="none"/>
              </w:rPr>
              <w:t>林业有害生物防治面积(0.64万亩)</w:t>
            </w:r>
          </w:p>
        </w:tc>
        <w:tc>
          <w:tcPr>
            <w:tcW w:w="1276" w:type="dxa"/>
            <w:vAlign w:val="center"/>
          </w:tcPr>
          <w:p>
            <w:pPr>
              <w:pStyle w:val="10"/>
              <w:rPr>
                <w:highlight w:val="none"/>
              </w:rPr>
            </w:pPr>
            <w:r>
              <w:rPr>
                <w:highlight w:val="none"/>
              </w:rPr>
              <w:t>0.64万元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主要林业有害生物成灾率</w:t>
            </w:r>
          </w:p>
        </w:tc>
        <w:tc>
          <w:tcPr>
            <w:tcW w:w="2891" w:type="dxa"/>
            <w:vAlign w:val="center"/>
          </w:tcPr>
          <w:p>
            <w:pPr>
              <w:pStyle w:val="10"/>
              <w:rPr>
                <w:highlight w:val="none"/>
              </w:rPr>
            </w:pPr>
            <w:r>
              <w:rPr>
                <w:highlight w:val="none"/>
              </w:rPr>
              <w:t>主要林业有害生物成灾率</w:t>
            </w:r>
          </w:p>
        </w:tc>
        <w:tc>
          <w:tcPr>
            <w:tcW w:w="1276" w:type="dxa"/>
            <w:vAlign w:val="center"/>
          </w:tcPr>
          <w:p>
            <w:pPr>
              <w:pStyle w:val="10"/>
              <w:rPr>
                <w:highlight w:val="none"/>
              </w:rPr>
            </w:pPr>
            <w:r>
              <w:rPr>
                <w:highlight w:val="none"/>
              </w:rPr>
              <w:t>≤0.38%</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完成率</w:t>
            </w:r>
          </w:p>
        </w:tc>
        <w:tc>
          <w:tcPr>
            <w:tcW w:w="2891" w:type="dxa"/>
            <w:vAlign w:val="center"/>
          </w:tcPr>
          <w:p>
            <w:pPr>
              <w:pStyle w:val="10"/>
              <w:rPr>
                <w:highlight w:val="none"/>
              </w:rPr>
            </w:pPr>
            <w:r>
              <w:rPr>
                <w:highlight w:val="none"/>
              </w:rPr>
              <w:t>完成率</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本年度林业有害生物防治成本</w:t>
            </w:r>
          </w:p>
        </w:tc>
        <w:tc>
          <w:tcPr>
            <w:tcW w:w="2891" w:type="dxa"/>
            <w:vAlign w:val="center"/>
          </w:tcPr>
          <w:p>
            <w:pPr>
              <w:pStyle w:val="10"/>
              <w:rPr>
                <w:highlight w:val="none"/>
              </w:rPr>
            </w:pPr>
            <w:r>
              <w:rPr>
                <w:highlight w:val="none"/>
              </w:rPr>
              <w:t>本年度林业有害生物防治成本</w:t>
            </w:r>
          </w:p>
        </w:tc>
        <w:tc>
          <w:tcPr>
            <w:tcW w:w="1276" w:type="dxa"/>
            <w:vAlign w:val="center"/>
          </w:tcPr>
          <w:p>
            <w:pPr>
              <w:pStyle w:val="10"/>
              <w:rPr>
                <w:highlight w:val="none"/>
              </w:rPr>
            </w:pPr>
            <w:r>
              <w:rPr>
                <w:highlight w:val="none"/>
              </w:rPr>
              <w:t>≤10万元</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生态效益指标</w:t>
            </w:r>
          </w:p>
        </w:tc>
        <w:tc>
          <w:tcPr>
            <w:tcW w:w="1332" w:type="dxa"/>
            <w:vAlign w:val="center"/>
          </w:tcPr>
          <w:p>
            <w:pPr>
              <w:pStyle w:val="10"/>
              <w:rPr>
                <w:highlight w:val="none"/>
              </w:rPr>
            </w:pPr>
            <w:r>
              <w:rPr>
                <w:highlight w:val="none"/>
              </w:rPr>
              <w:t>林业有害生物无公害防治</w:t>
            </w:r>
          </w:p>
        </w:tc>
        <w:tc>
          <w:tcPr>
            <w:tcW w:w="2891" w:type="dxa"/>
            <w:vAlign w:val="center"/>
          </w:tcPr>
          <w:p>
            <w:pPr>
              <w:pStyle w:val="10"/>
              <w:rPr>
                <w:highlight w:val="none"/>
              </w:rPr>
            </w:pPr>
            <w:r>
              <w:rPr>
                <w:highlight w:val="none"/>
              </w:rPr>
              <w:t>林业有害生物无公害防治</w:t>
            </w:r>
          </w:p>
        </w:tc>
        <w:tc>
          <w:tcPr>
            <w:tcW w:w="1276" w:type="dxa"/>
            <w:vAlign w:val="center"/>
          </w:tcPr>
          <w:p>
            <w:pPr>
              <w:pStyle w:val="10"/>
              <w:rPr>
                <w:highlight w:val="none"/>
              </w:rPr>
            </w:pPr>
            <w:r>
              <w:rPr>
                <w:highlight w:val="none"/>
              </w:rPr>
              <w:t>≥87%</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rFonts w:hint="eastAsia"/>
                <w:highlight w:val="none"/>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3" w:name="_Toc_4_4_0000000034"/>
      <w:r>
        <w:rPr>
          <w:rFonts w:ascii="方正仿宋_GBK" w:hAnsi="方正仿宋_GBK" w:eastAsia="方正仿宋_GBK" w:cs="方正仿宋_GBK"/>
          <w:color w:val="000000"/>
          <w:sz w:val="28"/>
          <w:highlight w:val="none"/>
        </w:rPr>
        <w:t>31.提前下达2022年中央财政林业改革发展资金-森林抚育（上一轮退耕还生态林）绩效目标表</w:t>
      </w:r>
      <w:bookmarkEnd w:id="3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13030322P00430910011N</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提前下达2022年中央财政林业改革发展资金-森林抚育（上一轮退耕还生态林）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5.50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5.50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"2022年中央财政林业改革发展资金-森林抚育（上一轮退耕还生态林）</w:t>
            </w:r>
            <w:r>
              <w:rPr>
                <w:highlight w:val="none"/>
              </w:rPr>
              <w:tab/>
            </w:r>
            <w:r>
              <w:rPr>
                <w:highlight w:val="none"/>
              </w:rPr>
              <w:tab/>
            </w:r>
            <w:r>
              <w:rPr>
                <w:highlight w:val="none"/>
              </w:rPr>
              <w:tab/>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1.2022年中央财政林业改革发展资金-森林抚育（上一轮退耕还生态林）</w:t>
            </w:r>
            <w:r>
              <w:rPr>
                <w:highlight w:val="none"/>
              </w:rPr>
              <w:tab/>
            </w:r>
            <w:r>
              <w:rPr>
                <w:highlight w:val="none"/>
              </w:rPr>
              <w:tab/>
            </w:r>
            <w:r>
              <w:rPr>
                <w:highlight w:val="none"/>
              </w:rPr>
              <w:tab/>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政策到期上一轮退耕还生态林面积（万亩）</w:t>
            </w:r>
          </w:p>
        </w:tc>
        <w:tc>
          <w:tcPr>
            <w:tcW w:w="2891" w:type="dxa"/>
            <w:vAlign w:val="center"/>
          </w:tcPr>
          <w:p>
            <w:pPr>
              <w:pStyle w:val="10"/>
              <w:rPr>
                <w:highlight w:val="none"/>
              </w:rPr>
            </w:pPr>
            <w:r>
              <w:rPr>
                <w:highlight w:val="none"/>
              </w:rPr>
              <w:t>森林抚育（上一轮退耕还生态林）补助面积2750亩</w:t>
            </w:r>
          </w:p>
        </w:tc>
        <w:tc>
          <w:tcPr>
            <w:tcW w:w="1276" w:type="dxa"/>
            <w:vAlign w:val="center"/>
          </w:tcPr>
          <w:p>
            <w:pPr>
              <w:pStyle w:val="10"/>
              <w:rPr>
                <w:highlight w:val="none"/>
              </w:rPr>
            </w:pPr>
            <w:r>
              <w:rPr>
                <w:rFonts w:hint="eastAsia"/>
                <w:highlight w:val="none"/>
                <w:lang w:val="en-US" w:eastAsia="zh-CN"/>
              </w:rPr>
              <w:t>=</w:t>
            </w:r>
            <w:r>
              <w:rPr>
                <w:highlight w:val="none"/>
              </w:rPr>
              <w:t>100%</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森林抚育质量合格率</w:t>
            </w:r>
          </w:p>
        </w:tc>
        <w:tc>
          <w:tcPr>
            <w:tcW w:w="2891" w:type="dxa"/>
            <w:vAlign w:val="center"/>
          </w:tcPr>
          <w:p>
            <w:pPr>
              <w:pStyle w:val="10"/>
              <w:rPr>
                <w:highlight w:val="none"/>
              </w:rPr>
            </w:pPr>
            <w:r>
              <w:rPr>
                <w:highlight w:val="none"/>
              </w:rPr>
              <w:t>苗木保存率和成活率</w:t>
            </w:r>
          </w:p>
        </w:tc>
        <w:tc>
          <w:tcPr>
            <w:tcW w:w="1276" w:type="dxa"/>
            <w:vAlign w:val="center"/>
          </w:tcPr>
          <w:p>
            <w:pPr>
              <w:pStyle w:val="10"/>
              <w:rPr>
                <w:highlight w:val="none"/>
              </w:rPr>
            </w:pPr>
            <w:r>
              <w:rPr>
                <w:highlight w:val="none"/>
              </w:rPr>
              <w:t>≥85%</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森林抚育当期任务完成率</w:t>
            </w:r>
          </w:p>
        </w:tc>
        <w:tc>
          <w:tcPr>
            <w:tcW w:w="2891" w:type="dxa"/>
            <w:vAlign w:val="center"/>
          </w:tcPr>
          <w:p>
            <w:pPr>
              <w:pStyle w:val="10"/>
              <w:rPr>
                <w:highlight w:val="none"/>
              </w:rPr>
            </w:pPr>
            <w:r>
              <w:rPr>
                <w:highlight w:val="none"/>
              </w:rPr>
              <w:t>森林抚育当期任务完成率</w:t>
            </w:r>
          </w:p>
        </w:tc>
        <w:tc>
          <w:tcPr>
            <w:tcW w:w="1276" w:type="dxa"/>
            <w:vAlign w:val="center"/>
          </w:tcPr>
          <w:p>
            <w:pPr>
              <w:pStyle w:val="10"/>
              <w:rPr>
                <w:highlight w:val="none"/>
              </w:rPr>
            </w:pPr>
            <w:r>
              <w:rPr>
                <w:highlight w:val="none"/>
              </w:rPr>
              <w:t>≥85%</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森林抚育当期补助标准</w:t>
            </w:r>
          </w:p>
        </w:tc>
        <w:tc>
          <w:tcPr>
            <w:tcW w:w="2891" w:type="dxa"/>
            <w:vAlign w:val="center"/>
          </w:tcPr>
          <w:p>
            <w:pPr>
              <w:pStyle w:val="10"/>
              <w:rPr>
                <w:highlight w:val="none"/>
              </w:rPr>
            </w:pPr>
            <w:r>
              <w:rPr>
                <w:highlight w:val="none"/>
              </w:rPr>
              <w:t>森林抚育（上一轮退耕还生态林）补助标准20元/亩</w:t>
            </w:r>
          </w:p>
        </w:tc>
        <w:tc>
          <w:tcPr>
            <w:tcW w:w="1276" w:type="dxa"/>
            <w:vAlign w:val="center"/>
          </w:tcPr>
          <w:p>
            <w:pPr>
              <w:pStyle w:val="10"/>
              <w:rPr>
                <w:highlight w:val="none"/>
              </w:rPr>
            </w:pPr>
            <w:r>
              <w:rPr>
                <w:highlight w:val="none"/>
              </w:rPr>
              <w:t>5.5万元</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≥85%</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rFonts w:hint="eastAsia"/>
                <w:highlight w:val="none"/>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4" w:name="_Toc_4_4_0000000035"/>
      <w:r>
        <w:rPr>
          <w:rFonts w:ascii="方正仿宋_GBK" w:hAnsi="方正仿宋_GBK" w:eastAsia="方正仿宋_GBK" w:cs="方正仿宋_GBK"/>
          <w:color w:val="000000"/>
          <w:sz w:val="28"/>
          <w:highlight w:val="none"/>
        </w:rPr>
        <w:t>32.提前下达2022年中央财政林业改革发展资金-森林生态效益补偿补助-公共管护补助绩效目标表</w:t>
      </w:r>
      <w:bookmarkEnd w:id="3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13030322P00430910007G</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提前下达2022年中央财政林业改革发展资金-森林生态效益补偿补助-公共管护补助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0.45</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0.45</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"2022年中央财政林业改革发展资金-森林生态效益补偿补助</w:t>
            </w:r>
            <w:r>
              <w:rPr>
                <w:highlight w:val="none"/>
              </w:rPr>
              <w:tab/>
            </w:r>
            <w:r>
              <w:rPr>
                <w:highlight w:val="none"/>
              </w:rPr>
              <w:tab/>
            </w:r>
            <w:r>
              <w:rPr>
                <w:highlight w:val="none"/>
              </w:rPr>
              <w:tab/>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1.2022年中央财政林业改革发展资金-森林生态效益补偿补助</w:t>
            </w:r>
            <w:r>
              <w:rPr>
                <w:highlight w:val="none"/>
              </w:rPr>
              <w:tab/>
            </w:r>
            <w:r>
              <w:rPr>
                <w:highlight w:val="none"/>
              </w:rPr>
              <w:tab/>
            </w:r>
            <w:r>
              <w:rPr>
                <w:highlight w:val="none"/>
              </w:rPr>
              <w:tab/>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国家级公益林管护面积</w:t>
            </w:r>
          </w:p>
        </w:tc>
        <w:tc>
          <w:tcPr>
            <w:tcW w:w="2891" w:type="dxa"/>
            <w:vAlign w:val="center"/>
          </w:tcPr>
          <w:p>
            <w:pPr>
              <w:pStyle w:val="10"/>
              <w:rPr>
                <w:highlight w:val="none"/>
              </w:rPr>
            </w:pPr>
            <w:r>
              <w:rPr>
                <w:highlight w:val="none"/>
              </w:rPr>
              <w:t>公益林管护面积</w:t>
            </w:r>
          </w:p>
        </w:tc>
        <w:tc>
          <w:tcPr>
            <w:tcW w:w="1276" w:type="dxa"/>
            <w:vAlign w:val="center"/>
          </w:tcPr>
          <w:p>
            <w:pPr>
              <w:pStyle w:val="10"/>
              <w:rPr>
                <w:highlight w:val="none"/>
              </w:rPr>
            </w:pPr>
            <w:r>
              <w:rPr>
                <w:highlight w:val="none"/>
              </w:rPr>
              <w:t>37600亩</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公益林检查验收合格率</w:t>
            </w:r>
          </w:p>
        </w:tc>
        <w:tc>
          <w:tcPr>
            <w:tcW w:w="2891" w:type="dxa"/>
            <w:vAlign w:val="center"/>
          </w:tcPr>
          <w:p>
            <w:pPr>
              <w:pStyle w:val="10"/>
              <w:rPr>
                <w:highlight w:val="none"/>
              </w:rPr>
            </w:pPr>
            <w:r>
              <w:rPr>
                <w:highlight w:val="none"/>
              </w:rPr>
              <w:t>公益林检查验收合格率</w:t>
            </w:r>
          </w:p>
        </w:tc>
        <w:tc>
          <w:tcPr>
            <w:tcW w:w="1276" w:type="dxa"/>
            <w:vAlign w:val="center"/>
          </w:tcPr>
          <w:p>
            <w:pPr>
              <w:pStyle w:val="10"/>
              <w:rPr>
                <w:highlight w:val="none"/>
              </w:rPr>
            </w:pPr>
            <w:r>
              <w:rPr>
                <w:highlight w:val="none"/>
              </w:rPr>
              <w:t>100%</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各公益林管护当期任务完成率</w:t>
            </w:r>
          </w:p>
        </w:tc>
        <w:tc>
          <w:tcPr>
            <w:tcW w:w="2891" w:type="dxa"/>
            <w:vAlign w:val="center"/>
          </w:tcPr>
          <w:p>
            <w:pPr>
              <w:pStyle w:val="10"/>
              <w:rPr>
                <w:highlight w:val="none"/>
              </w:rPr>
            </w:pPr>
            <w:r>
              <w:rPr>
                <w:highlight w:val="none"/>
              </w:rPr>
              <w:t>各公益林管护当期任务完成率</w:t>
            </w:r>
          </w:p>
        </w:tc>
        <w:tc>
          <w:tcPr>
            <w:tcW w:w="1276" w:type="dxa"/>
            <w:vAlign w:val="center"/>
          </w:tcPr>
          <w:p>
            <w:pPr>
              <w:pStyle w:val="10"/>
              <w:rPr>
                <w:highlight w:val="none"/>
              </w:rPr>
            </w:pPr>
            <w:r>
              <w:rPr>
                <w:highlight w:val="none"/>
              </w:rPr>
              <w:t>100%</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国家级公益林管护中央财政补助标准</w:t>
            </w:r>
          </w:p>
        </w:tc>
        <w:tc>
          <w:tcPr>
            <w:tcW w:w="2891" w:type="dxa"/>
            <w:vAlign w:val="center"/>
          </w:tcPr>
          <w:p>
            <w:pPr>
              <w:pStyle w:val="10"/>
              <w:rPr>
                <w:highlight w:val="none"/>
              </w:rPr>
            </w:pPr>
            <w:r>
              <w:rPr>
                <w:highlight w:val="none"/>
              </w:rPr>
              <w:t>国家级公益林管护中央财政补助4500元</w:t>
            </w:r>
          </w:p>
        </w:tc>
        <w:tc>
          <w:tcPr>
            <w:tcW w:w="1276" w:type="dxa"/>
            <w:vAlign w:val="center"/>
          </w:tcPr>
          <w:p>
            <w:pPr>
              <w:pStyle w:val="10"/>
              <w:rPr>
                <w:highlight w:val="none"/>
              </w:rPr>
            </w:pPr>
            <w:r>
              <w:rPr>
                <w:highlight w:val="none"/>
              </w:rPr>
              <w:t>0.45万元</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逐步加快</w:t>
            </w:r>
          </w:p>
          <w:p>
            <w:pPr>
              <w:pStyle w:val="10"/>
              <w:rPr>
                <w:highlight w:val="none"/>
              </w:rPr>
            </w:pP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rFonts w:hint="eastAsia" w:eastAsia="方正书宋_GBK"/>
                <w:highlight w:val="none"/>
                <w:lang w:eastAsia="zh-CN"/>
              </w:rPr>
            </w:pPr>
            <w:r>
              <w:rPr>
                <w:rFonts w:hint="eastAsia"/>
                <w:highlight w:val="none"/>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5" w:name="_Toc_4_4_0000000036"/>
      <w:r>
        <w:rPr>
          <w:rFonts w:ascii="方正仿宋_GBK" w:hAnsi="方正仿宋_GBK" w:eastAsia="方正仿宋_GBK" w:cs="方正仿宋_GBK"/>
          <w:color w:val="000000"/>
          <w:sz w:val="28"/>
          <w:highlight w:val="none"/>
        </w:rPr>
        <w:t>33.提前下达2022年中央财政林业改革发展资金-森林生态效益补偿补助-管护补助绩效目标表</w:t>
      </w:r>
      <w:bookmarkEnd w:id="3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13030322P004309100084</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提前下达2022年中央财政林业改革发展资金-森林生态效益补偿补助-管护补助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7.88</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7.88</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"提前下达2022年中央财政林业改革发展资金-森林生态效益补偿补助-管护补助</w:t>
            </w:r>
            <w:r>
              <w:rPr>
                <w:highlight w:val="none"/>
              </w:rPr>
              <w:tab/>
            </w:r>
            <w:r>
              <w:rPr>
                <w:highlight w:val="none"/>
              </w:rPr>
              <w:tab/>
            </w:r>
            <w:r>
              <w:rPr>
                <w:highlight w:val="none"/>
              </w:rPr>
              <w:tab/>
            </w:r>
          </w:p>
          <w:p>
            <w:pPr>
              <w:pStyle w:val="10"/>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1.提前下达2022年中央财政林业改革发展资金-森林生态效益补偿补助-管护补助</w:t>
            </w:r>
            <w:r>
              <w:rPr>
                <w:highlight w:val="none"/>
              </w:rPr>
              <w:tab/>
            </w:r>
            <w:r>
              <w:rPr>
                <w:highlight w:val="none"/>
              </w:rPr>
              <w:tab/>
            </w:r>
            <w:r>
              <w:rPr>
                <w:highlight w:val="none"/>
              </w:rPr>
              <w:tab/>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集体国家级公益林管护面积5000亩</w:t>
            </w:r>
          </w:p>
        </w:tc>
        <w:tc>
          <w:tcPr>
            <w:tcW w:w="2891" w:type="dxa"/>
            <w:vAlign w:val="center"/>
          </w:tcPr>
          <w:p>
            <w:pPr>
              <w:pStyle w:val="10"/>
              <w:rPr>
                <w:highlight w:val="none"/>
              </w:rPr>
            </w:pPr>
            <w:r>
              <w:rPr>
                <w:highlight w:val="none"/>
              </w:rPr>
              <w:t>集体国家级公益林管护面积5000亩</w:t>
            </w:r>
          </w:p>
        </w:tc>
        <w:tc>
          <w:tcPr>
            <w:tcW w:w="1276" w:type="dxa"/>
            <w:vAlign w:val="center"/>
          </w:tcPr>
          <w:p>
            <w:pPr>
              <w:pStyle w:val="10"/>
              <w:rPr>
                <w:highlight w:val="none"/>
              </w:rPr>
            </w:pPr>
            <w:r>
              <w:rPr>
                <w:highlight w:val="none"/>
              </w:rPr>
              <w:t>≥5000亩</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公益林检查验收合格率</w:t>
            </w:r>
          </w:p>
        </w:tc>
        <w:tc>
          <w:tcPr>
            <w:tcW w:w="2891" w:type="dxa"/>
            <w:vAlign w:val="center"/>
          </w:tcPr>
          <w:p>
            <w:pPr>
              <w:pStyle w:val="10"/>
              <w:rPr>
                <w:highlight w:val="none"/>
              </w:rPr>
            </w:pPr>
            <w:r>
              <w:rPr>
                <w:highlight w:val="none"/>
              </w:rPr>
              <w:t>公益林检查验收合格率</w:t>
            </w:r>
          </w:p>
        </w:tc>
        <w:tc>
          <w:tcPr>
            <w:tcW w:w="1276" w:type="dxa"/>
            <w:vAlign w:val="center"/>
          </w:tcPr>
          <w:p>
            <w:pPr>
              <w:pStyle w:val="10"/>
              <w:rPr>
                <w:highlight w:val="none"/>
              </w:rPr>
            </w:pPr>
            <w:r>
              <w:rPr>
                <w:highlight w:val="none"/>
              </w:rPr>
              <w:t>100%</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各公益林管护当期任务完成率</w:t>
            </w:r>
          </w:p>
        </w:tc>
        <w:tc>
          <w:tcPr>
            <w:tcW w:w="2891" w:type="dxa"/>
            <w:vAlign w:val="center"/>
          </w:tcPr>
          <w:p>
            <w:pPr>
              <w:pStyle w:val="10"/>
              <w:rPr>
                <w:highlight w:val="none"/>
              </w:rPr>
            </w:pPr>
            <w:r>
              <w:rPr>
                <w:highlight w:val="none"/>
              </w:rPr>
              <w:t>各项工作按计划及时开展</w:t>
            </w:r>
          </w:p>
        </w:tc>
        <w:tc>
          <w:tcPr>
            <w:tcW w:w="1276" w:type="dxa"/>
            <w:vAlign w:val="center"/>
          </w:tcPr>
          <w:p>
            <w:pPr>
              <w:pStyle w:val="10"/>
              <w:rPr>
                <w:highlight w:val="none"/>
              </w:rPr>
            </w:pPr>
            <w:r>
              <w:rPr>
                <w:highlight w:val="none"/>
              </w:rPr>
              <w:t>100%</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集体国家级公益林管护中央财政补助标准</w:t>
            </w:r>
          </w:p>
        </w:tc>
        <w:tc>
          <w:tcPr>
            <w:tcW w:w="2891" w:type="dxa"/>
            <w:vAlign w:val="center"/>
          </w:tcPr>
          <w:p>
            <w:pPr>
              <w:pStyle w:val="10"/>
              <w:rPr>
                <w:highlight w:val="none"/>
              </w:rPr>
            </w:pPr>
            <w:r>
              <w:rPr>
                <w:highlight w:val="none"/>
              </w:rPr>
              <w:t>集体国家级公益林管护中央财政补助标准15.75元/亩</w:t>
            </w:r>
          </w:p>
        </w:tc>
        <w:tc>
          <w:tcPr>
            <w:tcW w:w="1276" w:type="dxa"/>
            <w:vAlign w:val="center"/>
          </w:tcPr>
          <w:p>
            <w:pPr>
              <w:pStyle w:val="10"/>
              <w:rPr>
                <w:highlight w:val="none"/>
              </w:rPr>
            </w:pPr>
            <w:r>
              <w:rPr>
                <w:highlight w:val="none"/>
              </w:rPr>
              <w:t>7.88万元</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加快生态建设步伐</w:t>
            </w:r>
          </w:p>
        </w:tc>
        <w:tc>
          <w:tcPr>
            <w:tcW w:w="2891" w:type="dxa"/>
            <w:vAlign w:val="center"/>
          </w:tcPr>
          <w:p>
            <w:pPr>
              <w:pStyle w:val="10"/>
              <w:rPr>
                <w:highlight w:val="none"/>
              </w:rPr>
            </w:pPr>
            <w:r>
              <w:rPr>
                <w:highlight w:val="none"/>
              </w:rPr>
              <w:t>加快生态建设步伐</w:t>
            </w:r>
          </w:p>
        </w:tc>
        <w:tc>
          <w:tcPr>
            <w:tcW w:w="1276" w:type="dxa"/>
            <w:vAlign w:val="center"/>
          </w:tcPr>
          <w:p>
            <w:pPr>
              <w:pStyle w:val="10"/>
              <w:rPr>
                <w:highlight w:val="none"/>
              </w:rPr>
            </w:pPr>
            <w:r>
              <w:rPr>
                <w:highlight w:val="none"/>
              </w:rPr>
              <w:t>逐步加快</w:t>
            </w:r>
          </w:p>
        </w:tc>
        <w:tc>
          <w:tcPr>
            <w:tcW w:w="1843" w:type="dxa"/>
            <w:vAlign w:val="center"/>
          </w:tcPr>
          <w:p>
            <w:pPr>
              <w:rPr>
                <w:highlight w:val="green"/>
              </w:rPr>
            </w:pPr>
            <w:r>
              <w:rPr>
                <w:rFonts w:hint="eastAsia"/>
                <w:highlight w:val="green"/>
              </w:rP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rFonts w:hint="eastAsia"/>
                <w:highlight w:val="none"/>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6" w:name="_Toc_4_4_0000000037"/>
      <w:r>
        <w:rPr>
          <w:rFonts w:ascii="方正仿宋_GBK" w:hAnsi="方正仿宋_GBK" w:eastAsia="方正仿宋_GBK" w:cs="方正仿宋_GBK"/>
          <w:color w:val="000000"/>
          <w:sz w:val="28"/>
          <w:highlight w:val="none"/>
        </w:rPr>
        <w:t>34.土地出让金业务费绩效目标表</w:t>
      </w:r>
      <w:bookmarkEnd w:id="3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13030322P004256100112</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土地出让金业务费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300.00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300.00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推进自然资源征拆工作所需各项支出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1.1、用于推进自然资源工作开展所需的各项支出。</w:t>
            </w:r>
          </w:p>
          <w:p>
            <w:pPr>
              <w:pStyle w:val="10"/>
              <w:rPr>
                <w:highlight w:val="none"/>
              </w:rPr>
            </w:pPr>
            <w:r>
              <w:rPr>
                <w:highlight w:val="none"/>
              </w:rPr>
              <w:t>2、土地收储项目、开发利用项目评估、评审费、测绘费，已收储地块附着物拆除清理费、管护费等。</w:t>
            </w:r>
          </w:p>
          <w:p>
            <w:pPr>
              <w:pStyle w:val="10"/>
              <w:rPr>
                <w:highlight w:val="none"/>
              </w:rPr>
            </w:pP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完成的资源国土业务工作</w:t>
            </w:r>
          </w:p>
        </w:tc>
        <w:tc>
          <w:tcPr>
            <w:tcW w:w="2891" w:type="dxa"/>
            <w:vAlign w:val="center"/>
          </w:tcPr>
          <w:p>
            <w:pPr>
              <w:pStyle w:val="10"/>
              <w:rPr>
                <w:highlight w:val="none"/>
              </w:rPr>
            </w:pPr>
            <w:r>
              <w:rPr>
                <w:highlight w:val="none"/>
              </w:rPr>
              <w:t>保证相关业务科室国土业务开展</w:t>
            </w:r>
          </w:p>
        </w:tc>
        <w:tc>
          <w:tcPr>
            <w:tcW w:w="1276" w:type="dxa"/>
            <w:vAlign w:val="center"/>
          </w:tcPr>
          <w:p>
            <w:pPr>
              <w:pStyle w:val="10"/>
              <w:rPr>
                <w:highlight w:val="none"/>
              </w:rPr>
            </w:pPr>
            <w:r>
              <w:rPr>
                <w:highlight w:val="none"/>
              </w:rPr>
              <w:t>≥20个</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储备的项目数量</w:t>
            </w:r>
          </w:p>
        </w:tc>
        <w:tc>
          <w:tcPr>
            <w:tcW w:w="2891" w:type="dxa"/>
            <w:vAlign w:val="center"/>
          </w:tcPr>
          <w:p>
            <w:pPr>
              <w:pStyle w:val="10"/>
              <w:rPr>
                <w:highlight w:val="none"/>
              </w:rPr>
            </w:pPr>
            <w:r>
              <w:rPr>
                <w:highlight w:val="none"/>
              </w:rPr>
              <w:t>已储备地块4宗，2022年内拟收储完成3个地块及白鹭岛片区地块管理</w:t>
            </w:r>
          </w:p>
        </w:tc>
        <w:tc>
          <w:tcPr>
            <w:tcW w:w="1276" w:type="dxa"/>
            <w:vAlign w:val="center"/>
          </w:tcPr>
          <w:p>
            <w:pPr>
              <w:pStyle w:val="10"/>
              <w:rPr>
                <w:highlight w:val="none"/>
              </w:rPr>
            </w:pPr>
            <w:r>
              <w:rPr>
                <w:highlight w:val="none"/>
              </w:rPr>
              <w:t>≥7个</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开发利用项目数量</w:t>
            </w:r>
          </w:p>
        </w:tc>
        <w:tc>
          <w:tcPr>
            <w:tcW w:w="2891" w:type="dxa"/>
            <w:vAlign w:val="center"/>
          </w:tcPr>
          <w:p>
            <w:pPr>
              <w:pStyle w:val="10"/>
              <w:rPr>
                <w:highlight w:val="none"/>
              </w:rPr>
            </w:pPr>
            <w:r>
              <w:rPr>
                <w:highlight w:val="none"/>
              </w:rPr>
              <w:t>2022年计划出让供地9个</w:t>
            </w:r>
          </w:p>
        </w:tc>
        <w:tc>
          <w:tcPr>
            <w:tcW w:w="1276" w:type="dxa"/>
            <w:vAlign w:val="center"/>
          </w:tcPr>
          <w:p>
            <w:pPr>
              <w:pStyle w:val="10"/>
              <w:rPr>
                <w:highlight w:val="none"/>
              </w:rPr>
            </w:pPr>
            <w:r>
              <w:rPr>
                <w:highlight w:val="none"/>
              </w:rPr>
              <w:t>≥9个</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差旅等费用</w:t>
            </w:r>
          </w:p>
        </w:tc>
        <w:tc>
          <w:tcPr>
            <w:tcW w:w="2891" w:type="dxa"/>
            <w:vAlign w:val="center"/>
          </w:tcPr>
          <w:p>
            <w:pPr>
              <w:pStyle w:val="10"/>
              <w:rPr>
                <w:highlight w:val="none"/>
              </w:rPr>
            </w:pPr>
            <w:r>
              <w:rPr>
                <w:highlight w:val="none"/>
              </w:rPr>
              <w:t>涉及国土业务差旅外出的科室个数</w:t>
            </w:r>
          </w:p>
        </w:tc>
        <w:tc>
          <w:tcPr>
            <w:tcW w:w="1276" w:type="dxa"/>
            <w:vAlign w:val="center"/>
          </w:tcPr>
          <w:p>
            <w:pPr>
              <w:pStyle w:val="10"/>
              <w:rPr>
                <w:highlight w:val="none"/>
              </w:rPr>
            </w:pPr>
            <w:r>
              <w:rPr>
                <w:highlight w:val="none"/>
              </w:rPr>
              <w:t>≥20个</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资源业务工作完成情况</w:t>
            </w:r>
          </w:p>
        </w:tc>
        <w:tc>
          <w:tcPr>
            <w:tcW w:w="2891" w:type="dxa"/>
            <w:vAlign w:val="center"/>
          </w:tcPr>
          <w:p>
            <w:pPr>
              <w:pStyle w:val="10"/>
              <w:rPr>
                <w:highlight w:val="none"/>
              </w:rPr>
            </w:pPr>
            <w:r>
              <w:rPr>
                <w:highlight w:val="none"/>
              </w:rPr>
              <w:t>完成工作占工作计划的百分比</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按标准及规定</w:t>
            </w:r>
          </w:p>
        </w:tc>
        <w:tc>
          <w:tcPr>
            <w:tcW w:w="2891" w:type="dxa"/>
            <w:vAlign w:val="center"/>
          </w:tcPr>
          <w:p>
            <w:pPr>
              <w:pStyle w:val="10"/>
              <w:rPr>
                <w:highlight w:val="none"/>
              </w:rPr>
            </w:pPr>
            <w:r>
              <w:rPr>
                <w:highlight w:val="none"/>
              </w:rPr>
              <w:t>差旅费支出符合相关文件规定</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完成土地储备项目测算</w:t>
            </w:r>
          </w:p>
        </w:tc>
        <w:tc>
          <w:tcPr>
            <w:tcW w:w="2891" w:type="dxa"/>
            <w:vAlign w:val="center"/>
          </w:tcPr>
          <w:p>
            <w:pPr>
              <w:pStyle w:val="10"/>
              <w:rPr>
                <w:highlight w:val="none"/>
              </w:rPr>
            </w:pPr>
            <w:r>
              <w:rPr>
                <w:highlight w:val="none"/>
              </w:rPr>
              <w:t>完成项目测算</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支出的和规率</w:t>
            </w:r>
          </w:p>
        </w:tc>
        <w:tc>
          <w:tcPr>
            <w:tcW w:w="2891" w:type="dxa"/>
            <w:vAlign w:val="center"/>
          </w:tcPr>
          <w:p>
            <w:pPr>
              <w:pStyle w:val="10"/>
              <w:rPr>
                <w:highlight w:val="none"/>
              </w:rPr>
            </w:pPr>
            <w:r>
              <w:rPr>
                <w:highlight w:val="none"/>
              </w:rPr>
              <w:t>项目实施过程规范</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支出完成及时性</w:t>
            </w:r>
          </w:p>
        </w:tc>
        <w:tc>
          <w:tcPr>
            <w:tcW w:w="2891" w:type="dxa"/>
            <w:vAlign w:val="center"/>
          </w:tcPr>
          <w:p>
            <w:pPr>
              <w:pStyle w:val="10"/>
              <w:rPr>
                <w:highlight w:val="none"/>
              </w:rPr>
            </w:pPr>
            <w:r>
              <w:rPr>
                <w:highlight w:val="none"/>
              </w:rPr>
              <w:t>业务费用及时支出</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按照编制要求完成编制</w:t>
            </w:r>
          </w:p>
        </w:tc>
        <w:tc>
          <w:tcPr>
            <w:tcW w:w="2891" w:type="dxa"/>
            <w:vAlign w:val="center"/>
          </w:tcPr>
          <w:p>
            <w:pPr>
              <w:pStyle w:val="10"/>
              <w:rPr>
                <w:highlight w:val="none"/>
              </w:rPr>
            </w:pPr>
            <w:r>
              <w:rPr>
                <w:highlight w:val="none"/>
              </w:rPr>
              <w:t>按照已收储土地要求完成编制</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资源国土业务工作的支出</w:t>
            </w:r>
          </w:p>
        </w:tc>
        <w:tc>
          <w:tcPr>
            <w:tcW w:w="2891" w:type="dxa"/>
            <w:vAlign w:val="center"/>
          </w:tcPr>
          <w:p>
            <w:pPr>
              <w:pStyle w:val="10"/>
              <w:rPr>
                <w:highlight w:val="none"/>
              </w:rPr>
            </w:pPr>
            <w:r>
              <w:rPr>
                <w:highlight w:val="none"/>
              </w:rPr>
              <w:t>各项资源国土业务工作所需资金</w:t>
            </w:r>
          </w:p>
        </w:tc>
        <w:tc>
          <w:tcPr>
            <w:tcW w:w="1276" w:type="dxa"/>
            <w:vAlign w:val="center"/>
          </w:tcPr>
          <w:p>
            <w:pPr>
              <w:pStyle w:val="10"/>
              <w:rPr>
                <w:highlight w:val="none"/>
              </w:rPr>
            </w:pPr>
            <w:r>
              <w:rPr>
                <w:highlight w:val="none"/>
              </w:rPr>
              <w:t>≤200万元</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储备中心业务工作的支出</w:t>
            </w:r>
          </w:p>
        </w:tc>
        <w:tc>
          <w:tcPr>
            <w:tcW w:w="2891" w:type="dxa"/>
            <w:vAlign w:val="center"/>
          </w:tcPr>
          <w:p>
            <w:pPr>
              <w:pStyle w:val="10"/>
              <w:rPr>
                <w:highlight w:val="none"/>
              </w:rPr>
            </w:pPr>
            <w:r>
              <w:rPr>
                <w:highlight w:val="none"/>
              </w:rPr>
              <w:t>储备中心业务工作的支出</w:t>
            </w:r>
          </w:p>
        </w:tc>
        <w:tc>
          <w:tcPr>
            <w:tcW w:w="1276" w:type="dxa"/>
            <w:vAlign w:val="center"/>
          </w:tcPr>
          <w:p>
            <w:pPr>
              <w:pStyle w:val="10"/>
              <w:rPr>
                <w:highlight w:val="none"/>
              </w:rPr>
            </w:pPr>
            <w:r>
              <w:rPr>
                <w:highlight w:val="none"/>
              </w:rPr>
              <w:t>≤100万元</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t>提升业务管理水平</w:t>
            </w:r>
          </w:p>
        </w:tc>
        <w:tc>
          <w:tcPr>
            <w:tcW w:w="2891" w:type="dxa"/>
            <w:vAlign w:val="center"/>
          </w:tcPr>
          <w:p>
            <w:pPr>
              <w:pStyle w:val="10"/>
              <w:rPr>
                <w:highlight w:val="none"/>
              </w:rPr>
            </w:pPr>
            <w:r>
              <w:t>促进各科室自然资源业务管理水平提升</w:t>
            </w:r>
          </w:p>
        </w:tc>
        <w:tc>
          <w:tcPr>
            <w:tcW w:w="1276" w:type="dxa"/>
            <w:vAlign w:val="center"/>
          </w:tcPr>
          <w:p>
            <w:pPr>
              <w:pStyle w:val="10"/>
              <w:rPr>
                <w:highlight w:val="none"/>
              </w:rPr>
            </w:pPr>
            <w:r>
              <w:rPr>
                <w:highlight w:val="green"/>
              </w:rPr>
              <w:t>效果明显</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w:t>
            </w:r>
            <w:r>
              <w:rPr>
                <w:rFonts w:hint="eastAsia"/>
                <w:highlight w:val="none"/>
                <w:lang w:val="en-US" w:eastAsia="zh-CN"/>
              </w:rPr>
              <w:t>5</w:t>
            </w:r>
            <w:r>
              <w:rPr>
                <w:highlight w:val="none"/>
              </w:rPr>
              <w:t>%</w:t>
            </w:r>
          </w:p>
        </w:tc>
        <w:tc>
          <w:tcPr>
            <w:tcW w:w="1843" w:type="dxa"/>
            <w:vAlign w:val="center"/>
          </w:tcPr>
          <w:p>
            <w:pPr>
              <w:pStyle w:val="10"/>
              <w:rPr>
                <w:highlight w:val="none"/>
              </w:rPr>
            </w:pPr>
            <w:r>
              <w:rPr>
                <w:rFonts w:hint="eastAsia"/>
                <w:highlight w:val="none"/>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7" w:name="_Toc_4_4_0000000038"/>
      <w:r>
        <w:rPr>
          <w:rFonts w:ascii="方正仿宋_GBK" w:hAnsi="方正仿宋_GBK" w:eastAsia="方正仿宋_GBK" w:cs="方正仿宋_GBK"/>
          <w:color w:val="000000"/>
          <w:sz w:val="28"/>
          <w:highlight w:val="none"/>
        </w:rPr>
        <w:t>35.永久性防护林管护费绩效目标表</w:t>
      </w:r>
      <w:bookmarkEnd w:id="3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13030322P00425610063L</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永久性防护林管护费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100.00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100.00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改善城乡的生态环境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1.1.改善城乡的生态环境</w:t>
            </w:r>
          </w:p>
          <w:p>
            <w:pPr>
              <w:pStyle w:val="10"/>
              <w:rPr>
                <w:highlight w:val="none"/>
              </w:rPr>
            </w:pPr>
            <w:r>
              <w:rPr>
                <w:highlight w:val="none"/>
              </w:rPr>
              <w:t>2.提升绿化和生态建设水平</w:t>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永久性防护林管护面积</w:t>
            </w:r>
          </w:p>
        </w:tc>
        <w:tc>
          <w:tcPr>
            <w:tcW w:w="2891" w:type="dxa"/>
            <w:vAlign w:val="center"/>
          </w:tcPr>
          <w:p>
            <w:pPr>
              <w:pStyle w:val="10"/>
              <w:rPr>
                <w:highlight w:val="none"/>
              </w:rPr>
            </w:pPr>
            <w:r>
              <w:rPr>
                <w:highlight w:val="none"/>
              </w:rPr>
              <w:t>永久性防护林管护面积</w:t>
            </w:r>
          </w:p>
        </w:tc>
        <w:tc>
          <w:tcPr>
            <w:tcW w:w="1276" w:type="dxa"/>
            <w:vAlign w:val="center"/>
          </w:tcPr>
          <w:p>
            <w:pPr>
              <w:pStyle w:val="10"/>
              <w:rPr>
                <w:highlight w:val="none"/>
              </w:rPr>
            </w:pPr>
            <w:r>
              <w:rPr>
                <w:highlight w:val="none"/>
              </w:rPr>
              <w:t>≥2512亩</w:t>
            </w:r>
          </w:p>
        </w:tc>
        <w:tc>
          <w:tcPr>
            <w:tcW w:w="1843" w:type="dxa"/>
            <w:vAlign w:val="center"/>
          </w:tcPr>
          <w:p>
            <w:pPr>
              <w:pStyle w:val="10"/>
              <w:rPr>
                <w:highlight w:val="none"/>
              </w:rPr>
            </w:pPr>
            <w:r>
              <w:rPr>
                <w:highlight w:val="none"/>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完成永久性防护林管护面积等工作</w:t>
            </w:r>
          </w:p>
        </w:tc>
        <w:tc>
          <w:tcPr>
            <w:tcW w:w="2891" w:type="dxa"/>
            <w:vAlign w:val="center"/>
          </w:tcPr>
          <w:p>
            <w:pPr>
              <w:pStyle w:val="10"/>
              <w:rPr>
                <w:highlight w:val="none"/>
              </w:rPr>
            </w:pPr>
            <w:r>
              <w:rPr>
                <w:highlight w:val="none"/>
              </w:rPr>
              <w:t>永久性防护林检查验收的合格面积</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按合同验收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管护工作完成及时性</w:t>
            </w:r>
          </w:p>
        </w:tc>
        <w:tc>
          <w:tcPr>
            <w:tcW w:w="2891" w:type="dxa"/>
            <w:vAlign w:val="center"/>
          </w:tcPr>
          <w:p>
            <w:pPr>
              <w:pStyle w:val="10"/>
              <w:rPr>
                <w:highlight w:val="none"/>
              </w:rPr>
            </w:pPr>
            <w:r>
              <w:rPr>
                <w:highlight w:val="none"/>
              </w:rPr>
              <w:t>及时完成永久性防护林管护面积和土地补偿费用发放工作。</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永久性防护林管护费支出</w:t>
            </w:r>
          </w:p>
        </w:tc>
        <w:tc>
          <w:tcPr>
            <w:tcW w:w="2891" w:type="dxa"/>
            <w:vAlign w:val="center"/>
          </w:tcPr>
          <w:p>
            <w:pPr>
              <w:pStyle w:val="10"/>
              <w:rPr>
                <w:highlight w:val="none"/>
              </w:rPr>
            </w:pPr>
            <w:r>
              <w:rPr>
                <w:highlight w:val="none"/>
              </w:rPr>
              <w:t>对永久性防护林林地进行除草、打药、修枝。</w:t>
            </w:r>
          </w:p>
        </w:tc>
        <w:tc>
          <w:tcPr>
            <w:tcW w:w="1276" w:type="dxa"/>
            <w:vAlign w:val="center"/>
          </w:tcPr>
          <w:p>
            <w:pPr>
              <w:pStyle w:val="10"/>
              <w:rPr>
                <w:highlight w:val="none"/>
              </w:rPr>
            </w:pPr>
            <w:r>
              <w:rPr>
                <w:highlight w:val="none"/>
              </w:rPr>
              <w:t>47.8万元</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改善城乡的生态环境</w:t>
            </w:r>
          </w:p>
        </w:tc>
        <w:tc>
          <w:tcPr>
            <w:tcW w:w="2891" w:type="dxa"/>
            <w:vAlign w:val="center"/>
          </w:tcPr>
          <w:p>
            <w:pPr>
              <w:pStyle w:val="10"/>
              <w:rPr>
                <w:highlight w:val="none"/>
              </w:rPr>
            </w:pPr>
            <w:r>
              <w:rPr>
                <w:highlight w:val="none"/>
              </w:rPr>
              <w:t>改善城乡的生态环境</w:t>
            </w:r>
          </w:p>
        </w:tc>
        <w:tc>
          <w:tcPr>
            <w:tcW w:w="1276" w:type="dxa"/>
            <w:vAlign w:val="center"/>
          </w:tcPr>
          <w:p>
            <w:pPr>
              <w:pStyle w:val="10"/>
              <w:rPr>
                <w:highlight w:val="none"/>
              </w:rPr>
            </w:pPr>
            <w:r>
              <w:rPr>
                <w:highlight w:val="none"/>
              </w:rPr>
              <w:t>改善</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群众满意度</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8" w:name="_Toc_4_4_0000000039"/>
      <w:r>
        <w:rPr>
          <w:rFonts w:ascii="方正仿宋_GBK" w:hAnsi="方正仿宋_GBK" w:eastAsia="方正仿宋_GBK" w:cs="方正仿宋_GBK"/>
          <w:color w:val="000000"/>
          <w:sz w:val="28"/>
          <w:highlight w:val="none"/>
        </w:rPr>
        <w:t>36.征地拆迁补偿绩效目标表</w:t>
      </w:r>
      <w:bookmarkEnd w:id="3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13030322P00425610010E</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征地拆迁补偿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5965.00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5965.00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完成土地储备项目综合测算</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1.完成土地储备项目综合测算</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项目数量</w:t>
            </w:r>
          </w:p>
        </w:tc>
        <w:tc>
          <w:tcPr>
            <w:tcW w:w="2891" w:type="dxa"/>
            <w:vAlign w:val="center"/>
          </w:tcPr>
          <w:p>
            <w:pPr>
              <w:pStyle w:val="10"/>
              <w:rPr>
                <w:highlight w:val="none"/>
              </w:rPr>
            </w:pPr>
            <w:r>
              <w:rPr>
                <w:highlight w:val="none"/>
              </w:rPr>
              <w:t>土地储备项目</w:t>
            </w:r>
          </w:p>
        </w:tc>
        <w:tc>
          <w:tcPr>
            <w:tcW w:w="1276" w:type="dxa"/>
            <w:vAlign w:val="center"/>
          </w:tcPr>
          <w:p>
            <w:pPr>
              <w:pStyle w:val="10"/>
              <w:rPr>
                <w:highlight w:val="none"/>
              </w:rPr>
            </w:pPr>
            <w:r>
              <w:rPr>
                <w:highlight w:val="none"/>
              </w:rPr>
              <w:t>≥3个</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完成土地储备项目测算</w:t>
            </w:r>
          </w:p>
        </w:tc>
        <w:tc>
          <w:tcPr>
            <w:tcW w:w="2891" w:type="dxa"/>
            <w:vAlign w:val="center"/>
          </w:tcPr>
          <w:p>
            <w:pPr>
              <w:pStyle w:val="10"/>
              <w:rPr>
                <w:highlight w:val="none"/>
              </w:rPr>
            </w:pPr>
            <w:r>
              <w:rPr>
                <w:highlight w:val="none"/>
              </w:rPr>
              <w:t>完成项目测算</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按照编制要求完成编制</w:t>
            </w:r>
          </w:p>
        </w:tc>
        <w:tc>
          <w:tcPr>
            <w:tcW w:w="2891" w:type="dxa"/>
            <w:vAlign w:val="center"/>
          </w:tcPr>
          <w:p>
            <w:pPr>
              <w:pStyle w:val="10"/>
              <w:rPr>
                <w:highlight w:val="none"/>
              </w:rPr>
            </w:pPr>
            <w:r>
              <w:rPr>
                <w:highlight w:val="none"/>
              </w:rPr>
              <w:t>按照土地收储要求完成编制</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成本预算控制数</w:t>
            </w:r>
          </w:p>
        </w:tc>
        <w:tc>
          <w:tcPr>
            <w:tcW w:w="2891" w:type="dxa"/>
            <w:vAlign w:val="center"/>
          </w:tcPr>
          <w:p>
            <w:pPr>
              <w:pStyle w:val="10"/>
              <w:rPr>
                <w:highlight w:val="none"/>
              </w:rPr>
            </w:pPr>
            <w:r>
              <w:rPr>
                <w:highlight w:val="none"/>
              </w:rPr>
              <w:t>编制成本</w:t>
            </w:r>
          </w:p>
        </w:tc>
        <w:tc>
          <w:tcPr>
            <w:tcW w:w="1276" w:type="dxa"/>
            <w:vAlign w:val="center"/>
          </w:tcPr>
          <w:p>
            <w:pPr>
              <w:pStyle w:val="10"/>
              <w:rPr>
                <w:highlight w:val="none"/>
              </w:rPr>
            </w:pPr>
            <w:r>
              <w:rPr>
                <w:highlight w:val="none"/>
              </w:rPr>
              <w:t>≤5万元</w:t>
            </w:r>
          </w:p>
        </w:tc>
        <w:tc>
          <w:tcPr>
            <w:tcW w:w="1843" w:type="dxa"/>
            <w:vAlign w:val="center"/>
          </w:tcPr>
          <w:p>
            <w:pPr>
              <w:pStyle w:val="10"/>
              <w:rPr>
                <w:highlight w:val="none"/>
              </w:rPr>
            </w:pPr>
            <w:r>
              <w:rPr>
                <w:highlight w:val="none"/>
              </w:rPr>
              <w:t>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分析土地储备项目资金需求</w:t>
            </w:r>
          </w:p>
        </w:tc>
        <w:tc>
          <w:tcPr>
            <w:tcW w:w="2891" w:type="dxa"/>
            <w:vAlign w:val="center"/>
          </w:tcPr>
          <w:p>
            <w:pPr>
              <w:pStyle w:val="10"/>
              <w:rPr>
                <w:highlight w:val="none"/>
              </w:rPr>
            </w:pPr>
            <w:r>
              <w:rPr>
                <w:highlight w:val="none"/>
              </w:rPr>
              <w:t>全面分析土地储备资金需求</w:t>
            </w:r>
          </w:p>
        </w:tc>
        <w:tc>
          <w:tcPr>
            <w:tcW w:w="1276" w:type="dxa"/>
            <w:vAlign w:val="center"/>
          </w:tcPr>
          <w:p>
            <w:pPr>
              <w:pStyle w:val="10"/>
              <w:rPr>
                <w:highlight w:val="none"/>
              </w:rPr>
            </w:pPr>
            <w:r>
              <w:rPr>
                <w:highlight w:val="none"/>
              </w:rPr>
              <w:t>全面分析土地储备资金需求</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39" w:name="_Toc_4_4_0000000040"/>
      <w:r>
        <w:rPr>
          <w:rFonts w:ascii="方正仿宋_GBK" w:hAnsi="方正仿宋_GBK" w:eastAsia="方正仿宋_GBK" w:cs="方正仿宋_GBK"/>
          <w:color w:val="000000"/>
          <w:sz w:val="28"/>
          <w:highlight w:val="none"/>
        </w:rPr>
        <w:t>37.征地拆迁补偿 绩效目标表</w:t>
      </w:r>
      <w:bookmarkEnd w:id="3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13030322P004256100093</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 xml:space="preserve">征地拆迁补偿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11197.05</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11197.05</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完成征拆项目、储备项目用地综合测算.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1.1、保证各项事务正常运行、提高整体工作效率，保障各项工作正常运转，提高土地使用效率。</w:t>
            </w:r>
          </w:p>
          <w:p>
            <w:pPr>
              <w:pStyle w:val="10"/>
              <w:rPr>
                <w:highlight w:val="none"/>
              </w:rPr>
            </w:pPr>
            <w:r>
              <w:rPr>
                <w:highlight w:val="none"/>
              </w:rPr>
              <w:t>2、完成征拆项目、储备项目用地综合测算.</w:t>
            </w:r>
          </w:p>
          <w:p>
            <w:pPr>
              <w:pStyle w:val="10"/>
              <w:rPr>
                <w:highlight w:val="none"/>
              </w:rPr>
            </w:pP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完成的资源国土业务工作</w:t>
            </w:r>
          </w:p>
        </w:tc>
        <w:tc>
          <w:tcPr>
            <w:tcW w:w="2891" w:type="dxa"/>
            <w:vAlign w:val="center"/>
          </w:tcPr>
          <w:p>
            <w:pPr>
              <w:pStyle w:val="10"/>
              <w:rPr>
                <w:highlight w:val="none"/>
              </w:rPr>
            </w:pPr>
            <w:r>
              <w:rPr>
                <w:highlight w:val="none"/>
              </w:rPr>
              <w:t>保证相关业务科室国土业务开展</w:t>
            </w:r>
          </w:p>
        </w:tc>
        <w:tc>
          <w:tcPr>
            <w:tcW w:w="1276" w:type="dxa"/>
            <w:vAlign w:val="center"/>
          </w:tcPr>
          <w:p>
            <w:pPr>
              <w:pStyle w:val="10"/>
              <w:rPr>
                <w:highlight w:val="none"/>
              </w:rPr>
            </w:pPr>
            <w:r>
              <w:rPr>
                <w:highlight w:val="none"/>
              </w:rPr>
              <w:t>≥9个</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储备的项目数量</w:t>
            </w:r>
          </w:p>
        </w:tc>
        <w:tc>
          <w:tcPr>
            <w:tcW w:w="2891" w:type="dxa"/>
            <w:vAlign w:val="center"/>
          </w:tcPr>
          <w:p>
            <w:pPr>
              <w:pStyle w:val="10"/>
              <w:rPr>
                <w:highlight w:val="none"/>
              </w:rPr>
            </w:pPr>
            <w:r>
              <w:rPr>
                <w:highlight w:val="none"/>
              </w:rPr>
              <w:t>已储备地块4宗，2022年内拟收储完成3个地块及白鹭岛片区地块管理</w:t>
            </w:r>
          </w:p>
        </w:tc>
        <w:tc>
          <w:tcPr>
            <w:tcW w:w="1276" w:type="dxa"/>
            <w:vAlign w:val="center"/>
          </w:tcPr>
          <w:p>
            <w:pPr>
              <w:pStyle w:val="10"/>
              <w:rPr>
                <w:highlight w:val="none"/>
              </w:rPr>
            </w:pPr>
            <w:r>
              <w:rPr>
                <w:highlight w:val="none"/>
              </w:rPr>
              <w:t>≥7个</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征地拆迁项目数量</w:t>
            </w:r>
          </w:p>
        </w:tc>
        <w:tc>
          <w:tcPr>
            <w:tcW w:w="2891" w:type="dxa"/>
            <w:vAlign w:val="center"/>
          </w:tcPr>
          <w:p>
            <w:pPr>
              <w:pStyle w:val="10"/>
              <w:rPr>
                <w:highlight w:val="none"/>
              </w:rPr>
            </w:pPr>
            <w:r>
              <w:rPr>
                <w:highlight w:val="none"/>
              </w:rPr>
              <w:t>完成12个项目及遗留问题征地补偿工作</w:t>
            </w:r>
          </w:p>
        </w:tc>
        <w:tc>
          <w:tcPr>
            <w:tcW w:w="1276" w:type="dxa"/>
            <w:vAlign w:val="center"/>
          </w:tcPr>
          <w:p>
            <w:pPr>
              <w:pStyle w:val="10"/>
              <w:rPr>
                <w:highlight w:val="none"/>
              </w:rPr>
            </w:pPr>
            <w:r>
              <w:rPr>
                <w:highlight w:val="none"/>
              </w:rPr>
              <w:t>≥12个</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资源业务工作完成情况</w:t>
            </w:r>
          </w:p>
        </w:tc>
        <w:tc>
          <w:tcPr>
            <w:tcW w:w="2891" w:type="dxa"/>
            <w:vAlign w:val="center"/>
          </w:tcPr>
          <w:p>
            <w:pPr>
              <w:pStyle w:val="10"/>
              <w:rPr>
                <w:highlight w:val="none"/>
              </w:rPr>
            </w:pPr>
            <w:r>
              <w:rPr>
                <w:highlight w:val="none"/>
              </w:rPr>
              <w:t>完成工作占工作计划的百分比</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完成土地储备项目、征拆项目测算</w:t>
            </w:r>
          </w:p>
        </w:tc>
        <w:tc>
          <w:tcPr>
            <w:tcW w:w="2891" w:type="dxa"/>
            <w:vAlign w:val="center"/>
          </w:tcPr>
          <w:p>
            <w:pPr>
              <w:pStyle w:val="10"/>
              <w:rPr>
                <w:highlight w:val="none"/>
              </w:rPr>
            </w:pPr>
            <w:r>
              <w:rPr>
                <w:highlight w:val="none"/>
              </w:rPr>
              <w:t>完成项目测算</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符合2022年土地收储项目及征拆项目要求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支出的和规率</w:t>
            </w:r>
          </w:p>
        </w:tc>
        <w:tc>
          <w:tcPr>
            <w:tcW w:w="2891" w:type="dxa"/>
            <w:vAlign w:val="center"/>
          </w:tcPr>
          <w:p>
            <w:pPr>
              <w:pStyle w:val="10"/>
              <w:rPr>
                <w:highlight w:val="none"/>
              </w:rPr>
            </w:pPr>
            <w:r>
              <w:rPr>
                <w:highlight w:val="none"/>
              </w:rPr>
              <w:t>项目实施过程规范</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支出完成及时性</w:t>
            </w:r>
          </w:p>
        </w:tc>
        <w:tc>
          <w:tcPr>
            <w:tcW w:w="2891" w:type="dxa"/>
            <w:vAlign w:val="center"/>
          </w:tcPr>
          <w:p>
            <w:pPr>
              <w:pStyle w:val="10"/>
              <w:rPr>
                <w:highlight w:val="none"/>
              </w:rPr>
            </w:pPr>
            <w:r>
              <w:rPr>
                <w:highlight w:val="none"/>
              </w:rPr>
              <w:t>及时支出相关征拆补偿费用</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符合征拆补偿标准和财务管理制度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完成的资源国土业务工作</w:t>
            </w:r>
          </w:p>
        </w:tc>
        <w:tc>
          <w:tcPr>
            <w:tcW w:w="2891" w:type="dxa"/>
            <w:vAlign w:val="center"/>
          </w:tcPr>
          <w:p>
            <w:pPr>
              <w:pStyle w:val="10"/>
              <w:rPr>
                <w:highlight w:val="none"/>
              </w:rPr>
            </w:pPr>
            <w:r>
              <w:rPr>
                <w:highlight w:val="none"/>
              </w:rPr>
              <w:t>及时支出项目评估、评审费、测绘费、地上附着物清理费</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符合2022年土地收储征拆项目要求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自然资源征拆工作的支出</w:t>
            </w:r>
          </w:p>
        </w:tc>
        <w:tc>
          <w:tcPr>
            <w:tcW w:w="2891" w:type="dxa"/>
            <w:vAlign w:val="center"/>
          </w:tcPr>
          <w:p>
            <w:pPr>
              <w:pStyle w:val="10"/>
              <w:rPr>
                <w:highlight w:val="none"/>
              </w:rPr>
            </w:pPr>
            <w:r>
              <w:rPr>
                <w:highlight w:val="none"/>
              </w:rPr>
              <w:t>各项资源国土业务工作所需资金</w:t>
            </w:r>
          </w:p>
        </w:tc>
        <w:tc>
          <w:tcPr>
            <w:tcW w:w="1276" w:type="dxa"/>
            <w:vAlign w:val="center"/>
          </w:tcPr>
          <w:p>
            <w:pPr>
              <w:pStyle w:val="10"/>
              <w:rPr>
                <w:highlight w:val="none"/>
              </w:rPr>
            </w:pPr>
            <w:r>
              <w:rPr>
                <w:highlight w:val="none"/>
              </w:rPr>
              <w:t>≤11197.04万元</w:t>
            </w:r>
          </w:p>
        </w:tc>
        <w:tc>
          <w:tcPr>
            <w:tcW w:w="1843" w:type="dxa"/>
            <w:vAlign w:val="center"/>
          </w:tcPr>
          <w:p>
            <w:pPr>
              <w:pStyle w:val="10"/>
              <w:rPr>
                <w:highlight w:val="none"/>
              </w:rPr>
            </w:pPr>
            <w:r>
              <w:rPr>
                <w:highlight w:val="none"/>
              </w:rP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分析土地储备项目资金需求</w:t>
            </w:r>
          </w:p>
        </w:tc>
        <w:tc>
          <w:tcPr>
            <w:tcW w:w="2891" w:type="dxa"/>
            <w:vAlign w:val="center"/>
          </w:tcPr>
          <w:p>
            <w:pPr>
              <w:pStyle w:val="10"/>
              <w:rPr>
                <w:highlight w:val="none"/>
              </w:rPr>
            </w:pPr>
            <w:r>
              <w:rPr>
                <w:highlight w:val="none"/>
              </w:rPr>
              <w:t>土地收储后出让前期，需对地块进行管理、管护、场地清理后净地出让</w:t>
            </w:r>
          </w:p>
        </w:tc>
        <w:tc>
          <w:tcPr>
            <w:tcW w:w="1276" w:type="dxa"/>
            <w:vAlign w:val="center"/>
          </w:tcPr>
          <w:p>
            <w:pPr>
              <w:pStyle w:val="10"/>
              <w:rPr>
                <w:highlight w:val="none"/>
              </w:rPr>
            </w:pPr>
            <w:r>
              <w:rPr>
                <w:highlight w:val="none"/>
              </w:rPr>
              <w:t>年度工作计划</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40" w:name="_Toc_4_4_0000000041"/>
      <w:r>
        <w:rPr>
          <w:rFonts w:ascii="方正仿宋_GBK" w:hAnsi="方正仿宋_GBK" w:eastAsia="方正仿宋_GBK" w:cs="方正仿宋_GBK"/>
          <w:color w:val="000000"/>
          <w:sz w:val="28"/>
          <w:highlight w:val="none"/>
        </w:rPr>
        <w:t>38.执法业务费绩效目标表</w:t>
      </w:r>
      <w:bookmarkEnd w:id="4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13030322P004255100172</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执法业务费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80.00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80.00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保证此款项的正确支出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1.顺利开展执法业务</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违法案件核查数</w:t>
            </w:r>
          </w:p>
        </w:tc>
        <w:tc>
          <w:tcPr>
            <w:tcW w:w="2891" w:type="dxa"/>
            <w:vAlign w:val="center"/>
          </w:tcPr>
          <w:p>
            <w:pPr>
              <w:pStyle w:val="10"/>
              <w:rPr>
                <w:highlight w:val="none"/>
              </w:rPr>
            </w:pPr>
            <w:r>
              <w:rPr>
                <w:highlight w:val="none"/>
              </w:rPr>
              <w:t>对违法案件进行核查的个数</w:t>
            </w:r>
          </w:p>
        </w:tc>
        <w:tc>
          <w:tcPr>
            <w:tcW w:w="1276" w:type="dxa"/>
            <w:vAlign w:val="center"/>
          </w:tcPr>
          <w:p>
            <w:pPr>
              <w:pStyle w:val="10"/>
              <w:rPr>
                <w:highlight w:val="none"/>
              </w:rPr>
            </w:pPr>
            <w:r>
              <w:rPr>
                <w:highlight w:val="none"/>
              </w:rPr>
              <w:t>≥10个</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违法图斑核查数量</w:t>
            </w:r>
          </w:p>
        </w:tc>
        <w:tc>
          <w:tcPr>
            <w:tcW w:w="2891" w:type="dxa"/>
            <w:vAlign w:val="center"/>
          </w:tcPr>
          <w:p>
            <w:pPr>
              <w:pStyle w:val="10"/>
              <w:rPr>
                <w:highlight w:val="none"/>
              </w:rPr>
            </w:pPr>
            <w:r>
              <w:rPr>
                <w:highlight w:val="none"/>
              </w:rPr>
              <w:t>对违法图斑进行核查的个数</w:t>
            </w:r>
          </w:p>
        </w:tc>
        <w:tc>
          <w:tcPr>
            <w:tcW w:w="1276" w:type="dxa"/>
            <w:vAlign w:val="center"/>
          </w:tcPr>
          <w:p>
            <w:pPr>
              <w:pStyle w:val="10"/>
              <w:rPr>
                <w:highlight w:val="none"/>
              </w:rPr>
            </w:pPr>
            <w:r>
              <w:rPr>
                <w:highlight w:val="none"/>
              </w:rPr>
              <w:t>根据上级下发</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发放工资人数</w:t>
            </w:r>
          </w:p>
        </w:tc>
        <w:tc>
          <w:tcPr>
            <w:tcW w:w="2891" w:type="dxa"/>
            <w:vAlign w:val="center"/>
          </w:tcPr>
          <w:p>
            <w:pPr>
              <w:pStyle w:val="10"/>
              <w:rPr>
                <w:highlight w:val="none"/>
              </w:rPr>
            </w:pPr>
            <w:r>
              <w:rPr>
                <w:highlight w:val="none"/>
              </w:rPr>
              <w:t>临时工发放工资人数</w:t>
            </w:r>
          </w:p>
        </w:tc>
        <w:tc>
          <w:tcPr>
            <w:tcW w:w="1276" w:type="dxa"/>
            <w:vAlign w:val="center"/>
          </w:tcPr>
          <w:p>
            <w:pPr>
              <w:pStyle w:val="10"/>
              <w:rPr>
                <w:highlight w:val="none"/>
              </w:rPr>
            </w:pPr>
            <w:r>
              <w:rPr>
                <w:highlight w:val="none"/>
              </w:rPr>
              <w:t>≥10人</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违法案件核查率</w:t>
            </w:r>
          </w:p>
        </w:tc>
        <w:tc>
          <w:tcPr>
            <w:tcW w:w="2891" w:type="dxa"/>
            <w:vAlign w:val="center"/>
          </w:tcPr>
          <w:p>
            <w:pPr>
              <w:pStyle w:val="10"/>
              <w:rPr>
                <w:highlight w:val="none"/>
              </w:rPr>
            </w:pPr>
            <w:r>
              <w:rPr>
                <w:highlight w:val="none"/>
              </w:rPr>
              <w:t>违法案件、违法图斑核查到位率</w:t>
            </w:r>
          </w:p>
        </w:tc>
        <w:tc>
          <w:tcPr>
            <w:tcW w:w="1276" w:type="dxa"/>
            <w:vAlign w:val="center"/>
          </w:tcPr>
          <w:p>
            <w:pPr>
              <w:pStyle w:val="10"/>
              <w:rPr>
                <w:highlight w:val="none"/>
              </w:rPr>
            </w:pPr>
            <w:r>
              <w:rPr>
                <w:highlight w:val="none"/>
              </w:rPr>
              <w:t>≥90%</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违法图斑核查率</w:t>
            </w:r>
          </w:p>
        </w:tc>
        <w:tc>
          <w:tcPr>
            <w:tcW w:w="2891" w:type="dxa"/>
            <w:vAlign w:val="center"/>
          </w:tcPr>
          <w:p>
            <w:pPr>
              <w:pStyle w:val="10"/>
              <w:rPr>
                <w:highlight w:val="none"/>
              </w:rPr>
            </w:pPr>
            <w:r>
              <w:rPr>
                <w:highlight w:val="none"/>
              </w:rPr>
              <w:t>违法案件、违法图斑核查到位率</w:t>
            </w:r>
          </w:p>
        </w:tc>
        <w:tc>
          <w:tcPr>
            <w:tcW w:w="1276" w:type="dxa"/>
            <w:vAlign w:val="center"/>
          </w:tcPr>
          <w:p>
            <w:pPr>
              <w:pStyle w:val="10"/>
              <w:rPr>
                <w:highlight w:val="none"/>
              </w:rPr>
            </w:pPr>
            <w:r>
              <w:rPr>
                <w:highlight w:val="none"/>
              </w:rPr>
              <w:t>≥91%</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违法案件、违法图斑核查完成时间</w:t>
            </w:r>
          </w:p>
        </w:tc>
        <w:tc>
          <w:tcPr>
            <w:tcW w:w="2891" w:type="dxa"/>
            <w:vAlign w:val="center"/>
          </w:tcPr>
          <w:p>
            <w:pPr>
              <w:pStyle w:val="10"/>
              <w:rPr>
                <w:highlight w:val="none"/>
              </w:rPr>
            </w:pPr>
            <w:r>
              <w:rPr>
                <w:highlight w:val="none"/>
              </w:rPr>
              <w:t>按规定时间及时查处完成</w:t>
            </w:r>
          </w:p>
        </w:tc>
        <w:tc>
          <w:tcPr>
            <w:tcW w:w="1276" w:type="dxa"/>
            <w:vAlign w:val="center"/>
          </w:tcPr>
          <w:p>
            <w:pPr>
              <w:pStyle w:val="10"/>
              <w:rPr>
                <w:highlight w:val="none"/>
              </w:rPr>
            </w:pPr>
            <w:r>
              <w:rPr>
                <w:highlight w:val="none"/>
              </w:rPr>
              <w:t>及时完成</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各项业务工作的支出</w:t>
            </w:r>
          </w:p>
        </w:tc>
        <w:tc>
          <w:tcPr>
            <w:tcW w:w="2891" w:type="dxa"/>
            <w:vAlign w:val="center"/>
          </w:tcPr>
          <w:p>
            <w:pPr>
              <w:pStyle w:val="10"/>
              <w:rPr>
                <w:highlight w:val="none"/>
              </w:rPr>
            </w:pPr>
            <w:r>
              <w:rPr>
                <w:highlight w:val="none"/>
              </w:rPr>
              <w:t>工资、设备购置、办公、差旅等经费的支出</w:t>
            </w:r>
          </w:p>
        </w:tc>
        <w:tc>
          <w:tcPr>
            <w:tcW w:w="1276" w:type="dxa"/>
            <w:vAlign w:val="center"/>
          </w:tcPr>
          <w:p>
            <w:pPr>
              <w:pStyle w:val="10"/>
              <w:rPr>
                <w:highlight w:val="none"/>
              </w:rPr>
            </w:pPr>
            <w:r>
              <w:rPr>
                <w:highlight w:val="none"/>
              </w:rPr>
              <w:t>≤80万元</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提高资源使用效率</w:t>
            </w:r>
          </w:p>
        </w:tc>
        <w:tc>
          <w:tcPr>
            <w:tcW w:w="2891" w:type="dxa"/>
            <w:vAlign w:val="center"/>
          </w:tcPr>
          <w:p>
            <w:pPr>
              <w:pStyle w:val="10"/>
              <w:rPr>
                <w:highlight w:val="none"/>
              </w:rPr>
            </w:pPr>
            <w:r>
              <w:rPr>
                <w:highlight w:val="none"/>
              </w:rPr>
              <w:t>提高资源使用效率</w:t>
            </w:r>
          </w:p>
        </w:tc>
        <w:tc>
          <w:tcPr>
            <w:tcW w:w="1276" w:type="dxa"/>
            <w:vAlign w:val="center"/>
          </w:tcPr>
          <w:p>
            <w:pPr>
              <w:pStyle w:val="10"/>
              <w:rPr>
                <w:highlight w:val="none"/>
              </w:rPr>
            </w:pPr>
            <w:r>
              <w:rPr>
                <w:highlight w:val="none"/>
              </w:rPr>
              <w:t>逐步提高</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服务对象满意度指标</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41" w:name="_Toc_4_4_0000000042"/>
      <w:r>
        <w:rPr>
          <w:rFonts w:ascii="方正仿宋_GBK" w:hAnsi="方正仿宋_GBK" w:eastAsia="方正仿宋_GBK" w:cs="方正仿宋_GBK"/>
          <w:color w:val="000000"/>
          <w:sz w:val="28"/>
          <w:highlight w:val="none"/>
        </w:rPr>
        <w:t>39.自然资源和规划局管理经费绩效目标表</w:t>
      </w:r>
      <w:bookmarkEnd w:id="4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324001区自然资源和规划部门自然资源和规划局本级</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13030322P00425510016E</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自然资源和规划局管理经费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60.00</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60.00</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保证本级管理经费的使用</w:t>
            </w:r>
            <w:r>
              <w:rPr>
                <w:highlight w:val="none"/>
              </w:rPr>
              <w:tab/>
            </w:r>
            <w:r>
              <w:rPr>
                <w:highlight w:val="none"/>
              </w:rPr>
              <w:tab/>
            </w:r>
            <w:r>
              <w:rPr>
                <w:highlight w:val="none"/>
              </w:rPr>
              <w:tab/>
            </w:r>
            <w:r>
              <w:rPr>
                <w:highlight w:val="none"/>
              </w:rPr>
              <w:tab/>
            </w:r>
            <w:r>
              <w:rPr>
                <w:highlight w:val="none"/>
              </w:rPr>
              <w:tab/>
            </w:r>
            <w:r>
              <w:rPr>
                <w:highlight w:val="none"/>
              </w:rPr>
              <w:tab/>
            </w:r>
          </w:p>
          <w:p>
            <w:pPr>
              <w:pStyle w:val="10"/>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1.保证本级管理经费的使用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保障我区第二批“办证难”项目及即将开展的林权、宅基地及城市平房不动产登记业务的顺利开展，同时解决临时聘用人员工资及电脑等设备更新费用。</w:t>
            </w:r>
          </w:p>
        </w:tc>
        <w:tc>
          <w:tcPr>
            <w:tcW w:w="2891" w:type="dxa"/>
            <w:vAlign w:val="center"/>
          </w:tcPr>
          <w:p>
            <w:pPr>
              <w:pStyle w:val="10"/>
              <w:rPr>
                <w:highlight w:val="none"/>
              </w:rPr>
            </w:pPr>
            <w:r>
              <w:rPr>
                <w:highlight w:val="none"/>
              </w:rPr>
              <w:t>保障我区第二批“办证难”项目及即将开展的林权、宅基地及城市平房不动产登记业务的顺利开展，同时解决临时聘用人员工资及电脑等设备更新费用。</w:t>
            </w:r>
          </w:p>
        </w:tc>
        <w:tc>
          <w:tcPr>
            <w:tcW w:w="1276" w:type="dxa"/>
            <w:vAlign w:val="center"/>
          </w:tcPr>
          <w:p>
            <w:pPr>
              <w:pStyle w:val="10"/>
              <w:rPr>
                <w:highlight w:val="none"/>
              </w:rPr>
            </w:pPr>
            <w:r>
              <w:rPr>
                <w:highlight w:val="none"/>
              </w:rPr>
              <w:t>≤60万元</w:t>
            </w:r>
          </w:p>
        </w:tc>
        <w:tc>
          <w:tcPr>
            <w:tcW w:w="1843" w:type="dxa"/>
            <w:vAlign w:val="center"/>
          </w:tcPr>
          <w:p>
            <w:pPr>
              <w:pStyle w:val="10"/>
              <w:rPr>
                <w:highlight w:val="none"/>
              </w:rPr>
            </w:pPr>
            <w:r>
              <w:rPr>
                <w:highlight w:val="none"/>
              </w:rP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质量</w:t>
            </w:r>
          </w:p>
        </w:tc>
        <w:tc>
          <w:tcPr>
            <w:tcW w:w="2891" w:type="dxa"/>
            <w:vAlign w:val="center"/>
          </w:tcPr>
          <w:p>
            <w:pPr>
              <w:pStyle w:val="10"/>
              <w:rPr>
                <w:highlight w:val="none"/>
              </w:rPr>
            </w:pPr>
            <w:r>
              <w:rPr>
                <w:highlight w:val="none"/>
              </w:rPr>
              <w:t>保障我区第二批“办证难”项目及即将开展的林权、宅基地及城市平房不动产登记业务的顺利开展，同时解决临时聘用人员工资及电脑等设备更新费用。</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时效</w:t>
            </w:r>
          </w:p>
        </w:tc>
        <w:tc>
          <w:tcPr>
            <w:tcW w:w="2891" w:type="dxa"/>
            <w:vAlign w:val="center"/>
          </w:tcPr>
          <w:p>
            <w:pPr>
              <w:pStyle w:val="10"/>
              <w:rPr>
                <w:highlight w:val="none"/>
              </w:rPr>
            </w:pPr>
            <w:r>
              <w:rPr>
                <w:highlight w:val="none"/>
              </w:rPr>
              <w:t>在省级自然资源管理部门要求的时间内完成相关工作</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成本</w:t>
            </w:r>
          </w:p>
        </w:tc>
        <w:tc>
          <w:tcPr>
            <w:tcW w:w="2891" w:type="dxa"/>
            <w:vAlign w:val="center"/>
          </w:tcPr>
          <w:p>
            <w:pPr>
              <w:pStyle w:val="10"/>
              <w:rPr>
                <w:highlight w:val="none"/>
              </w:rPr>
            </w:pPr>
            <w:r>
              <w:rPr>
                <w:highlight w:val="none"/>
              </w:rPr>
              <w:t>按照省自然资源管理部门技术要求，对档案资料扫描、数字化处理、数据格式编制及数据库对接，并将相关数据与不动产登记系统进行数据挂接</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经济效益指标</w:t>
            </w:r>
          </w:p>
        </w:tc>
        <w:tc>
          <w:tcPr>
            <w:tcW w:w="1332" w:type="dxa"/>
            <w:vAlign w:val="center"/>
          </w:tcPr>
          <w:p>
            <w:pPr>
              <w:pStyle w:val="10"/>
              <w:rPr>
                <w:highlight w:val="none"/>
              </w:rPr>
            </w:pPr>
            <w:r>
              <w:rPr>
                <w:highlight w:val="none"/>
              </w:rPr>
              <w:t xml:space="preserve"> 经济效益</w:t>
            </w:r>
          </w:p>
        </w:tc>
        <w:tc>
          <w:tcPr>
            <w:tcW w:w="2891" w:type="dxa"/>
            <w:vAlign w:val="center"/>
          </w:tcPr>
          <w:p>
            <w:pPr>
              <w:pStyle w:val="10"/>
              <w:rPr>
                <w:highlight w:val="none"/>
              </w:rPr>
            </w:pPr>
            <w:r>
              <w:rPr>
                <w:highlight w:val="none"/>
              </w:rPr>
              <w:t>圆满解决我区历史遗留问题“办证难”项目，化解群众因办证难引发的信访隐患。</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满意度</w:t>
            </w:r>
          </w:p>
        </w:tc>
        <w:tc>
          <w:tcPr>
            <w:tcW w:w="2891" w:type="dxa"/>
            <w:vAlign w:val="center"/>
          </w:tcPr>
          <w:p>
            <w:pPr>
              <w:pStyle w:val="10"/>
              <w:rPr>
                <w:highlight w:val="none"/>
              </w:rPr>
            </w:pPr>
            <w:r>
              <w:rPr>
                <w:highlight w:val="none"/>
              </w:rPr>
              <w:t>圆满解决我区历史遗留问题“办证难”项目，化解群众因办证难引发的信访隐患。</w:t>
            </w:r>
          </w:p>
        </w:tc>
        <w:tc>
          <w:tcPr>
            <w:tcW w:w="1276" w:type="dxa"/>
            <w:vAlign w:val="center"/>
          </w:tcPr>
          <w:p>
            <w:pPr>
              <w:pStyle w:val="10"/>
              <w:rPr>
                <w:highlight w:val="none"/>
              </w:rPr>
            </w:pPr>
            <w:r>
              <w:rPr>
                <w:highlight w:val="none"/>
              </w:rPr>
              <w:t>≥99%</w:t>
            </w:r>
          </w:p>
        </w:tc>
        <w:tc>
          <w:tcPr>
            <w:tcW w:w="1843" w:type="dxa"/>
            <w:vAlign w:val="center"/>
          </w:tcPr>
          <w:p>
            <w:pPr>
              <w:pStyle w:val="10"/>
              <w:rPr>
                <w:rFonts w:hint="eastAsia" w:eastAsia="方正书宋_GBK"/>
                <w:highlight w:val="none"/>
                <w:lang w:eastAsia="zh-CN"/>
              </w:rPr>
            </w:pPr>
            <w:r>
              <w:rPr>
                <w:rFonts w:hint="eastAsia"/>
                <w:highlight w:val="none"/>
                <w:lang w:eastAsia="zh-CN"/>
              </w:rPr>
              <w:t>满意度调查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green"/>
        </w:rPr>
      </w:pPr>
      <w:bookmarkStart w:id="42" w:name="_Toc_4_4_0000000043"/>
      <w:r>
        <w:rPr>
          <w:rFonts w:ascii="方正仿宋_GBK" w:hAnsi="方正仿宋_GBK" w:eastAsia="方正仿宋_GBK" w:cs="方正仿宋_GBK"/>
          <w:color w:val="000000"/>
          <w:sz w:val="28"/>
          <w:highlight w:val="green"/>
        </w:rPr>
        <w:t>40.护林防火“五清”经费绩效目标表</w:t>
      </w:r>
      <w:bookmarkEnd w:id="4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13030322P00425510008R</w:t>
            </w:r>
          </w:p>
        </w:tc>
        <w:tc>
          <w:tcPr>
            <w:tcW w:w="1587" w:type="dxa"/>
            <w:vAlign w:val="center"/>
          </w:tcPr>
          <w:p>
            <w:pPr>
              <w:pStyle w:val="11"/>
            </w:pPr>
            <w:r>
              <w:t>项目名称</w:t>
            </w:r>
          </w:p>
        </w:tc>
        <w:tc>
          <w:tcPr>
            <w:tcW w:w="4423" w:type="dxa"/>
            <w:gridSpan w:val="3"/>
            <w:vAlign w:val="center"/>
          </w:tcPr>
          <w:p>
            <w:pPr>
              <w:pStyle w:val="10"/>
            </w:pPr>
            <w:r>
              <w:t>护林防火“五清”经费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7.00</w:t>
            </w:r>
          </w:p>
        </w:tc>
        <w:tc>
          <w:tcPr>
            <w:tcW w:w="1587" w:type="dxa"/>
            <w:vAlign w:val="center"/>
          </w:tcPr>
          <w:p>
            <w:pPr>
              <w:pStyle w:val="11"/>
            </w:pPr>
            <w:r>
              <w:t>其中：财政    资金</w:t>
            </w:r>
          </w:p>
        </w:tc>
        <w:tc>
          <w:tcPr>
            <w:tcW w:w="1304" w:type="dxa"/>
            <w:vAlign w:val="center"/>
          </w:tcPr>
          <w:p>
            <w:pPr>
              <w:pStyle w:val="10"/>
            </w:pPr>
            <w:r>
              <w:t>7.00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支付防火”五清“经费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85%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1.最大限度减少国有林区的森林火灾隐患，提升预防森林火灾的能力，有效保护林区宝贵资源。</w:t>
            </w:r>
          </w:p>
          <w:p>
            <w:pPr>
              <w:pStyle w:val="10"/>
            </w:pPr>
            <w:r>
              <w:t>2.通过广泛深入的开展清理以“与林区接壤的路边、坟边、矿边、地边和防火隔离带等”为重点内容的“五清”行动。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森林防火隔离带完成情况</w:t>
            </w:r>
          </w:p>
        </w:tc>
        <w:tc>
          <w:tcPr>
            <w:tcW w:w="2891" w:type="dxa"/>
            <w:vAlign w:val="center"/>
          </w:tcPr>
          <w:p>
            <w:pPr>
              <w:pStyle w:val="10"/>
            </w:pPr>
            <w:r>
              <w:t>在深山林区与浅山林区中设立防火隔离带</w:t>
            </w:r>
          </w:p>
        </w:tc>
        <w:tc>
          <w:tcPr>
            <w:tcW w:w="1276" w:type="dxa"/>
            <w:vAlign w:val="center"/>
          </w:tcPr>
          <w:p>
            <w:pPr>
              <w:pStyle w:val="10"/>
              <w:rPr>
                <w:rFonts w:hint="eastAsia" w:eastAsia="方正书宋_GBK"/>
                <w:highlight w:val="green"/>
                <w:lang w:eastAsia="zh-CN"/>
              </w:rPr>
            </w:pPr>
            <w:r>
              <w:rPr>
                <w:highlight w:val="green"/>
              </w:rPr>
              <w:t>≥95</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森林边界杂草清理率</w:t>
            </w:r>
          </w:p>
        </w:tc>
        <w:tc>
          <w:tcPr>
            <w:tcW w:w="2891" w:type="dxa"/>
            <w:vAlign w:val="center"/>
          </w:tcPr>
          <w:p>
            <w:pPr>
              <w:pStyle w:val="10"/>
            </w:pPr>
            <w:r>
              <w:t>以人工打药和人工除草的方式在森林边界形成防火隔离带</w:t>
            </w:r>
          </w:p>
        </w:tc>
        <w:tc>
          <w:tcPr>
            <w:tcW w:w="1276" w:type="dxa"/>
            <w:vAlign w:val="center"/>
          </w:tcPr>
          <w:p>
            <w:pPr>
              <w:pStyle w:val="10"/>
              <w:rPr>
                <w:rFonts w:hint="eastAsia" w:eastAsia="方正书宋_GBK"/>
                <w:highlight w:val="green"/>
                <w:lang w:eastAsia="zh-CN"/>
              </w:rPr>
            </w:pPr>
            <w:r>
              <w:rPr>
                <w:highlight w:val="green"/>
              </w:rPr>
              <w:t>≥95</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“五清”完成时效</w:t>
            </w:r>
          </w:p>
        </w:tc>
        <w:tc>
          <w:tcPr>
            <w:tcW w:w="2891" w:type="dxa"/>
            <w:vAlign w:val="center"/>
          </w:tcPr>
          <w:p>
            <w:pPr>
              <w:pStyle w:val="10"/>
            </w:pPr>
            <w:r>
              <w:t>“五清”完成时效</w:t>
            </w:r>
          </w:p>
        </w:tc>
        <w:tc>
          <w:tcPr>
            <w:tcW w:w="1276" w:type="dxa"/>
            <w:vAlign w:val="center"/>
          </w:tcPr>
          <w:p>
            <w:pPr>
              <w:pStyle w:val="10"/>
            </w:pPr>
            <w:r>
              <w:t>≤12月底前完成</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“五清”经费支出</w:t>
            </w:r>
          </w:p>
        </w:tc>
        <w:tc>
          <w:tcPr>
            <w:tcW w:w="2891" w:type="dxa"/>
            <w:vAlign w:val="center"/>
          </w:tcPr>
          <w:p>
            <w:pPr>
              <w:pStyle w:val="10"/>
            </w:pPr>
            <w:r>
              <w:t>“五清”经费支出</w:t>
            </w:r>
          </w:p>
        </w:tc>
        <w:tc>
          <w:tcPr>
            <w:tcW w:w="1276" w:type="dxa"/>
            <w:vAlign w:val="center"/>
          </w:tcPr>
          <w:p>
            <w:pPr>
              <w:pStyle w:val="10"/>
            </w:pPr>
            <w:r>
              <w:t>≤7万元</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森林火灾受害控制率</w:t>
            </w:r>
          </w:p>
        </w:tc>
        <w:tc>
          <w:tcPr>
            <w:tcW w:w="2891" w:type="dxa"/>
            <w:vAlign w:val="center"/>
          </w:tcPr>
          <w:p>
            <w:pPr>
              <w:pStyle w:val="10"/>
              <w:rPr>
                <w:rFonts w:ascii="方正书宋_GBK" w:hAnsi="方正书宋_GBK" w:eastAsia="方正书宋_GBK" w:cs="方正书宋_GBK"/>
                <w:sz w:val="21"/>
                <w:szCs w:val="24"/>
                <w:lang w:val="en-US" w:eastAsia="uk-UA" w:bidi="ar-SA"/>
              </w:rPr>
            </w:pPr>
            <w:r>
              <w:t>森林火灾受害控制率</w:t>
            </w:r>
          </w:p>
        </w:tc>
        <w:tc>
          <w:tcPr>
            <w:tcW w:w="1276" w:type="dxa"/>
            <w:vAlign w:val="center"/>
          </w:tcPr>
          <w:p>
            <w:pPr>
              <w:pStyle w:val="10"/>
              <w:rPr>
                <w:rFonts w:hint="eastAsia" w:ascii="方正书宋_GBK" w:hAnsi="方正书宋_GBK" w:eastAsia="方正书宋_GBK" w:cs="方正书宋_GBK"/>
                <w:sz w:val="21"/>
                <w:szCs w:val="24"/>
                <w:highlight w:val="green"/>
                <w:lang w:val="en-US" w:eastAsia="zh-CN" w:bidi="ar-SA"/>
              </w:rPr>
            </w:pPr>
            <w:r>
              <w:rPr>
                <w:highlight w:val="green"/>
              </w:rPr>
              <w:t>≥95</w:t>
            </w:r>
            <w:r>
              <w:rPr>
                <w:rFonts w:hint="eastAsia"/>
                <w:highlight w:val="green"/>
                <w:lang w:eastAsia="zh-CN"/>
              </w:rPr>
              <w:t>%</w:t>
            </w:r>
          </w:p>
        </w:tc>
        <w:tc>
          <w:tcPr>
            <w:tcW w:w="1843" w:type="dxa"/>
            <w:vAlign w:val="center"/>
          </w:tcPr>
          <w:p>
            <w:pPr>
              <w:pStyle w:val="1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人民群众满意度</w:t>
            </w:r>
          </w:p>
        </w:tc>
        <w:tc>
          <w:tcPr>
            <w:tcW w:w="2891" w:type="dxa"/>
            <w:vAlign w:val="center"/>
          </w:tcPr>
          <w:p>
            <w:pPr>
              <w:pStyle w:val="10"/>
            </w:pPr>
            <w:r>
              <w:t>人民群众满意度</w:t>
            </w:r>
          </w:p>
        </w:tc>
        <w:tc>
          <w:tcPr>
            <w:tcW w:w="1276" w:type="dxa"/>
            <w:vAlign w:val="center"/>
          </w:tcPr>
          <w:p>
            <w:pPr>
              <w:pStyle w:val="10"/>
              <w:rPr>
                <w:rFonts w:hint="eastAsia" w:eastAsia="方正书宋_GBK"/>
                <w:highlight w:val="green"/>
                <w:lang w:eastAsia="zh-CN"/>
              </w:rPr>
            </w:pPr>
            <w:r>
              <w:rPr>
                <w:highlight w:val="green"/>
              </w:rPr>
              <w:t>≥95</w:t>
            </w:r>
            <w:r>
              <w:rPr>
                <w:rFonts w:hint="eastAsia"/>
                <w:highlight w:val="green"/>
                <w:lang w:eastAsia="zh-CN"/>
              </w:rPr>
              <w:t>%</w:t>
            </w:r>
          </w:p>
        </w:tc>
        <w:tc>
          <w:tcPr>
            <w:tcW w:w="1843" w:type="dxa"/>
            <w:vAlign w:val="center"/>
          </w:tcPr>
          <w:p>
            <w:pPr>
              <w:pStyle w:val="10"/>
              <w:rPr>
                <w:rFonts w:hint="eastAsia"/>
                <w:highlight w:val="green"/>
                <w:lang w:eastAsia="zh-CN"/>
              </w:rPr>
            </w:pPr>
            <w:r>
              <w:rPr>
                <w:rFonts w:hint="eastAsia"/>
                <w:highlight w:val="green"/>
                <w:lang w:eastAsia="zh-CN"/>
              </w:rP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highlight w:val="green"/>
        </w:rPr>
        <w:t>41.护林员专项经费绩效目标表</w:t>
      </w:r>
      <w:bookmarkEnd w:id="4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13030322P004255100076</w:t>
            </w:r>
          </w:p>
        </w:tc>
        <w:tc>
          <w:tcPr>
            <w:tcW w:w="1587" w:type="dxa"/>
            <w:vAlign w:val="center"/>
          </w:tcPr>
          <w:p>
            <w:pPr>
              <w:pStyle w:val="11"/>
            </w:pPr>
            <w:r>
              <w:t>项目名称</w:t>
            </w:r>
          </w:p>
        </w:tc>
        <w:tc>
          <w:tcPr>
            <w:tcW w:w="4423" w:type="dxa"/>
            <w:gridSpan w:val="3"/>
            <w:vAlign w:val="center"/>
          </w:tcPr>
          <w:p>
            <w:pPr>
              <w:pStyle w:val="10"/>
            </w:pPr>
            <w:r>
              <w:t>护林员专项经费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21.00</w:t>
            </w:r>
          </w:p>
        </w:tc>
        <w:tc>
          <w:tcPr>
            <w:tcW w:w="1587" w:type="dxa"/>
            <w:vAlign w:val="center"/>
          </w:tcPr>
          <w:p>
            <w:pPr>
              <w:pStyle w:val="11"/>
            </w:pPr>
            <w:r>
              <w:t>其中：财政    资金</w:t>
            </w:r>
          </w:p>
        </w:tc>
        <w:tc>
          <w:tcPr>
            <w:tcW w:w="1304" w:type="dxa"/>
            <w:vAlign w:val="center"/>
          </w:tcPr>
          <w:p>
            <w:pPr>
              <w:pStyle w:val="10"/>
            </w:pPr>
            <w:r>
              <w:t>21.00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支付护林员工资经费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1.保障护林员工资及时发放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支付护林员工资人数</w:t>
            </w:r>
          </w:p>
        </w:tc>
        <w:tc>
          <w:tcPr>
            <w:tcW w:w="2891" w:type="dxa"/>
            <w:vAlign w:val="center"/>
          </w:tcPr>
          <w:p>
            <w:pPr>
              <w:pStyle w:val="10"/>
            </w:pPr>
            <w:r>
              <w:t>支付护林员工资人数</w:t>
            </w:r>
          </w:p>
        </w:tc>
        <w:tc>
          <w:tcPr>
            <w:tcW w:w="1276" w:type="dxa"/>
            <w:vAlign w:val="center"/>
          </w:tcPr>
          <w:p>
            <w:pPr>
              <w:pStyle w:val="10"/>
            </w:pPr>
            <w:r>
              <w:t>≥10人</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工资及保险发放准确率</w:t>
            </w:r>
          </w:p>
        </w:tc>
        <w:tc>
          <w:tcPr>
            <w:tcW w:w="2891" w:type="dxa"/>
            <w:vAlign w:val="center"/>
          </w:tcPr>
          <w:p>
            <w:pPr>
              <w:pStyle w:val="10"/>
            </w:pPr>
            <w:r>
              <w:t>工资及保险发放准确率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资金支付及时率</w:t>
            </w:r>
          </w:p>
        </w:tc>
        <w:tc>
          <w:tcPr>
            <w:tcW w:w="2891" w:type="dxa"/>
            <w:vAlign w:val="center"/>
          </w:tcPr>
          <w:p>
            <w:pPr>
              <w:pStyle w:val="10"/>
            </w:pPr>
            <w:r>
              <w:t>资金支付及时率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控制在预算资金内</w:t>
            </w:r>
          </w:p>
        </w:tc>
        <w:tc>
          <w:tcPr>
            <w:tcW w:w="2891" w:type="dxa"/>
            <w:vAlign w:val="center"/>
          </w:tcPr>
          <w:p>
            <w:pPr>
              <w:pStyle w:val="10"/>
            </w:pPr>
            <w:r>
              <w:t>控制在预算资金内</w:t>
            </w:r>
          </w:p>
        </w:tc>
        <w:tc>
          <w:tcPr>
            <w:tcW w:w="1276" w:type="dxa"/>
            <w:vAlign w:val="center"/>
          </w:tcPr>
          <w:p>
            <w:pPr>
              <w:pStyle w:val="10"/>
            </w:pPr>
            <w:r>
              <w:t>≤21万元</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经济效益指标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资金使用效益</w:t>
            </w:r>
          </w:p>
        </w:tc>
        <w:tc>
          <w:tcPr>
            <w:tcW w:w="2891" w:type="dxa"/>
            <w:vAlign w:val="center"/>
          </w:tcPr>
          <w:p>
            <w:pPr>
              <w:pStyle w:val="10"/>
              <w:rPr>
                <w:rFonts w:ascii="方正书宋_GBK" w:hAnsi="方正书宋_GBK" w:eastAsia="方正书宋_GBK" w:cs="方正书宋_GBK"/>
                <w:sz w:val="21"/>
                <w:szCs w:val="24"/>
                <w:lang w:val="en-US" w:eastAsia="uk-UA" w:bidi="ar-SA"/>
              </w:rPr>
            </w:pPr>
            <w:r>
              <w:t>资金支出情况</w:t>
            </w:r>
          </w:p>
        </w:tc>
        <w:tc>
          <w:tcPr>
            <w:tcW w:w="1276" w:type="dxa"/>
            <w:vAlign w:val="center"/>
          </w:tcPr>
          <w:p>
            <w:pPr>
              <w:pStyle w:val="10"/>
              <w:rPr>
                <w:rFonts w:ascii="方正书宋_GBK" w:hAnsi="方正书宋_GBK" w:eastAsia="方正书宋_GBK" w:cs="方正书宋_GBK"/>
                <w:sz w:val="21"/>
                <w:szCs w:val="24"/>
                <w:lang w:val="en-US" w:eastAsia="uk-UA" w:bidi="ar-SA"/>
              </w:rPr>
            </w:pPr>
            <w:r>
              <w:t>按要求支出</w:t>
            </w:r>
          </w:p>
        </w:tc>
        <w:tc>
          <w:tcPr>
            <w:tcW w:w="1843" w:type="dxa"/>
            <w:vAlign w:val="center"/>
          </w:tcPr>
          <w:p>
            <w:pPr>
              <w:pStyle w:val="1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职工满意度</w:t>
            </w:r>
          </w:p>
        </w:tc>
        <w:tc>
          <w:tcPr>
            <w:tcW w:w="2891" w:type="dxa"/>
            <w:vAlign w:val="center"/>
          </w:tcPr>
          <w:p>
            <w:pPr>
              <w:pStyle w:val="10"/>
            </w:pPr>
            <w:r>
              <w:t>满意人员占护林员总人数之比</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4" w:name="_Toc_4_4_0000000045"/>
      <w:r>
        <w:rPr>
          <w:rFonts w:ascii="方正仿宋_GBK" w:hAnsi="方正仿宋_GBK" w:eastAsia="方正仿宋_GBK" w:cs="方正仿宋_GBK"/>
          <w:color w:val="000000"/>
          <w:sz w:val="28"/>
          <w:highlight w:val="green"/>
        </w:rPr>
        <w:t>42.林场差额补助绩效目标表</w:t>
      </w:r>
      <w:bookmarkEnd w:id="4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13030322P00425510006J</w:t>
            </w:r>
          </w:p>
        </w:tc>
        <w:tc>
          <w:tcPr>
            <w:tcW w:w="1587" w:type="dxa"/>
            <w:vAlign w:val="center"/>
          </w:tcPr>
          <w:p>
            <w:pPr>
              <w:pStyle w:val="11"/>
            </w:pPr>
            <w:r>
              <w:t>项目名称</w:t>
            </w:r>
          </w:p>
        </w:tc>
        <w:tc>
          <w:tcPr>
            <w:tcW w:w="4423" w:type="dxa"/>
            <w:gridSpan w:val="3"/>
            <w:vAlign w:val="center"/>
          </w:tcPr>
          <w:p>
            <w:pPr>
              <w:pStyle w:val="10"/>
            </w:pPr>
            <w:r>
              <w:t>林场差额补助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30.40</w:t>
            </w:r>
          </w:p>
        </w:tc>
        <w:tc>
          <w:tcPr>
            <w:tcW w:w="1587" w:type="dxa"/>
            <w:vAlign w:val="center"/>
          </w:tcPr>
          <w:p>
            <w:pPr>
              <w:pStyle w:val="11"/>
            </w:pPr>
            <w:r>
              <w:t>其中：财政    资金</w:t>
            </w:r>
          </w:p>
        </w:tc>
        <w:tc>
          <w:tcPr>
            <w:tcW w:w="1304" w:type="dxa"/>
            <w:vAlign w:val="center"/>
          </w:tcPr>
          <w:p>
            <w:pPr>
              <w:pStyle w:val="10"/>
            </w:pPr>
            <w:r>
              <w:t>30.40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支付人员工资及保险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1.保障单位差额人员工资及时支付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支付工资及保险人员数量</w:t>
            </w:r>
          </w:p>
        </w:tc>
        <w:tc>
          <w:tcPr>
            <w:tcW w:w="2891" w:type="dxa"/>
            <w:vAlign w:val="center"/>
          </w:tcPr>
          <w:p>
            <w:pPr>
              <w:pStyle w:val="10"/>
            </w:pPr>
            <w:r>
              <w:t>支付工资及保险人员数量</w:t>
            </w:r>
          </w:p>
        </w:tc>
        <w:tc>
          <w:tcPr>
            <w:tcW w:w="1276" w:type="dxa"/>
            <w:vAlign w:val="center"/>
          </w:tcPr>
          <w:p>
            <w:pPr>
              <w:pStyle w:val="10"/>
            </w:pPr>
            <w:r>
              <w:t>68人</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工资及保险发放准确率</w:t>
            </w:r>
          </w:p>
        </w:tc>
        <w:tc>
          <w:tcPr>
            <w:tcW w:w="2891" w:type="dxa"/>
            <w:vAlign w:val="center"/>
          </w:tcPr>
          <w:p>
            <w:pPr>
              <w:pStyle w:val="10"/>
            </w:pPr>
            <w:r>
              <w:t>工资及保险发放准确率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资金支付及时率</w:t>
            </w:r>
          </w:p>
        </w:tc>
        <w:tc>
          <w:tcPr>
            <w:tcW w:w="2891" w:type="dxa"/>
            <w:vAlign w:val="center"/>
          </w:tcPr>
          <w:p>
            <w:pPr>
              <w:pStyle w:val="10"/>
            </w:pPr>
            <w:r>
              <w:t>资金支付及时率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控制在预算资金内</w:t>
            </w:r>
          </w:p>
        </w:tc>
        <w:tc>
          <w:tcPr>
            <w:tcW w:w="2891" w:type="dxa"/>
            <w:vAlign w:val="center"/>
          </w:tcPr>
          <w:p>
            <w:pPr>
              <w:pStyle w:val="10"/>
            </w:pPr>
            <w:r>
              <w:t>控制在预算资金内</w:t>
            </w:r>
          </w:p>
        </w:tc>
        <w:tc>
          <w:tcPr>
            <w:tcW w:w="1276" w:type="dxa"/>
            <w:vAlign w:val="center"/>
          </w:tcPr>
          <w:p>
            <w:pPr>
              <w:pStyle w:val="10"/>
            </w:pPr>
            <w:r>
              <w:t>≤30.4万元</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业务工作稳定性</w:t>
            </w:r>
          </w:p>
        </w:tc>
        <w:tc>
          <w:tcPr>
            <w:tcW w:w="2891" w:type="dxa"/>
            <w:vAlign w:val="center"/>
          </w:tcPr>
          <w:p>
            <w:pPr>
              <w:pStyle w:val="10"/>
              <w:rPr>
                <w:rFonts w:ascii="方正书宋_GBK" w:hAnsi="方正书宋_GBK" w:eastAsia="方正书宋_GBK" w:cs="方正书宋_GBK"/>
                <w:sz w:val="21"/>
                <w:szCs w:val="24"/>
                <w:lang w:val="en-US" w:eastAsia="uk-UA" w:bidi="ar-SA"/>
              </w:rPr>
            </w:pPr>
            <w:r>
              <w:t>通过日常工作稳定运转</w:t>
            </w:r>
          </w:p>
        </w:tc>
        <w:tc>
          <w:tcPr>
            <w:tcW w:w="1276" w:type="dxa"/>
            <w:vAlign w:val="center"/>
          </w:tcPr>
          <w:p>
            <w:pPr>
              <w:pStyle w:val="10"/>
              <w:rPr>
                <w:rFonts w:ascii="方正书宋_GBK" w:hAnsi="方正书宋_GBK" w:eastAsia="方正书宋_GBK" w:cs="方正书宋_GBK"/>
                <w:sz w:val="21"/>
                <w:szCs w:val="24"/>
                <w:lang w:val="en-US" w:eastAsia="uk-UA" w:bidi="ar-SA"/>
              </w:rPr>
            </w:pPr>
            <w:r>
              <w:t>进一步推动</w:t>
            </w:r>
          </w:p>
        </w:tc>
        <w:tc>
          <w:tcPr>
            <w:tcW w:w="1843" w:type="dxa"/>
            <w:vAlign w:val="center"/>
          </w:tcPr>
          <w:p>
            <w:pPr>
              <w:pStyle w:val="1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职工满意度</w:t>
            </w:r>
          </w:p>
        </w:tc>
        <w:tc>
          <w:tcPr>
            <w:tcW w:w="2891" w:type="dxa"/>
            <w:vAlign w:val="center"/>
          </w:tcPr>
          <w:p>
            <w:pPr>
              <w:pStyle w:val="10"/>
            </w:pPr>
            <w:r>
              <w:t>满意人员占差额人员总人数之比</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5" w:name="_Toc_4_4_0000000046"/>
      <w:r>
        <w:rPr>
          <w:rFonts w:ascii="方正仿宋_GBK" w:hAnsi="方正仿宋_GBK" w:eastAsia="方正仿宋_GBK" w:cs="方正仿宋_GBK"/>
          <w:color w:val="000000"/>
          <w:sz w:val="28"/>
          <w:highlight w:val="green"/>
        </w:rPr>
        <w:t>43.林场差额补助经费绩效目标表</w:t>
      </w:r>
      <w:bookmarkEnd w:id="4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13030322P00420810001D</w:t>
            </w:r>
          </w:p>
        </w:tc>
        <w:tc>
          <w:tcPr>
            <w:tcW w:w="1587" w:type="dxa"/>
            <w:vAlign w:val="center"/>
          </w:tcPr>
          <w:p>
            <w:pPr>
              <w:pStyle w:val="11"/>
            </w:pPr>
            <w:r>
              <w:t>项目名称</w:t>
            </w:r>
          </w:p>
        </w:tc>
        <w:tc>
          <w:tcPr>
            <w:tcW w:w="4423" w:type="dxa"/>
            <w:gridSpan w:val="3"/>
            <w:vAlign w:val="center"/>
          </w:tcPr>
          <w:p>
            <w:pPr>
              <w:pStyle w:val="10"/>
            </w:pPr>
            <w:r>
              <w:t>林场差额补助经费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415.07</w:t>
            </w:r>
          </w:p>
        </w:tc>
        <w:tc>
          <w:tcPr>
            <w:tcW w:w="1587" w:type="dxa"/>
            <w:vAlign w:val="center"/>
          </w:tcPr>
          <w:p>
            <w:pPr>
              <w:pStyle w:val="11"/>
            </w:pPr>
            <w:r>
              <w:t>其中：财政    资金</w:t>
            </w:r>
          </w:p>
        </w:tc>
        <w:tc>
          <w:tcPr>
            <w:tcW w:w="1304" w:type="dxa"/>
            <w:vAlign w:val="center"/>
          </w:tcPr>
          <w:p>
            <w:pPr>
              <w:pStyle w:val="10"/>
            </w:pPr>
            <w:r>
              <w:t>415.07</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支付工资及保险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1.保障差额人员工资及时支付，稳定单位运转。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支付工资及保险人员数量</w:t>
            </w:r>
          </w:p>
        </w:tc>
        <w:tc>
          <w:tcPr>
            <w:tcW w:w="2891" w:type="dxa"/>
            <w:vAlign w:val="center"/>
          </w:tcPr>
          <w:p>
            <w:pPr>
              <w:pStyle w:val="10"/>
            </w:pPr>
            <w:r>
              <w:t>支付工资及保险人员数量</w:t>
            </w:r>
          </w:p>
        </w:tc>
        <w:tc>
          <w:tcPr>
            <w:tcW w:w="1276" w:type="dxa"/>
            <w:vAlign w:val="center"/>
          </w:tcPr>
          <w:p>
            <w:pPr>
              <w:pStyle w:val="10"/>
            </w:pPr>
            <w:r>
              <w:t>68人</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工资及保险发放准确率</w:t>
            </w:r>
          </w:p>
        </w:tc>
        <w:tc>
          <w:tcPr>
            <w:tcW w:w="2891" w:type="dxa"/>
            <w:vAlign w:val="center"/>
          </w:tcPr>
          <w:p>
            <w:pPr>
              <w:pStyle w:val="10"/>
            </w:pPr>
            <w:r>
              <w:t>工资及保险发放准确率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资金支付及时率</w:t>
            </w:r>
          </w:p>
        </w:tc>
        <w:tc>
          <w:tcPr>
            <w:tcW w:w="2891" w:type="dxa"/>
            <w:vAlign w:val="center"/>
          </w:tcPr>
          <w:p>
            <w:pPr>
              <w:pStyle w:val="10"/>
            </w:pPr>
            <w:r>
              <w:t>资金支付及时率</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控制在预算资金内</w:t>
            </w:r>
          </w:p>
        </w:tc>
        <w:tc>
          <w:tcPr>
            <w:tcW w:w="2891" w:type="dxa"/>
            <w:vAlign w:val="center"/>
          </w:tcPr>
          <w:p>
            <w:pPr>
              <w:pStyle w:val="10"/>
            </w:pPr>
            <w:r>
              <w:t>控制在预算资金内</w:t>
            </w:r>
          </w:p>
        </w:tc>
        <w:tc>
          <w:tcPr>
            <w:tcW w:w="1276" w:type="dxa"/>
            <w:vAlign w:val="center"/>
          </w:tcPr>
          <w:p>
            <w:pPr>
              <w:pStyle w:val="10"/>
            </w:pPr>
            <w:r>
              <w:t>≤415.07万元</w:t>
            </w:r>
          </w:p>
        </w:tc>
        <w:tc>
          <w:tcPr>
            <w:tcW w:w="1843"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业务工作稳定性</w:t>
            </w:r>
          </w:p>
        </w:tc>
        <w:tc>
          <w:tcPr>
            <w:tcW w:w="2891" w:type="dxa"/>
            <w:vAlign w:val="center"/>
          </w:tcPr>
          <w:p>
            <w:pPr>
              <w:pStyle w:val="10"/>
              <w:rPr>
                <w:rFonts w:ascii="方正书宋_GBK" w:hAnsi="方正书宋_GBK" w:eastAsia="方正书宋_GBK" w:cs="方正书宋_GBK"/>
                <w:sz w:val="21"/>
                <w:szCs w:val="24"/>
                <w:lang w:val="en-US" w:eastAsia="uk-UA" w:bidi="ar-SA"/>
              </w:rPr>
            </w:pPr>
            <w:r>
              <w:t>通过日常工作稳定运转</w:t>
            </w:r>
          </w:p>
        </w:tc>
        <w:tc>
          <w:tcPr>
            <w:tcW w:w="1276" w:type="dxa"/>
            <w:vAlign w:val="center"/>
          </w:tcPr>
          <w:p>
            <w:pPr>
              <w:pStyle w:val="10"/>
              <w:rPr>
                <w:rFonts w:ascii="方正书宋_GBK" w:hAnsi="方正书宋_GBK" w:eastAsia="方正书宋_GBK" w:cs="方正书宋_GBK"/>
                <w:sz w:val="21"/>
                <w:szCs w:val="24"/>
                <w:lang w:val="en-US" w:eastAsia="uk-UA" w:bidi="ar-SA"/>
              </w:rPr>
            </w:pPr>
            <w:r>
              <w:t>进一步推动</w:t>
            </w:r>
          </w:p>
        </w:tc>
        <w:tc>
          <w:tcPr>
            <w:tcW w:w="1843" w:type="dxa"/>
            <w:vAlign w:val="center"/>
          </w:tcPr>
          <w:p>
            <w:pPr>
              <w:pStyle w:val="10"/>
              <w:rPr>
                <w:rFonts w:ascii="方正书宋_GBK" w:hAnsi="方正书宋_GBK" w:eastAsia="方正书宋_GBK" w:cs="方正书宋_GBK"/>
                <w:sz w:val="21"/>
                <w:szCs w:val="24"/>
                <w:lang w:val="en-US" w:eastAsia="uk-UA" w:bidi="ar-SA"/>
              </w:rPr>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职工满意度</w:t>
            </w:r>
          </w:p>
        </w:tc>
        <w:tc>
          <w:tcPr>
            <w:tcW w:w="2891" w:type="dxa"/>
            <w:vAlign w:val="center"/>
          </w:tcPr>
          <w:p>
            <w:pPr>
              <w:pStyle w:val="10"/>
            </w:pPr>
            <w:r>
              <w:t>满意人员占差额职工总人数之比</w:t>
            </w:r>
          </w:p>
        </w:tc>
        <w:tc>
          <w:tcPr>
            <w:tcW w:w="1276" w:type="dxa"/>
            <w:vAlign w:val="center"/>
          </w:tcPr>
          <w:p>
            <w:pPr>
              <w:pStyle w:val="10"/>
              <w:rPr>
                <w:rFonts w:hint="eastAsia" w:eastAsia="方正书宋_GBK"/>
                <w:highlight w:val="green"/>
                <w:lang w:eastAsia="zh-CN"/>
              </w:rPr>
            </w:pPr>
            <w:r>
              <w:rPr>
                <w:highlight w:val="green"/>
              </w:rPr>
              <w:t>≥90</w:t>
            </w:r>
            <w:r>
              <w:rPr>
                <w:rFonts w:hint="eastAsia"/>
                <w:highlight w:val="green"/>
                <w:lang w:eastAsia="zh-CN"/>
              </w:rPr>
              <w:t>%</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6" w:name="_Toc_4_4_0000000047"/>
      <w:r>
        <w:rPr>
          <w:rFonts w:ascii="方正仿宋_GBK" w:hAnsi="方正仿宋_GBK" w:eastAsia="方正仿宋_GBK" w:cs="方正仿宋_GBK"/>
          <w:color w:val="000000"/>
          <w:sz w:val="28"/>
          <w:highlight w:val="green"/>
        </w:rPr>
        <w:t>44.提前下达2021年中央财政林业改革发展资金-森林生态效益补偿补助-管护补助绩效目标表</w:t>
      </w:r>
      <w:bookmarkEnd w:id="4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130303218427N26LD8CZT</w:t>
            </w:r>
          </w:p>
        </w:tc>
        <w:tc>
          <w:tcPr>
            <w:tcW w:w="1587" w:type="dxa"/>
            <w:vAlign w:val="center"/>
          </w:tcPr>
          <w:p>
            <w:pPr>
              <w:pStyle w:val="11"/>
            </w:pPr>
            <w:r>
              <w:t>项目名称</w:t>
            </w:r>
          </w:p>
        </w:tc>
        <w:tc>
          <w:tcPr>
            <w:tcW w:w="4423" w:type="dxa"/>
            <w:gridSpan w:val="3"/>
            <w:vAlign w:val="center"/>
          </w:tcPr>
          <w:p>
            <w:pPr>
              <w:pStyle w:val="10"/>
            </w:pPr>
            <w:r>
              <w:t>提前下达2021年中央财政林业改革发展资金-森林生态效益补偿补助-管护补助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9.00</w:t>
            </w:r>
          </w:p>
        </w:tc>
        <w:tc>
          <w:tcPr>
            <w:tcW w:w="1587" w:type="dxa"/>
            <w:vAlign w:val="center"/>
          </w:tcPr>
          <w:p>
            <w:pPr>
              <w:pStyle w:val="11"/>
            </w:pPr>
            <w:r>
              <w:t>其中：财政    资金</w:t>
            </w:r>
          </w:p>
        </w:tc>
        <w:tc>
          <w:tcPr>
            <w:tcW w:w="1304" w:type="dxa"/>
            <w:vAlign w:val="center"/>
          </w:tcPr>
          <w:p>
            <w:pPr>
              <w:pStyle w:val="10"/>
            </w:pPr>
            <w:r>
              <w:t>9.00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生态从逐步好转进一步向明显改善转变，水土流失明显减少，生物多样性明显增加。</w:t>
            </w:r>
          </w:p>
          <w:p>
            <w:pPr>
              <w:pStyle w:val="10"/>
            </w:pP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50%</w:t>
            </w:r>
          </w:p>
        </w:tc>
        <w:tc>
          <w:tcPr>
            <w:tcW w:w="1587" w:type="dxa"/>
            <w:vAlign w:val="center"/>
          </w:tcPr>
          <w:p>
            <w:pPr>
              <w:pStyle w:val="12"/>
            </w:pPr>
            <w:r>
              <w:t>100%</w:t>
            </w:r>
          </w:p>
        </w:tc>
        <w:tc>
          <w:tcPr>
            <w:tcW w:w="1304" w:type="dxa"/>
            <w:vAlign w:val="center"/>
          </w:tcPr>
          <w:p>
            <w:pPr>
              <w:pStyle w:val="12"/>
            </w:pPr>
            <w:r>
              <w:t>100%</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1.生态从逐步好转进一步向明显改善转变，水土流失明显减少，生物多样性明显增加。</w:t>
            </w:r>
          </w:p>
          <w:p>
            <w:pPr>
              <w:pStyle w:val="10"/>
            </w:pP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天保工程区外国有林停伐产量</w:t>
            </w:r>
          </w:p>
        </w:tc>
        <w:tc>
          <w:tcPr>
            <w:tcW w:w="2891" w:type="dxa"/>
            <w:vAlign w:val="center"/>
          </w:tcPr>
          <w:p>
            <w:pPr>
              <w:pStyle w:val="10"/>
            </w:pPr>
            <w:r>
              <w:t>天保工程区外国有林停伐产量</w:t>
            </w:r>
          </w:p>
        </w:tc>
        <w:tc>
          <w:tcPr>
            <w:tcW w:w="1276" w:type="dxa"/>
            <w:vAlign w:val="center"/>
          </w:tcPr>
          <w:p>
            <w:pPr>
              <w:pStyle w:val="10"/>
            </w:pPr>
            <w:r>
              <w:t>100立方米</w:t>
            </w:r>
          </w:p>
        </w:tc>
        <w:tc>
          <w:tcPr>
            <w:tcW w:w="1843" w:type="dxa"/>
            <w:vAlign w:val="center"/>
          </w:tcPr>
          <w:p>
            <w:pPr>
              <w:pStyle w:val="10"/>
            </w:pPr>
            <w: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停止天然林商业性采伐</w:t>
            </w:r>
          </w:p>
        </w:tc>
        <w:tc>
          <w:tcPr>
            <w:tcW w:w="2891" w:type="dxa"/>
            <w:vAlign w:val="center"/>
          </w:tcPr>
          <w:p>
            <w:pPr>
              <w:pStyle w:val="10"/>
            </w:pPr>
            <w:r>
              <w:t>停止天然林商业性采伐</w:t>
            </w:r>
          </w:p>
        </w:tc>
        <w:tc>
          <w:tcPr>
            <w:tcW w:w="1276" w:type="dxa"/>
            <w:vAlign w:val="center"/>
          </w:tcPr>
          <w:p>
            <w:pPr>
              <w:pStyle w:val="10"/>
            </w:pPr>
            <w:r>
              <w:t>100立方米</w:t>
            </w:r>
          </w:p>
        </w:tc>
        <w:tc>
          <w:tcPr>
            <w:tcW w:w="1843" w:type="dxa"/>
            <w:vAlign w:val="center"/>
          </w:tcPr>
          <w:p>
            <w:pPr>
              <w:pStyle w:val="10"/>
            </w:pPr>
            <w: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highlight w:val="green"/>
              </w:rPr>
            </w:pPr>
            <w:r>
              <w:rPr>
                <w:highlight w:val="green"/>
              </w:rPr>
              <w:t>当年度全部完成</w:t>
            </w:r>
          </w:p>
        </w:tc>
        <w:tc>
          <w:tcPr>
            <w:tcW w:w="2891" w:type="dxa"/>
            <w:vAlign w:val="center"/>
          </w:tcPr>
          <w:p>
            <w:pPr>
              <w:pStyle w:val="10"/>
              <w:rPr>
                <w:highlight w:val="green"/>
              </w:rPr>
            </w:pPr>
            <w:r>
              <w:rPr>
                <w:highlight w:val="green"/>
              </w:rPr>
              <w:t>当年度全部完成</w:t>
            </w:r>
          </w:p>
        </w:tc>
        <w:tc>
          <w:tcPr>
            <w:tcW w:w="1276" w:type="dxa"/>
            <w:vAlign w:val="center"/>
          </w:tcPr>
          <w:p>
            <w:pPr>
              <w:pStyle w:val="10"/>
              <w:rPr>
                <w:highlight w:val="green"/>
              </w:rPr>
            </w:pPr>
            <w:r>
              <w:rPr>
                <w:rFonts w:hint="eastAsia"/>
                <w:highlight w:val="green"/>
                <w:lang w:eastAsia="zh-CN"/>
              </w:rPr>
              <w:t>12月底前</w:t>
            </w:r>
          </w:p>
        </w:tc>
        <w:tc>
          <w:tcPr>
            <w:tcW w:w="1843" w:type="dxa"/>
            <w:vAlign w:val="center"/>
          </w:tcPr>
          <w:p>
            <w:pPr>
              <w:pStyle w:val="10"/>
            </w:pPr>
            <w: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天然林停伐中央资金</w:t>
            </w:r>
          </w:p>
        </w:tc>
        <w:tc>
          <w:tcPr>
            <w:tcW w:w="2891" w:type="dxa"/>
            <w:vAlign w:val="center"/>
          </w:tcPr>
          <w:p>
            <w:pPr>
              <w:pStyle w:val="10"/>
            </w:pPr>
            <w:r>
              <w:t>天然林停伐中央资金</w:t>
            </w:r>
          </w:p>
        </w:tc>
        <w:tc>
          <w:tcPr>
            <w:tcW w:w="1276" w:type="dxa"/>
            <w:vAlign w:val="center"/>
          </w:tcPr>
          <w:p>
            <w:pPr>
              <w:pStyle w:val="10"/>
            </w:pPr>
            <w:r>
              <w:t>≤</w:t>
            </w:r>
            <w:r>
              <w:rPr>
                <w:rFonts w:hint="eastAsia"/>
                <w:lang w:eastAsia="zh-CN"/>
              </w:rPr>
              <w:t>9</w:t>
            </w:r>
            <w:r>
              <w:t>万元</w:t>
            </w:r>
          </w:p>
        </w:tc>
        <w:tc>
          <w:tcPr>
            <w:tcW w:w="1843" w:type="dxa"/>
            <w:vAlign w:val="center"/>
          </w:tcPr>
          <w:p>
            <w:pPr>
              <w:pStyle w:val="10"/>
            </w:pPr>
            <w:r>
              <w:t>天然林停伐中央资金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减少水土流失，使生物多样性增加</w:t>
            </w:r>
          </w:p>
        </w:tc>
        <w:tc>
          <w:tcPr>
            <w:tcW w:w="2891" w:type="dxa"/>
            <w:vAlign w:val="center"/>
          </w:tcPr>
          <w:p>
            <w:pPr>
              <w:pStyle w:val="10"/>
              <w:rPr>
                <w:rFonts w:ascii="方正书宋_GBK" w:hAnsi="方正书宋_GBK" w:eastAsia="方正书宋_GBK" w:cs="方正书宋_GBK"/>
                <w:sz w:val="21"/>
                <w:szCs w:val="24"/>
                <w:lang w:val="en-US" w:eastAsia="uk-UA" w:bidi="ar-SA"/>
              </w:rPr>
            </w:pPr>
            <w:r>
              <w:t>减少水土流失，使生物多样性增加</w:t>
            </w:r>
          </w:p>
        </w:tc>
        <w:tc>
          <w:tcPr>
            <w:tcW w:w="1276" w:type="dxa"/>
            <w:vAlign w:val="center"/>
          </w:tcPr>
          <w:p>
            <w:pPr>
              <w:pStyle w:val="10"/>
              <w:rPr>
                <w:rFonts w:ascii="方正书宋_GBK" w:hAnsi="方正书宋_GBK" w:eastAsia="方正书宋_GBK" w:cs="方正书宋_GBK"/>
                <w:sz w:val="21"/>
                <w:szCs w:val="24"/>
                <w:lang w:val="en-US" w:eastAsia="uk-UA" w:bidi="ar-SA"/>
              </w:rPr>
            </w:pPr>
            <w:r>
              <w:rPr>
                <w:rFonts w:hint="eastAsia"/>
                <w:lang w:eastAsia="zh-CN"/>
              </w:rPr>
              <w:t>进一步促进</w:t>
            </w:r>
          </w:p>
        </w:tc>
        <w:tc>
          <w:tcPr>
            <w:tcW w:w="1843" w:type="dxa"/>
            <w:vAlign w:val="center"/>
          </w:tcPr>
          <w:p>
            <w:pPr>
              <w:pStyle w:val="10"/>
              <w:rPr>
                <w:rFonts w:ascii="方正书宋_GBK" w:hAnsi="方正书宋_GBK" w:eastAsia="方正书宋_GBK" w:cs="方正书宋_GBK"/>
                <w:sz w:val="21"/>
                <w:szCs w:val="24"/>
                <w:lang w:val="en-US" w:eastAsia="uk-UA" w:bidi="ar-SA"/>
              </w:rPr>
            </w:pPr>
            <w:r>
              <w:t>停伐产量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rPr>
                <w:rFonts w:hint="eastAsia"/>
                <w:lang w:eastAsia="zh-CN"/>
              </w:rPr>
              <w:t>群众满意度</w:t>
            </w:r>
          </w:p>
        </w:tc>
        <w:tc>
          <w:tcPr>
            <w:tcW w:w="2891" w:type="dxa"/>
            <w:vAlign w:val="center"/>
          </w:tcPr>
          <w:p>
            <w:pPr>
              <w:pStyle w:val="10"/>
            </w:pPr>
            <w:r>
              <w:rPr>
                <w:rFonts w:hint="eastAsia"/>
                <w:lang w:eastAsia="zh-CN"/>
              </w:rPr>
              <w:t>群众满意度</w:t>
            </w:r>
          </w:p>
        </w:tc>
        <w:tc>
          <w:tcPr>
            <w:tcW w:w="1276" w:type="dxa"/>
            <w:vAlign w:val="center"/>
          </w:tcPr>
          <w:p>
            <w:pPr>
              <w:pStyle w:val="10"/>
              <w:rPr>
                <w:highlight w:val="green"/>
              </w:rPr>
            </w:pPr>
            <w:r>
              <w:rPr>
                <w:highlight w:val="green"/>
              </w:rPr>
              <w:t>≥</w:t>
            </w:r>
            <w:r>
              <w:rPr>
                <w:rFonts w:hint="eastAsia"/>
                <w:highlight w:val="green"/>
                <w:lang w:eastAsia="zh-CN"/>
              </w:rPr>
              <w:t>8</w:t>
            </w:r>
            <w:r>
              <w:rPr>
                <w:highlight w:val="green"/>
              </w:rPr>
              <w:t>5</w:t>
            </w:r>
            <w:r>
              <w:rPr>
                <w:rFonts w:hint="eastAsia"/>
                <w:highlight w:val="green"/>
                <w:lang w:eastAsia="zh-CN"/>
              </w:rPr>
              <w:t>%</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7" w:name="_Toc_4_4_0000000048"/>
      <w:r>
        <w:rPr>
          <w:rFonts w:ascii="方正仿宋_GBK" w:hAnsi="方正仿宋_GBK" w:eastAsia="方正仿宋_GBK" w:cs="方正仿宋_GBK"/>
          <w:color w:val="000000"/>
          <w:sz w:val="28"/>
          <w:highlight w:val="green"/>
        </w:rPr>
        <w:t>45.提前下达2021年中央财政林业改革发展资金-天然林停伐管护补助-国有管护补助绩效目标表</w:t>
      </w:r>
      <w:bookmarkEnd w:id="4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13030321AE2P93AGSZ4CI</w:t>
            </w:r>
          </w:p>
        </w:tc>
        <w:tc>
          <w:tcPr>
            <w:tcW w:w="1587" w:type="dxa"/>
            <w:vAlign w:val="center"/>
          </w:tcPr>
          <w:p>
            <w:pPr>
              <w:pStyle w:val="11"/>
            </w:pPr>
            <w:r>
              <w:t>项目名称</w:t>
            </w:r>
          </w:p>
        </w:tc>
        <w:tc>
          <w:tcPr>
            <w:tcW w:w="4423" w:type="dxa"/>
            <w:gridSpan w:val="3"/>
            <w:vAlign w:val="center"/>
          </w:tcPr>
          <w:p>
            <w:pPr>
              <w:pStyle w:val="10"/>
            </w:pPr>
            <w:r>
              <w:t>提前下达2021年中央财政林业改革发展资金-天然林停伐管护补助-国有管护补助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1.54</w:t>
            </w:r>
          </w:p>
        </w:tc>
        <w:tc>
          <w:tcPr>
            <w:tcW w:w="1587" w:type="dxa"/>
            <w:vAlign w:val="center"/>
          </w:tcPr>
          <w:p>
            <w:pPr>
              <w:pStyle w:val="11"/>
            </w:pPr>
            <w:r>
              <w:t>其中：财政    资金</w:t>
            </w:r>
          </w:p>
        </w:tc>
        <w:tc>
          <w:tcPr>
            <w:tcW w:w="1304" w:type="dxa"/>
            <w:vAlign w:val="center"/>
          </w:tcPr>
          <w:p>
            <w:pPr>
              <w:pStyle w:val="10"/>
            </w:pPr>
            <w:r>
              <w:t>1.54</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加强森林资源管护，落实纳入森林资源管护补助的国有天然林管护和非国有天然林管护。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50%</w:t>
            </w:r>
          </w:p>
        </w:tc>
        <w:tc>
          <w:tcPr>
            <w:tcW w:w="1587" w:type="dxa"/>
            <w:vAlign w:val="center"/>
          </w:tcPr>
          <w:p>
            <w:pPr>
              <w:pStyle w:val="12"/>
            </w:pPr>
            <w:r>
              <w:t>100%</w:t>
            </w:r>
          </w:p>
        </w:tc>
        <w:tc>
          <w:tcPr>
            <w:tcW w:w="1304" w:type="dxa"/>
            <w:vAlign w:val="center"/>
          </w:tcPr>
          <w:p>
            <w:pPr>
              <w:pStyle w:val="12"/>
            </w:pPr>
            <w:r>
              <w:t>100%</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1.加强森林资源管护，落实纳入森林资源管护补助的国有天然林管护和非国有天然林管护。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国有国家级公益林管护面积</w:t>
            </w:r>
          </w:p>
        </w:tc>
        <w:tc>
          <w:tcPr>
            <w:tcW w:w="2891" w:type="dxa"/>
            <w:vAlign w:val="center"/>
          </w:tcPr>
          <w:p>
            <w:pPr>
              <w:pStyle w:val="10"/>
            </w:pPr>
            <w:r>
              <w:t>国有国家级公益林管护面积</w:t>
            </w:r>
          </w:p>
        </w:tc>
        <w:tc>
          <w:tcPr>
            <w:tcW w:w="1276" w:type="dxa"/>
            <w:vAlign w:val="center"/>
          </w:tcPr>
          <w:p>
            <w:pPr>
              <w:pStyle w:val="10"/>
            </w:pPr>
            <w:r>
              <w:t>100亩</w:t>
            </w:r>
          </w:p>
        </w:tc>
        <w:tc>
          <w:tcPr>
            <w:tcW w:w="1843" w:type="dxa"/>
            <w:vAlign w:val="center"/>
          </w:tcPr>
          <w:p>
            <w:pPr>
              <w:pStyle w:val="10"/>
            </w:pPr>
            <w: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管护公益林</w:t>
            </w:r>
          </w:p>
        </w:tc>
        <w:tc>
          <w:tcPr>
            <w:tcW w:w="2891" w:type="dxa"/>
            <w:vAlign w:val="center"/>
          </w:tcPr>
          <w:p>
            <w:pPr>
              <w:pStyle w:val="10"/>
            </w:pPr>
            <w:r>
              <w:t>提高公益林蓄积量</w:t>
            </w:r>
          </w:p>
        </w:tc>
        <w:tc>
          <w:tcPr>
            <w:tcW w:w="1276" w:type="dxa"/>
            <w:vAlign w:val="center"/>
          </w:tcPr>
          <w:p>
            <w:pPr>
              <w:pStyle w:val="10"/>
            </w:pPr>
            <w:r>
              <w:t>100立方米</w:t>
            </w:r>
          </w:p>
        </w:tc>
        <w:tc>
          <w:tcPr>
            <w:tcW w:w="1843" w:type="dxa"/>
            <w:vAlign w:val="center"/>
          </w:tcPr>
          <w:p>
            <w:pPr>
              <w:pStyle w:val="10"/>
            </w:pPr>
            <w:r>
              <w:t>公益林蓄积量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国家级公益林管护中央财政补助</w:t>
            </w:r>
          </w:p>
        </w:tc>
        <w:tc>
          <w:tcPr>
            <w:tcW w:w="2891" w:type="dxa"/>
            <w:vAlign w:val="center"/>
          </w:tcPr>
          <w:p>
            <w:pPr>
              <w:pStyle w:val="10"/>
            </w:pPr>
            <w:r>
              <w:t>国家级公益林管护中央财政补助</w:t>
            </w:r>
          </w:p>
        </w:tc>
        <w:tc>
          <w:tcPr>
            <w:tcW w:w="1276" w:type="dxa"/>
            <w:vAlign w:val="center"/>
          </w:tcPr>
          <w:p>
            <w:pPr>
              <w:pStyle w:val="10"/>
            </w:pPr>
            <w:r>
              <w:t>≤</w:t>
            </w:r>
            <w:r>
              <w:rPr>
                <w:rFonts w:hint="eastAsia"/>
                <w:lang w:eastAsia="zh-CN"/>
              </w:rPr>
              <w:t>1.54</w:t>
            </w:r>
            <w:r>
              <w:t>万元</w:t>
            </w:r>
          </w:p>
        </w:tc>
        <w:tc>
          <w:tcPr>
            <w:tcW w:w="1843" w:type="dxa"/>
            <w:vAlign w:val="center"/>
          </w:tcPr>
          <w:p>
            <w:pPr>
              <w:pStyle w:val="10"/>
            </w:pPr>
            <w: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森林生态效益当期完成率</w:t>
            </w:r>
          </w:p>
        </w:tc>
        <w:tc>
          <w:tcPr>
            <w:tcW w:w="2891" w:type="dxa"/>
            <w:vAlign w:val="center"/>
          </w:tcPr>
          <w:p>
            <w:pPr>
              <w:pStyle w:val="10"/>
            </w:pPr>
            <w:r>
              <w:t>森林生态效益当期完成率</w:t>
            </w:r>
          </w:p>
        </w:tc>
        <w:tc>
          <w:tcPr>
            <w:tcW w:w="1276" w:type="dxa"/>
            <w:vAlign w:val="center"/>
          </w:tcPr>
          <w:p>
            <w:pPr>
              <w:pStyle w:val="10"/>
              <w:rPr>
                <w:highlight w:val="green"/>
              </w:rPr>
            </w:pPr>
            <w:r>
              <w:rPr>
                <w:highlight w:val="green"/>
              </w:rPr>
              <w:t>≥</w:t>
            </w:r>
            <w:r>
              <w:rPr>
                <w:rFonts w:hint="eastAsia"/>
                <w:highlight w:val="green"/>
                <w:lang w:eastAsia="zh-CN"/>
              </w:rPr>
              <w:t>85%</w:t>
            </w:r>
          </w:p>
        </w:tc>
        <w:tc>
          <w:tcPr>
            <w:tcW w:w="1843" w:type="dxa"/>
            <w:vAlign w:val="center"/>
          </w:tcPr>
          <w:p>
            <w:pPr>
              <w:pStyle w:val="10"/>
            </w:pPr>
            <w:r>
              <w:t>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社会效益指标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业务工作稳定性</w:t>
            </w:r>
          </w:p>
        </w:tc>
        <w:tc>
          <w:tcPr>
            <w:tcW w:w="2891" w:type="dxa"/>
            <w:vAlign w:val="center"/>
          </w:tcPr>
          <w:p>
            <w:pPr>
              <w:pStyle w:val="10"/>
              <w:rPr>
                <w:rFonts w:ascii="方正书宋_GBK" w:hAnsi="方正书宋_GBK" w:eastAsia="方正书宋_GBK" w:cs="方正书宋_GBK"/>
                <w:sz w:val="21"/>
                <w:szCs w:val="24"/>
                <w:lang w:val="en-US" w:eastAsia="uk-UA" w:bidi="ar-SA"/>
              </w:rPr>
            </w:pPr>
            <w:r>
              <w:rPr>
                <w:rFonts w:hint="eastAsia"/>
                <w:lang w:eastAsia="zh-CN"/>
              </w:rPr>
              <w:t>发放</w:t>
            </w:r>
            <w:r>
              <w:t>公益林管护人员工资</w:t>
            </w:r>
            <w:r>
              <w:rPr>
                <w:rFonts w:hint="eastAsia"/>
                <w:lang w:eastAsia="zh-CN"/>
              </w:rPr>
              <w:t>，保障工作稳定运行</w:t>
            </w:r>
          </w:p>
        </w:tc>
        <w:tc>
          <w:tcPr>
            <w:tcW w:w="127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eastAsia="zh-CN"/>
              </w:rPr>
              <w:t>保障</w:t>
            </w:r>
          </w:p>
        </w:tc>
        <w:tc>
          <w:tcPr>
            <w:tcW w:w="1843" w:type="dxa"/>
            <w:vAlign w:val="center"/>
          </w:tcPr>
          <w:p>
            <w:pPr>
              <w:pStyle w:val="10"/>
              <w:rPr>
                <w:rFonts w:ascii="方正书宋_GBK" w:hAnsi="方正书宋_GBK" w:eastAsia="方正书宋_GBK" w:cs="方正书宋_GBK"/>
                <w:sz w:val="21"/>
                <w:szCs w:val="24"/>
                <w:lang w:val="en-US" w:eastAsia="uk-UA" w:bidi="ar-SA"/>
              </w:rPr>
            </w:pPr>
            <w:r>
              <w:t>管护补助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国家级公益林管护员满意度</w:t>
            </w:r>
          </w:p>
        </w:tc>
        <w:tc>
          <w:tcPr>
            <w:tcW w:w="2891" w:type="dxa"/>
            <w:vAlign w:val="center"/>
          </w:tcPr>
          <w:p>
            <w:pPr>
              <w:pStyle w:val="10"/>
            </w:pPr>
            <w:r>
              <w:t>国家级公益林管护员满意度</w:t>
            </w:r>
          </w:p>
        </w:tc>
        <w:tc>
          <w:tcPr>
            <w:tcW w:w="1276" w:type="dxa"/>
            <w:vAlign w:val="center"/>
          </w:tcPr>
          <w:p>
            <w:pPr>
              <w:pStyle w:val="10"/>
              <w:rPr>
                <w:highlight w:val="green"/>
              </w:rPr>
            </w:pPr>
            <w:r>
              <w:rPr>
                <w:highlight w:val="green"/>
              </w:rPr>
              <w:t>≥95</w:t>
            </w:r>
            <w:r>
              <w:rPr>
                <w:rFonts w:hint="eastAsia"/>
                <w:highlight w:val="green"/>
                <w:lang w:eastAsia="zh-CN"/>
              </w:rPr>
              <w:t>%</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8" w:name="_Toc_4_4_0000000049"/>
      <w:r>
        <w:rPr>
          <w:rFonts w:ascii="方正仿宋_GBK" w:hAnsi="方正仿宋_GBK" w:eastAsia="方正仿宋_GBK" w:cs="方正仿宋_GBK"/>
          <w:color w:val="000000"/>
          <w:sz w:val="28"/>
          <w:highlight w:val="green"/>
        </w:rPr>
        <w:t>46.提前下达2022年中央财政林业草原生态保护恢复资金-全面停止天然林商业性采伐绩效目标表</w:t>
      </w:r>
      <w:bookmarkEnd w:id="4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13030322P00430910016Q</w:t>
            </w:r>
          </w:p>
        </w:tc>
        <w:tc>
          <w:tcPr>
            <w:tcW w:w="1587" w:type="dxa"/>
            <w:vAlign w:val="center"/>
          </w:tcPr>
          <w:p>
            <w:pPr>
              <w:pStyle w:val="11"/>
            </w:pPr>
            <w:r>
              <w:t>项目名称</w:t>
            </w:r>
          </w:p>
        </w:tc>
        <w:tc>
          <w:tcPr>
            <w:tcW w:w="4423" w:type="dxa"/>
            <w:gridSpan w:val="3"/>
            <w:vAlign w:val="center"/>
          </w:tcPr>
          <w:p>
            <w:pPr>
              <w:pStyle w:val="10"/>
            </w:pPr>
            <w:r>
              <w:t>提前下达2022年中央财政林业草原生态保护恢复资金-全面停止天然林商业性采伐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51.89</w:t>
            </w:r>
          </w:p>
        </w:tc>
        <w:tc>
          <w:tcPr>
            <w:tcW w:w="1587" w:type="dxa"/>
            <w:vAlign w:val="center"/>
          </w:tcPr>
          <w:p>
            <w:pPr>
              <w:pStyle w:val="11"/>
            </w:pPr>
            <w:r>
              <w:t>其中：财政    资金</w:t>
            </w:r>
          </w:p>
        </w:tc>
        <w:tc>
          <w:tcPr>
            <w:tcW w:w="1304" w:type="dxa"/>
            <w:vAlign w:val="center"/>
          </w:tcPr>
          <w:p>
            <w:pPr>
              <w:pStyle w:val="10"/>
            </w:pPr>
            <w:r>
              <w:t>51.89</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林业草原生态保护恢复资金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85%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1.依据检查验收结果发放农户补助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天然林蓄积量</w:t>
            </w:r>
          </w:p>
        </w:tc>
        <w:tc>
          <w:tcPr>
            <w:tcW w:w="2891" w:type="dxa"/>
            <w:vAlign w:val="center"/>
          </w:tcPr>
          <w:p>
            <w:pPr>
              <w:pStyle w:val="10"/>
            </w:pPr>
            <w:r>
              <w:t>天然林蓄积量</w:t>
            </w:r>
          </w:p>
        </w:tc>
        <w:tc>
          <w:tcPr>
            <w:tcW w:w="1276" w:type="dxa"/>
            <w:vAlign w:val="center"/>
          </w:tcPr>
          <w:p>
            <w:pPr>
              <w:pStyle w:val="10"/>
            </w:pPr>
            <w:r>
              <w:t>≥62.15万立方米</w:t>
            </w:r>
          </w:p>
        </w:tc>
        <w:tc>
          <w:tcPr>
            <w:tcW w:w="1843" w:type="dxa"/>
            <w:vAlign w:val="center"/>
          </w:tcPr>
          <w:p>
            <w:pPr>
              <w:pStyle w:val="10"/>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天然林资源森林蓄积量持续增长情况</w:t>
            </w:r>
          </w:p>
        </w:tc>
        <w:tc>
          <w:tcPr>
            <w:tcW w:w="2891" w:type="dxa"/>
            <w:vAlign w:val="center"/>
          </w:tcPr>
          <w:p>
            <w:pPr>
              <w:pStyle w:val="10"/>
            </w:pPr>
            <w:r>
              <w:t>天然林资源森林蓄积量持续增长情况</w:t>
            </w:r>
          </w:p>
        </w:tc>
        <w:tc>
          <w:tcPr>
            <w:tcW w:w="1276" w:type="dxa"/>
            <w:vAlign w:val="center"/>
          </w:tcPr>
          <w:p>
            <w:pPr>
              <w:pStyle w:val="10"/>
            </w:pPr>
            <w:r>
              <w:t>持续增长</w:t>
            </w:r>
          </w:p>
        </w:tc>
        <w:tc>
          <w:tcPr>
            <w:tcW w:w="1843" w:type="dxa"/>
            <w:vAlign w:val="center"/>
          </w:tcPr>
          <w:p>
            <w:pPr>
              <w:pStyle w:val="10"/>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上一轮退耕还生态林苗木保存率</w:t>
            </w:r>
          </w:p>
        </w:tc>
        <w:tc>
          <w:tcPr>
            <w:tcW w:w="2891" w:type="dxa"/>
            <w:vAlign w:val="center"/>
          </w:tcPr>
          <w:p>
            <w:pPr>
              <w:pStyle w:val="10"/>
            </w:pPr>
            <w:r>
              <w:t>上一轮退耕还生态林农户苗木当期保存率</w:t>
            </w:r>
          </w:p>
        </w:tc>
        <w:tc>
          <w:tcPr>
            <w:tcW w:w="1276" w:type="dxa"/>
            <w:vAlign w:val="center"/>
          </w:tcPr>
          <w:p>
            <w:pPr>
              <w:pStyle w:val="10"/>
              <w:rPr>
                <w:highlight w:val="green"/>
              </w:rPr>
            </w:pPr>
            <w:r>
              <w:rPr>
                <w:highlight w:val="green"/>
              </w:rPr>
              <w:t>≥85%</w:t>
            </w:r>
          </w:p>
        </w:tc>
        <w:tc>
          <w:tcPr>
            <w:tcW w:w="1843" w:type="dxa"/>
            <w:vAlign w:val="center"/>
          </w:tcPr>
          <w:p>
            <w:pPr>
              <w:pStyle w:val="10"/>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上一轮退耕还生态林中央财政补助</w:t>
            </w:r>
          </w:p>
        </w:tc>
        <w:tc>
          <w:tcPr>
            <w:tcW w:w="2891" w:type="dxa"/>
            <w:vAlign w:val="center"/>
          </w:tcPr>
          <w:p>
            <w:pPr>
              <w:pStyle w:val="10"/>
            </w:pPr>
            <w:r>
              <w:t>上一轮退耕还生态林中央财政补助</w:t>
            </w:r>
          </w:p>
        </w:tc>
        <w:tc>
          <w:tcPr>
            <w:tcW w:w="1276" w:type="dxa"/>
            <w:vAlign w:val="center"/>
          </w:tcPr>
          <w:p>
            <w:pPr>
              <w:pStyle w:val="10"/>
            </w:pPr>
            <w:r>
              <w:t>≤</w:t>
            </w:r>
            <w:r>
              <w:rPr>
                <w:rFonts w:hint="eastAsia"/>
                <w:lang w:eastAsia="zh-CN"/>
              </w:rPr>
              <w:t>51.89万元</w:t>
            </w:r>
          </w:p>
        </w:tc>
        <w:tc>
          <w:tcPr>
            <w:tcW w:w="1843" w:type="dxa"/>
            <w:vAlign w:val="center"/>
          </w:tcPr>
          <w:p>
            <w:pPr>
              <w:pStyle w:val="10"/>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促进生态林业与经济社会和谐发展</w:t>
            </w:r>
          </w:p>
        </w:tc>
        <w:tc>
          <w:tcPr>
            <w:tcW w:w="2891" w:type="dxa"/>
            <w:vAlign w:val="center"/>
          </w:tcPr>
          <w:p>
            <w:pPr>
              <w:pStyle w:val="10"/>
              <w:rPr>
                <w:rFonts w:ascii="方正书宋_GBK" w:hAnsi="方正书宋_GBK" w:eastAsia="方正书宋_GBK" w:cs="方正书宋_GBK"/>
                <w:sz w:val="21"/>
                <w:szCs w:val="24"/>
                <w:lang w:val="en-US" w:eastAsia="uk-UA" w:bidi="ar-SA"/>
              </w:rPr>
            </w:pPr>
            <w:r>
              <w:t>促进我区生态林业与经济社会和谐发展</w:t>
            </w:r>
          </w:p>
        </w:tc>
        <w:tc>
          <w:tcPr>
            <w:tcW w:w="1276" w:type="dxa"/>
            <w:vAlign w:val="center"/>
          </w:tcPr>
          <w:p>
            <w:pPr>
              <w:pStyle w:val="10"/>
              <w:rPr>
                <w:rFonts w:ascii="方正书宋_GBK" w:hAnsi="方正书宋_GBK" w:eastAsia="方正书宋_GBK" w:cs="方正书宋_GBK"/>
                <w:sz w:val="21"/>
                <w:szCs w:val="24"/>
                <w:lang w:val="en-US" w:eastAsia="uk-UA" w:bidi="ar-SA"/>
              </w:rPr>
            </w:pPr>
            <w:r>
              <w:t>促进</w:t>
            </w:r>
          </w:p>
        </w:tc>
        <w:tc>
          <w:tcPr>
            <w:tcW w:w="1843" w:type="dxa"/>
            <w:vAlign w:val="center"/>
          </w:tcPr>
          <w:p>
            <w:pPr>
              <w:pStyle w:val="10"/>
              <w:rPr>
                <w:rFonts w:ascii="方正书宋_GBK" w:hAnsi="方正书宋_GBK" w:eastAsia="方正书宋_GBK" w:cs="方正书宋_GBK"/>
                <w:sz w:val="21"/>
                <w:szCs w:val="24"/>
                <w:lang w:val="en-US" w:eastAsia="uk-UA" w:bidi="ar-SA"/>
              </w:rPr>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群众满意度</w:t>
            </w:r>
          </w:p>
        </w:tc>
        <w:tc>
          <w:tcPr>
            <w:tcW w:w="1276" w:type="dxa"/>
            <w:vAlign w:val="center"/>
          </w:tcPr>
          <w:p>
            <w:pPr>
              <w:pStyle w:val="10"/>
              <w:rPr>
                <w:highlight w:val="green"/>
              </w:rPr>
            </w:pPr>
            <w:r>
              <w:rPr>
                <w:highlight w:val="green"/>
              </w:rPr>
              <w:t>≥80%</w:t>
            </w:r>
          </w:p>
        </w:tc>
        <w:tc>
          <w:tcPr>
            <w:tcW w:w="1843" w:type="dxa"/>
            <w:vAlign w:val="center"/>
          </w:tcPr>
          <w:p>
            <w:pPr>
              <w:pStyle w:val="10"/>
              <w:rPr>
                <w:rFonts w:hint="default" w:eastAsia="方正书宋_GBK"/>
                <w:highlight w:val="green"/>
                <w:lang w:val="en-US" w:eastAsia="zh-CN"/>
              </w:rPr>
            </w:pPr>
            <w:r>
              <w:rPr>
                <w:rFonts w:hint="eastAsia"/>
                <w:highlight w:val="green"/>
                <w:lang w:val="en-US"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49" w:name="_Toc_4_4_0000000050"/>
      <w:r>
        <w:rPr>
          <w:rFonts w:ascii="方正仿宋_GBK" w:hAnsi="方正仿宋_GBK" w:eastAsia="方正仿宋_GBK" w:cs="方正仿宋_GBK"/>
          <w:color w:val="000000"/>
          <w:sz w:val="28"/>
          <w:highlight w:val="green"/>
        </w:rPr>
        <w:t>47.提前下达2022年中央财政林业改革发展资金-森林生态效益补偿补助-管护补助绩效目标表</w:t>
      </w:r>
      <w:bookmarkEnd w:id="4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13030322P00430910017C</w:t>
            </w:r>
          </w:p>
        </w:tc>
        <w:tc>
          <w:tcPr>
            <w:tcW w:w="1587" w:type="dxa"/>
            <w:vAlign w:val="center"/>
          </w:tcPr>
          <w:p>
            <w:pPr>
              <w:pStyle w:val="11"/>
            </w:pPr>
            <w:r>
              <w:t>项目名称</w:t>
            </w:r>
          </w:p>
        </w:tc>
        <w:tc>
          <w:tcPr>
            <w:tcW w:w="4423" w:type="dxa"/>
            <w:gridSpan w:val="3"/>
            <w:vAlign w:val="center"/>
          </w:tcPr>
          <w:p>
            <w:pPr>
              <w:pStyle w:val="10"/>
            </w:pPr>
            <w:r>
              <w:t>提前下达2022年中央财政林业改革发展资金-森林生态效益补偿补助-管护补助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31.79</w:t>
            </w:r>
          </w:p>
        </w:tc>
        <w:tc>
          <w:tcPr>
            <w:tcW w:w="1587" w:type="dxa"/>
            <w:vAlign w:val="center"/>
          </w:tcPr>
          <w:p>
            <w:pPr>
              <w:pStyle w:val="11"/>
            </w:pPr>
            <w:r>
              <w:t>其中：财政    资金</w:t>
            </w:r>
          </w:p>
        </w:tc>
        <w:tc>
          <w:tcPr>
            <w:tcW w:w="1304" w:type="dxa"/>
            <w:vAlign w:val="center"/>
          </w:tcPr>
          <w:p>
            <w:pPr>
              <w:pStyle w:val="10"/>
            </w:pPr>
            <w:r>
              <w:t>31.79</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85%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1.加强森林资源管护，落实纳入森林资源管护补助的国有天然林管护和非国有天然林管护。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天然商品林管护面积（万亩）</w:t>
            </w:r>
          </w:p>
        </w:tc>
        <w:tc>
          <w:tcPr>
            <w:tcW w:w="2891" w:type="dxa"/>
            <w:vAlign w:val="center"/>
          </w:tcPr>
          <w:p>
            <w:pPr>
              <w:pStyle w:val="10"/>
            </w:pPr>
            <w:r>
              <w:t>天然商品林管护面积（万亩）</w:t>
            </w:r>
          </w:p>
        </w:tc>
        <w:tc>
          <w:tcPr>
            <w:tcW w:w="1276" w:type="dxa"/>
            <w:vAlign w:val="center"/>
          </w:tcPr>
          <w:p>
            <w:pPr>
              <w:pStyle w:val="10"/>
            </w:pPr>
            <w:r>
              <w:t>≥62.05万亩</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主要林业有害生物成活率</w:t>
            </w:r>
          </w:p>
        </w:tc>
        <w:tc>
          <w:tcPr>
            <w:tcW w:w="2891" w:type="dxa"/>
            <w:vAlign w:val="center"/>
          </w:tcPr>
          <w:p>
            <w:pPr>
              <w:pStyle w:val="10"/>
            </w:pPr>
            <w:r>
              <w:t>主要林业有害生物成活率</w:t>
            </w:r>
          </w:p>
        </w:tc>
        <w:tc>
          <w:tcPr>
            <w:tcW w:w="1276" w:type="dxa"/>
            <w:vAlign w:val="center"/>
          </w:tcPr>
          <w:p>
            <w:pPr>
              <w:pStyle w:val="10"/>
              <w:rPr>
                <w:highlight w:val="green"/>
              </w:rPr>
            </w:pPr>
            <w:r>
              <w:rPr>
                <w:highlight w:val="green"/>
              </w:rPr>
              <w:t>≤1%</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天然林和国家级公益林管护当期任务完成率</w:t>
            </w:r>
          </w:p>
        </w:tc>
        <w:tc>
          <w:tcPr>
            <w:tcW w:w="2891" w:type="dxa"/>
            <w:vAlign w:val="center"/>
          </w:tcPr>
          <w:p>
            <w:pPr>
              <w:pStyle w:val="10"/>
            </w:pPr>
            <w:r>
              <w:rPr>
                <w:rFonts w:hint="eastAsia"/>
                <w:lang w:eastAsia="zh-CN"/>
              </w:rPr>
              <w:t>年底前</w:t>
            </w:r>
            <w:r>
              <w:t>天然林和国家级公益林管护当期任务完成率</w:t>
            </w:r>
          </w:p>
        </w:tc>
        <w:tc>
          <w:tcPr>
            <w:tcW w:w="1276" w:type="dxa"/>
            <w:vAlign w:val="center"/>
          </w:tcPr>
          <w:p>
            <w:pPr>
              <w:pStyle w:val="10"/>
              <w:rPr>
                <w:highlight w:val="green"/>
              </w:rPr>
            </w:pPr>
            <w:r>
              <w:rPr>
                <w:highlight w:val="green"/>
              </w:rPr>
              <w:t>≥90%</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国家级公益林管护成本</w:t>
            </w:r>
          </w:p>
        </w:tc>
        <w:tc>
          <w:tcPr>
            <w:tcW w:w="2891" w:type="dxa"/>
            <w:vAlign w:val="center"/>
          </w:tcPr>
          <w:p>
            <w:pPr>
              <w:pStyle w:val="10"/>
            </w:pPr>
            <w:r>
              <w:t>国家级公益林管护中央财政补助成本</w:t>
            </w:r>
          </w:p>
        </w:tc>
        <w:tc>
          <w:tcPr>
            <w:tcW w:w="1276" w:type="dxa"/>
            <w:vAlign w:val="center"/>
          </w:tcPr>
          <w:p>
            <w:pPr>
              <w:pStyle w:val="10"/>
            </w:pPr>
            <w:r>
              <w:t>≤31.79元</w:t>
            </w:r>
          </w:p>
        </w:tc>
        <w:tc>
          <w:tcPr>
            <w:tcW w:w="1843"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促进生态林业与经济社会发展</w:t>
            </w:r>
          </w:p>
        </w:tc>
        <w:tc>
          <w:tcPr>
            <w:tcW w:w="2891" w:type="dxa"/>
            <w:vAlign w:val="center"/>
          </w:tcPr>
          <w:p>
            <w:pPr>
              <w:pStyle w:val="10"/>
              <w:rPr>
                <w:rFonts w:ascii="方正书宋_GBK" w:hAnsi="方正书宋_GBK" w:eastAsia="方正书宋_GBK" w:cs="方正书宋_GBK"/>
                <w:sz w:val="21"/>
                <w:szCs w:val="24"/>
                <w:lang w:val="en-US" w:eastAsia="uk-UA" w:bidi="ar-SA"/>
              </w:rPr>
            </w:pPr>
            <w:r>
              <w:t>促进我区生态林业与经济社会和谐发展</w:t>
            </w:r>
          </w:p>
        </w:tc>
        <w:tc>
          <w:tcPr>
            <w:tcW w:w="1276" w:type="dxa"/>
            <w:vAlign w:val="center"/>
          </w:tcPr>
          <w:p>
            <w:pPr>
              <w:pStyle w:val="10"/>
              <w:rPr>
                <w:rFonts w:ascii="方正书宋_GBK" w:hAnsi="方正书宋_GBK" w:eastAsia="方正书宋_GBK" w:cs="方正书宋_GBK"/>
                <w:sz w:val="21"/>
                <w:szCs w:val="24"/>
                <w:lang w:val="en-US" w:eastAsia="uk-UA" w:bidi="ar-SA"/>
              </w:rPr>
            </w:pPr>
            <w:r>
              <w:t>促进</w:t>
            </w:r>
          </w:p>
        </w:tc>
        <w:tc>
          <w:tcPr>
            <w:tcW w:w="1843" w:type="dxa"/>
            <w:vAlign w:val="center"/>
          </w:tcPr>
          <w:p>
            <w:pPr>
              <w:pStyle w:val="10"/>
              <w:rPr>
                <w:rFonts w:ascii="方正书宋_GBK" w:hAnsi="方正书宋_GBK" w:eastAsia="方正书宋_GBK" w:cs="方正书宋_GBK"/>
                <w:sz w:val="21"/>
                <w:szCs w:val="24"/>
                <w:lang w:val="en-US" w:eastAsia="uk-UA" w:bidi="ar-SA"/>
              </w:rPr>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rPr>
                <w:rFonts w:hint="eastAsia"/>
                <w:highlight w:val="green"/>
                <w:lang w:eastAsia="zh-CN"/>
              </w:rPr>
              <w:t>人民群众</w:t>
            </w:r>
            <w:r>
              <w:rPr>
                <w:highlight w:val="green"/>
              </w:rPr>
              <w:t>满意度</w:t>
            </w:r>
          </w:p>
        </w:tc>
        <w:tc>
          <w:tcPr>
            <w:tcW w:w="1276" w:type="dxa"/>
            <w:vAlign w:val="center"/>
          </w:tcPr>
          <w:p>
            <w:pPr>
              <w:pStyle w:val="10"/>
              <w:rPr>
                <w:highlight w:val="green"/>
              </w:rPr>
            </w:pPr>
            <w:r>
              <w:rPr>
                <w:highlight w:val="green"/>
              </w:rPr>
              <w:t>≥80%</w:t>
            </w:r>
          </w:p>
        </w:tc>
        <w:tc>
          <w:tcPr>
            <w:tcW w:w="1843" w:type="dxa"/>
            <w:vAlign w:val="center"/>
          </w:tcPr>
          <w:p>
            <w:pPr>
              <w:pStyle w:val="10"/>
              <w:rPr>
                <w:highlight w:val="green"/>
              </w:rPr>
            </w:pPr>
            <w:r>
              <w:rPr>
                <w:highlight w:val="green"/>
              </w:rP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highlight w:val="green"/>
        </w:rPr>
      </w:pPr>
      <w:bookmarkStart w:id="50" w:name="_Toc_4_4_0000000051"/>
      <w:r>
        <w:rPr>
          <w:rFonts w:ascii="方正仿宋_GBK" w:hAnsi="方正仿宋_GBK" w:eastAsia="方正仿宋_GBK" w:cs="方正仿宋_GBK"/>
          <w:color w:val="000000"/>
          <w:sz w:val="28"/>
          <w:highlight w:val="green"/>
        </w:rPr>
        <w:t>48.提前下达2022年中央财政林业改革发展资金-森林生态效益补偿补助-国有管护补助绩效目标表</w:t>
      </w:r>
      <w:bookmarkEnd w:id="5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9"/>
            </w:pPr>
            <w:r>
              <w:t>324003区自然资源和规划部门山国营林场本级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13030322P004309100180</w:t>
            </w:r>
          </w:p>
        </w:tc>
        <w:tc>
          <w:tcPr>
            <w:tcW w:w="1587" w:type="dxa"/>
            <w:vAlign w:val="center"/>
          </w:tcPr>
          <w:p>
            <w:pPr>
              <w:pStyle w:val="11"/>
            </w:pPr>
            <w:r>
              <w:t>项目名称</w:t>
            </w:r>
          </w:p>
        </w:tc>
        <w:tc>
          <w:tcPr>
            <w:tcW w:w="4423" w:type="dxa"/>
            <w:gridSpan w:val="3"/>
            <w:vAlign w:val="center"/>
          </w:tcPr>
          <w:p>
            <w:pPr>
              <w:pStyle w:val="10"/>
            </w:pPr>
            <w:r>
              <w:t>提前下达2022年中央财政林业改革发展资金-森林生态效益补偿补助-国有管护补助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5.39</w:t>
            </w:r>
          </w:p>
        </w:tc>
        <w:tc>
          <w:tcPr>
            <w:tcW w:w="1587" w:type="dxa"/>
            <w:vAlign w:val="center"/>
          </w:tcPr>
          <w:p>
            <w:pPr>
              <w:pStyle w:val="11"/>
            </w:pPr>
            <w:r>
              <w:t>其中：财政    资金</w:t>
            </w:r>
          </w:p>
        </w:tc>
        <w:tc>
          <w:tcPr>
            <w:tcW w:w="1304" w:type="dxa"/>
            <w:vAlign w:val="center"/>
          </w:tcPr>
          <w:p>
            <w:pPr>
              <w:pStyle w:val="10"/>
            </w:pPr>
            <w:r>
              <w:t>5.39</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支付天然林管护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9"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85%</w:t>
            </w:r>
          </w:p>
        </w:tc>
        <w:tc>
          <w:tcPr>
            <w:tcW w:w="3119"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8" w:type="dxa"/>
            <w:gridSpan w:val="6"/>
            <w:vAlign w:val="center"/>
          </w:tcPr>
          <w:p>
            <w:pPr>
              <w:pStyle w:val="10"/>
            </w:pPr>
            <w:r>
              <w:t>1.加强森林资源管护，落实纳入森林资源管护补助的国有天然林管护和非国有天然林管护。</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天然商品林管护面积（万亩）</w:t>
            </w:r>
          </w:p>
        </w:tc>
        <w:tc>
          <w:tcPr>
            <w:tcW w:w="2891" w:type="dxa"/>
            <w:vAlign w:val="center"/>
          </w:tcPr>
          <w:p>
            <w:pPr>
              <w:pStyle w:val="10"/>
            </w:pPr>
            <w:r>
              <w:t>天然商品林管护面积（万亩）</w:t>
            </w:r>
          </w:p>
        </w:tc>
        <w:tc>
          <w:tcPr>
            <w:tcW w:w="1276" w:type="dxa"/>
            <w:vAlign w:val="center"/>
          </w:tcPr>
          <w:p>
            <w:pPr>
              <w:pStyle w:val="10"/>
            </w:pPr>
            <w:r>
              <w:t>≥62.05万亩</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主要林业有害生物成活率</w:t>
            </w:r>
          </w:p>
        </w:tc>
        <w:tc>
          <w:tcPr>
            <w:tcW w:w="2891" w:type="dxa"/>
            <w:vAlign w:val="center"/>
          </w:tcPr>
          <w:p>
            <w:pPr>
              <w:pStyle w:val="10"/>
            </w:pPr>
            <w:r>
              <w:t>主要林业有害生物成活率</w:t>
            </w:r>
          </w:p>
        </w:tc>
        <w:tc>
          <w:tcPr>
            <w:tcW w:w="1276" w:type="dxa"/>
            <w:vAlign w:val="center"/>
          </w:tcPr>
          <w:p>
            <w:pPr>
              <w:pStyle w:val="10"/>
              <w:rPr>
                <w:highlight w:val="green"/>
              </w:rPr>
            </w:pPr>
            <w:r>
              <w:rPr>
                <w:highlight w:val="green"/>
              </w:rPr>
              <w:t>≤1%</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天然林和国家级公益林管护当期任务完成率</w:t>
            </w:r>
          </w:p>
        </w:tc>
        <w:tc>
          <w:tcPr>
            <w:tcW w:w="2891" w:type="dxa"/>
            <w:vAlign w:val="center"/>
          </w:tcPr>
          <w:p>
            <w:pPr>
              <w:pStyle w:val="10"/>
            </w:pPr>
            <w:r>
              <w:rPr>
                <w:rFonts w:hint="eastAsia"/>
                <w:lang w:eastAsia="zh-CN"/>
              </w:rPr>
              <w:t>年底前</w:t>
            </w:r>
            <w:r>
              <w:t>天然林和国家级公益林管护当期任务完成率</w:t>
            </w:r>
          </w:p>
        </w:tc>
        <w:tc>
          <w:tcPr>
            <w:tcW w:w="1276" w:type="dxa"/>
            <w:vAlign w:val="center"/>
          </w:tcPr>
          <w:p>
            <w:pPr>
              <w:pStyle w:val="10"/>
              <w:rPr>
                <w:highlight w:val="green"/>
              </w:rPr>
            </w:pPr>
            <w:r>
              <w:rPr>
                <w:highlight w:val="green"/>
              </w:rPr>
              <w:t>≥90%</w:t>
            </w:r>
          </w:p>
        </w:tc>
        <w:tc>
          <w:tcPr>
            <w:tcW w:w="1843" w:type="dxa"/>
            <w:vAlign w:val="center"/>
          </w:tcPr>
          <w:p>
            <w:pPr>
              <w:pStyle w:val="10"/>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国家级公益林管护成本</w:t>
            </w:r>
          </w:p>
        </w:tc>
        <w:tc>
          <w:tcPr>
            <w:tcW w:w="2891" w:type="dxa"/>
            <w:vAlign w:val="center"/>
          </w:tcPr>
          <w:p>
            <w:pPr>
              <w:pStyle w:val="10"/>
            </w:pPr>
            <w:r>
              <w:t>国家级公益林管护中央财政补助成本</w:t>
            </w:r>
          </w:p>
        </w:tc>
        <w:tc>
          <w:tcPr>
            <w:tcW w:w="1276" w:type="dxa"/>
            <w:vAlign w:val="center"/>
          </w:tcPr>
          <w:p>
            <w:pPr>
              <w:pStyle w:val="10"/>
            </w:pPr>
            <w:r>
              <w:t>≤</w:t>
            </w:r>
            <w:r>
              <w:rPr>
                <w:rFonts w:hint="eastAsia"/>
                <w:lang w:val="en-US" w:eastAsia="zh-CN"/>
              </w:rPr>
              <w:t>5.39</w:t>
            </w:r>
            <w:r>
              <w:t>元</w:t>
            </w:r>
          </w:p>
        </w:tc>
        <w:tc>
          <w:tcPr>
            <w:tcW w:w="1843"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rPr>
                <w:rFonts w:ascii="方正书宋_GBK" w:hAnsi="方正书宋_GBK" w:eastAsia="方正书宋_GBK" w:cs="方正书宋_GBK"/>
                <w:sz w:val="21"/>
                <w:szCs w:val="24"/>
                <w:lang w:val="en-US" w:eastAsia="uk-UA" w:bidi="ar-SA"/>
              </w:rPr>
            </w:pPr>
            <w:r>
              <w:t>生态效益指标</w:t>
            </w:r>
          </w:p>
        </w:tc>
        <w:tc>
          <w:tcPr>
            <w:tcW w:w="1332" w:type="dxa"/>
            <w:vAlign w:val="center"/>
          </w:tcPr>
          <w:p>
            <w:pPr>
              <w:pStyle w:val="10"/>
              <w:rPr>
                <w:rFonts w:ascii="方正书宋_GBK" w:hAnsi="方正书宋_GBK" w:eastAsia="方正书宋_GBK" w:cs="方正书宋_GBK"/>
                <w:sz w:val="21"/>
                <w:szCs w:val="24"/>
                <w:lang w:val="en-US" w:eastAsia="uk-UA" w:bidi="ar-SA"/>
              </w:rPr>
            </w:pPr>
            <w:r>
              <w:t>促进生态林业与经济社会发展</w:t>
            </w:r>
          </w:p>
        </w:tc>
        <w:tc>
          <w:tcPr>
            <w:tcW w:w="2891" w:type="dxa"/>
            <w:vAlign w:val="center"/>
          </w:tcPr>
          <w:p>
            <w:pPr>
              <w:pStyle w:val="10"/>
              <w:rPr>
                <w:rFonts w:ascii="方正书宋_GBK" w:hAnsi="方正书宋_GBK" w:eastAsia="方正书宋_GBK" w:cs="方正书宋_GBK"/>
                <w:sz w:val="21"/>
                <w:szCs w:val="24"/>
                <w:lang w:val="en-US" w:eastAsia="uk-UA" w:bidi="ar-SA"/>
              </w:rPr>
            </w:pPr>
            <w:r>
              <w:t>促进我区生态林业与经济社会和谐发展</w:t>
            </w:r>
          </w:p>
        </w:tc>
        <w:tc>
          <w:tcPr>
            <w:tcW w:w="1276" w:type="dxa"/>
            <w:vAlign w:val="center"/>
          </w:tcPr>
          <w:p>
            <w:pPr>
              <w:pStyle w:val="10"/>
              <w:rPr>
                <w:rFonts w:ascii="方正书宋_GBK" w:hAnsi="方正书宋_GBK" w:eastAsia="方正书宋_GBK" w:cs="方正书宋_GBK"/>
                <w:sz w:val="21"/>
                <w:szCs w:val="24"/>
                <w:lang w:val="en-US" w:eastAsia="uk-UA" w:bidi="ar-SA"/>
              </w:rPr>
            </w:pPr>
            <w:r>
              <w:t>促进</w:t>
            </w:r>
          </w:p>
        </w:tc>
        <w:tc>
          <w:tcPr>
            <w:tcW w:w="1843" w:type="dxa"/>
            <w:vAlign w:val="center"/>
          </w:tcPr>
          <w:p>
            <w:pPr>
              <w:pStyle w:val="10"/>
              <w:rPr>
                <w:rFonts w:ascii="方正书宋_GBK" w:hAnsi="方正书宋_GBK" w:eastAsia="方正书宋_GBK" w:cs="方正书宋_GBK"/>
                <w:sz w:val="21"/>
                <w:szCs w:val="24"/>
                <w:lang w:val="en-US" w:eastAsia="uk-UA" w:bidi="ar-SA"/>
              </w:rPr>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rPr>
                <w:highlight w:val="green"/>
              </w:rPr>
            </w:pPr>
            <w:r>
              <w:rPr>
                <w:rFonts w:hint="eastAsia"/>
                <w:highlight w:val="green"/>
                <w:lang w:eastAsia="zh-CN"/>
              </w:rPr>
              <w:t>人民群众</w:t>
            </w:r>
            <w:r>
              <w:rPr>
                <w:highlight w:val="green"/>
              </w:rPr>
              <w:t>满意度</w:t>
            </w:r>
          </w:p>
        </w:tc>
        <w:tc>
          <w:tcPr>
            <w:tcW w:w="1276" w:type="dxa"/>
            <w:vAlign w:val="center"/>
          </w:tcPr>
          <w:p>
            <w:pPr>
              <w:pStyle w:val="10"/>
              <w:rPr>
                <w:highlight w:val="green"/>
              </w:rPr>
            </w:pPr>
            <w:r>
              <w:rPr>
                <w:highlight w:val="green"/>
              </w:rPr>
              <w:t>≥80%</w:t>
            </w:r>
          </w:p>
        </w:tc>
        <w:tc>
          <w:tcPr>
            <w:tcW w:w="1843" w:type="dxa"/>
            <w:vAlign w:val="center"/>
          </w:tcPr>
          <w:p>
            <w:pPr>
              <w:pStyle w:val="10"/>
              <w:rPr>
                <w:highlight w:val="green"/>
              </w:rPr>
            </w:pPr>
            <w:r>
              <w:rPr>
                <w:highlight w:val="gree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51" w:name="_Toc_4_4_0000000052"/>
      <w:r>
        <w:rPr>
          <w:rFonts w:ascii="方正仿宋_GBK" w:hAnsi="方正仿宋_GBK" w:eastAsia="方正仿宋_GBK" w:cs="方正仿宋_GBK"/>
          <w:color w:val="000000"/>
          <w:sz w:val="28"/>
          <w:highlight w:val="none"/>
        </w:rPr>
        <w:t>49.专项补助绩效目标表</w:t>
      </w:r>
      <w:bookmarkEnd w:id="51"/>
    </w:p>
    <w:p>
      <w:pPr>
        <w:outlineLvl w:val="3"/>
        <w:rPr>
          <w:rFonts w:ascii="宋体" w:cs="宋体"/>
          <w:sz w:val="21"/>
          <w:szCs w:val="21"/>
        </w:rPr>
      </w:pPr>
      <w:r>
        <w:rPr>
          <w:rFonts w:ascii="方正书宋_GBK" w:hAnsi="方正书宋_GBK" w:eastAsia="方正书宋_GBK" w:cs="方正书宋_GBK"/>
          <w:sz w:val="21"/>
          <w:szCs w:val="21"/>
          <w:lang w:eastAsia="zh-CN"/>
        </w:rPr>
        <w:t>3</w:t>
      </w:r>
      <w:r>
        <w:rPr>
          <w:rFonts w:ascii="宋体" w:hAnsi="宋体" w:cs="宋体"/>
          <w:sz w:val="21"/>
          <w:szCs w:val="21"/>
        </w:rPr>
        <w:t>24004</w:t>
      </w:r>
      <w:r>
        <w:rPr>
          <w:rFonts w:hint="eastAsia" w:ascii="宋体" w:hAnsi="宋体" w:cs="宋体"/>
          <w:sz w:val="21"/>
          <w:szCs w:val="21"/>
        </w:rPr>
        <w:t>秦皇岛市山海关区房屋征收中心</w:t>
      </w:r>
      <w:r>
        <w:rPr>
          <w:rFonts w:ascii="宋体" w:hAnsi="宋体" w:cs="宋体"/>
          <w:sz w:val="21"/>
          <w:szCs w:val="21"/>
        </w:rPr>
        <w:t xml:space="preserve">        </w:t>
      </w:r>
      <w:r>
        <w:rPr>
          <w:rFonts w:ascii="宋体" w:hAnsi="宋体" w:cs="宋体"/>
          <w:sz w:val="21"/>
          <w:szCs w:val="21"/>
          <w:lang w:eastAsia="zh-CN"/>
        </w:rPr>
        <w:t xml:space="preserve">                                   </w:t>
      </w:r>
      <w:r>
        <w:rPr>
          <w:rFonts w:hint="eastAsia" w:ascii="宋体" w:hAnsi="宋体" w:cs="宋体"/>
          <w:sz w:val="21"/>
          <w:szCs w:val="21"/>
        </w:rPr>
        <w:t>单位：万元</w:t>
      </w:r>
    </w:p>
    <w:tbl>
      <w:tblPr>
        <w:tblStyle w:val="2"/>
        <w:tblW w:w="0" w:type="auto"/>
        <w:jc w:val="center"/>
        <w:tblLayout w:type="fixed"/>
        <w:tblCellMar>
          <w:top w:w="0" w:type="dxa"/>
          <w:left w:w="108" w:type="dxa"/>
          <w:bottom w:w="0" w:type="dxa"/>
          <w:right w:w="108" w:type="dxa"/>
        </w:tblCellMar>
      </w:tblPr>
      <w:tblGrid>
        <w:gridCol w:w="1276"/>
        <w:gridCol w:w="1276"/>
        <w:gridCol w:w="1332"/>
        <w:gridCol w:w="1587"/>
        <w:gridCol w:w="1304"/>
        <w:gridCol w:w="1907"/>
        <w:gridCol w:w="1212"/>
      </w:tblGrid>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项目编码</w:t>
            </w:r>
          </w:p>
        </w:tc>
        <w:tc>
          <w:tcPr>
            <w:tcW w:w="2608"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13030322P004205100072</w:t>
            </w:r>
          </w:p>
        </w:tc>
        <w:tc>
          <w:tcPr>
            <w:tcW w:w="158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项目名称</w:t>
            </w:r>
          </w:p>
        </w:tc>
        <w:tc>
          <w:tcPr>
            <w:tcW w:w="4423" w:type="dxa"/>
            <w:gridSpan w:val="3"/>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专项补助</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预算规模及资金用途</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预算数</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212.91</w:t>
            </w:r>
          </w:p>
        </w:tc>
        <w:tc>
          <w:tcPr>
            <w:tcW w:w="158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其中：财政</w:t>
            </w:r>
            <w:r>
              <w:rPr>
                <w:rFonts w:ascii="宋体" w:hAnsi="宋体" w:cs="宋体"/>
                <w:b/>
                <w:bCs/>
                <w:sz w:val="18"/>
                <w:szCs w:val="18"/>
              </w:rPr>
              <w:t xml:space="preserve">    </w:t>
            </w:r>
            <w:r>
              <w:rPr>
                <w:rFonts w:hint="eastAsia" w:ascii="宋体" w:hAnsi="宋体" w:cs="宋体"/>
                <w:b/>
                <w:bCs/>
                <w:sz w:val="18"/>
                <w:szCs w:val="18"/>
              </w:rPr>
              <w:t>资金</w:t>
            </w:r>
          </w:p>
        </w:tc>
        <w:tc>
          <w:tcPr>
            <w:tcW w:w="130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212.91</w:t>
            </w: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其他资金</w:t>
            </w:r>
          </w:p>
        </w:tc>
        <w:tc>
          <w:tcPr>
            <w:tcW w:w="121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color w:val="000000"/>
                <w:sz w:val="18"/>
                <w:szCs w:val="18"/>
              </w:rPr>
            </w:pPr>
          </w:p>
        </w:tc>
        <w:tc>
          <w:tcPr>
            <w:tcW w:w="8618" w:type="dxa"/>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职工工资和保险的支出</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360" w:lineRule="auto"/>
              <w:ind w:firstLine="360" w:firstLineChars="200"/>
              <w:jc w:val="center"/>
              <w:rPr>
                <w:rFonts w:ascii="宋体" w:cs="宋体"/>
                <w:color w:val="000000"/>
                <w:sz w:val="18"/>
                <w:szCs w:val="18"/>
              </w:rPr>
            </w:pPr>
            <w:r>
              <w:rPr>
                <w:rFonts w:hint="eastAsia" w:ascii="宋体" w:hAnsi="宋体" w:cs="宋体"/>
                <w:b/>
                <w:bCs/>
                <w:sz w:val="18"/>
                <w:szCs w:val="18"/>
              </w:rPr>
              <w:t>资金支出计划（</w:t>
            </w:r>
            <w:r>
              <w:rPr>
                <w:rFonts w:ascii="宋体" w:hAnsi="宋体" w:cs="宋体"/>
                <w:b/>
                <w:bCs/>
                <w:sz w:val="18"/>
                <w:szCs w:val="18"/>
              </w:rPr>
              <w:t>%</w:t>
            </w:r>
            <w:r>
              <w:rPr>
                <w:rFonts w:hint="eastAsia" w:ascii="宋体" w:hAnsi="宋体" w:cs="宋体"/>
                <w:b/>
                <w:bCs/>
                <w:sz w:val="18"/>
                <w:szCs w:val="18"/>
              </w:rPr>
              <w:t>）</w:t>
            </w:r>
          </w:p>
        </w:tc>
        <w:tc>
          <w:tcPr>
            <w:tcW w:w="2608"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b/>
                <w:bCs/>
                <w:sz w:val="18"/>
                <w:szCs w:val="18"/>
              </w:rPr>
              <w:t>3</w:t>
            </w:r>
            <w:r>
              <w:rPr>
                <w:rFonts w:hint="eastAsia" w:ascii="宋体" w:hAnsi="宋体" w:cs="宋体"/>
                <w:b/>
                <w:bCs/>
                <w:sz w:val="18"/>
                <w:szCs w:val="18"/>
              </w:rPr>
              <w:t>月底</w:t>
            </w:r>
          </w:p>
        </w:tc>
        <w:tc>
          <w:tcPr>
            <w:tcW w:w="158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b/>
                <w:bCs/>
                <w:sz w:val="18"/>
                <w:szCs w:val="18"/>
              </w:rPr>
              <w:t>6</w:t>
            </w:r>
            <w:r>
              <w:rPr>
                <w:rFonts w:hint="eastAsia" w:ascii="宋体" w:hAnsi="宋体" w:cs="宋体"/>
                <w:b/>
                <w:bCs/>
                <w:sz w:val="18"/>
                <w:szCs w:val="18"/>
              </w:rPr>
              <w:t>月底</w:t>
            </w:r>
          </w:p>
        </w:tc>
        <w:tc>
          <w:tcPr>
            <w:tcW w:w="130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b/>
                <w:bCs/>
                <w:sz w:val="18"/>
                <w:szCs w:val="18"/>
              </w:rPr>
              <w:t>10</w:t>
            </w:r>
            <w:r>
              <w:rPr>
                <w:rFonts w:hint="eastAsia" w:ascii="宋体" w:hAnsi="宋体" w:cs="宋体"/>
                <w:b/>
                <w:bCs/>
                <w:sz w:val="18"/>
                <w:szCs w:val="18"/>
              </w:rPr>
              <w:t>月底</w:t>
            </w:r>
          </w:p>
        </w:tc>
        <w:tc>
          <w:tcPr>
            <w:tcW w:w="3119"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b/>
                <w:bCs/>
                <w:sz w:val="18"/>
                <w:szCs w:val="18"/>
              </w:rPr>
              <w:t>12</w:t>
            </w:r>
            <w:r>
              <w:rPr>
                <w:rFonts w:hint="eastAsia" w:ascii="宋体" w:hAnsi="宋体" w:cs="宋体"/>
                <w:b/>
                <w:bCs/>
                <w:sz w:val="18"/>
                <w:szCs w:val="18"/>
              </w:rPr>
              <w:t>月底</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color w:val="000000"/>
                <w:sz w:val="18"/>
                <w:szCs w:val="18"/>
              </w:rPr>
            </w:pPr>
          </w:p>
        </w:tc>
        <w:tc>
          <w:tcPr>
            <w:tcW w:w="2608"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sz w:val="18"/>
                <w:szCs w:val="18"/>
              </w:rPr>
              <w:t>20%</w:t>
            </w:r>
          </w:p>
        </w:tc>
        <w:tc>
          <w:tcPr>
            <w:tcW w:w="158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sz w:val="18"/>
                <w:szCs w:val="18"/>
              </w:rPr>
              <w:t>53%</w:t>
            </w:r>
          </w:p>
        </w:tc>
        <w:tc>
          <w:tcPr>
            <w:tcW w:w="130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sz w:val="18"/>
                <w:szCs w:val="18"/>
              </w:rPr>
              <w:t>75%</w:t>
            </w:r>
          </w:p>
        </w:tc>
        <w:tc>
          <w:tcPr>
            <w:tcW w:w="3119"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ascii="宋体" w:hAnsi="宋体" w:cs="宋体"/>
                <w:sz w:val="18"/>
                <w:szCs w:val="18"/>
              </w:rPr>
              <w:t>100%</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绩效目标</w:t>
            </w:r>
          </w:p>
        </w:tc>
        <w:tc>
          <w:tcPr>
            <w:tcW w:w="8618" w:type="dxa"/>
            <w:gridSpan w:val="6"/>
            <w:tcBorders>
              <w:top w:val="single" w:color="000000" w:sz="6" w:space="0"/>
              <w:left w:val="single" w:color="000000" w:sz="6" w:space="0"/>
              <w:bottom w:val="single" w:color="FFFFFF"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lang w:eastAsia="zh-CN"/>
              </w:rPr>
              <w:t>1</w:t>
            </w:r>
            <w:r>
              <w:rPr>
                <w:rFonts w:hint="eastAsia" w:ascii="宋体" w:hAnsi="宋体" w:cs="宋体"/>
                <w:sz w:val="18"/>
                <w:szCs w:val="18"/>
                <w:lang w:eastAsia="zh-CN"/>
              </w:rPr>
              <w:t>、</w:t>
            </w:r>
            <w:r>
              <w:rPr>
                <w:rFonts w:hint="eastAsia" w:ascii="宋体" w:hAnsi="宋体" w:cs="宋体"/>
                <w:sz w:val="18"/>
                <w:szCs w:val="18"/>
              </w:rPr>
              <w:t>保障各项人员工资、保险等经费支出</w:t>
            </w:r>
          </w:p>
        </w:tc>
      </w:tr>
    </w:tbl>
    <w:p>
      <w:pPr>
        <w:spacing w:line="2" w:lineRule="exact"/>
        <w:jc w:val="center"/>
        <w:rPr>
          <w:rFonts w:ascii="宋体" w:cs="宋体"/>
          <w:color w:val="000000"/>
          <w:sz w:val="18"/>
          <w:szCs w:val="18"/>
        </w:rPr>
      </w:pPr>
      <w:r>
        <w:rPr>
          <w:rFonts w:ascii="宋体" w:hAnsi="宋体" w:cs="宋体"/>
          <w:color w:val="000000"/>
          <w:sz w:val="18"/>
          <w:szCs w:val="18"/>
        </w:rPr>
        <w:t xml:space="preserve"> </w:t>
      </w:r>
    </w:p>
    <w:tbl>
      <w:tblPr>
        <w:tblStyle w:val="2"/>
        <w:tblW w:w="0" w:type="auto"/>
        <w:jc w:val="center"/>
        <w:tblLayout w:type="fixed"/>
        <w:tblCellMar>
          <w:top w:w="0" w:type="dxa"/>
          <w:left w:w="108" w:type="dxa"/>
          <w:bottom w:w="0" w:type="dxa"/>
          <w:right w:w="108" w:type="dxa"/>
        </w:tblCellMar>
      </w:tblPr>
      <w:tblGrid>
        <w:gridCol w:w="1276"/>
        <w:gridCol w:w="1276"/>
        <w:gridCol w:w="1332"/>
        <w:gridCol w:w="2891"/>
        <w:gridCol w:w="1757"/>
        <w:gridCol w:w="1362"/>
      </w:tblGrid>
      <w:tr>
        <w:tblPrEx>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一级指标</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二级指标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三级指标</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绩效指标描述</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指标值</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b/>
                <w:bCs/>
                <w:sz w:val="18"/>
                <w:szCs w:val="18"/>
              </w:rP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18"/>
                <w:szCs w:val="18"/>
              </w:rPr>
            </w:pPr>
            <w:r>
              <w:rPr>
                <w:rFonts w:hint="eastAsia" w:ascii="宋体" w:hAnsi="宋体" w:cs="宋体"/>
                <w:sz w:val="18"/>
                <w:szCs w:val="18"/>
              </w:rPr>
              <w:t>产出指标</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数量指标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支付工资及保险人员数量</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支付工资及保险人员数量</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18</w:t>
            </w:r>
            <w:r>
              <w:rPr>
                <w:rFonts w:hint="eastAsia" w:ascii="宋体" w:hAnsi="宋体" w:cs="宋体"/>
                <w:sz w:val="18"/>
                <w:szCs w:val="18"/>
              </w:rPr>
              <w:t>人</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color w:val="000000"/>
                <w:sz w:val="18"/>
                <w:szCs w:val="18"/>
                <w:highlight w:val="green"/>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color w:val="000000"/>
                <w:sz w:val="18"/>
                <w:szCs w:val="18"/>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质量指标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工资及保险发放准确率</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工资及保险发放准确率</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ascii="宋体" w:hAnsi="宋体" w:cs="宋体"/>
                <w:sz w:val="18"/>
                <w:szCs w:val="18"/>
              </w:rPr>
              <w:t>18</w:t>
            </w:r>
            <w:r>
              <w:rPr>
                <w:rFonts w:hint="eastAsia" w:ascii="宋体" w:hAnsi="宋体" w:cs="宋体"/>
                <w:sz w:val="18"/>
                <w:szCs w:val="18"/>
              </w:rPr>
              <w:t>人</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color w:val="000000"/>
                <w:sz w:val="18"/>
                <w:szCs w:val="18"/>
                <w:highlight w:val="green"/>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color w:val="000000"/>
                <w:sz w:val="18"/>
                <w:szCs w:val="18"/>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时效指标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资金支付及时率</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color w:val="000000"/>
                <w:sz w:val="18"/>
                <w:szCs w:val="18"/>
              </w:rPr>
              <w:t>资金支付及时率</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highlight w:val="green"/>
              </w:rPr>
            </w:pPr>
            <w:r>
              <w:rPr>
                <w:rFonts w:hint="eastAsia" w:ascii="宋体" w:hAnsi="宋体" w:cs="宋体"/>
                <w:color w:val="000000"/>
                <w:sz w:val="18"/>
                <w:szCs w:val="18"/>
                <w:highlight w:val="green"/>
              </w:rPr>
              <w:t>每月</w:t>
            </w:r>
            <w:r>
              <w:rPr>
                <w:rFonts w:ascii="宋体" w:hAnsi="宋体" w:cs="宋体"/>
                <w:color w:val="000000"/>
                <w:sz w:val="18"/>
                <w:szCs w:val="18"/>
                <w:highlight w:val="green"/>
              </w:rPr>
              <w:t>30</w:t>
            </w:r>
            <w:r>
              <w:rPr>
                <w:rFonts w:hint="eastAsia" w:ascii="宋体" w:hAnsi="宋体" w:cs="宋体"/>
                <w:color w:val="000000"/>
                <w:sz w:val="18"/>
                <w:szCs w:val="18"/>
                <w:highlight w:val="green"/>
              </w:rPr>
              <w:t>日之前</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highlight w:val="green"/>
              </w:rPr>
            </w:pPr>
            <w:r>
              <w:rPr>
                <w:rFonts w:hint="eastAsia" w:ascii="宋体" w:hAnsi="宋体" w:cs="宋体"/>
                <w:color w:val="000000"/>
                <w:sz w:val="18"/>
                <w:szCs w:val="18"/>
                <w:highlight w:val="green"/>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color w:val="000000"/>
                <w:sz w:val="18"/>
                <w:szCs w:val="18"/>
              </w:rPr>
            </w:pP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成本指标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控制在预算资金内</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rPr>
            </w:pPr>
            <w:r>
              <w:rPr>
                <w:rFonts w:hint="eastAsia" w:ascii="宋体" w:hAnsi="宋体" w:cs="宋体"/>
                <w:sz w:val="18"/>
                <w:szCs w:val="18"/>
              </w:rPr>
              <w:t>控制在预算资金内</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highlight w:val="green"/>
              </w:rPr>
            </w:pPr>
            <w:r>
              <w:rPr>
                <w:rFonts w:hint="eastAsia" w:hAnsi="宋体" w:cs="宋体"/>
                <w:color w:val="000000"/>
                <w:sz w:val="18"/>
                <w:szCs w:val="18"/>
                <w:highlight w:val="green"/>
              </w:rPr>
              <w:t>≦</w:t>
            </w:r>
            <w:r>
              <w:rPr>
                <w:rFonts w:hAnsi="宋体" w:cs="宋体"/>
                <w:color w:val="000000"/>
                <w:sz w:val="18"/>
                <w:szCs w:val="18"/>
                <w:highlight w:val="green"/>
              </w:rPr>
              <w:t>212.91</w:t>
            </w:r>
            <w:r>
              <w:rPr>
                <w:rFonts w:hint="eastAsia" w:hAnsi="宋体" w:cs="宋体"/>
                <w:color w:val="000000"/>
                <w:sz w:val="18"/>
                <w:szCs w:val="18"/>
                <w:highlight w:val="green"/>
              </w:rPr>
              <w:t>万元</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18"/>
                <w:szCs w:val="18"/>
                <w:highlight w:val="green"/>
              </w:rPr>
            </w:pPr>
            <w:r>
              <w:rPr>
                <w:rFonts w:hint="eastAsia" w:ascii="宋体" w:hAnsi="宋体" w:cs="宋体"/>
                <w:color w:val="000000"/>
                <w:sz w:val="18"/>
                <w:szCs w:val="18"/>
                <w:highlight w:val="green"/>
              </w:rPr>
              <w:t>预算数额</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cs="宋体"/>
                <w:color w:val="000000"/>
                <w:sz w:val="18"/>
                <w:szCs w:val="18"/>
                <w:lang w:eastAsia="zh-CN"/>
              </w:rPr>
            </w:pPr>
            <w:r>
              <w:rPr>
                <w:rFonts w:hint="eastAsia" w:ascii="宋体" w:cs="宋体"/>
                <w:color w:val="000000"/>
                <w:sz w:val="18"/>
                <w:szCs w:val="18"/>
                <w:lang w:eastAsia="zh-CN"/>
              </w:rPr>
              <w:t>效益指标</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hint="eastAsia" w:ascii="宋体" w:hAnsi="宋体" w:cs="宋体"/>
                <w:sz w:val="18"/>
                <w:szCs w:val="18"/>
              </w:rPr>
            </w:pPr>
            <w:r>
              <w:rPr>
                <w:rFonts w:hint="eastAsia" w:ascii="宋体" w:hAnsi="宋体" w:cs="宋体"/>
                <w:sz w:val="18"/>
                <w:szCs w:val="18"/>
              </w:rPr>
              <w:t>社会效益指标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hint="eastAsia" w:ascii="宋体" w:hAnsi="宋体" w:cs="宋体"/>
                <w:sz w:val="18"/>
                <w:szCs w:val="18"/>
              </w:rPr>
            </w:pPr>
            <w:r>
              <w:rPr>
                <w:rFonts w:hint="eastAsia" w:ascii="宋体" w:hAnsi="宋体" w:cs="宋体"/>
                <w:sz w:val="18"/>
                <w:szCs w:val="18"/>
              </w:rPr>
              <w:t>业务工作稳定性</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hint="eastAsia" w:ascii="宋体" w:hAnsi="宋体" w:cs="宋体"/>
                <w:sz w:val="18"/>
                <w:szCs w:val="18"/>
              </w:rPr>
            </w:pPr>
            <w:r>
              <w:rPr>
                <w:rFonts w:hint="eastAsia" w:ascii="宋体" w:hAnsi="宋体" w:cs="宋体"/>
                <w:sz w:val="18"/>
                <w:szCs w:val="18"/>
              </w:rPr>
              <w:t>通过日常工作稳定运转</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hint="eastAsia" w:ascii="宋体" w:hAnsi="宋体" w:cs="宋体"/>
                <w:sz w:val="18"/>
                <w:szCs w:val="18"/>
              </w:rPr>
            </w:pPr>
            <w:r>
              <w:rPr>
                <w:rFonts w:hint="eastAsia" w:ascii="宋体" w:hAnsi="宋体" w:cs="宋体"/>
                <w:sz w:val="18"/>
                <w:szCs w:val="18"/>
                <w:highlight w:val="green"/>
              </w:rPr>
              <w:t>到岗工作情况</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hint="eastAsia" w:ascii="宋体" w:hAnsi="宋体" w:cs="宋体"/>
                <w:color w:val="000000"/>
                <w:sz w:val="18"/>
                <w:szCs w:val="18"/>
              </w:rPr>
            </w:pPr>
            <w:r>
              <w:rPr>
                <w:rFonts w:hint="eastAsia" w:ascii="宋体" w:hAnsi="宋体" w:cs="宋体"/>
                <w:color w:val="000000"/>
                <w:sz w:val="18"/>
                <w:szCs w:val="18"/>
                <w:highlight w:val="green"/>
              </w:rPr>
              <w:t>到岗情况表</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jc w:val="center"/>
              <w:rPr>
                <w:rFonts w:ascii="宋体" w:cs="宋体"/>
                <w:color w:val="000000"/>
                <w:sz w:val="21"/>
                <w:szCs w:val="21"/>
              </w:rPr>
            </w:pPr>
            <w:r>
              <w:rPr>
                <w:rFonts w:hint="eastAsia" w:ascii="宋体" w:hAnsi="宋体" w:cs="宋体"/>
                <w:sz w:val="21"/>
                <w:szCs w:val="21"/>
              </w:rPr>
              <w:t>满意度指标</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21"/>
                <w:szCs w:val="21"/>
              </w:rPr>
            </w:pPr>
            <w:r>
              <w:rPr>
                <w:rFonts w:hint="eastAsia" w:ascii="宋体" w:hAnsi="宋体" w:cs="宋体"/>
                <w:sz w:val="21"/>
                <w:szCs w:val="21"/>
              </w:rPr>
              <w:t>服务对象满意度指标</w:t>
            </w:r>
          </w:p>
        </w:tc>
        <w:tc>
          <w:tcPr>
            <w:tcW w:w="133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21"/>
                <w:szCs w:val="21"/>
              </w:rPr>
            </w:pPr>
            <w:r>
              <w:rPr>
                <w:rFonts w:hint="eastAsia" w:ascii="宋体" w:hAnsi="宋体" w:cs="宋体"/>
                <w:sz w:val="21"/>
                <w:szCs w:val="21"/>
              </w:rPr>
              <w:t>职工满意度</w:t>
            </w:r>
          </w:p>
        </w:tc>
        <w:tc>
          <w:tcPr>
            <w:tcW w:w="289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21"/>
                <w:szCs w:val="21"/>
              </w:rPr>
            </w:pPr>
            <w:r>
              <w:rPr>
                <w:rFonts w:hint="eastAsia" w:ascii="宋体" w:hAnsi="宋体" w:cs="宋体"/>
                <w:sz w:val="21"/>
                <w:szCs w:val="21"/>
              </w:rPr>
              <w:t>满意度人员占总职工人数</w:t>
            </w:r>
          </w:p>
        </w:tc>
        <w:tc>
          <w:tcPr>
            <w:tcW w:w="1757"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21"/>
                <w:szCs w:val="21"/>
              </w:rPr>
            </w:pPr>
            <w:r>
              <w:rPr>
                <w:rFonts w:hint="eastAsia" w:ascii="宋体" w:hAnsi="宋体" w:cs="宋体"/>
                <w:sz w:val="21"/>
                <w:szCs w:val="21"/>
              </w:rPr>
              <w:t>≥</w:t>
            </w:r>
            <w:r>
              <w:rPr>
                <w:rFonts w:ascii="宋体" w:hAnsi="宋体" w:cs="宋体"/>
                <w:sz w:val="21"/>
                <w:szCs w:val="21"/>
              </w:rPr>
              <w:t>95%</w:t>
            </w:r>
          </w:p>
        </w:tc>
        <w:tc>
          <w:tcPr>
            <w:tcW w:w="136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rPr>
                <w:rFonts w:ascii="宋体" w:cs="宋体"/>
                <w:color w:val="000000"/>
                <w:sz w:val="21"/>
                <w:szCs w:val="21"/>
              </w:rPr>
            </w:pPr>
            <w:r>
              <w:rPr>
                <w:rFonts w:hint="eastAsia" w:ascii="宋体" w:hAnsi="宋体" w:cs="宋体"/>
                <w:color w:val="000000"/>
                <w:sz w:val="21"/>
                <w:szCs w:val="21"/>
                <w:highlight w:val="green"/>
              </w:rPr>
              <w:t>问卷调查</w:t>
            </w:r>
          </w:p>
        </w:tc>
      </w:tr>
    </w:tbl>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52" w:name="_Toc_4_4_0000000053"/>
      <w:r>
        <w:rPr>
          <w:rFonts w:ascii="方正仿宋_GBK" w:hAnsi="方正仿宋_GBK" w:eastAsia="方正仿宋_GBK" w:cs="方正仿宋_GBK"/>
          <w:color w:val="000000"/>
          <w:sz w:val="28"/>
          <w:highlight w:val="none"/>
        </w:rPr>
        <w:t>50.木材检查站补助经费绩效目标表</w:t>
      </w:r>
      <w:bookmarkEnd w:id="5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324005河北省秦皇岛市山海关区木材检查站（秦皇岛市山海关区森林病虫害防治检疫站）</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13030322P00425410002E</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木材检查站补助经费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193.65</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193.65</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用于此项目的正常支出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1.保证木材检查站补助经费的正确使用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保障人数</w:t>
            </w:r>
          </w:p>
        </w:tc>
        <w:tc>
          <w:tcPr>
            <w:tcW w:w="2891" w:type="dxa"/>
            <w:vAlign w:val="center"/>
          </w:tcPr>
          <w:p>
            <w:pPr>
              <w:pStyle w:val="10"/>
              <w:rPr>
                <w:highlight w:val="none"/>
              </w:rPr>
            </w:pPr>
            <w:r>
              <w:rPr>
                <w:highlight w:val="none"/>
              </w:rPr>
              <w:t>检查站工作人员发放工资数量</w:t>
            </w:r>
          </w:p>
        </w:tc>
        <w:tc>
          <w:tcPr>
            <w:tcW w:w="1276" w:type="dxa"/>
            <w:vAlign w:val="center"/>
          </w:tcPr>
          <w:p>
            <w:pPr>
              <w:pStyle w:val="10"/>
              <w:rPr>
                <w:highlight w:val="none"/>
              </w:rPr>
            </w:pPr>
            <w:r>
              <w:rPr>
                <w:highlight w:val="none"/>
              </w:rPr>
              <w:t>≤193.65万元</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工资福利发放的精确性</w:t>
            </w:r>
          </w:p>
        </w:tc>
        <w:tc>
          <w:tcPr>
            <w:tcW w:w="2891" w:type="dxa"/>
            <w:vAlign w:val="center"/>
          </w:tcPr>
          <w:p>
            <w:pPr>
              <w:pStyle w:val="10"/>
              <w:rPr>
                <w:highlight w:val="none"/>
              </w:rPr>
            </w:pPr>
            <w:r>
              <w:rPr>
                <w:highlight w:val="none"/>
              </w:rPr>
              <w:t>工资福利等发放人员范围的精确性和发放数据的准确性</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社会保障缴纳的准确性</w:t>
            </w:r>
          </w:p>
        </w:tc>
        <w:tc>
          <w:tcPr>
            <w:tcW w:w="2891" w:type="dxa"/>
            <w:vAlign w:val="center"/>
          </w:tcPr>
          <w:p>
            <w:pPr>
              <w:pStyle w:val="10"/>
              <w:rPr>
                <w:highlight w:val="none"/>
              </w:rPr>
            </w:pPr>
            <w:r>
              <w:rPr>
                <w:highlight w:val="none"/>
              </w:rPr>
              <w:t>社会保障缴纳数据的准确性</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社会保障缴纳的及时性</w:t>
            </w:r>
          </w:p>
        </w:tc>
        <w:tc>
          <w:tcPr>
            <w:tcW w:w="2891" w:type="dxa"/>
            <w:vAlign w:val="center"/>
          </w:tcPr>
          <w:p>
            <w:pPr>
              <w:pStyle w:val="10"/>
              <w:rPr>
                <w:highlight w:val="none"/>
              </w:rPr>
            </w:pPr>
            <w:r>
              <w:rPr>
                <w:highlight w:val="none"/>
              </w:rPr>
              <w:t>社会保障缴纳的时效情况</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工资（福利）发放及时性</w:t>
            </w:r>
          </w:p>
        </w:tc>
        <w:tc>
          <w:tcPr>
            <w:tcW w:w="2891" w:type="dxa"/>
            <w:vAlign w:val="center"/>
          </w:tcPr>
          <w:p>
            <w:pPr>
              <w:pStyle w:val="10"/>
              <w:rPr>
                <w:highlight w:val="none"/>
              </w:rPr>
            </w:pPr>
            <w:r>
              <w:rPr>
                <w:highlight w:val="none"/>
              </w:rPr>
              <w:t>工资（福利）发放的时效情况</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年度支出金额</w:t>
            </w:r>
          </w:p>
        </w:tc>
        <w:tc>
          <w:tcPr>
            <w:tcW w:w="2891" w:type="dxa"/>
            <w:vAlign w:val="center"/>
          </w:tcPr>
          <w:p>
            <w:pPr>
              <w:pStyle w:val="10"/>
              <w:rPr>
                <w:highlight w:val="none"/>
              </w:rPr>
            </w:pPr>
            <w:r>
              <w:rPr>
                <w:highlight w:val="none"/>
              </w:rPr>
              <w:t>支出金控制在预算额度内</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保持人员稳定</w:t>
            </w:r>
          </w:p>
        </w:tc>
        <w:tc>
          <w:tcPr>
            <w:tcW w:w="2891" w:type="dxa"/>
            <w:vAlign w:val="center"/>
          </w:tcPr>
          <w:p>
            <w:pPr>
              <w:pStyle w:val="10"/>
              <w:rPr>
                <w:highlight w:val="none"/>
              </w:rPr>
            </w:pPr>
            <w:r>
              <w:rPr>
                <w:highlight w:val="none"/>
              </w:rPr>
              <w:t>通过按时按标准发放工资福利等，增强干职工的归属感，保持干部队伍稳定，保障办公正常运转</w:t>
            </w:r>
          </w:p>
        </w:tc>
        <w:tc>
          <w:tcPr>
            <w:tcW w:w="1276" w:type="dxa"/>
            <w:vAlign w:val="center"/>
          </w:tcPr>
          <w:p>
            <w:pPr>
              <w:pStyle w:val="10"/>
              <w:rPr>
                <w:highlight w:val="none"/>
              </w:rPr>
            </w:pPr>
            <w:r>
              <w:rPr>
                <w:highlight w:val="none"/>
              </w:rPr>
              <w:t>≥99%</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职工满意度</w:t>
            </w:r>
          </w:p>
        </w:tc>
        <w:tc>
          <w:tcPr>
            <w:tcW w:w="2891" w:type="dxa"/>
            <w:vAlign w:val="center"/>
          </w:tcPr>
          <w:p>
            <w:pPr>
              <w:pStyle w:val="10"/>
              <w:rPr>
                <w:highlight w:val="none"/>
              </w:rPr>
            </w:pPr>
            <w:r>
              <w:rPr>
                <w:highlight w:val="none"/>
              </w:rPr>
              <w:t>满意度人员占总职工人数</w:t>
            </w:r>
          </w:p>
        </w:tc>
        <w:tc>
          <w:tcPr>
            <w:tcW w:w="1276" w:type="dxa"/>
            <w:vAlign w:val="center"/>
          </w:tcPr>
          <w:p>
            <w:pPr>
              <w:pStyle w:val="10"/>
              <w:rPr>
                <w:highlight w:val="none"/>
              </w:rPr>
            </w:pPr>
            <w:r>
              <w:rPr>
                <w:highlight w:val="none"/>
              </w:rPr>
              <w:t>≥95%</w:t>
            </w:r>
          </w:p>
        </w:tc>
        <w:tc>
          <w:tcPr>
            <w:tcW w:w="1843" w:type="dxa"/>
            <w:vAlign w:val="center"/>
          </w:tcPr>
          <w:p>
            <w:pPr>
              <w:pStyle w:val="10"/>
              <w:rPr>
                <w:rFonts w:hint="eastAsia" w:eastAsia="方正书宋_GBK"/>
                <w:highlight w:val="none"/>
                <w:lang w:eastAsia="zh-CN"/>
              </w:rPr>
            </w:pPr>
            <w:r>
              <w:rPr>
                <w:rFonts w:hint="eastAsia"/>
                <w:highlight w:val="green"/>
                <w:lang w:eastAsia="zh-CN"/>
              </w:rPr>
              <w:t>问卷调查</w:t>
            </w:r>
          </w:p>
        </w:tc>
      </w:tr>
    </w:tbl>
    <w:p>
      <w:pPr>
        <w:rPr>
          <w:highlight w:val="none"/>
        </w:rPr>
        <w:sectPr>
          <w:pgSz w:w="11900" w:h="16840"/>
          <w:pgMar w:top="1984" w:right="1304" w:bottom="1134" w:left="1304" w:header="720" w:footer="720" w:gutter="0"/>
          <w:cols w:space="720" w:num="1"/>
        </w:sectPr>
      </w:pPr>
    </w:p>
    <w:p>
      <w:pPr>
        <w:jc w:val="center"/>
        <w:rPr>
          <w:highlight w:val="none"/>
        </w:rPr>
      </w:pPr>
      <w:r>
        <w:rPr>
          <w:rFonts w:ascii="方正仿宋_GBK" w:hAnsi="方正仿宋_GBK" w:eastAsia="方正仿宋_GBK" w:cs="方正仿宋_GBK"/>
          <w:color w:val="000000"/>
          <w:sz w:val="28"/>
          <w:highlight w:val="none"/>
        </w:rPr>
        <w:t xml:space="preserve"> </w:t>
      </w:r>
    </w:p>
    <w:p>
      <w:pPr>
        <w:ind w:firstLine="560"/>
        <w:outlineLvl w:val="3"/>
        <w:rPr>
          <w:highlight w:val="none"/>
        </w:rPr>
      </w:pPr>
      <w:bookmarkStart w:id="53" w:name="_Toc_4_4_0000000054"/>
      <w:r>
        <w:rPr>
          <w:rFonts w:ascii="方正仿宋_GBK" w:hAnsi="方正仿宋_GBK" w:eastAsia="方正仿宋_GBK" w:cs="方正仿宋_GBK"/>
          <w:color w:val="000000"/>
          <w:sz w:val="28"/>
          <w:highlight w:val="none"/>
        </w:rPr>
        <w:t>51.专项补助绩效目标表</w:t>
      </w:r>
      <w:bookmarkEnd w:id="5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rPr>
                <w:highlight w:val="none"/>
              </w:rPr>
            </w:pPr>
            <w:r>
              <w:rPr>
                <w:highlight w:val="none"/>
              </w:rPr>
              <w:t>324006秦皇岛市山海关区规划信息中心</w:t>
            </w:r>
          </w:p>
        </w:tc>
        <w:tc>
          <w:tcPr>
            <w:tcW w:w="1843" w:type="dxa"/>
            <w:tcBorders>
              <w:top w:val="single" w:color="FFFFFF" w:sz="6" w:space="0"/>
              <w:left w:val="single" w:color="FFFFFF" w:sz="6" w:space="0"/>
              <w:right w:val="single" w:color="FFFFFF" w:sz="6" w:space="0"/>
            </w:tcBorders>
            <w:vAlign w:val="center"/>
          </w:tcPr>
          <w:p>
            <w:pPr>
              <w:pStyle w:val="8"/>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项目编码</w:t>
            </w:r>
          </w:p>
        </w:tc>
        <w:tc>
          <w:tcPr>
            <w:tcW w:w="2608" w:type="dxa"/>
            <w:gridSpan w:val="2"/>
            <w:vAlign w:val="center"/>
          </w:tcPr>
          <w:p>
            <w:pPr>
              <w:pStyle w:val="10"/>
              <w:rPr>
                <w:highlight w:val="none"/>
              </w:rPr>
            </w:pPr>
            <w:r>
              <w:rPr>
                <w:highlight w:val="none"/>
              </w:rPr>
              <w:t>13030322P00420510006E</w:t>
            </w:r>
          </w:p>
        </w:tc>
        <w:tc>
          <w:tcPr>
            <w:tcW w:w="1587" w:type="dxa"/>
            <w:vAlign w:val="center"/>
          </w:tcPr>
          <w:p>
            <w:pPr>
              <w:pStyle w:val="11"/>
              <w:rPr>
                <w:highlight w:val="none"/>
              </w:rPr>
            </w:pPr>
            <w:r>
              <w:rPr>
                <w:highlight w:val="none"/>
              </w:rPr>
              <w:t>项目名称</w:t>
            </w:r>
          </w:p>
        </w:tc>
        <w:tc>
          <w:tcPr>
            <w:tcW w:w="4422" w:type="dxa"/>
            <w:gridSpan w:val="3"/>
            <w:vAlign w:val="center"/>
          </w:tcPr>
          <w:p>
            <w:pPr>
              <w:pStyle w:val="10"/>
              <w:rPr>
                <w:highlight w:val="none"/>
              </w:rPr>
            </w:pPr>
            <w:r>
              <w:rPr>
                <w:highlight w:val="none"/>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预算规模及资金用途</w:t>
            </w:r>
          </w:p>
        </w:tc>
        <w:tc>
          <w:tcPr>
            <w:tcW w:w="1276" w:type="dxa"/>
            <w:vAlign w:val="center"/>
          </w:tcPr>
          <w:p>
            <w:pPr>
              <w:pStyle w:val="11"/>
              <w:rPr>
                <w:highlight w:val="none"/>
              </w:rPr>
            </w:pPr>
            <w:r>
              <w:rPr>
                <w:highlight w:val="none"/>
              </w:rPr>
              <w:t>预算数</w:t>
            </w:r>
          </w:p>
        </w:tc>
        <w:tc>
          <w:tcPr>
            <w:tcW w:w="1332" w:type="dxa"/>
            <w:vAlign w:val="center"/>
          </w:tcPr>
          <w:p>
            <w:pPr>
              <w:pStyle w:val="10"/>
              <w:rPr>
                <w:highlight w:val="none"/>
              </w:rPr>
            </w:pPr>
            <w:r>
              <w:rPr>
                <w:highlight w:val="none"/>
              </w:rPr>
              <w:t>61.82</w:t>
            </w:r>
          </w:p>
        </w:tc>
        <w:tc>
          <w:tcPr>
            <w:tcW w:w="1587" w:type="dxa"/>
            <w:vAlign w:val="center"/>
          </w:tcPr>
          <w:p>
            <w:pPr>
              <w:pStyle w:val="11"/>
              <w:rPr>
                <w:highlight w:val="none"/>
              </w:rPr>
            </w:pPr>
            <w:r>
              <w:rPr>
                <w:highlight w:val="none"/>
              </w:rPr>
              <w:t>其中：财政    资金</w:t>
            </w:r>
          </w:p>
        </w:tc>
        <w:tc>
          <w:tcPr>
            <w:tcW w:w="1304" w:type="dxa"/>
            <w:vAlign w:val="center"/>
          </w:tcPr>
          <w:p>
            <w:pPr>
              <w:pStyle w:val="10"/>
              <w:rPr>
                <w:highlight w:val="none"/>
              </w:rPr>
            </w:pPr>
            <w:r>
              <w:rPr>
                <w:highlight w:val="none"/>
              </w:rPr>
              <w:t>61.82</w:t>
            </w:r>
          </w:p>
        </w:tc>
        <w:tc>
          <w:tcPr>
            <w:tcW w:w="1276" w:type="dxa"/>
            <w:vAlign w:val="center"/>
          </w:tcPr>
          <w:p>
            <w:pPr>
              <w:pStyle w:val="11"/>
              <w:rPr>
                <w:highlight w:val="none"/>
              </w:rPr>
            </w:pPr>
            <w:r>
              <w:rPr>
                <w:highlight w:val="none"/>
              </w:rPr>
              <w:t>其他资金</w:t>
            </w:r>
          </w:p>
        </w:tc>
        <w:tc>
          <w:tcPr>
            <w:tcW w:w="1843" w:type="dxa"/>
            <w:vAlign w:val="center"/>
          </w:tcPr>
          <w:p>
            <w:pPr>
              <w:pStyle w:val="10"/>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8617" w:type="dxa"/>
            <w:gridSpan w:val="6"/>
            <w:vAlign w:val="center"/>
          </w:tcPr>
          <w:p>
            <w:pPr>
              <w:pStyle w:val="10"/>
              <w:rPr>
                <w:highlight w:val="none"/>
              </w:rPr>
            </w:pPr>
            <w:r>
              <w:rPr>
                <w:highlight w:val="none"/>
              </w:rPr>
              <w:t>用于此款项的正常支出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highlight w:val="none"/>
              </w:rPr>
            </w:pPr>
            <w:r>
              <w:rPr>
                <w:highlight w:val="none"/>
              </w:rPr>
              <w:t>资金支出计划（%）</w:t>
            </w:r>
          </w:p>
        </w:tc>
        <w:tc>
          <w:tcPr>
            <w:tcW w:w="2608" w:type="dxa"/>
            <w:gridSpan w:val="2"/>
            <w:vAlign w:val="center"/>
          </w:tcPr>
          <w:p>
            <w:pPr>
              <w:pStyle w:val="11"/>
              <w:rPr>
                <w:highlight w:val="none"/>
              </w:rPr>
            </w:pPr>
            <w:r>
              <w:rPr>
                <w:highlight w:val="none"/>
              </w:rPr>
              <w:t>3月底</w:t>
            </w:r>
          </w:p>
        </w:tc>
        <w:tc>
          <w:tcPr>
            <w:tcW w:w="1587" w:type="dxa"/>
            <w:vAlign w:val="center"/>
          </w:tcPr>
          <w:p>
            <w:pPr>
              <w:pStyle w:val="11"/>
              <w:rPr>
                <w:highlight w:val="none"/>
              </w:rPr>
            </w:pPr>
            <w:r>
              <w:rPr>
                <w:highlight w:val="none"/>
              </w:rPr>
              <w:t>6月底</w:t>
            </w:r>
          </w:p>
        </w:tc>
        <w:tc>
          <w:tcPr>
            <w:tcW w:w="1304" w:type="dxa"/>
            <w:vAlign w:val="center"/>
          </w:tcPr>
          <w:p>
            <w:pPr>
              <w:pStyle w:val="11"/>
              <w:rPr>
                <w:highlight w:val="none"/>
              </w:rPr>
            </w:pPr>
            <w:r>
              <w:rPr>
                <w:highlight w:val="none"/>
              </w:rPr>
              <w:t>10月底</w:t>
            </w:r>
          </w:p>
        </w:tc>
        <w:tc>
          <w:tcPr>
            <w:tcW w:w="3118" w:type="dxa"/>
            <w:gridSpan w:val="2"/>
            <w:vAlign w:val="center"/>
          </w:tcPr>
          <w:p>
            <w:pPr>
              <w:pStyle w:val="11"/>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2608" w:type="dxa"/>
            <w:gridSpan w:val="2"/>
            <w:vAlign w:val="center"/>
          </w:tcPr>
          <w:p>
            <w:pPr>
              <w:pStyle w:val="12"/>
              <w:rPr>
                <w:highlight w:val="none"/>
              </w:rPr>
            </w:pPr>
            <w:r>
              <w:rPr>
                <w:highlight w:val="none"/>
              </w:rPr>
              <w:t>25%</w:t>
            </w:r>
          </w:p>
        </w:tc>
        <w:tc>
          <w:tcPr>
            <w:tcW w:w="1587" w:type="dxa"/>
            <w:vAlign w:val="center"/>
          </w:tcPr>
          <w:p>
            <w:pPr>
              <w:pStyle w:val="12"/>
              <w:rPr>
                <w:highlight w:val="none"/>
              </w:rPr>
            </w:pPr>
            <w:r>
              <w:rPr>
                <w:highlight w:val="none"/>
              </w:rPr>
              <w:t>50%</w:t>
            </w:r>
          </w:p>
        </w:tc>
        <w:tc>
          <w:tcPr>
            <w:tcW w:w="1304" w:type="dxa"/>
            <w:vAlign w:val="center"/>
          </w:tcPr>
          <w:p>
            <w:pPr>
              <w:pStyle w:val="12"/>
              <w:rPr>
                <w:highlight w:val="none"/>
              </w:rPr>
            </w:pPr>
            <w:r>
              <w:rPr>
                <w:highlight w:val="none"/>
              </w:rPr>
              <w:t>75%</w:t>
            </w:r>
          </w:p>
        </w:tc>
        <w:tc>
          <w:tcPr>
            <w:tcW w:w="3118" w:type="dxa"/>
            <w:gridSpan w:val="2"/>
            <w:vAlign w:val="center"/>
          </w:tcPr>
          <w:p>
            <w:pPr>
              <w:pStyle w:val="12"/>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highlight w:val="none"/>
              </w:rPr>
            </w:pPr>
            <w:r>
              <w:rPr>
                <w:highlight w:val="none"/>
              </w:rPr>
              <w:t>绩效目标</w:t>
            </w:r>
          </w:p>
        </w:tc>
        <w:tc>
          <w:tcPr>
            <w:tcW w:w="8617" w:type="dxa"/>
            <w:gridSpan w:val="6"/>
            <w:vAlign w:val="center"/>
          </w:tcPr>
          <w:p>
            <w:pPr>
              <w:pStyle w:val="10"/>
              <w:rPr>
                <w:highlight w:val="none"/>
              </w:rPr>
            </w:pPr>
            <w:r>
              <w:rPr>
                <w:highlight w:val="none"/>
              </w:rPr>
              <w:t>1.保证专项补助的正确使用</w:t>
            </w:r>
          </w:p>
        </w:tc>
      </w:tr>
    </w:tbl>
    <w:p>
      <w:pPr>
        <w:spacing w:line="2" w:lineRule="exact"/>
        <w:jc w:val="center"/>
        <w:rPr>
          <w:highlight w:val="none"/>
        </w:rPr>
      </w:pPr>
      <w:r>
        <w:rPr>
          <w:rFonts w:ascii="方正书宋_GBK" w:hAnsi="方正书宋_GBK" w:eastAsia="方正书宋_GBK" w:cs="方正书宋_GBK"/>
          <w:color w:val="000000"/>
          <w:sz w:val="21"/>
          <w:highlight w:val="none"/>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highlight w:val="none"/>
              </w:rPr>
            </w:pPr>
            <w:r>
              <w:rPr>
                <w:highlight w:val="none"/>
              </w:rPr>
              <w:t>一级指标</w:t>
            </w:r>
          </w:p>
        </w:tc>
        <w:tc>
          <w:tcPr>
            <w:tcW w:w="1276" w:type="dxa"/>
            <w:vAlign w:val="center"/>
          </w:tcPr>
          <w:p>
            <w:pPr>
              <w:pStyle w:val="11"/>
              <w:rPr>
                <w:highlight w:val="none"/>
              </w:rPr>
            </w:pPr>
            <w:r>
              <w:rPr>
                <w:highlight w:val="none"/>
              </w:rPr>
              <w:t>二级指标</w:t>
            </w:r>
          </w:p>
        </w:tc>
        <w:tc>
          <w:tcPr>
            <w:tcW w:w="1332" w:type="dxa"/>
            <w:vAlign w:val="center"/>
          </w:tcPr>
          <w:p>
            <w:pPr>
              <w:pStyle w:val="11"/>
              <w:rPr>
                <w:highlight w:val="none"/>
              </w:rPr>
            </w:pPr>
            <w:r>
              <w:rPr>
                <w:highlight w:val="none"/>
              </w:rPr>
              <w:t>三级指标</w:t>
            </w:r>
          </w:p>
        </w:tc>
        <w:tc>
          <w:tcPr>
            <w:tcW w:w="2891" w:type="dxa"/>
            <w:vAlign w:val="center"/>
          </w:tcPr>
          <w:p>
            <w:pPr>
              <w:pStyle w:val="11"/>
              <w:rPr>
                <w:highlight w:val="none"/>
              </w:rPr>
            </w:pPr>
            <w:r>
              <w:rPr>
                <w:highlight w:val="none"/>
              </w:rPr>
              <w:t>绩效指标描述</w:t>
            </w:r>
          </w:p>
        </w:tc>
        <w:tc>
          <w:tcPr>
            <w:tcW w:w="1276" w:type="dxa"/>
            <w:vAlign w:val="center"/>
          </w:tcPr>
          <w:p>
            <w:pPr>
              <w:pStyle w:val="11"/>
              <w:rPr>
                <w:highlight w:val="none"/>
              </w:rPr>
            </w:pPr>
            <w:r>
              <w:rPr>
                <w:highlight w:val="none"/>
              </w:rPr>
              <w:t>指标值</w:t>
            </w:r>
          </w:p>
        </w:tc>
        <w:tc>
          <w:tcPr>
            <w:tcW w:w="1843" w:type="dxa"/>
            <w:vAlign w:val="center"/>
          </w:tcPr>
          <w:p>
            <w:pPr>
              <w:pStyle w:val="11"/>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highlight w:val="none"/>
              </w:rPr>
            </w:pPr>
            <w:r>
              <w:rPr>
                <w:highlight w:val="none"/>
              </w:rPr>
              <w:t>产出指标</w:t>
            </w:r>
          </w:p>
        </w:tc>
        <w:tc>
          <w:tcPr>
            <w:tcW w:w="1276" w:type="dxa"/>
            <w:vAlign w:val="center"/>
          </w:tcPr>
          <w:p>
            <w:pPr>
              <w:pStyle w:val="10"/>
              <w:rPr>
                <w:highlight w:val="none"/>
              </w:rPr>
            </w:pPr>
            <w:r>
              <w:rPr>
                <w:highlight w:val="none"/>
              </w:rPr>
              <w:t>数量指标</w:t>
            </w:r>
          </w:p>
        </w:tc>
        <w:tc>
          <w:tcPr>
            <w:tcW w:w="1332" w:type="dxa"/>
            <w:vAlign w:val="center"/>
          </w:tcPr>
          <w:p>
            <w:pPr>
              <w:pStyle w:val="10"/>
              <w:rPr>
                <w:highlight w:val="none"/>
              </w:rPr>
            </w:pPr>
            <w:r>
              <w:rPr>
                <w:highlight w:val="none"/>
              </w:rPr>
              <w:t>发放工资人数</w:t>
            </w:r>
          </w:p>
        </w:tc>
        <w:tc>
          <w:tcPr>
            <w:tcW w:w="2891" w:type="dxa"/>
            <w:vAlign w:val="center"/>
          </w:tcPr>
          <w:p>
            <w:pPr>
              <w:pStyle w:val="10"/>
              <w:rPr>
                <w:highlight w:val="none"/>
              </w:rPr>
            </w:pPr>
            <w:r>
              <w:rPr>
                <w:highlight w:val="none"/>
              </w:rPr>
              <w:t>发放工资人数</w:t>
            </w:r>
          </w:p>
        </w:tc>
        <w:tc>
          <w:tcPr>
            <w:tcW w:w="1276" w:type="dxa"/>
            <w:vAlign w:val="center"/>
          </w:tcPr>
          <w:p>
            <w:pPr>
              <w:pStyle w:val="10"/>
              <w:rPr>
                <w:highlight w:val="none"/>
              </w:rPr>
            </w:pPr>
            <w:r>
              <w:rPr>
                <w:highlight w:val="none"/>
              </w:rPr>
              <w:t>≥6人</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上班出勤情率</w:t>
            </w:r>
          </w:p>
        </w:tc>
        <w:tc>
          <w:tcPr>
            <w:tcW w:w="2891" w:type="dxa"/>
            <w:vAlign w:val="center"/>
          </w:tcPr>
          <w:p>
            <w:pPr>
              <w:pStyle w:val="10"/>
              <w:rPr>
                <w:highlight w:val="none"/>
              </w:rPr>
            </w:pPr>
            <w:r>
              <w:rPr>
                <w:highlight w:val="none"/>
              </w:rPr>
              <w:t>具体出勤情况</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质量指标</w:t>
            </w:r>
          </w:p>
        </w:tc>
        <w:tc>
          <w:tcPr>
            <w:tcW w:w="1332" w:type="dxa"/>
            <w:vAlign w:val="center"/>
          </w:tcPr>
          <w:p>
            <w:pPr>
              <w:pStyle w:val="10"/>
              <w:rPr>
                <w:highlight w:val="none"/>
              </w:rPr>
            </w:pPr>
            <w:r>
              <w:rPr>
                <w:highlight w:val="none"/>
              </w:rPr>
              <w:t>工作人员专业胜任能力</w:t>
            </w:r>
          </w:p>
        </w:tc>
        <w:tc>
          <w:tcPr>
            <w:tcW w:w="2891" w:type="dxa"/>
            <w:vAlign w:val="center"/>
          </w:tcPr>
          <w:p>
            <w:pPr>
              <w:pStyle w:val="10"/>
              <w:rPr>
                <w:highlight w:val="none"/>
              </w:rPr>
            </w:pPr>
            <w:r>
              <w:rPr>
                <w:highlight w:val="none"/>
              </w:rPr>
              <w:t>工作人员专业胜任能力</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时效指标</w:t>
            </w:r>
          </w:p>
        </w:tc>
        <w:tc>
          <w:tcPr>
            <w:tcW w:w="1332" w:type="dxa"/>
            <w:vAlign w:val="center"/>
          </w:tcPr>
          <w:p>
            <w:pPr>
              <w:pStyle w:val="10"/>
              <w:rPr>
                <w:highlight w:val="none"/>
              </w:rPr>
            </w:pPr>
            <w:r>
              <w:rPr>
                <w:highlight w:val="none"/>
              </w:rPr>
              <w:t>工资发放及时性</w:t>
            </w:r>
          </w:p>
        </w:tc>
        <w:tc>
          <w:tcPr>
            <w:tcW w:w="2891" w:type="dxa"/>
            <w:vAlign w:val="center"/>
          </w:tcPr>
          <w:p>
            <w:pPr>
              <w:pStyle w:val="10"/>
              <w:rPr>
                <w:highlight w:val="none"/>
              </w:rPr>
            </w:pPr>
            <w:r>
              <w:rPr>
                <w:highlight w:val="none"/>
              </w:rPr>
              <w:t>社会保障缴纳的时效情况</w:t>
            </w:r>
          </w:p>
        </w:tc>
        <w:tc>
          <w:tcPr>
            <w:tcW w:w="1276" w:type="dxa"/>
            <w:vAlign w:val="center"/>
          </w:tcPr>
          <w:p>
            <w:pPr>
              <w:pStyle w:val="10"/>
              <w:rPr>
                <w:highlight w:val="none"/>
              </w:rPr>
            </w:pPr>
            <w:r>
              <w:rPr>
                <w:highlight w:val="none"/>
              </w:rPr>
              <w:t>100%</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highlight w:val="none"/>
              </w:rPr>
            </w:pPr>
          </w:p>
        </w:tc>
        <w:tc>
          <w:tcPr>
            <w:tcW w:w="1276" w:type="dxa"/>
            <w:vAlign w:val="center"/>
          </w:tcPr>
          <w:p>
            <w:pPr>
              <w:pStyle w:val="10"/>
              <w:rPr>
                <w:highlight w:val="none"/>
              </w:rPr>
            </w:pPr>
            <w:r>
              <w:rPr>
                <w:highlight w:val="none"/>
              </w:rPr>
              <w:t>成本指标</w:t>
            </w:r>
          </w:p>
        </w:tc>
        <w:tc>
          <w:tcPr>
            <w:tcW w:w="1332" w:type="dxa"/>
            <w:vAlign w:val="center"/>
          </w:tcPr>
          <w:p>
            <w:pPr>
              <w:pStyle w:val="10"/>
              <w:rPr>
                <w:highlight w:val="none"/>
              </w:rPr>
            </w:pPr>
            <w:r>
              <w:rPr>
                <w:highlight w:val="none"/>
              </w:rPr>
              <w:t>发放工资数额</w:t>
            </w:r>
          </w:p>
        </w:tc>
        <w:tc>
          <w:tcPr>
            <w:tcW w:w="2891" w:type="dxa"/>
            <w:vAlign w:val="center"/>
          </w:tcPr>
          <w:p>
            <w:pPr>
              <w:pStyle w:val="10"/>
              <w:rPr>
                <w:highlight w:val="none"/>
              </w:rPr>
            </w:pPr>
            <w:r>
              <w:rPr>
                <w:highlight w:val="none"/>
              </w:rPr>
              <w:t>按预算额度发放工资</w:t>
            </w:r>
          </w:p>
        </w:tc>
        <w:tc>
          <w:tcPr>
            <w:tcW w:w="1276" w:type="dxa"/>
            <w:vAlign w:val="center"/>
          </w:tcPr>
          <w:p>
            <w:pPr>
              <w:pStyle w:val="10"/>
              <w:rPr>
                <w:highlight w:val="none"/>
              </w:rPr>
            </w:pPr>
            <w:r>
              <w:rPr>
                <w:highlight w:val="none"/>
              </w:rPr>
              <w:t>≤61.82万元</w:t>
            </w:r>
          </w:p>
        </w:tc>
        <w:tc>
          <w:tcPr>
            <w:tcW w:w="1843" w:type="dxa"/>
            <w:vAlign w:val="center"/>
          </w:tcPr>
          <w:p>
            <w:pPr>
              <w:pStyle w:val="10"/>
              <w:rPr>
                <w:highlight w:val="none"/>
              </w:rPr>
            </w:pPr>
            <w:r>
              <w:rPr>
                <w:highlight w:val="none"/>
              </w:rP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效益指标</w:t>
            </w:r>
          </w:p>
        </w:tc>
        <w:tc>
          <w:tcPr>
            <w:tcW w:w="1276" w:type="dxa"/>
            <w:vAlign w:val="center"/>
          </w:tcPr>
          <w:p>
            <w:pPr>
              <w:pStyle w:val="10"/>
              <w:rPr>
                <w:highlight w:val="none"/>
              </w:rPr>
            </w:pPr>
            <w:r>
              <w:rPr>
                <w:highlight w:val="none"/>
              </w:rPr>
              <w:t>社会效益指标</w:t>
            </w:r>
          </w:p>
        </w:tc>
        <w:tc>
          <w:tcPr>
            <w:tcW w:w="1332" w:type="dxa"/>
            <w:vAlign w:val="center"/>
          </w:tcPr>
          <w:p>
            <w:pPr>
              <w:pStyle w:val="10"/>
              <w:rPr>
                <w:highlight w:val="none"/>
              </w:rPr>
            </w:pPr>
            <w:r>
              <w:rPr>
                <w:highlight w:val="none"/>
              </w:rPr>
              <w:t>加强工作人员归属感</w:t>
            </w:r>
          </w:p>
        </w:tc>
        <w:tc>
          <w:tcPr>
            <w:tcW w:w="2891" w:type="dxa"/>
            <w:vAlign w:val="center"/>
          </w:tcPr>
          <w:p>
            <w:pPr>
              <w:pStyle w:val="10"/>
              <w:rPr>
                <w:highlight w:val="none"/>
              </w:rPr>
            </w:pPr>
            <w:r>
              <w:rPr>
                <w:highlight w:val="none"/>
              </w:rPr>
              <w:t>通过按时按标准发放工资福利等，进一步增强干部职工的归属感，保持干部队伍稳定，保障办公正常运转</w:t>
            </w:r>
          </w:p>
        </w:tc>
        <w:tc>
          <w:tcPr>
            <w:tcW w:w="1276" w:type="dxa"/>
            <w:vAlign w:val="center"/>
          </w:tcPr>
          <w:p>
            <w:pPr>
              <w:pStyle w:val="10"/>
              <w:rPr>
                <w:highlight w:val="none"/>
              </w:rPr>
            </w:pPr>
            <w:r>
              <w:rPr>
                <w:highlight w:val="none"/>
              </w:rPr>
              <w:t>≥95%</w:t>
            </w:r>
          </w:p>
        </w:tc>
        <w:tc>
          <w:tcPr>
            <w:tcW w:w="1843" w:type="dxa"/>
            <w:vAlign w:val="center"/>
          </w:tcPr>
          <w:p>
            <w:pPr>
              <w:pStyle w:val="10"/>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rPr>
                <w:highlight w:val="none"/>
              </w:rPr>
            </w:pPr>
            <w:r>
              <w:rPr>
                <w:highlight w:val="none"/>
              </w:rPr>
              <w:t>满意度指标</w:t>
            </w:r>
          </w:p>
        </w:tc>
        <w:tc>
          <w:tcPr>
            <w:tcW w:w="1276" w:type="dxa"/>
            <w:vAlign w:val="center"/>
          </w:tcPr>
          <w:p>
            <w:pPr>
              <w:pStyle w:val="10"/>
              <w:rPr>
                <w:highlight w:val="none"/>
              </w:rPr>
            </w:pPr>
            <w:r>
              <w:rPr>
                <w:highlight w:val="none"/>
              </w:rPr>
              <w:t>服务对象满意度指标</w:t>
            </w:r>
          </w:p>
        </w:tc>
        <w:tc>
          <w:tcPr>
            <w:tcW w:w="1332" w:type="dxa"/>
            <w:vAlign w:val="center"/>
          </w:tcPr>
          <w:p>
            <w:pPr>
              <w:pStyle w:val="10"/>
              <w:rPr>
                <w:highlight w:val="none"/>
              </w:rPr>
            </w:pPr>
            <w:r>
              <w:rPr>
                <w:highlight w:val="none"/>
              </w:rPr>
              <w:t>服务对象满意度</w:t>
            </w:r>
          </w:p>
        </w:tc>
        <w:tc>
          <w:tcPr>
            <w:tcW w:w="2891" w:type="dxa"/>
            <w:vAlign w:val="center"/>
          </w:tcPr>
          <w:p>
            <w:pPr>
              <w:pStyle w:val="10"/>
              <w:rPr>
                <w:highlight w:val="none"/>
              </w:rPr>
            </w:pPr>
            <w:r>
              <w:rPr>
                <w:highlight w:val="none"/>
              </w:rPr>
              <w:t>服务对象满意度</w:t>
            </w:r>
          </w:p>
        </w:tc>
        <w:tc>
          <w:tcPr>
            <w:tcW w:w="1276" w:type="dxa"/>
            <w:vAlign w:val="center"/>
          </w:tcPr>
          <w:p>
            <w:pPr>
              <w:pStyle w:val="10"/>
              <w:rPr>
                <w:highlight w:val="none"/>
              </w:rPr>
            </w:pPr>
            <w:r>
              <w:rPr>
                <w:highlight w:val="none"/>
              </w:rPr>
              <w:t>≥</w:t>
            </w:r>
            <w:r>
              <w:rPr>
                <w:rFonts w:hint="eastAsia"/>
                <w:highlight w:val="none"/>
                <w:lang w:val="en-US" w:eastAsia="zh-CN"/>
              </w:rPr>
              <w:t>9</w:t>
            </w:r>
            <w:r>
              <w:rPr>
                <w:highlight w:val="none"/>
              </w:rPr>
              <w:t>0%</w:t>
            </w:r>
          </w:p>
        </w:tc>
        <w:tc>
          <w:tcPr>
            <w:tcW w:w="1843" w:type="dxa"/>
            <w:vAlign w:val="center"/>
          </w:tcPr>
          <w:p>
            <w:pPr>
              <w:pStyle w:val="10"/>
              <w:rPr>
                <w:highlight w:val="none"/>
              </w:rPr>
            </w:pPr>
            <w:r>
              <w:rPr>
                <w:highlight w:val="none"/>
              </w:rP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E0MWY2ZmY5Y2Y0ZDgwYmE1Njc2NzY0ZTBlNDFiZGUifQ=="/>
  </w:docVars>
  <w:rsids>
    <w:rsidRoot w:val="007557B3"/>
    <w:rsid w:val="00076164"/>
    <w:rsid w:val="007557B3"/>
    <w:rsid w:val="0083588D"/>
    <w:rsid w:val="14AD76C7"/>
    <w:rsid w:val="18B13E26"/>
    <w:rsid w:val="1F02179E"/>
    <w:rsid w:val="2A162DD5"/>
    <w:rsid w:val="40ED2F4F"/>
    <w:rsid w:val="431B5667"/>
    <w:rsid w:val="4CD205E9"/>
    <w:rsid w:val="4EB52ED9"/>
    <w:rsid w:val="59E81920"/>
    <w:rsid w:val="5A105483"/>
    <w:rsid w:val="5FC51F21"/>
    <w:rsid w:val="60542DA4"/>
    <w:rsid w:val="612547AB"/>
    <w:rsid w:val="643077A4"/>
    <w:rsid w:val="65444F9C"/>
    <w:rsid w:val="65975DB6"/>
    <w:rsid w:val="67187367"/>
    <w:rsid w:val="6E76326B"/>
    <w:rsid w:val="7395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autoRedefine/>
    <w:qFormat/>
    <w:uiPriority w:val="0"/>
    <w:pPr>
      <w:spacing w:line="500" w:lineRule="exact"/>
      <w:ind w:firstLine="560"/>
    </w:pPr>
    <w:rPr>
      <w:rFonts w:eastAsia="方正仿宋_GBK"/>
      <w:sz w:val="28"/>
    </w:rPr>
  </w:style>
  <w:style w:type="paragraph" w:customStyle="1" w:styleId="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9">
    <w:name w:val="单元格样式5"/>
    <w:basedOn w:val="1"/>
    <w:autoRedefine/>
    <w:qFormat/>
    <w:uiPriority w:val="0"/>
    <w:rPr>
      <w:rFonts w:ascii="方正书宋_GBK" w:hAnsi="方正书宋_GBK" w:eastAsia="方正书宋_GBK" w:cs="方正书宋_GBK"/>
      <w:b/>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3">
    <w:name w:val="TOC 2"/>
    <w:basedOn w:val="1"/>
    <w:autoRedefine/>
    <w:qFormat/>
    <w:uiPriority w:val="0"/>
    <w:pPr>
      <w:ind w:left="240"/>
    </w:pPr>
  </w:style>
  <w:style w:type="paragraph" w:customStyle="1" w:styleId="14">
    <w:name w:val="TOC 4"/>
    <w:basedOn w:val="1"/>
    <w:autoRedefine/>
    <w:qFormat/>
    <w:uiPriority w:val="0"/>
    <w:pPr>
      <w:ind w:left="720"/>
    </w:pPr>
  </w:style>
  <w:style w:type="paragraph" w:customStyle="1" w:styleId="15">
    <w:name w:val="TOC 1"/>
    <w:basedOn w:val="1"/>
    <w:autoRedefine/>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2022-01-18T15:55:30Z</dcterms:created>
  <dcterms:modified xsi:type="dcterms:W3CDTF">2022-01-18T07:55:30Z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2022-01-18T15:55:43Z</dcterms:created>
  <dcterms:modified xsi:type="dcterms:W3CDTF">2022-01-18T07:55:43Z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2022-01-18T15:55:31Z</dcterms:created>
  <dcterms:modified xsi:type="dcterms:W3CDTF">2022-01-18T07:55:31Z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2022-01-18T15:55:38Z</dcterms:created>
  <dcterms:modified xsi:type="dcterms:W3CDTF">2022-01-18T07:55:38Z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2022-01-18T15:55:33Z</dcterms:created>
  <dcterms:modified xsi:type="dcterms:W3CDTF">2022-01-18T07:55:33Z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2022-01-18T15:55:33Z</dcterms:created>
  <dcterms:modified xsi:type="dcterms:W3CDTF">2022-01-18T07:55:33Z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2022-01-18T15:55:33Z</dcterms:created>
  <dcterms:modified xsi:type="dcterms:W3CDTF">2022-01-18T07:55:33Z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2022-01-18T15:55:34Z</dcterms:created>
  <dcterms:modified xsi:type="dcterms:W3CDTF">2022-01-18T07:55:34Z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2022-01-18T15:55:35Z</dcterms:created>
  <dcterms:modified xsi:type="dcterms:W3CDTF">2022-01-18T07:55:35Z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2022-01-18T15:55:35Z</dcterms:created>
  <dcterms:modified xsi:type="dcterms:W3CDTF">2022-01-18T07:55:35Z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2022-01-18T15:55:38Z</dcterms:created>
  <dcterms:modified xsi:type="dcterms:W3CDTF">2022-01-18T07:55:38Z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2022-01-18T15:55:35Z</dcterms:created>
  <dcterms:modified xsi:type="dcterms:W3CDTF">2022-01-18T07:55:35Z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2022-01-18T15:55:39Z</dcterms:created>
  <dcterms:modified xsi:type="dcterms:W3CDTF">2022-01-18T07:55:39Z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2022-01-18T15:55:38Z</dcterms:created>
  <dcterms:modified xsi:type="dcterms:W3CDTF">2022-01-18T07:55:38Z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2022-01-18T15:55:36Z</dcterms:created>
  <dcterms:modified xsi:type="dcterms:W3CDTF">2022-01-18T07:55:36Z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2022-01-18T15:55:40Z</dcterms:created>
  <dcterms:modified xsi:type="dcterms:W3CDTF">2022-01-18T07:55:40Z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2022-01-18T15:55:39Z</dcterms:created>
  <dcterms:modified xsi:type="dcterms:W3CDTF">2022-01-18T07:55:39Z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2022-01-18T15:55:40Z</dcterms:created>
  <dcterms:modified xsi:type="dcterms:W3CDTF">2022-01-18T07:55:40Z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2022-01-18T15:55:37Z</dcterms:created>
  <dcterms:modified xsi:type="dcterms:W3CDTF">2022-01-18T07:55:37Z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2022-01-18T15:55:41Z</dcterms:created>
  <dcterms:modified xsi:type="dcterms:W3CDTF">2022-01-18T07:55:41Z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2022-01-18T15:55:31Z</dcterms:created>
  <dcterms:modified xsi:type="dcterms:W3CDTF">2022-01-18T07:55:31Z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2022-01-18T15:55:38Z</dcterms:created>
  <dcterms:modified xsi:type="dcterms:W3CDTF">2022-01-18T07:55:38Z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2022-01-18T15:55:30Z</dcterms:created>
  <dcterms:modified xsi:type="dcterms:W3CDTF">2022-01-18T07:55:30Z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2022-01-18T15:55:41Z</dcterms:created>
  <dcterms:modified xsi:type="dcterms:W3CDTF">2022-01-18T07:55:41Z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2022-01-18T15:55:32Z</dcterms:created>
  <dcterms:modified xsi:type="dcterms:W3CDTF">2022-01-18T07:55:32Z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2022-01-18T15:55:33Z</dcterms:created>
  <dcterms:modified xsi:type="dcterms:W3CDTF">2022-01-18T07:55:33Z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2022-01-18T15:55:34Z</dcterms:created>
  <dcterms:modified xsi:type="dcterms:W3CDTF">2022-01-18T07:55:33Z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2022-01-18T15:55:36Z</dcterms:created>
  <dcterms:modified xsi:type="dcterms:W3CDTF">2022-01-18T07:55:36Z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2022-01-18T15:55:36Z</dcterms:created>
  <dcterms:modified xsi:type="dcterms:W3CDTF">2022-01-18T07:55:36Z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2022-01-18T15:55:31Z</dcterms:created>
  <dcterms:modified xsi:type="dcterms:W3CDTF">2022-01-18T07:55:31Z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2022-01-18T15:55:32Z</dcterms:created>
  <dcterms:modified xsi:type="dcterms:W3CDTF">2022-01-18T07:55:32Z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2022-01-18T15:55:37Z</dcterms:created>
  <dcterms:modified xsi:type="dcterms:W3CDTF">2022-01-18T07:55:37Z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2022-01-18T15:55:34Z</dcterms:created>
  <dcterms:modified xsi:type="dcterms:W3CDTF">2022-01-18T07:55:34Z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2022-01-18T15:55:38Z</dcterms:created>
  <dcterms:modified xsi:type="dcterms:W3CDTF">2022-01-18T07:55:38Z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2022-01-18T15:55:39Z</dcterms:created>
  <dcterms:modified xsi:type="dcterms:W3CDTF">2022-01-18T07:55:39Z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2022-01-18T15:55:37Z</dcterms:created>
  <dcterms:modified xsi:type="dcterms:W3CDTF">2022-01-18T07:55:37Z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2022-01-18T15:55:31Z</dcterms:created>
  <dcterms:modified xsi:type="dcterms:W3CDTF">2022-01-18T07:55:31Z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2022-01-18T15:55:40Z</dcterms:created>
  <dcterms:modified xsi:type="dcterms:W3CDTF">2022-01-18T07:55:40Z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2022-01-18T15:55:30Z</dcterms:created>
  <dcterms:modified xsi:type="dcterms:W3CDTF">2022-01-18T07:55:30Z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2022-01-18T15:55:41Z</dcterms:created>
  <dcterms:modified xsi:type="dcterms:W3CDTF">2022-01-18T07:55:41Z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2022-01-18T15:55:32Z</dcterms:created>
  <dcterms:modified xsi:type="dcterms:W3CDTF">2022-01-18T07:55:31Z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2022-01-18T15:55:32Z</dcterms:created>
  <dcterms:modified xsi:type="dcterms:W3CDTF">2022-01-18T07:55:32Z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2022-01-18T15:55:32Z</dcterms:created>
  <dcterms:modified xsi:type="dcterms:W3CDTF">2022-01-18T07:55:32Z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2022-01-18T15:55:34Z</dcterms:created>
  <dcterms:modified xsi:type="dcterms:W3CDTF">2022-01-18T07:55:34Z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2022-01-18T15:55:35Z</dcterms:created>
  <dcterms:modified xsi:type="dcterms:W3CDTF">2022-01-18T07:55:35Z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2022-01-18T15:55:37Z</dcterms:created>
  <dcterms:modified xsi:type="dcterms:W3CDTF">2022-01-18T07:55:37Z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2022-01-18T15:55:36Z</dcterms:created>
  <dcterms:modified xsi:type="dcterms:W3CDTF">2022-01-18T07:55:36Z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2022-01-18T15:55:34Z</dcterms:created>
  <dcterms:modified xsi:type="dcterms:W3CDTF">2022-01-18T07:55:34Z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2022-01-18T15:55:40Z</dcterms:created>
  <dcterms:modified xsi:type="dcterms:W3CDTF">2022-01-18T07:55:40Z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2022-01-18T15:55:39Z</dcterms:created>
  <dcterms:modified xsi:type="dcterms:W3CDTF">2022-01-18T07:55:39Z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2022-01-18T15:55:41Z</dcterms:created>
  <dcterms:modified xsi:type="dcterms:W3CDTF">2022-01-18T07:55:41Z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2022-01-18T15:55:36Z</dcterms:created>
  <dcterms:modified xsi:type="dcterms:W3CDTF">2022-01-18T07:55:36Z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2022-01-18T15:55:41Z</dcterms:created>
  <dcterms:modified xsi:type="dcterms:W3CDTF">2022-01-18T07:55:41Z</dcterms:modified>
</cp:coreProperties>
</file>

<file path=customXml/itemProps1.xml><?xml version="1.0" encoding="utf-8"?>
<ds:datastoreItem xmlns:ds="http://schemas.openxmlformats.org/officeDocument/2006/customXml" ds:itemID="{62406E7A-1A81-4778-9EBF-9E43FF374E5A}">
  <ds:schemaRefs/>
</ds:datastoreItem>
</file>

<file path=customXml/itemProps10.xml><?xml version="1.0" encoding="utf-8"?>
<ds:datastoreItem xmlns:ds="http://schemas.openxmlformats.org/officeDocument/2006/customXml" ds:itemID="{2C32DE3A-ACF1-4275-8455-0DA459C2F739}">
  <ds:schemaRefs/>
</ds:datastoreItem>
</file>

<file path=customXml/itemProps100.xml><?xml version="1.0" encoding="utf-8"?>
<ds:datastoreItem xmlns:ds="http://schemas.openxmlformats.org/officeDocument/2006/customXml" ds:itemID="{2C3B6165-2C40-433C-B8F5-4E7B18C5D240}">
  <ds:schemaRefs/>
</ds:datastoreItem>
</file>

<file path=customXml/itemProps101.xml><?xml version="1.0" encoding="utf-8"?>
<ds:datastoreItem xmlns:ds="http://schemas.openxmlformats.org/officeDocument/2006/customXml" ds:itemID="{EF1B4A18-2620-49CD-A04F-AABB98259EC7}">
  <ds:schemaRefs/>
</ds:datastoreItem>
</file>

<file path=customXml/itemProps102.xml><?xml version="1.0" encoding="utf-8"?>
<ds:datastoreItem xmlns:ds="http://schemas.openxmlformats.org/officeDocument/2006/customXml" ds:itemID="{88DD658D-CE5D-43A3-9FDD-F3EF1DE8565A}">
  <ds:schemaRefs/>
</ds:datastoreItem>
</file>

<file path=customXml/itemProps103.xml><?xml version="1.0" encoding="utf-8"?>
<ds:datastoreItem xmlns:ds="http://schemas.openxmlformats.org/officeDocument/2006/customXml" ds:itemID="{FE433818-AB98-4315-B279-F3B08472239F}">
  <ds:schemaRefs/>
</ds:datastoreItem>
</file>

<file path=customXml/itemProps104.xml><?xml version="1.0" encoding="utf-8"?>
<ds:datastoreItem xmlns:ds="http://schemas.openxmlformats.org/officeDocument/2006/customXml" ds:itemID="{3E547CB8-4142-42D9-97C0-0057DDB3FD18}">
  <ds:schemaRefs/>
</ds:datastoreItem>
</file>

<file path=customXml/itemProps105.xml><?xml version="1.0" encoding="utf-8"?>
<ds:datastoreItem xmlns:ds="http://schemas.openxmlformats.org/officeDocument/2006/customXml" ds:itemID="{B7FA8794-DC6D-4B3D-B7EB-898DFFE4A5D6}">
  <ds:schemaRefs/>
</ds:datastoreItem>
</file>

<file path=customXml/itemProps106.xml><?xml version="1.0" encoding="utf-8"?>
<ds:datastoreItem xmlns:ds="http://schemas.openxmlformats.org/officeDocument/2006/customXml" ds:itemID="{DB59A48A-E219-4935-A0F2-61F06AA087F8}">
  <ds:schemaRefs/>
</ds:datastoreItem>
</file>

<file path=customXml/itemProps11.xml><?xml version="1.0" encoding="utf-8"?>
<ds:datastoreItem xmlns:ds="http://schemas.openxmlformats.org/officeDocument/2006/customXml" ds:itemID="{869EB91D-BC21-45E9-81B7-1C3AC8752B1E}">
  <ds:schemaRefs/>
</ds:datastoreItem>
</file>

<file path=customXml/itemProps12.xml><?xml version="1.0" encoding="utf-8"?>
<ds:datastoreItem xmlns:ds="http://schemas.openxmlformats.org/officeDocument/2006/customXml" ds:itemID="{F8D40830-F9E0-48B6-A0B8-76686B562554}">
  <ds:schemaRefs/>
</ds:datastoreItem>
</file>

<file path=customXml/itemProps13.xml><?xml version="1.0" encoding="utf-8"?>
<ds:datastoreItem xmlns:ds="http://schemas.openxmlformats.org/officeDocument/2006/customXml" ds:itemID="{86F41867-0837-4FD4-9972-ED3351DD1754}">
  <ds:schemaRefs/>
</ds:datastoreItem>
</file>

<file path=customXml/itemProps14.xml><?xml version="1.0" encoding="utf-8"?>
<ds:datastoreItem xmlns:ds="http://schemas.openxmlformats.org/officeDocument/2006/customXml" ds:itemID="{A8E11854-BED3-4C0B-9F93-1E35AADA4E84}">
  <ds:schemaRefs/>
</ds:datastoreItem>
</file>

<file path=customXml/itemProps15.xml><?xml version="1.0" encoding="utf-8"?>
<ds:datastoreItem xmlns:ds="http://schemas.openxmlformats.org/officeDocument/2006/customXml" ds:itemID="{D8E37B3F-2CD9-4191-BD2B-FE8CD3ED6297}">
  <ds:schemaRefs/>
</ds:datastoreItem>
</file>

<file path=customXml/itemProps16.xml><?xml version="1.0" encoding="utf-8"?>
<ds:datastoreItem xmlns:ds="http://schemas.openxmlformats.org/officeDocument/2006/customXml" ds:itemID="{0E5F52EA-612E-4409-8BA6-D2B292896015}">
  <ds:schemaRefs/>
</ds:datastoreItem>
</file>

<file path=customXml/itemProps17.xml><?xml version="1.0" encoding="utf-8"?>
<ds:datastoreItem xmlns:ds="http://schemas.openxmlformats.org/officeDocument/2006/customXml" ds:itemID="{06E80CE8-AC51-4EAC-AC19-EBD27257457A}">
  <ds:schemaRefs/>
</ds:datastoreItem>
</file>

<file path=customXml/itemProps18.xml><?xml version="1.0" encoding="utf-8"?>
<ds:datastoreItem xmlns:ds="http://schemas.openxmlformats.org/officeDocument/2006/customXml" ds:itemID="{8AECA689-01B8-4720-BEBB-9AD402724EE1}">
  <ds:schemaRefs/>
</ds:datastoreItem>
</file>

<file path=customXml/itemProps19.xml><?xml version="1.0" encoding="utf-8"?>
<ds:datastoreItem xmlns:ds="http://schemas.openxmlformats.org/officeDocument/2006/customXml" ds:itemID="{F36DFCB1-0E6D-4708-9EA1-19FE1390F61C}">
  <ds:schemaRefs/>
</ds:datastoreItem>
</file>

<file path=customXml/itemProps2.xml><?xml version="1.0" encoding="utf-8"?>
<ds:datastoreItem xmlns:ds="http://schemas.openxmlformats.org/officeDocument/2006/customXml" ds:itemID="{6FF840A3-44B8-4E67-86B2-ACE64E16BAB2}">
  <ds:schemaRefs/>
</ds:datastoreItem>
</file>

<file path=customXml/itemProps20.xml><?xml version="1.0" encoding="utf-8"?>
<ds:datastoreItem xmlns:ds="http://schemas.openxmlformats.org/officeDocument/2006/customXml" ds:itemID="{BBD00304-2BEE-43D4-945F-5A42A86847D4}">
  <ds:schemaRefs/>
</ds:datastoreItem>
</file>

<file path=customXml/itemProps21.xml><?xml version="1.0" encoding="utf-8"?>
<ds:datastoreItem xmlns:ds="http://schemas.openxmlformats.org/officeDocument/2006/customXml" ds:itemID="{5F982EC3-3E24-47DB-9A51-EE61A20A15BF}">
  <ds:schemaRefs/>
</ds:datastoreItem>
</file>

<file path=customXml/itemProps22.xml><?xml version="1.0" encoding="utf-8"?>
<ds:datastoreItem xmlns:ds="http://schemas.openxmlformats.org/officeDocument/2006/customXml" ds:itemID="{A4389C7A-CFE3-4BCF-93CD-0DF9C23CFB42}">
  <ds:schemaRefs/>
</ds:datastoreItem>
</file>

<file path=customXml/itemProps23.xml><?xml version="1.0" encoding="utf-8"?>
<ds:datastoreItem xmlns:ds="http://schemas.openxmlformats.org/officeDocument/2006/customXml" ds:itemID="{7886CF13-62F4-4D71-B4B6-581554D54D28}">
  <ds:schemaRefs/>
</ds:datastoreItem>
</file>

<file path=customXml/itemProps24.xml><?xml version="1.0" encoding="utf-8"?>
<ds:datastoreItem xmlns:ds="http://schemas.openxmlformats.org/officeDocument/2006/customXml" ds:itemID="{8635E208-9AB9-4516-B705-AE6084F2F341}">
  <ds:schemaRefs/>
</ds:datastoreItem>
</file>

<file path=customXml/itemProps25.xml><?xml version="1.0" encoding="utf-8"?>
<ds:datastoreItem xmlns:ds="http://schemas.openxmlformats.org/officeDocument/2006/customXml" ds:itemID="{38D489CB-244D-47EC-BBE8-FCD9AD42D1BC}">
  <ds:schemaRefs/>
</ds:datastoreItem>
</file>

<file path=customXml/itemProps26.xml><?xml version="1.0" encoding="utf-8"?>
<ds:datastoreItem xmlns:ds="http://schemas.openxmlformats.org/officeDocument/2006/customXml" ds:itemID="{421467B1-5170-46C0-901F-34E8D27E74D5}">
  <ds:schemaRefs/>
</ds:datastoreItem>
</file>

<file path=customXml/itemProps27.xml><?xml version="1.0" encoding="utf-8"?>
<ds:datastoreItem xmlns:ds="http://schemas.openxmlformats.org/officeDocument/2006/customXml" ds:itemID="{7E8BC6C5-5F65-4560-BFE9-C652223BD99B}">
  <ds:schemaRefs/>
</ds:datastoreItem>
</file>

<file path=customXml/itemProps28.xml><?xml version="1.0" encoding="utf-8"?>
<ds:datastoreItem xmlns:ds="http://schemas.openxmlformats.org/officeDocument/2006/customXml" ds:itemID="{A4F3EC97-802A-4441-A2AA-9601FEB39A94}">
  <ds:schemaRefs/>
</ds:datastoreItem>
</file>

<file path=customXml/itemProps29.xml><?xml version="1.0" encoding="utf-8"?>
<ds:datastoreItem xmlns:ds="http://schemas.openxmlformats.org/officeDocument/2006/customXml" ds:itemID="{9959018C-55C9-4C7F-88E3-E89E2B71065E}">
  <ds:schemaRefs/>
</ds:datastoreItem>
</file>

<file path=customXml/itemProps3.xml><?xml version="1.0" encoding="utf-8"?>
<ds:datastoreItem xmlns:ds="http://schemas.openxmlformats.org/officeDocument/2006/customXml" ds:itemID="{B18244DE-BAB4-43C9-8D44-1F8B7AE810E0}">
  <ds:schemaRefs/>
</ds:datastoreItem>
</file>

<file path=customXml/itemProps30.xml><?xml version="1.0" encoding="utf-8"?>
<ds:datastoreItem xmlns:ds="http://schemas.openxmlformats.org/officeDocument/2006/customXml" ds:itemID="{370F8486-CCEF-4983-8FD6-4EC930DCCC09}">
  <ds:schemaRefs/>
</ds:datastoreItem>
</file>

<file path=customXml/itemProps31.xml><?xml version="1.0" encoding="utf-8"?>
<ds:datastoreItem xmlns:ds="http://schemas.openxmlformats.org/officeDocument/2006/customXml" ds:itemID="{AD635899-FBEE-4117-ADDE-1159F13AEBF4}">
  <ds:schemaRefs/>
</ds:datastoreItem>
</file>

<file path=customXml/itemProps32.xml><?xml version="1.0" encoding="utf-8"?>
<ds:datastoreItem xmlns:ds="http://schemas.openxmlformats.org/officeDocument/2006/customXml" ds:itemID="{F25FF508-B6F5-4C78-87B9-BDA92C58DF8C}">
  <ds:schemaRefs/>
</ds:datastoreItem>
</file>

<file path=customXml/itemProps33.xml><?xml version="1.0" encoding="utf-8"?>
<ds:datastoreItem xmlns:ds="http://schemas.openxmlformats.org/officeDocument/2006/customXml" ds:itemID="{79198C69-57EB-43DA-B71B-19720E986B26}">
  <ds:schemaRefs/>
</ds:datastoreItem>
</file>

<file path=customXml/itemProps34.xml><?xml version="1.0" encoding="utf-8"?>
<ds:datastoreItem xmlns:ds="http://schemas.openxmlformats.org/officeDocument/2006/customXml" ds:itemID="{D4B3E190-F814-4B93-B612-F36657547DDF}">
  <ds:schemaRefs/>
</ds:datastoreItem>
</file>

<file path=customXml/itemProps35.xml><?xml version="1.0" encoding="utf-8"?>
<ds:datastoreItem xmlns:ds="http://schemas.openxmlformats.org/officeDocument/2006/customXml" ds:itemID="{D0EE51EE-CC7B-4146-8588-CE4273217DC3}">
  <ds:schemaRefs/>
</ds:datastoreItem>
</file>

<file path=customXml/itemProps36.xml><?xml version="1.0" encoding="utf-8"?>
<ds:datastoreItem xmlns:ds="http://schemas.openxmlformats.org/officeDocument/2006/customXml" ds:itemID="{2908B1E3-8081-42E2-A625-484D5BC2A209}">
  <ds:schemaRefs/>
</ds:datastoreItem>
</file>

<file path=customXml/itemProps37.xml><?xml version="1.0" encoding="utf-8"?>
<ds:datastoreItem xmlns:ds="http://schemas.openxmlformats.org/officeDocument/2006/customXml" ds:itemID="{99A0931E-01D5-4589-9EDC-20954951946D}">
  <ds:schemaRefs/>
</ds:datastoreItem>
</file>

<file path=customXml/itemProps38.xml><?xml version="1.0" encoding="utf-8"?>
<ds:datastoreItem xmlns:ds="http://schemas.openxmlformats.org/officeDocument/2006/customXml" ds:itemID="{690065FA-F6F5-41B1-BBAC-E3631D6F8935}">
  <ds:schemaRefs/>
</ds:datastoreItem>
</file>

<file path=customXml/itemProps39.xml><?xml version="1.0" encoding="utf-8"?>
<ds:datastoreItem xmlns:ds="http://schemas.openxmlformats.org/officeDocument/2006/customXml" ds:itemID="{BFB13BDB-663D-4DF7-ACA0-4D611242FF8E}">
  <ds:schemaRefs/>
</ds:datastoreItem>
</file>

<file path=customXml/itemProps4.xml><?xml version="1.0" encoding="utf-8"?>
<ds:datastoreItem xmlns:ds="http://schemas.openxmlformats.org/officeDocument/2006/customXml" ds:itemID="{DB7165DE-BD4C-4362-B0D0-DA265352F729}">
  <ds:schemaRefs/>
</ds:datastoreItem>
</file>

<file path=customXml/itemProps40.xml><?xml version="1.0" encoding="utf-8"?>
<ds:datastoreItem xmlns:ds="http://schemas.openxmlformats.org/officeDocument/2006/customXml" ds:itemID="{C29F24DF-38FE-4599-BC2B-31157AD82423}">
  <ds:schemaRefs/>
</ds:datastoreItem>
</file>

<file path=customXml/itemProps41.xml><?xml version="1.0" encoding="utf-8"?>
<ds:datastoreItem xmlns:ds="http://schemas.openxmlformats.org/officeDocument/2006/customXml" ds:itemID="{72601062-A6F2-4677-B041-88D426E30FCC}">
  <ds:schemaRefs/>
</ds:datastoreItem>
</file>

<file path=customXml/itemProps42.xml><?xml version="1.0" encoding="utf-8"?>
<ds:datastoreItem xmlns:ds="http://schemas.openxmlformats.org/officeDocument/2006/customXml" ds:itemID="{5EFFAFD2-4A36-45FF-A90A-E4BBC603A517}">
  <ds:schemaRefs/>
</ds:datastoreItem>
</file>

<file path=customXml/itemProps43.xml><?xml version="1.0" encoding="utf-8"?>
<ds:datastoreItem xmlns:ds="http://schemas.openxmlformats.org/officeDocument/2006/customXml" ds:itemID="{3C2A60DA-8266-4844-B9C8-2485C7CC0AF6}">
  <ds:schemaRefs/>
</ds:datastoreItem>
</file>

<file path=customXml/itemProps44.xml><?xml version="1.0" encoding="utf-8"?>
<ds:datastoreItem xmlns:ds="http://schemas.openxmlformats.org/officeDocument/2006/customXml" ds:itemID="{25C0CC94-AF16-4F2B-B71C-D0634CC25897}">
  <ds:schemaRefs/>
</ds:datastoreItem>
</file>

<file path=customXml/itemProps45.xml><?xml version="1.0" encoding="utf-8"?>
<ds:datastoreItem xmlns:ds="http://schemas.openxmlformats.org/officeDocument/2006/customXml" ds:itemID="{BB632FC8-EDAD-4990-8A07-01E5C1583D3F}">
  <ds:schemaRefs/>
</ds:datastoreItem>
</file>

<file path=customXml/itemProps46.xml><?xml version="1.0" encoding="utf-8"?>
<ds:datastoreItem xmlns:ds="http://schemas.openxmlformats.org/officeDocument/2006/customXml" ds:itemID="{C9550E36-61C1-4769-80EE-3C52F9807264}">
  <ds:schemaRefs/>
</ds:datastoreItem>
</file>

<file path=customXml/itemProps47.xml><?xml version="1.0" encoding="utf-8"?>
<ds:datastoreItem xmlns:ds="http://schemas.openxmlformats.org/officeDocument/2006/customXml" ds:itemID="{099C20BD-7ECD-40D4-A8C1-6C2C8475914D}">
  <ds:schemaRefs/>
</ds:datastoreItem>
</file>

<file path=customXml/itemProps48.xml><?xml version="1.0" encoding="utf-8"?>
<ds:datastoreItem xmlns:ds="http://schemas.openxmlformats.org/officeDocument/2006/customXml" ds:itemID="{F7876300-4674-4D73-A198-5A59FC9B5FAF}">
  <ds:schemaRefs/>
</ds:datastoreItem>
</file>

<file path=customXml/itemProps49.xml><?xml version="1.0" encoding="utf-8"?>
<ds:datastoreItem xmlns:ds="http://schemas.openxmlformats.org/officeDocument/2006/customXml" ds:itemID="{9DEE414B-30C9-4F81-90A8-CB20AA44C24B}">
  <ds:schemaRefs/>
</ds:datastoreItem>
</file>

<file path=customXml/itemProps5.xml><?xml version="1.0" encoding="utf-8"?>
<ds:datastoreItem xmlns:ds="http://schemas.openxmlformats.org/officeDocument/2006/customXml" ds:itemID="{34E7FA5A-AD16-44B2-98D2-D6FEBBF93E93}">
  <ds:schemaRefs/>
</ds:datastoreItem>
</file>

<file path=customXml/itemProps50.xml><?xml version="1.0" encoding="utf-8"?>
<ds:datastoreItem xmlns:ds="http://schemas.openxmlformats.org/officeDocument/2006/customXml" ds:itemID="{8A70685B-0327-4999-A00E-63454D15BD91}">
  <ds:schemaRefs/>
</ds:datastoreItem>
</file>

<file path=customXml/itemProps51.xml><?xml version="1.0" encoding="utf-8"?>
<ds:datastoreItem xmlns:ds="http://schemas.openxmlformats.org/officeDocument/2006/customXml" ds:itemID="{3C773843-30DB-4A08-B2A5-2DF8847D5DB5}">
  <ds:schemaRefs/>
</ds:datastoreItem>
</file>

<file path=customXml/itemProps52.xml><?xml version="1.0" encoding="utf-8"?>
<ds:datastoreItem xmlns:ds="http://schemas.openxmlformats.org/officeDocument/2006/customXml" ds:itemID="{0755B728-E294-4977-BE11-B2391D852057}">
  <ds:schemaRefs/>
</ds:datastoreItem>
</file>

<file path=customXml/itemProps53.xml><?xml version="1.0" encoding="utf-8"?>
<ds:datastoreItem xmlns:ds="http://schemas.openxmlformats.org/officeDocument/2006/customXml" ds:itemID="{CA6603F7-FD32-4E76-B137-30EEE0AC8CEB}">
  <ds:schemaRefs/>
</ds:datastoreItem>
</file>

<file path=customXml/itemProps54.xml><?xml version="1.0" encoding="utf-8"?>
<ds:datastoreItem xmlns:ds="http://schemas.openxmlformats.org/officeDocument/2006/customXml" ds:itemID="{824A983E-5161-403B-9CED-0BE475AD2DFD}">
  <ds:schemaRefs/>
</ds:datastoreItem>
</file>

<file path=customXml/itemProps55.xml><?xml version="1.0" encoding="utf-8"?>
<ds:datastoreItem xmlns:ds="http://schemas.openxmlformats.org/officeDocument/2006/customXml" ds:itemID="{3075873C-E698-4847-91B1-871C66750033}">
  <ds:schemaRefs/>
</ds:datastoreItem>
</file>

<file path=customXml/itemProps56.xml><?xml version="1.0" encoding="utf-8"?>
<ds:datastoreItem xmlns:ds="http://schemas.openxmlformats.org/officeDocument/2006/customXml" ds:itemID="{6B4A7464-C541-4DA8-9065-A30FD2C3101A}">
  <ds:schemaRefs/>
</ds:datastoreItem>
</file>

<file path=customXml/itemProps57.xml><?xml version="1.0" encoding="utf-8"?>
<ds:datastoreItem xmlns:ds="http://schemas.openxmlformats.org/officeDocument/2006/customXml" ds:itemID="{5A85413A-3C38-4D2A-871F-DFA1A17AFC46}">
  <ds:schemaRefs/>
</ds:datastoreItem>
</file>

<file path=customXml/itemProps58.xml><?xml version="1.0" encoding="utf-8"?>
<ds:datastoreItem xmlns:ds="http://schemas.openxmlformats.org/officeDocument/2006/customXml" ds:itemID="{DB40300E-8B1A-416A-899F-4BA67EA5DAC4}">
  <ds:schemaRefs/>
</ds:datastoreItem>
</file>

<file path=customXml/itemProps59.xml><?xml version="1.0" encoding="utf-8"?>
<ds:datastoreItem xmlns:ds="http://schemas.openxmlformats.org/officeDocument/2006/customXml" ds:itemID="{732AEE6D-F2A8-4783-9FF7-7898570EF614}">
  <ds:schemaRefs/>
</ds:datastoreItem>
</file>

<file path=customXml/itemProps6.xml><?xml version="1.0" encoding="utf-8"?>
<ds:datastoreItem xmlns:ds="http://schemas.openxmlformats.org/officeDocument/2006/customXml" ds:itemID="{EB73D5C7-22BC-491D-9808-DE5292EB9406}">
  <ds:schemaRefs/>
</ds:datastoreItem>
</file>

<file path=customXml/itemProps60.xml><?xml version="1.0" encoding="utf-8"?>
<ds:datastoreItem xmlns:ds="http://schemas.openxmlformats.org/officeDocument/2006/customXml" ds:itemID="{BA502CDE-7687-4DF4-BA1A-FB9E4E735DE6}">
  <ds:schemaRefs/>
</ds:datastoreItem>
</file>

<file path=customXml/itemProps61.xml><?xml version="1.0" encoding="utf-8"?>
<ds:datastoreItem xmlns:ds="http://schemas.openxmlformats.org/officeDocument/2006/customXml" ds:itemID="{7E208A1A-A326-4761-B79B-C06FE1ACD0E9}">
  <ds:schemaRefs/>
</ds:datastoreItem>
</file>

<file path=customXml/itemProps62.xml><?xml version="1.0" encoding="utf-8"?>
<ds:datastoreItem xmlns:ds="http://schemas.openxmlformats.org/officeDocument/2006/customXml" ds:itemID="{EE4A50C2-8793-4C9F-BDBD-A71A3182A27A}">
  <ds:schemaRefs/>
</ds:datastoreItem>
</file>

<file path=customXml/itemProps63.xml><?xml version="1.0" encoding="utf-8"?>
<ds:datastoreItem xmlns:ds="http://schemas.openxmlformats.org/officeDocument/2006/customXml" ds:itemID="{49528035-6F2D-4A08-9D56-D69902C19625}">
  <ds:schemaRefs/>
</ds:datastoreItem>
</file>

<file path=customXml/itemProps64.xml><?xml version="1.0" encoding="utf-8"?>
<ds:datastoreItem xmlns:ds="http://schemas.openxmlformats.org/officeDocument/2006/customXml" ds:itemID="{55D7CD0A-ABF1-4658-B507-1764BF6FC5AC}">
  <ds:schemaRefs/>
</ds:datastoreItem>
</file>

<file path=customXml/itemProps65.xml><?xml version="1.0" encoding="utf-8"?>
<ds:datastoreItem xmlns:ds="http://schemas.openxmlformats.org/officeDocument/2006/customXml" ds:itemID="{786CEB19-CAA6-40FB-BB25-8B44FA5EFC94}">
  <ds:schemaRefs/>
</ds:datastoreItem>
</file>

<file path=customXml/itemProps66.xml><?xml version="1.0" encoding="utf-8"?>
<ds:datastoreItem xmlns:ds="http://schemas.openxmlformats.org/officeDocument/2006/customXml" ds:itemID="{B60F775F-F966-4EA4-8279-934D3A7AA33B}">
  <ds:schemaRefs/>
</ds:datastoreItem>
</file>

<file path=customXml/itemProps67.xml><?xml version="1.0" encoding="utf-8"?>
<ds:datastoreItem xmlns:ds="http://schemas.openxmlformats.org/officeDocument/2006/customXml" ds:itemID="{1CC40CA1-0AF6-4BD6-8880-765A4B243D00}">
  <ds:schemaRefs/>
</ds:datastoreItem>
</file>

<file path=customXml/itemProps68.xml><?xml version="1.0" encoding="utf-8"?>
<ds:datastoreItem xmlns:ds="http://schemas.openxmlformats.org/officeDocument/2006/customXml" ds:itemID="{D50E6AF9-A844-4515-B7C6-9180855F894A}">
  <ds:schemaRefs/>
</ds:datastoreItem>
</file>

<file path=customXml/itemProps69.xml><?xml version="1.0" encoding="utf-8"?>
<ds:datastoreItem xmlns:ds="http://schemas.openxmlformats.org/officeDocument/2006/customXml" ds:itemID="{2D7CA212-6060-47ED-83BE-C484E0CE5F83}">
  <ds:schemaRefs/>
</ds:datastoreItem>
</file>

<file path=customXml/itemProps7.xml><?xml version="1.0" encoding="utf-8"?>
<ds:datastoreItem xmlns:ds="http://schemas.openxmlformats.org/officeDocument/2006/customXml" ds:itemID="{1B09EF6D-7766-4D5B-AB19-26389CB96A0A}">
  <ds:schemaRefs/>
</ds:datastoreItem>
</file>

<file path=customXml/itemProps70.xml><?xml version="1.0" encoding="utf-8"?>
<ds:datastoreItem xmlns:ds="http://schemas.openxmlformats.org/officeDocument/2006/customXml" ds:itemID="{1458E425-2B6D-49EE-88B6-B89D0C8078E3}">
  <ds:schemaRefs/>
</ds:datastoreItem>
</file>

<file path=customXml/itemProps71.xml><?xml version="1.0" encoding="utf-8"?>
<ds:datastoreItem xmlns:ds="http://schemas.openxmlformats.org/officeDocument/2006/customXml" ds:itemID="{50741A37-9A95-40EE-96AB-C19A23A8DDFF}">
  <ds:schemaRefs/>
</ds:datastoreItem>
</file>

<file path=customXml/itemProps72.xml><?xml version="1.0" encoding="utf-8"?>
<ds:datastoreItem xmlns:ds="http://schemas.openxmlformats.org/officeDocument/2006/customXml" ds:itemID="{0CAC75A4-8ED5-45B2-9D84-8AF1DACA7190}">
  <ds:schemaRefs/>
</ds:datastoreItem>
</file>

<file path=customXml/itemProps73.xml><?xml version="1.0" encoding="utf-8"?>
<ds:datastoreItem xmlns:ds="http://schemas.openxmlformats.org/officeDocument/2006/customXml" ds:itemID="{3A5D5FA8-DB13-4727-B738-EE2A0F96936D}">
  <ds:schemaRefs/>
</ds:datastoreItem>
</file>

<file path=customXml/itemProps74.xml><?xml version="1.0" encoding="utf-8"?>
<ds:datastoreItem xmlns:ds="http://schemas.openxmlformats.org/officeDocument/2006/customXml" ds:itemID="{80EF00DE-CB5F-4668-AA9F-D8FF38EF4A5F}">
  <ds:schemaRefs/>
</ds:datastoreItem>
</file>

<file path=customXml/itemProps75.xml><?xml version="1.0" encoding="utf-8"?>
<ds:datastoreItem xmlns:ds="http://schemas.openxmlformats.org/officeDocument/2006/customXml" ds:itemID="{7759966E-DA72-4A00-B078-297FE32F5EED}">
  <ds:schemaRefs/>
</ds:datastoreItem>
</file>

<file path=customXml/itemProps76.xml><?xml version="1.0" encoding="utf-8"?>
<ds:datastoreItem xmlns:ds="http://schemas.openxmlformats.org/officeDocument/2006/customXml" ds:itemID="{E06EF085-A191-4280-BCB9-F59BD9F1C883}">
  <ds:schemaRefs/>
</ds:datastoreItem>
</file>

<file path=customXml/itemProps77.xml><?xml version="1.0" encoding="utf-8"?>
<ds:datastoreItem xmlns:ds="http://schemas.openxmlformats.org/officeDocument/2006/customXml" ds:itemID="{13CEA055-3876-44CB-9C81-F669FA48635A}">
  <ds:schemaRefs/>
</ds:datastoreItem>
</file>

<file path=customXml/itemProps78.xml><?xml version="1.0" encoding="utf-8"?>
<ds:datastoreItem xmlns:ds="http://schemas.openxmlformats.org/officeDocument/2006/customXml" ds:itemID="{6789425C-436D-4858-A667-3FBFC54DBA65}">
  <ds:schemaRefs/>
</ds:datastoreItem>
</file>

<file path=customXml/itemProps79.xml><?xml version="1.0" encoding="utf-8"?>
<ds:datastoreItem xmlns:ds="http://schemas.openxmlformats.org/officeDocument/2006/customXml" ds:itemID="{91FB8C15-9F71-48EC-8E1C-CEBC2AD85F8D}">
  <ds:schemaRefs/>
</ds:datastoreItem>
</file>

<file path=customXml/itemProps8.xml><?xml version="1.0" encoding="utf-8"?>
<ds:datastoreItem xmlns:ds="http://schemas.openxmlformats.org/officeDocument/2006/customXml" ds:itemID="{7EF4ED6A-9BAF-4CE9-9203-4344180709AE}">
  <ds:schemaRefs/>
</ds:datastoreItem>
</file>

<file path=customXml/itemProps80.xml><?xml version="1.0" encoding="utf-8"?>
<ds:datastoreItem xmlns:ds="http://schemas.openxmlformats.org/officeDocument/2006/customXml" ds:itemID="{B15215B9-1E3D-4B7F-97F3-CB94AF90DE67}">
  <ds:schemaRefs/>
</ds:datastoreItem>
</file>

<file path=customXml/itemProps81.xml><?xml version="1.0" encoding="utf-8"?>
<ds:datastoreItem xmlns:ds="http://schemas.openxmlformats.org/officeDocument/2006/customXml" ds:itemID="{C9143797-F957-4A03-9102-E315B732EC48}">
  <ds:schemaRefs/>
</ds:datastoreItem>
</file>

<file path=customXml/itemProps82.xml><?xml version="1.0" encoding="utf-8"?>
<ds:datastoreItem xmlns:ds="http://schemas.openxmlformats.org/officeDocument/2006/customXml" ds:itemID="{7D69B775-69C4-419F-A7A7-E67C270C0584}">
  <ds:schemaRefs/>
</ds:datastoreItem>
</file>

<file path=customXml/itemProps83.xml><?xml version="1.0" encoding="utf-8"?>
<ds:datastoreItem xmlns:ds="http://schemas.openxmlformats.org/officeDocument/2006/customXml" ds:itemID="{9EFC6F14-5876-41DE-A01E-44E6A80E3CC1}">
  <ds:schemaRefs/>
</ds:datastoreItem>
</file>

<file path=customXml/itemProps84.xml><?xml version="1.0" encoding="utf-8"?>
<ds:datastoreItem xmlns:ds="http://schemas.openxmlformats.org/officeDocument/2006/customXml" ds:itemID="{C7CEF078-D73F-47CE-BFF4-64E3F5903FC3}">
  <ds:schemaRefs/>
</ds:datastoreItem>
</file>

<file path=customXml/itemProps85.xml><?xml version="1.0" encoding="utf-8"?>
<ds:datastoreItem xmlns:ds="http://schemas.openxmlformats.org/officeDocument/2006/customXml" ds:itemID="{10DDBE0E-2F0C-400A-9AF3-6D7FAAE99A99}">
  <ds:schemaRefs/>
</ds:datastoreItem>
</file>

<file path=customXml/itemProps86.xml><?xml version="1.0" encoding="utf-8"?>
<ds:datastoreItem xmlns:ds="http://schemas.openxmlformats.org/officeDocument/2006/customXml" ds:itemID="{81AD22F2-5338-4883-979B-8C837A20C29B}">
  <ds:schemaRefs/>
</ds:datastoreItem>
</file>

<file path=customXml/itemProps87.xml><?xml version="1.0" encoding="utf-8"?>
<ds:datastoreItem xmlns:ds="http://schemas.openxmlformats.org/officeDocument/2006/customXml" ds:itemID="{80F4EEFE-00E0-456C-80DA-B717153B9E24}">
  <ds:schemaRefs/>
</ds:datastoreItem>
</file>

<file path=customXml/itemProps88.xml><?xml version="1.0" encoding="utf-8"?>
<ds:datastoreItem xmlns:ds="http://schemas.openxmlformats.org/officeDocument/2006/customXml" ds:itemID="{6FFBE9FE-B84C-4730-8029-8F5865C61F7A}">
  <ds:schemaRefs/>
</ds:datastoreItem>
</file>

<file path=customXml/itemProps89.xml><?xml version="1.0" encoding="utf-8"?>
<ds:datastoreItem xmlns:ds="http://schemas.openxmlformats.org/officeDocument/2006/customXml" ds:itemID="{F045EC43-D97F-4E4D-9125-95ED5600F13E}">
  <ds:schemaRefs/>
</ds:datastoreItem>
</file>

<file path=customXml/itemProps9.xml><?xml version="1.0" encoding="utf-8"?>
<ds:datastoreItem xmlns:ds="http://schemas.openxmlformats.org/officeDocument/2006/customXml" ds:itemID="{7B6BEE75-0320-401C-8F6D-E7D5C97EF622}">
  <ds:schemaRefs/>
</ds:datastoreItem>
</file>

<file path=customXml/itemProps90.xml><?xml version="1.0" encoding="utf-8"?>
<ds:datastoreItem xmlns:ds="http://schemas.openxmlformats.org/officeDocument/2006/customXml" ds:itemID="{BC55AE2B-6A8C-4B84-BECF-54B846E1FC2E}">
  <ds:schemaRefs/>
</ds:datastoreItem>
</file>

<file path=customXml/itemProps91.xml><?xml version="1.0" encoding="utf-8"?>
<ds:datastoreItem xmlns:ds="http://schemas.openxmlformats.org/officeDocument/2006/customXml" ds:itemID="{6DC86C63-93C1-4ECB-BDAF-0D80CA2BDC75}">
  <ds:schemaRefs/>
</ds:datastoreItem>
</file>

<file path=customXml/itemProps92.xml><?xml version="1.0" encoding="utf-8"?>
<ds:datastoreItem xmlns:ds="http://schemas.openxmlformats.org/officeDocument/2006/customXml" ds:itemID="{2D97FC32-6BD8-4B72-9922-FA2931726D79}">
  <ds:schemaRefs/>
</ds:datastoreItem>
</file>

<file path=customXml/itemProps93.xml><?xml version="1.0" encoding="utf-8"?>
<ds:datastoreItem xmlns:ds="http://schemas.openxmlformats.org/officeDocument/2006/customXml" ds:itemID="{7C38C5C1-768D-4887-97AC-7DBD48C84CE7}">
  <ds:schemaRefs/>
</ds:datastoreItem>
</file>

<file path=customXml/itemProps94.xml><?xml version="1.0" encoding="utf-8"?>
<ds:datastoreItem xmlns:ds="http://schemas.openxmlformats.org/officeDocument/2006/customXml" ds:itemID="{155F0743-A705-4374-B06D-34C5295A170B}">
  <ds:schemaRefs/>
</ds:datastoreItem>
</file>

<file path=customXml/itemProps95.xml><?xml version="1.0" encoding="utf-8"?>
<ds:datastoreItem xmlns:ds="http://schemas.openxmlformats.org/officeDocument/2006/customXml" ds:itemID="{A88674A7-0DE6-4442-8362-4DACE3D5C06A}">
  <ds:schemaRefs/>
</ds:datastoreItem>
</file>

<file path=customXml/itemProps96.xml><?xml version="1.0" encoding="utf-8"?>
<ds:datastoreItem xmlns:ds="http://schemas.openxmlformats.org/officeDocument/2006/customXml" ds:itemID="{B1F5635B-3B1D-4795-AE25-BB97DB7B4BDE}">
  <ds:schemaRefs/>
</ds:datastoreItem>
</file>

<file path=customXml/itemProps97.xml><?xml version="1.0" encoding="utf-8"?>
<ds:datastoreItem xmlns:ds="http://schemas.openxmlformats.org/officeDocument/2006/customXml" ds:itemID="{69E87FD2-A50C-4E3B-91DD-8E3B8DD7166E}">
  <ds:schemaRefs/>
</ds:datastoreItem>
</file>

<file path=customXml/itemProps98.xml><?xml version="1.0" encoding="utf-8"?>
<ds:datastoreItem xmlns:ds="http://schemas.openxmlformats.org/officeDocument/2006/customXml" ds:itemID="{103BD3F8-DF46-4021-8D10-9A60BFD202F0}">
  <ds:schemaRefs/>
</ds:datastoreItem>
</file>

<file path=customXml/itemProps99.xml><?xml version="1.0" encoding="utf-8"?>
<ds:datastoreItem xmlns:ds="http://schemas.openxmlformats.org/officeDocument/2006/customXml" ds:itemID="{96619807-D700-445E-909F-186CF5792E37}">
  <ds:schemaRefs/>
</ds:datastoreItem>
</file>

<file path=docProps/app.xml><?xml version="1.0" encoding="utf-8"?>
<Properties xmlns="http://schemas.openxmlformats.org/officeDocument/2006/extended-properties" xmlns:vt="http://schemas.openxmlformats.org/officeDocument/2006/docPropsVTypes">
  <Template>Normal</Template>
  <Pages>74</Pages>
  <Words>32710</Words>
  <Characters>38102</Characters>
  <Lines>378</Lines>
  <Paragraphs>106</Paragraphs>
  <TotalTime>6</TotalTime>
  <ScaleCrop>false</ScaleCrop>
  <LinksUpToDate>false</LinksUpToDate>
  <CharactersWithSpaces>38882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2022-02-16T01:34:00Z</dcterms:created>
  <dc:creator>Administrator</dc:creator>
  <cp:lastModifiedBy>凤凰</cp:lastModifiedBy>
  <dcterms:modified xsi:type="dcterms:W3CDTF">2024-04-15T06:28:29Z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1A2E30B54B7F481D88164E84787E710D</vt:lpwstr>
  </property>
</Properties>
</file>