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highlight w:val="none"/>
        </w:rPr>
      </w:pPr>
      <w:r>
        <w:rPr>
          <w:rFonts w:ascii="方正小标宋_GBK" w:hAnsi="方正小标宋_GBK" w:eastAsia="方正小标宋_GBK" w:cs="方正小标宋_GBK"/>
          <w:color w:val="000000"/>
          <w:sz w:val="52"/>
          <w:highlight w:val="none"/>
        </w:rPr>
        <w:t xml:space="preserve"> </w:t>
      </w:r>
    </w:p>
    <w:p>
      <w:pPr>
        <w:jc w:val="center"/>
        <w:rPr>
          <w:highlight w:val="none"/>
        </w:rPr>
      </w:pPr>
      <w:r>
        <w:rPr>
          <w:rFonts w:ascii="方正小标宋_GBK" w:hAnsi="方正小标宋_GBK" w:eastAsia="方正小标宋_GBK" w:cs="方正小标宋_GBK"/>
          <w:color w:val="000000"/>
          <w:sz w:val="52"/>
          <w:highlight w:val="none"/>
        </w:rPr>
        <w:t xml:space="preserve"> </w:t>
      </w:r>
    </w:p>
    <w:p>
      <w:pPr>
        <w:jc w:val="center"/>
        <w:rPr>
          <w:highlight w:val="none"/>
        </w:rPr>
      </w:pPr>
      <w:r>
        <w:rPr>
          <w:rFonts w:ascii="方正小标宋_GBK" w:hAnsi="方正小标宋_GBK" w:eastAsia="方正小标宋_GBK" w:cs="方正小标宋_GBK"/>
          <w:color w:val="000000"/>
          <w:sz w:val="52"/>
          <w:highlight w:val="none"/>
        </w:rPr>
        <w:t xml:space="preserve"> </w:t>
      </w:r>
    </w:p>
    <w:p>
      <w:pPr>
        <w:jc w:val="center"/>
        <w:rPr>
          <w:highlight w:val="none"/>
        </w:rPr>
      </w:pPr>
      <w:r>
        <w:rPr>
          <w:rFonts w:ascii="方正小标宋_GBK" w:hAnsi="方正小标宋_GBK" w:eastAsia="方正小标宋_GBK" w:cs="方正小标宋_GBK"/>
          <w:color w:val="000000"/>
          <w:sz w:val="72"/>
          <w:highlight w:val="none"/>
        </w:rPr>
        <w:t>区自然资源和规划部门</w:t>
      </w:r>
    </w:p>
    <w:p>
      <w:pPr>
        <w:jc w:val="center"/>
        <w:rPr>
          <w:highlight w:val="none"/>
        </w:rPr>
      </w:pPr>
      <w:r>
        <w:rPr>
          <w:rFonts w:ascii="方正小标宋_GBK" w:hAnsi="方正小标宋_GBK" w:eastAsia="方正小标宋_GBK" w:cs="方正小标宋_GBK"/>
          <w:color w:val="000000"/>
          <w:sz w:val="72"/>
          <w:highlight w:val="none"/>
        </w:rPr>
        <w:t>2022年部门预算绩效文本</w:t>
      </w:r>
    </w:p>
    <w:p>
      <w:pPr>
        <w:jc w:val="center"/>
        <w:rPr>
          <w:highlight w:val="none"/>
        </w:rPr>
      </w:pPr>
      <w:r>
        <w:rPr>
          <w:rFonts w:ascii="方正小标宋_GBK" w:hAnsi="方正小标宋_GBK" w:eastAsia="方正小标宋_GBK" w:cs="方正小标宋_GBK"/>
          <w:color w:val="000000"/>
          <w:sz w:val="52"/>
          <w:highlight w:val="none"/>
        </w:rPr>
        <w:t>（草案）</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宋体" w:hAnsi="宋体" w:eastAsia="宋体" w:cs="宋体"/>
          <w:color w:val="000000"/>
          <w:sz w:val="21"/>
          <w:highlight w:val="none"/>
        </w:rPr>
        <w:t xml:space="preserve"> </w:t>
      </w:r>
    </w:p>
    <w:p>
      <w:pPr>
        <w:jc w:val="center"/>
        <w:rPr>
          <w:highlight w:val="none"/>
        </w:rPr>
      </w:pPr>
      <w:r>
        <w:rPr>
          <w:rFonts w:ascii="方正楷体_GBK" w:hAnsi="方正楷体_GBK" w:eastAsia="方正楷体_GBK" w:cs="方正楷体_GBK"/>
          <w:b/>
          <w:color w:val="000000"/>
          <w:sz w:val="32"/>
          <w:highlight w:val="none"/>
        </w:rPr>
        <w:t>区自然资源和规划部门编制</w:t>
      </w:r>
    </w:p>
    <w:p>
      <w:pPr>
        <w:jc w:val="center"/>
        <w:rPr>
          <w:highlight w:val="none"/>
        </w:rPr>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highlight w:val="none"/>
        </w:rPr>
        <w:t>山海关区财政局审核</w:t>
      </w:r>
    </w:p>
    <w:p>
      <w:pPr>
        <w:jc w:val="center"/>
        <w:rPr>
          <w:highlight w:val="none"/>
        </w:rPr>
        <w:sectPr>
          <w:pgSz w:w="11900" w:h="16840"/>
          <w:pgMar w:top="1984" w:right="1304" w:bottom="1134" w:left="1304" w:header="720" w:footer="720" w:gutter="0"/>
          <w:cols w:space="720" w:num="1"/>
          <w:titlePg/>
        </w:sectPr>
      </w:pPr>
    </w:p>
    <w:p>
      <w:pPr>
        <w:jc w:val="center"/>
        <w:rPr>
          <w:highlight w:val="none"/>
        </w:rPr>
      </w:pPr>
      <w:r>
        <w:rPr>
          <w:rFonts w:ascii="方正小标宋_GBK" w:hAnsi="方正小标宋_GBK" w:eastAsia="方正小标宋_GBK" w:cs="方正小标宋_GBK"/>
          <w:color w:val="000000"/>
          <w:sz w:val="36"/>
          <w:highlight w:val="none"/>
        </w:rPr>
        <w:t xml:space="preserve"> </w:t>
      </w:r>
    </w:p>
    <w:p>
      <w:pPr>
        <w:jc w:val="center"/>
        <w:outlineLvl w:val="0"/>
        <w:rPr>
          <w:highlight w:val="none"/>
        </w:rPr>
      </w:pPr>
      <w:r>
        <w:rPr>
          <w:rFonts w:ascii="方正小标宋_GBK" w:hAnsi="方正小标宋_GBK" w:eastAsia="方正小标宋_GBK" w:cs="方正小标宋_GBK"/>
          <w:color w:val="000000"/>
          <w:sz w:val="36"/>
          <w:highlight w:val="none"/>
        </w:rPr>
        <w:t>目    录</w:t>
      </w:r>
    </w:p>
    <w:p>
      <w:pPr>
        <w:jc w:val="center"/>
        <w:rPr>
          <w:highlight w:val="none"/>
        </w:rPr>
      </w:pPr>
      <w:r>
        <w:rPr>
          <w:rFonts w:ascii="方正小标宋_GBK" w:hAnsi="方正小标宋_GBK" w:eastAsia="方正小标宋_GBK" w:cs="方正小标宋_GBK"/>
          <w:color w:val="000000"/>
          <w:sz w:val="30"/>
          <w:highlight w:val="none"/>
        </w:rPr>
        <w:t xml:space="preserve"> </w:t>
      </w:r>
    </w:p>
    <w:p>
      <w:pPr>
        <w:jc w:val="center"/>
        <w:rPr>
          <w:highlight w:val="none"/>
        </w:rPr>
      </w:pPr>
      <w:r>
        <w:rPr>
          <w:rFonts w:ascii="方正小标宋_GBK" w:hAnsi="方正小标宋_GBK" w:eastAsia="方正小标宋_GBK" w:cs="方正小标宋_GBK"/>
          <w:color w:val="000000"/>
          <w:sz w:val="30"/>
          <w:highlight w:val="none"/>
        </w:rPr>
        <w:t>第一部分 部门整体绩效目标</w:t>
      </w:r>
    </w:p>
    <w:p>
      <w:pPr>
        <w:pStyle w:val="15"/>
        <w:tabs>
          <w:tab w:val="right" w:leader="dot" w:pos="9282"/>
        </w:tabs>
        <w:rPr>
          <w:highlight w:val="none"/>
        </w:rPr>
      </w:pPr>
      <w:r>
        <w:rPr>
          <w:highlight w:val="none"/>
        </w:rPr>
        <w:fldChar w:fldCharType="begin"/>
      </w:r>
      <w:r>
        <w:rPr>
          <w:highlight w:val="none"/>
        </w:rPr>
        <w:instrText xml:space="preserve">TOC \o "2-2" \h \z \u</w:instrText>
      </w:r>
      <w:r>
        <w:rPr>
          <w:highlight w:val="none"/>
        </w:rPr>
        <w:fldChar w:fldCharType="separate"/>
      </w:r>
      <w:r>
        <w:rPr>
          <w:highlight w:val="none"/>
        </w:rPr>
        <w:fldChar w:fldCharType="begin"/>
      </w:r>
      <w:r>
        <w:rPr>
          <w:highlight w:val="none"/>
        </w:rPr>
        <w:instrText xml:space="preserve"> HYPERLINK \l "_Toc_2_2_0000000001" </w:instrText>
      </w:r>
      <w:r>
        <w:rPr>
          <w:highlight w:val="none"/>
        </w:rPr>
        <w:fldChar w:fldCharType="separate"/>
      </w:r>
      <w:r>
        <w:rPr>
          <w:highlight w:val="none"/>
        </w:rPr>
        <w:t>一、总体绩效目标</w:t>
      </w:r>
      <w:r>
        <w:rPr>
          <w:highlight w:val="none"/>
        </w:rPr>
        <w:tab/>
      </w:r>
      <w:r>
        <w:rPr>
          <w:highlight w:val="none"/>
        </w:rPr>
        <w:fldChar w:fldCharType="begin"/>
      </w:r>
      <w:r>
        <w:rPr>
          <w:highlight w:val="none"/>
        </w:rPr>
        <w:instrText xml:space="preserve">PAGEREF _Toc_2_2_0000000001 \h</w:instrText>
      </w:r>
      <w:r>
        <w:rPr>
          <w:highlight w:val="none"/>
        </w:rPr>
        <w:fldChar w:fldCharType="separate"/>
      </w:r>
      <w:r>
        <w:rPr>
          <w:highlight w:val="none"/>
        </w:rPr>
        <w:t>1</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"_Toc_2_2_0000000002" </w:instrText>
      </w:r>
      <w:r>
        <w:rPr>
          <w:highlight w:val="none"/>
        </w:rPr>
        <w:fldChar w:fldCharType="separate"/>
      </w:r>
      <w:r>
        <w:rPr>
          <w:highlight w:val="none"/>
        </w:rPr>
        <w:t>二、分项绩效目标</w:t>
      </w:r>
      <w:r>
        <w:rPr>
          <w:highlight w:val="none"/>
        </w:rPr>
        <w:tab/>
      </w:r>
      <w:r>
        <w:rPr>
          <w:highlight w:val="none"/>
        </w:rPr>
        <w:fldChar w:fldCharType="begin"/>
      </w:r>
      <w:r>
        <w:rPr>
          <w:highlight w:val="none"/>
        </w:rPr>
        <w:instrText xml:space="preserve">PAGEREF _Toc_2_2_0000000002 \h</w:instrText>
      </w:r>
      <w:r>
        <w:rPr>
          <w:highlight w:val="none"/>
        </w:rPr>
        <w:fldChar w:fldCharType="separate"/>
      </w:r>
      <w:r>
        <w:rPr>
          <w:highlight w:val="none"/>
        </w:rPr>
        <w:t>1</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"_Toc_2_2_0000000003" </w:instrText>
      </w:r>
      <w:r>
        <w:rPr>
          <w:highlight w:val="none"/>
        </w:rPr>
        <w:fldChar w:fldCharType="separate"/>
      </w:r>
      <w:r>
        <w:rPr>
          <w:highlight w:val="none"/>
        </w:rPr>
        <w:t>三、工作保障措施</w:t>
      </w:r>
      <w:r>
        <w:rPr>
          <w:highlight w:val="none"/>
        </w:rPr>
        <w:tab/>
      </w:r>
      <w:r>
        <w:rPr>
          <w:highlight w:val="none"/>
        </w:rPr>
        <w:fldChar w:fldCharType="begin"/>
      </w:r>
      <w:r>
        <w:rPr>
          <w:highlight w:val="none"/>
        </w:rPr>
        <w:instrText xml:space="preserve">PAGEREF _Toc_2_2_0000000003 \h</w:instrText>
      </w:r>
      <w:r>
        <w:rPr>
          <w:highlight w:val="none"/>
        </w:rPr>
        <w:fldChar w:fldCharType="separate"/>
      </w:r>
      <w:r>
        <w:rPr>
          <w:highlight w:val="none"/>
        </w:rPr>
        <w:t>12</w:t>
      </w:r>
      <w:r>
        <w:rPr>
          <w:highlight w:val="none"/>
        </w:rPr>
        <w:fldChar w:fldCharType="end"/>
      </w:r>
      <w:r>
        <w:rPr>
          <w:highlight w:val="none"/>
        </w:rPr>
        <w:fldChar w:fldCharType="end"/>
      </w:r>
    </w:p>
    <w:p>
      <w:pPr>
        <w:rPr>
          <w:highlight w:val="none"/>
        </w:rPr>
      </w:pPr>
      <w:r>
        <w:rPr>
          <w:highlight w:val="none"/>
        </w:rPr>
        <w:fldChar w:fldCharType="end"/>
      </w:r>
    </w:p>
    <w:p>
      <w:pPr>
        <w:jc w:val="center"/>
        <w:rPr>
          <w:highlight w:val="none"/>
        </w:rPr>
      </w:pPr>
      <w:r>
        <w:rPr>
          <w:rFonts w:ascii="方正小标宋_GBK" w:hAnsi="方正小标宋_GBK" w:eastAsia="方正小标宋_GBK" w:cs="方正小标宋_GBK"/>
          <w:color w:val="000000"/>
          <w:sz w:val="30"/>
          <w:highlight w:val="none"/>
        </w:rPr>
        <w:t>第二部分 预算项目绩效目标</w:t>
      </w:r>
    </w:p>
    <w:p>
      <w:pPr>
        <w:pStyle w:val="15"/>
        <w:tabs>
          <w:tab w:val="right" w:leader="dot" w:pos="9282"/>
        </w:tabs>
        <w:rPr>
          <w:highlight w:val="none"/>
        </w:rPr>
      </w:pPr>
      <w:r>
        <w:rPr>
          <w:highlight w:val="none"/>
        </w:rPr>
        <w:fldChar w:fldCharType="begin"/>
      </w:r>
      <w:r>
        <w:rPr>
          <w:highlight w:val="none"/>
        </w:rPr>
        <w:instrText xml:space="preserve">TOC \o "4-4" \h \z \u</w:instrText>
      </w:r>
      <w:r>
        <w:rPr>
          <w:highlight w:val="none"/>
        </w:rPr>
        <w:fldChar w:fldCharType="separate"/>
      </w:r>
      <w:r>
        <w:rPr>
          <w:highlight w:val="none"/>
        </w:rPr>
        <w:fldChar w:fldCharType="begin"/>
      </w:r>
      <w:r>
        <w:rPr>
          <w:highlight w:val="none"/>
        </w:rPr>
        <w:instrText xml:space="preserve"> HYPERLINK \l "_Toc_4_4_0000000004" </w:instrText>
      </w:r>
      <w:r>
        <w:rPr>
          <w:highlight w:val="none"/>
        </w:rPr>
        <w:fldChar w:fldCharType="separate"/>
      </w:r>
      <w:r>
        <w:rPr>
          <w:highlight w:val="none"/>
        </w:rPr>
        <w:t>1.车辆保险费绩效目标表</w:t>
      </w:r>
      <w:r>
        <w:rPr>
          <w:highlight w:val="none"/>
        </w:rPr>
        <w:tab/>
      </w:r>
      <w:r>
        <w:rPr>
          <w:highlight w:val="none"/>
        </w:rPr>
        <w:fldChar w:fldCharType="begin"/>
      </w:r>
      <w:r>
        <w:rPr>
          <w:highlight w:val="none"/>
        </w:rPr>
        <w:instrText xml:space="preserve">PAGEREF _Toc_4_4_0000000004 \h</w:instrText>
      </w:r>
      <w:r>
        <w:rPr>
          <w:highlight w:val="none"/>
        </w:rPr>
        <w:fldChar w:fldCharType="separate"/>
      </w:r>
      <w:r>
        <w:rPr>
          <w:highlight w:val="none"/>
        </w:rPr>
        <w:t>16</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"_Toc_4_4_0000000005" </w:instrText>
      </w:r>
      <w:r>
        <w:rPr>
          <w:highlight w:val="none"/>
        </w:rPr>
        <w:fldChar w:fldCharType="separate"/>
      </w:r>
      <w:r>
        <w:rPr>
          <w:highlight w:val="none"/>
        </w:rPr>
        <w:t>2.2019-2021年度造林绿化所需资金补助绩效目标表</w:t>
      </w:r>
      <w:r>
        <w:rPr>
          <w:highlight w:val="none"/>
        </w:rPr>
        <w:tab/>
      </w:r>
      <w:r>
        <w:rPr>
          <w:highlight w:val="none"/>
        </w:rPr>
        <w:fldChar w:fldCharType="begin"/>
      </w:r>
      <w:r>
        <w:rPr>
          <w:highlight w:val="none"/>
        </w:rPr>
        <w:instrText xml:space="preserve">PAGEREF _Toc_4_4_0000000005 \h</w:instrText>
      </w:r>
      <w:r>
        <w:rPr>
          <w:highlight w:val="none"/>
        </w:rPr>
        <w:fldChar w:fldCharType="separate"/>
      </w:r>
      <w:r>
        <w:rPr>
          <w:highlight w:val="none"/>
        </w:rPr>
        <w:t>16</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"_Toc_4_4_0000000006" </w:instrText>
      </w:r>
      <w:r>
        <w:rPr>
          <w:highlight w:val="none"/>
        </w:rPr>
        <w:fldChar w:fldCharType="separate"/>
      </w:r>
      <w:r>
        <w:rPr>
          <w:highlight w:val="none"/>
        </w:rPr>
        <w:t>3.2019年林业改革发展资金-森林生态效益补偿-管护补助绩效目标表</w:t>
      </w:r>
      <w:r>
        <w:rPr>
          <w:highlight w:val="none"/>
        </w:rPr>
        <w:tab/>
      </w:r>
      <w:r>
        <w:rPr>
          <w:highlight w:val="none"/>
        </w:rPr>
        <w:fldChar w:fldCharType="begin"/>
      </w:r>
      <w:r>
        <w:rPr>
          <w:highlight w:val="none"/>
        </w:rPr>
        <w:instrText xml:space="preserve">PAGEREF _Toc_4_4_0000000006 \h</w:instrText>
      </w:r>
      <w:r>
        <w:rPr>
          <w:highlight w:val="none"/>
        </w:rPr>
        <w:fldChar w:fldCharType="separate"/>
      </w:r>
      <w:r>
        <w:rPr>
          <w:highlight w:val="none"/>
        </w:rPr>
        <w:t>17</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"_Toc_4_4_0000000007" </w:instrText>
      </w:r>
      <w:r>
        <w:rPr>
          <w:highlight w:val="none"/>
        </w:rPr>
        <w:fldChar w:fldCharType="separate"/>
      </w:r>
      <w:r>
        <w:rPr>
          <w:highlight w:val="none"/>
        </w:rPr>
        <w:t>4.2020年林业改革发展资金-森林生态效益补助-管护补助绩效目标表</w:t>
      </w:r>
      <w:r>
        <w:rPr>
          <w:highlight w:val="none"/>
        </w:rPr>
        <w:tab/>
      </w:r>
      <w:r>
        <w:rPr>
          <w:highlight w:val="none"/>
        </w:rPr>
        <w:fldChar w:fldCharType="begin"/>
      </w:r>
      <w:r>
        <w:rPr>
          <w:highlight w:val="none"/>
        </w:rPr>
        <w:instrText xml:space="preserve">PAGEREF _Toc_4_4_0000000007 \h</w:instrText>
      </w:r>
      <w:r>
        <w:rPr>
          <w:highlight w:val="none"/>
        </w:rPr>
        <w:fldChar w:fldCharType="separate"/>
      </w:r>
      <w:r>
        <w:rPr>
          <w:highlight w:val="none"/>
        </w:rPr>
        <w:t>18</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"_Toc_4_4_0000000008" </w:instrText>
      </w:r>
      <w:r>
        <w:rPr>
          <w:highlight w:val="none"/>
        </w:rPr>
        <w:fldChar w:fldCharType="separate"/>
      </w:r>
      <w:r>
        <w:rPr>
          <w:highlight w:val="none"/>
        </w:rPr>
        <w:t>5.2020年绿色秦皇岛工程补助资金绩效目标表</w:t>
      </w:r>
      <w:r>
        <w:rPr>
          <w:highlight w:val="none"/>
        </w:rPr>
        <w:tab/>
      </w:r>
      <w:r>
        <w:rPr>
          <w:highlight w:val="none"/>
        </w:rPr>
        <w:fldChar w:fldCharType="begin"/>
      </w:r>
      <w:r>
        <w:rPr>
          <w:highlight w:val="none"/>
        </w:rPr>
        <w:instrText xml:space="preserve">PAGEREF _Toc_4_4_0000000008 \h</w:instrText>
      </w:r>
      <w:r>
        <w:rPr>
          <w:highlight w:val="none"/>
        </w:rPr>
        <w:fldChar w:fldCharType="separate"/>
      </w:r>
      <w:r>
        <w:rPr>
          <w:highlight w:val="none"/>
        </w:rPr>
        <w:t>19</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"_Toc_4_4_0000000009" </w:instrText>
      </w:r>
      <w:r>
        <w:rPr>
          <w:highlight w:val="none"/>
        </w:rPr>
        <w:fldChar w:fldCharType="separate"/>
      </w:r>
      <w:r>
        <w:rPr>
          <w:highlight w:val="none"/>
        </w:rPr>
        <w:t>6.2020年省级林业发展补助资金绩效目标表</w:t>
      </w:r>
      <w:r>
        <w:rPr>
          <w:highlight w:val="none"/>
        </w:rPr>
        <w:tab/>
      </w:r>
      <w:r>
        <w:rPr>
          <w:highlight w:val="none"/>
        </w:rPr>
        <w:fldChar w:fldCharType="begin"/>
      </w:r>
      <w:r>
        <w:rPr>
          <w:highlight w:val="none"/>
        </w:rPr>
        <w:instrText xml:space="preserve">PAGEREF _Toc_4_4_0000000009 \h</w:instrText>
      </w:r>
      <w:r>
        <w:rPr>
          <w:highlight w:val="none"/>
        </w:rPr>
        <w:fldChar w:fldCharType="separate"/>
      </w:r>
      <w:r>
        <w:rPr>
          <w:highlight w:val="none"/>
        </w:rPr>
        <w:t>20</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"_Toc_4_4_0000000010" </w:instrText>
      </w:r>
      <w:r>
        <w:rPr>
          <w:highlight w:val="none"/>
        </w:rPr>
        <w:fldChar w:fldCharType="separate"/>
      </w:r>
      <w:r>
        <w:rPr>
          <w:highlight w:val="none"/>
        </w:rPr>
        <w:t>7.2021年度山海关区沿海防护林工程补助绩效目标表</w:t>
      </w:r>
      <w:r>
        <w:rPr>
          <w:highlight w:val="none"/>
        </w:rPr>
        <w:tab/>
      </w:r>
      <w:r>
        <w:rPr>
          <w:highlight w:val="none"/>
        </w:rPr>
        <w:fldChar w:fldCharType="begin"/>
      </w:r>
      <w:r>
        <w:rPr>
          <w:highlight w:val="none"/>
        </w:rPr>
        <w:instrText xml:space="preserve">PAGEREF _Toc_4_4_0000000010 \h</w:instrText>
      </w:r>
      <w:r>
        <w:rPr>
          <w:highlight w:val="none"/>
        </w:rPr>
        <w:fldChar w:fldCharType="separate"/>
      </w:r>
      <w:r>
        <w:rPr>
          <w:highlight w:val="none"/>
        </w:rPr>
        <w:t>21</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"_Toc_4_4_0000000011" </w:instrText>
      </w:r>
      <w:r>
        <w:rPr>
          <w:highlight w:val="none"/>
        </w:rPr>
        <w:fldChar w:fldCharType="separate"/>
      </w:r>
      <w:r>
        <w:rPr>
          <w:highlight w:val="none"/>
        </w:rPr>
        <w:t>8.2021年高建庄100亩地块土地租赁差价绩效目标表</w:t>
      </w:r>
      <w:r>
        <w:rPr>
          <w:highlight w:val="none"/>
        </w:rPr>
        <w:tab/>
      </w:r>
      <w:r>
        <w:rPr>
          <w:highlight w:val="none"/>
        </w:rPr>
        <w:fldChar w:fldCharType="begin"/>
      </w:r>
      <w:r>
        <w:rPr>
          <w:highlight w:val="none"/>
        </w:rPr>
        <w:instrText xml:space="preserve">PAGEREF _Toc_4_4_0000000011 \h</w:instrText>
      </w:r>
      <w:r>
        <w:rPr>
          <w:highlight w:val="none"/>
        </w:rPr>
        <w:fldChar w:fldCharType="separate"/>
      </w:r>
      <w:r>
        <w:rPr>
          <w:highlight w:val="none"/>
        </w:rPr>
        <w:t>22</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"_Toc_4_4_0000000012" </w:instrText>
      </w:r>
      <w:r>
        <w:rPr>
          <w:highlight w:val="none"/>
        </w:rPr>
        <w:fldChar w:fldCharType="separate"/>
      </w:r>
      <w:r>
        <w:rPr>
          <w:highlight w:val="none"/>
        </w:rPr>
        <w:t>9.2021年环城绿化补偿费绩效目标表</w:t>
      </w:r>
      <w:r>
        <w:rPr>
          <w:highlight w:val="none"/>
        </w:rPr>
        <w:tab/>
      </w:r>
      <w:r>
        <w:rPr>
          <w:highlight w:val="none"/>
        </w:rPr>
        <w:fldChar w:fldCharType="begin"/>
      </w:r>
      <w:r>
        <w:rPr>
          <w:highlight w:val="none"/>
        </w:rPr>
        <w:instrText xml:space="preserve">PAGEREF _Toc_4_4_0000000012 \h</w:instrText>
      </w:r>
      <w:r>
        <w:rPr>
          <w:highlight w:val="none"/>
        </w:rPr>
        <w:fldChar w:fldCharType="separate"/>
      </w:r>
      <w:r>
        <w:rPr>
          <w:highlight w:val="none"/>
        </w:rPr>
        <w:t>23</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"_Toc_4_4_0000000013" </w:instrText>
      </w:r>
      <w:r>
        <w:rPr>
          <w:highlight w:val="none"/>
        </w:rPr>
        <w:fldChar w:fldCharType="separate"/>
      </w:r>
      <w:r>
        <w:rPr>
          <w:highlight w:val="none"/>
        </w:rPr>
        <w:t>10.2021年绿色秦皇岛工程补助资金绩效目标表</w:t>
      </w:r>
      <w:r>
        <w:rPr>
          <w:highlight w:val="none"/>
        </w:rPr>
        <w:tab/>
      </w:r>
      <w:r>
        <w:rPr>
          <w:highlight w:val="none"/>
        </w:rPr>
        <w:fldChar w:fldCharType="begin"/>
      </w:r>
      <w:r>
        <w:rPr>
          <w:highlight w:val="none"/>
        </w:rPr>
        <w:instrText xml:space="preserve">PAGEREF _Toc_4_4_0000000013 \h</w:instrText>
      </w:r>
      <w:r>
        <w:rPr>
          <w:highlight w:val="none"/>
        </w:rPr>
        <w:fldChar w:fldCharType="separate"/>
      </w:r>
      <w:r>
        <w:rPr>
          <w:highlight w:val="none"/>
        </w:rPr>
        <w:t>24</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"_Toc_4_4_0000000014" </w:instrText>
      </w:r>
      <w:r>
        <w:rPr>
          <w:highlight w:val="none"/>
        </w:rPr>
        <w:fldChar w:fldCharType="separate"/>
      </w:r>
      <w:r>
        <w:rPr>
          <w:highlight w:val="none"/>
        </w:rPr>
        <w:t>11.2021年生态保护支撑体系专项中央基建投资预算-秦皇岛市森林火灾高风险区综合治理工程建设项目绩效目标表</w:t>
      </w:r>
      <w:r>
        <w:rPr>
          <w:highlight w:val="none"/>
        </w:rPr>
        <w:tab/>
      </w:r>
      <w:r>
        <w:rPr>
          <w:highlight w:val="none"/>
        </w:rPr>
        <w:fldChar w:fldCharType="begin"/>
      </w:r>
      <w:r>
        <w:rPr>
          <w:highlight w:val="none"/>
        </w:rPr>
        <w:instrText xml:space="preserve">PAGEREF _Toc_4_4_0000000014 \h</w:instrText>
      </w:r>
      <w:r>
        <w:rPr>
          <w:highlight w:val="none"/>
        </w:rPr>
        <w:fldChar w:fldCharType="separate"/>
      </w:r>
      <w:r>
        <w:rPr>
          <w:highlight w:val="none"/>
        </w:rPr>
        <w:t>25</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"_Toc_4_4_0000000015" </w:instrText>
      </w:r>
      <w:r>
        <w:rPr>
          <w:highlight w:val="none"/>
        </w:rPr>
        <w:fldChar w:fldCharType="separate"/>
      </w:r>
      <w:r>
        <w:rPr>
          <w:highlight w:val="none"/>
        </w:rPr>
        <w:t>12.2021年中央财政林业改革发展资金-林业有害生物防治补助绩效目标表</w:t>
      </w:r>
      <w:r>
        <w:rPr>
          <w:highlight w:val="none"/>
        </w:rPr>
        <w:tab/>
      </w:r>
      <w:r>
        <w:rPr>
          <w:highlight w:val="none"/>
        </w:rPr>
        <w:fldChar w:fldCharType="begin"/>
      </w:r>
      <w:r>
        <w:rPr>
          <w:highlight w:val="none"/>
        </w:rPr>
        <w:instrText xml:space="preserve">PAGEREF _Toc_4_4_0000000015 \h</w:instrText>
      </w:r>
      <w:r>
        <w:rPr>
          <w:highlight w:val="none"/>
        </w:rPr>
        <w:fldChar w:fldCharType="separate"/>
      </w:r>
      <w:r>
        <w:rPr>
          <w:highlight w:val="none"/>
        </w:rPr>
        <w:t>26</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"_Toc_4_4_0000000016" </w:instrText>
      </w:r>
      <w:r>
        <w:rPr>
          <w:highlight w:val="none"/>
        </w:rPr>
        <w:fldChar w:fldCharType="separate"/>
      </w:r>
      <w:r>
        <w:rPr>
          <w:highlight w:val="none"/>
        </w:rPr>
        <w:t>13.耕地开垦费绩效目标表</w:t>
      </w:r>
      <w:r>
        <w:rPr>
          <w:highlight w:val="none"/>
        </w:rPr>
        <w:tab/>
      </w:r>
      <w:r>
        <w:rPr>
          <w:highlight w:val="none"/>
        </w:rPr>
        <w:fldChar w:fldCharType="begin"/>
      </w:r>
      <w:r>
        <w:rPr>
          <w:highlight w:val="none"/>
        </w:rPr>
        <w:instrText xml:space="preserve">PAGEREF _Toc_4_4_0000000016 \h</w:instrText>
      </w:r>
      <w:r>
        <w:rPr>
          <w:highlight w:val="none"/>
        </w:rPr>
        <w:fldChar w:fldCharType="separate"/>
      </w:r>
      <w:r>
        <w:rPr>
          <w:highlight w:val="none"/>
        </w:rPr>
        <w:t>27</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"_Toc_4_4_0000000017" </w:instrText>
      </w:r>
      <w:r>
        <w:rPr>
          <w:highlight w:val="none"/>
        </w:rPr>
        <w:fldChar w:fldCharType="separate"/>
      </w:r>
      <w:r>
        <w:rPr>
          <w:highlight w:val="none"/>
        </w:rPr>
        <w:t>14.耕地占用税绩效目标表</w:t>
      </w:r>
      <w:r>
        <w:rPr>
          <w:highlight w:val="none"/>
        </w:rPr>
        <w:tab/>
      </w:r>
      <w:r>
        <w:rPr>
          <w:highlight w:val="none"/>
        </w:rPr>
        <w:fldChar w:fldCharType="begin"/>
      </w:r>
      <w:r>
        <w:rPr>
          <w:highlight w:val="none"/>
        </w:rPr>
        <w:instrText xml:space="preserve">PAGEREF _Toc_4_4_0000000017 \h</w:instrText>
      </w:r>
      <w:r>
        <w:rPr>
          <w:highlight w:val="none"/>
        </w:rPr>
        <w:fldChar w:fldCharType="separate"/>
      </w:r>
      <w:r>
        <w:rPr>
          <w:highlight w:val="none"/>
        </w:rPr>
        <w:t>28</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"_Toc_4_4_0000000018" </w:instrText>
      </w:r>
      <w:r>
        <w:rPr>
          <w:highlight w:val="none"/>
        </w:rPr>
        <w:fldChar w:fldCharType="separate"/>
      </w:r>
      <w:r>
        <w:rPr>
          <w:highlight w:val="none"/>
        </w:rPr>
        <w:t>15.规划编制费绩效目标表</w:t>
      </w:r>
      <w:r>
        <w:rPr>
          <w:highlight w:val="none"/>
        </w:rPr>
        <w:tab/>
      </w:r>
      <w:r>
        <w:rPr>
          <w:highlight w:val="none"/>
        </w:rPr>
        <w:fldChar w:fldCharType="begin"/>
      </w:r>
      <w:r>
        <w:rPr>
          <w:highlight w:val="none"/>
        </w:rPr>
        <w:instrText xml:space="preserve">PAGEREF _Toc_4_4_0000000018 \h</w:instrText>
      </w:r>
      <w:r>
        <w:rPr>
          <w:highlight w:val="none"/>
        </w:rPr>
        <w:fldChar w:fldCharType="separate"/>
      </w:r>
      <w:r>
        <w:rPr>
          <w:highlight w:val="none"/>
        </w:rPr>
        <w:t>29</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"_Toc_4_4_0000000019" </w:instrText>
      </w:r>
      <w:r>
        <w:rPr>
          <w:highlight w:val="none"/>
        </w:rPr>
        <w:fldChar w:fldCharType="separate"/>
      </w:r>
      <w:r>
        <w:rPr>
          <w:highlight w:val="none"/>
        </w:rPr>
        <w:t>16.护林防火经费绩效目标表</w:t>
      </w:r>
      <w:r>
        <w:rPr>
          <w:highlight w:val="none"/>
        </w:rPr>
        <w:tab/>
      </w:r>
      <w:r>
        <w:rPr>
          <w:highlight w:val="none"/>
        </w:rPr>
        <w:fldChar w:fldCharType="begin"/>
      </w:r>
      <w:r>
        <w:rPr>
          <w:highlight w:val="none"/>
        </w:rPr>
        <w:instrText xml:space="preserve">PAGEREF _Toc_4_4_0000000019 \h</w:instrText>
      </w:r>
      <w:r>
        <w:rPr>
          <w:highlight w:val="none"/>
        </w:rPr>
        <w:fldChar w:fldCharType="separate"/>
      </w:r>
      <w:r>
        <w:rPr>
          <w:highlight w:val="none"/>
        </w:rPr>
        <w:t>30</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"_Toc_4_4_0000000020" </w:instrText>
      </w:r>
      <w:r>
        <w:rPr>
          <w:highlight w:val="none"/>
        </w:rPr>
        <w:fldChar w:fldCharType="separate"/>
      </w:r>
      <w:r>
        <w:rPr>
          <w:highlight w:val="none"/>
        </w:rPr>
        <w:t>17.佳龙拟建动物园片区相关费用绩效目标表</w:t>
      </w:r>
      <w:r>
        <w:rPr>
          <w:highlight w:val="none"/>
        </w:rPr>
        <w:tab/>
      </w:r>
      <w:r>
        <w:rPr>
          <w:highlight w:val="none"/>
        </w:rPr>
        <w:fldChar w:fldCharType="begin"/>
      </w:r>
      <w:r>
        <w:rPr>
          <w:highlight w:val="none"/>
        </w:rPr>
        <w:instrText xml:space="preserve">PAGEREF _Toc_4_4_0000000020 \h</w:instrText>
      </w:r>
      <w:r>
        <w:rPr>
          <w:highlight w:val="none"/>
        </w:rPr>
        <w:fldChar w:fldCharType="separate"/>
      </w:r>
      <w:r>
        <w:rPr>
          <w:highlight w:val="none"/>
        </w:rPr>
        <w:t>31</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"_Toc_4_4_0000000021" </w:instrText>
      </w:r>
      <w:r>
        <w:rPr>
          <w:highlight w:val="none"/>
        </w:rPr>
        <w:fldChar w:fldCharType="separate"/>
      </w:r>
      <w:r>
        <w:rPr>
          <w:highlight w:val="none"/>
        </w:rPr>
        <w:t>18.林业草原生态保护恢复资金绩效目标表</w:t>
      </w:r>
      <w:r>
        <w:rPr>
          <w:highlight w:val="none"/>
        </w:rPr>
        <w:tab/>
      </w:r>
      <w:r>
        <w:rPr>
          <w:highlight w:val="none"/>
        </w:rPr>
        <w:fldChar w:fldCharType="begin"/>
      </w:r>
      <w:r>
        <w:rPr>
          <w:highlight w:val="none"/>
        </w:rPr>
        <w:instrText xml:space="preserve">PAGEREF _Toc_4_4_0000000021 \h</w:instrText>
      </w:r>
      <w:r>
        <w:rPr>
          <w:highlight w:val="none"/>
        </w:rPr>
        <w:fldChar w:fldCharType="separate"/>
      </w:r>
      <w:r>
        <w:rPr>
          <w:highlight w:val="none"/>
        </w:rPr>
        <w:t>32</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"_Toc_4_4_0000000022" </w:instrText>
      </w:r>
      <w:r>
        <w:rPr>
          <w:highlight w:val="none"/>
        </w:rPr>
        <w:fldChar w:fldCharType="separate"/>
      </w:r>
      <w:r>
        <w:rPr>
          <w:highlight w:val="none"/>
        </w:rPr>
        <w:t>19.人事代理专项补助绩效目标表</w:t>
      </w:r>
      <w:r>
        <w:rPr>
          <w:highlight w:val="none"/>
        </w:rPr>
        <w:tab/>
      </w:r>
      <w:r>
        <w:rPr>
          <w:highlight w:val="none"/>
        </w:rPr>
        <w:fldChar w:fldCharType="begin"/>
      </w:r>
      <w:r>
        <w:rPr>
          <w:highlight w:val="none"/>
        </w:rPr>
        <w:instrText xml:space="preserve">PAGEREF _Toc_4_4_0000000022 \h</w:instrText>
      </w:r>
      <w:r>
        <w:rPr>
          <w:highlight w:val="none"/>
        </w:rPr>
        <w:fldChar w:fldCharType="separate"/>
      </w:r>
      <w:r>
        <w:rPr>
          <w:highlight w:val="none"/>
        </w:rPr>
        <w:t>33</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"_Toc_4_4_0000000023" </w:instrText>
      </w:r>
      <w:r>
        <w:rPr>
          <w:highlight w:val="none"/>
        </w:rPr>
        <w:fldChar w:fldCharType="separate"/>
      </w:r>
      <w:r>
        <w:rPr>
          <w:highlight w:val="none"/>
        </w:rPr>
        <w:t>20.山海关存量农村宅基地和集体建设用地及房屋登记资料汇交入库绩效目标表</w:t>
      </w:r>
      <w:r>
        <w:rPr>
          <w:highlight w:val="none"/>
        </w:rPr>
        <w:tab/>
      </w:r>
      <w:r>
        <w:rPr>
          <w:highlight w:val="none"/>
        </w:rPr>
        <w:fldChar w:fldCharType="begin"/>
      </w:r>
      <w:r>
        <w:rPr>
          <w:highlight w:val="none"/>
        </w:rPr>
        <w:instrText xml:space="preserve">PAGEREF _Toc_4_4_0000000023 \h</w:instrText>
      </w:r>
      <w:r>
        <w:rPr>
          <w:highlight w:val="none"/>
        </w:rPr>
        <w:fldChar w:fldCharType="separate"/>
      </w:r>
      <w:r>
        <w:rPr>
          <w:highlight w:val="none"/>
        </w:rPr>
        <w:t>34</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"_Toc_4_4_0000000024" </w:instrText>
      </w:r>
      <w:r>
        <w:rPr>
          <w:highlight w:val="none"/>
        </w:rPr>
        <w:fldChar w:fldCharType="separate"/>
      </w:r>
      <w:r>
        <w:rPr>
          <w:highlight w:val="none"/>
        </w:rPr>
        <w:t>21.山海关区2020年度、2021年度国土变更调查绩效目标表</w:t>
      </w:r>
      <w:r>
        <w:rPr>
          <w:highlight w:val="none"/>
        </w:rPr>
        <w:tab/>
      </w:r>
      <w:r>
        <w:rPr>
          <w:highlight w:val="none"/>
        </w:rPr>
        <w:fldChar w:fldCharType="begin"/>
      </w:r>
      <w:r>
        <w:rPr>
          <w:highlight w:val="none"/>
        </w:rPr>
        <w:instrText xml:space="preserve">PAGEREF _Toc_4_4_0000000024 \h</w:instrText>
      </w:r>
      <w:r>
        <w:rPr>
          <w:highlight w:val="none"/>
        </w:rPr>
        <w:fldChar w:fldCharType="separate"/>
      </w:r>
      <w:r>
        <w:rPr>
          <w:highlight w:val="none"/>
        </w:rPr>
        <w:t>36</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"_Toc_4_4_0000000025" </w:instrText>
      </w:r>
      <w:r>
        <w:rPr>
          <w:highlight w:val="none"/>
        </w:rPr>
        <w:fldChar w:fldCharType="separate"/>
      </w:r>
      <w:r>
        <w:rPr>
          <w:highlight w:val="none"/>
        </w:rPr>
        <w:t>22.山海关土地征收成本开发方案绩效目标表</w:t>
      </w:r>
      <w:r>
        <w:rPr>
          <w:highlight w:val="none"/>
        </w:rPr>
        <w:tab/>
      </w:r>
      <w:r>
        <w:rPr>
          <w:highlight w:val="none"/>
        </w:rPr>
        <w:fldChar w:fldCharType="begin"/>
      </w:r>
      <w:r>
        <w:rPr>
          <w:highlight w:val="none"/>
        </w:rPr>
        <w:instrText xml:space="preserve">PAGEREF _Toc_4_4_0000000025 \h</w:instrText>
      </w:r>
      <w:r>
        <w:rPr>
          <w:highlight w:val="none"/>
        </w:rPr>
        <w:fldChar w:fldCharType="separate"/>
      </w:r>
      <w:r>
        <w:rPr>
          <w:highlight w:val="none"/>
        </w:rPr>
        <w:t>37</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"_Toc_4_4_0000000026" </w:instrText>
      </w:r>
      <w:r>
        <w:rPr>
          <w:highlight w:val="none"/>
        </w:rPr>
        <w:fldChar w:fldCharType="separate"/>
      </w:r>
      <w:r>
        <w:rPr>
          <w:highlight w:val="none"/>
        </w:rPr>
        <w:t>23.失地农民养老基金绩效目标表</w:t>
      </w:r>
      <w:r>
        <w:rPr>
          <w:highlight w:val="none"/>
        </w:rPr>
        <w:tab/>
      </w:r>
      <w:r>
        <w:rPr>
          <w:highlight w:val="none"/>
        </w:rPr>
        <w:fldChar w:fldCharType="begin"/>
      </w:r>
      <w:r>
        <w:rPr>
          <w:highlight w:val="none"/>
        </w:rPr>
        <w:instrText xml:space="preserve">PAGEREF _Toc_4_4_0000000026 \h</w:instrText>
      </w:r>
      <w:r>
        <w:rPr>
          <w:highlight w:val="none"/>
        </w:rPr>
        <w:fldChar w:fldCharType="separate"/>
      </w:r>
      <w:r>
        <w:rPr>
          <w:highlight w:val="none"/>
        </w:rPr>
        <w:t>38</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"_Toc_4_4_0000000027" </w:instrText>
      </w:r>
      <w:r>
        <w:rPr>
          <w:highlight w:val="none"/>
        </w:rPr>
        <w:fldChar w:fldCharType="separate"/>
      </w:r>
      <w:r>
        <w:rPr>
          <w:highlight w:val="none"/>
        </w:rPr>
        <w:t>24.提前下达2020年中央财政林业改革发展资金-森林抚育绩效目标表</w:t>
      </w:r>
      <w:r>
        <w:rPr>
          <w:highlight w:val="none"/>
        </w:rPr>
        <w:tab/>
      </w:r>
      <w:r>
        <w:rPr>
          <w:highlight w:val="none"/>
        </w:rPr>
        <w:fldChar w:fldCharType="begin"/>
      </w:r>
      <w:r>
        <w:rPr>
          <w:highlight w:val="none"/>
        </w:rPr>
        <w:instrText xml:space="preserve">PAGEREF _Toc_4_4_0000000027 \h</w:instrText>
      </w:r>
      <w:r>
        <w:rPr>
          <w:highlight w:val="none"/>
        </w:rPr>
        <w:fldChar w:fldCharType="separate"/>
      </w:r>
      <w:r>
        <w:rPr>
          <w:highlight w:val="none"/>
        </w:rPr>
        <w:t>39</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"_Toc_4_4_0000000028" </w:instrText>
      </w:r>
      <w:r>
        <w:rPr>
          <w:highlight w:val="none"/>
        </w:rPr>
        <w:fldChar w:fldCharType="separate"/>
      </w:r>
      <w:r>
        <w:rPr>
          <w:highlight w:val="none"/>
        </w:rPr>
        <w:t>25.提前下达2021年省级林业改革发展补助资金-森林植被恢复费绩效目标表</w:t>
      </w:r>
      <w:r>
        <w:rPr>
          <w:highlight w:val="none"/>
        </w:rPr>
        <w:tab/>
      </w:r>
      <w:r>
        <w:rPr>
          <w:highlight w:val="none"/>
        </w:rPr>
        <w:fldChar w:fldCharType="begin"/>
      </w:r>
      <w:r>
        <w:rPr>
          <w:highlight w:val="none"/>
        </w:rPr>
        <w:instrText xml:space="preserve">PAGEREF _Toc_4_4_0000000028 \h</w:instrText>
      </w:r>
      <w:r>
        <w:rPr>
          <w:highlight w:val="none"/>
        </w:rPr>
        <w:fldChar w:fldCharType="separate"/>
      </w:r>
      <w:r>
        <w:rPr>
          <w:highlight w:val="none"/>
        </w:rPr>
        <w:t>40</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"_Toc_4_4_0000000029" </w:instrText>
      </w:r>
      <w:r>
        <w:rPr>
          <w:highlight w:val="none"/>
        </w:rPr>
        <w:fldChar w:fldCharType="separate"/>
      </w:r>
      <w:r>
        <w:rPr>
          <w:highlight w:val="none"/>
        </w:rPr>
        <w:t>26.提前下达2021年中央财政林业草原生态保护恢复资金预算-完善退耕还林政策补助绩效目标表</w:t>
      </w:r>
      <w:r>
        <w:rPr>
          <w:highlight w:val="none"/>
        </w:rPr>
        <w:tab/>
      </w:r>
      <w:r>
        <w:rPr>
          <w:highlight w:val="none"/>
        </w:rPr>
        <w:fldChar w:fldCharType="begin"/>
      </w:r>
      <w:r>
        <w:rPr>
          <w:highlight w:val="none"/>
        </w:rPr>
        <w:instrText xml:space="preserve">PAGEREF _Toc_4_4_0000000029 \h</w:instrText>
      </w:r>
      <w:r>
        <w:rPr>
          <w:highlight w:val="none"/>
        </w:rPr>
        <w:fldChar w:fldCharType="separate"/>
      </w:r>
      <w:r>
        <w:rPr>
          <w:highlight w:val="none"/>
        </w:rPr>
        <w:t>41</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"_Toc_4_4_0000000030" </w:instrText>
      </w:r>
      <w:r>
        <w:rPr>
          <w:highlight w:val="none"/>
        </w:rPr>
        <w:fldChar w:fldCharType="separate"/>
      </w:r>
      <w:r>
        <w:rPr>
          <w:highlight w:val="none"/>
        </w:rPr>
        <w:t>27.提前下达2021年中央财政林业改革发展资金-森林抚育绩效目标表</w:t>
      </w:r>
      <w:r>
        <w:rPr>
          <w:highlight w:val="none"/>
        </w:rPr>
        <w:tab/>
      </w:r>
      <w:r>
        <w:rPr>
          <w:highlight w:val="none"/>
        </w:rPr>
        <w:fldChar w:fldCharType="begin"/>
      </w:r>
      <w:r>
        <w:rPr>
          <w:highlight w:val="none"/>
        </w:rPr>
        <w:instrText xml:space="preserve">PAGEREF _Toc_4_4_0000000030 \h</w:instrText>
      </w:r>
      <w:r>
        <w:rPr>
          <w:highlight w:val="none"/>
        </w:rPr>
        <w:fldChar w:fldCharType="separate"/>
      </w:r>
      <w:r>
        <w:rPr>
          <w:highlight w:val="none"/>
        </w:rPr>
        <w:t>42</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"_Toc_4_4_0000000031" </w:instrText>
      </w:r>
      <w:r>
        <w:rPr>
          <w:highlight w:val="none"/>
        </w:rPr>
        <w:fldChar w:fldCharType="separate"/>
      </w:r>
      <w:r>
        <w:rPr>
          <w:highlight w:val="none"/>
        </w:rPr>
        <w:t>28.提前下达2021年中央财政林业改革发展资金-森林生态效益补偿补助-公共管护补助绩效目标表</w:t>
      </w:r>
      <w:r>
        <w:rPr>
          <w:highlight w:val="none"/>
        </w:rPr>
        <w:tab/>
      </w:r>
      <w:r>
        <w:rPr>
          <w:highlight w:val="none"/>
        </w:rPr>
        <w:fldChar w:fldCharType="begin"/>
      </w:r>
      <w:r>
        <w:rPr>
          <w:highlight w:val="none"/>
        </w:rPr>
        <w:instrText xml:space="preserve">PAGEREF _Toc_4_4_0000000031 \h</w:instrText>
      </w:r>
      <w:r>
        <w:rPr>
          <w:highlight w:val="none"/>
        </w:rPr>
        <w:fldChar w:fldCharType="separate"/>
      </w:r>
      <w:r>
        <w:rPr>
          <w:highlight w:val="none"/>
        </w:rPr>
        <w:t>43</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"_Toc_4_4_0000000032" </w:instrText>
      </w:r>
      <w:r>
        <w:rPr>
          <w:highlight w:val="none"/>
        </w:rPr>
        <w:fldChar w:fldCharType="separate"/>
      </w:r>
      <w:r>
        <w:rPr>
          <w:highlight w:val="none"/>
        </w:rPr>
        <w:t>29.提前下达2021年中央财政林业改革发展资金-森林生态效益补偿补助-管护补助绩效目标表</w:t>
      </w:r>
      <w:r>
        <w:rPr>
          <w:highlight w:val="none"/>
        </w:rPr>
        <w:tab/>
      </w:r>
      <w:r>
        <w:rPr>
          <w:highlight w:val="none"/>
        </w:rPr>
        <w:fldChar w:fldCharType="begin"/>
      </w:r>
      <w:r>
        <w:rPr>
          <w:highlight w:val="none"/>
        </w:rPr>
        <w:instrText xml:space="preserve">PAGEREF _Toc_4_4_0000000032 \h</w:instrText>
      </w:r>
      <w:r>
        <w:rPr>
          <w:highlight w:val="none"/>
        </w:rPr>
        <w:fldChar w:fldCharType="separate"/>
      </w:r>
      <w:r>
        <w:rPr>
          <w:highlight w:val="none"/>
        </w:rPr>
        <w:t>44</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"_Toc_4_4_0000000033" </w:instrText>
      </w:r>
      <w:r>
        <w:rPr>
          <w:highlight w:val="none"/>
        </w:rPr>
        <w:fldChar w:fldCharType="separate"/>
      </w:r>
      <w:r>
        <w:rPr>
          <w:highlight w:val="none"/>
        </w:rPr>
        <w:t>30.提前下达2022年中央财政林业改革发展资金-林业有害生物防治绩效目标表</w:t>
      </w:r>
      <w:r>
        <w:rPr>
          <w:highlight w:val="none"/>
        </w:rPr>
        <w:tab/>
      </w:r>
      <w:r>
        <w:rPr>
          <w:highlight w:val="none"/>
        </w:rPr>
        <w:fldChar w:fldCharType="begin"/>
      </w:r>
      <w:r>
        <w:rPr>
          <w:highlight w:val="none"/>
        </w:rPr>
        <w:instrText xml:space="preserve">PAGEREF _Toc_4_4_0000000033 \h</w:instrText>
      </w:r>
      <w:r>
        <w:rPr>
          <w:highlight w:val="none"/>
        </w:rPr>
        <w:fldChar w:fldCharType="separate"/>
      </w:r>
      <w:r>
        <w:rPr>
          <w:highlight w:val="none"/>
        </w:rPr>
        <w:t>45</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"_Toc_4_4_0000000034" </w:instrText>
      </w:r>
      <w:r>
        <w:rPr>
          <w:highlight w:val="none"/>
        </w:rPr>
        <w:fldChar w:fldCharType="separate"/>
      </w:r>
      <w:r>
        <w:rPr>
          <w:highlight w:val="none"/>
        </w:rPr>
        <w:t>31.提前下达2022年中央财政林业改革发展资金-森林抚育（上一轮退耕还生态林）绩效目标表</w:t>
      </w:r>
      <w:r>
        <w:rPr>
          <w:highlight w:val="none"/>
        </w:rPr>
        <w:tab/>
      </w:r>
      <w:r>
        <w:rPr>
          <w:highlight w:val="none"/>
        </w:rPr>
        <w:fldChar w:fldCharType="begin"/>
      </w:r>
      <w:r>
        <w:rPr>
          <w:highlight w:val="none"/>
        </w:rPr>
        <w:instrText xml:space="preserve">PAGEREF _Toc_4_4_0000000034 \h</w:instrText>
      </w:r>
      <w:r>
        <w:rPr>
          <w:highlight w:val="none"/>
        </w:rPr>
        <w:fldChar w:fldCharType="separate"/>
      </w:r>
      <w:r>
        <w:rPr>
          <w:highlight w:val="none"/>
        </w:rPr>
        <w:t>46</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"_Toc_4_4_0000000035" </w:instrText>
      </w:r>
      <w:r>
        <w:rPr>
          <w:highlight w:val="none"/>
        </w:rPr>
        <w:fldChar w:fldCharType="separate"/>
      </w:r>
      <w:r>
        <w:rPr>
          <w:highlight w:val="none"/>
        </w:rPr>
        <w:t>32.提前下达2022年中央财政林业改革发展资金-森林生态效益补偿补助-公共管护补助绩效目标表</w:t>
      </w:r>
      <w:r>
        <w:rPr>
          <w:highlight w:val="none"/>
        </w:rPr>
        <w:tab/>
      </w:r>
      <w:r>
        <w:rPr>
          <w:highlight w:val="none"/>
        </w:rPr>
        <w:fldChar w:fldCharType="begin"/>
      </w:r>
      <w:r>
        <w:rPr>
          <w:highlight w:val="none"/>
        </w:rPr>
        <w:instrText xml:space="preserve">PAGEREF _Toc_4_4_0000000035 \h</w:instrText>
      </w:r>
      <w:r>
        <w:rPr>
          <w:highlight w:val="none"/>
        </w:rPr>
        <w:fldChar w:fldCharType="separate"/>
      </w:r>
      <w:r>
        <w:rPr>
          <w:highlight w:val="none"/>
        </w:rPr>
        <w:t>47</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"_Toc_4_4_0000000036" </w:instrText>
      </w:r>
      <w:r>
        <w:rPr>
          <w:highlight w:val="none"/>
        </w:rPr>
        <w:fldChar w:fldCharType="separate"/>
      </w:r>
      <w:r>
        <w:rPr>
          <w:highlight w:val="none"/>
        </w:rPr>
        <w:t>33.提前下达2022年中央财政林业改革发展资金-森林生态效益补偿补助-管护补助绩效目标表</w:t>
      </w:r>
      <w:r>
        <w:rPr>
          <w:highlight w:val="none"/>
        </w:rPr>
        <w:tab/>
      </w:r>
      <w:r>
        <w:rPr>
          <w:highlight w:val="none"/>
        </w:rPr>
        <w:fldChar w:fldCharType="begin"/>
      </w:r>
      <w:r>
        <w:rPr>
          <w:highlight w:val="none"/>
        </w:rPr>
        <w:instrText xml:space="preserve">PAGEREF _Toc_4_4_0000000036 \h</w:instrText>
      </w:r>
      <w:r>
        <w:rPr>
          <w:highlight w:val="none"/>
        </w:rPr>
        <w:fldChar w:fldCharType="separate"/>
      </w:r>
      <w:r>
        <w:rPr>
          <w:highlight w:val="none"/>
        </w:rPr>
        <w:t>48</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"_Toc_4_4_0000000037" </w:instrText>
      </w:r>
      <w:r>
        <w:rPr>
          <w:highlight w:val="none"/>
        </w:rPr>
        <w:fldChar w:fldCharType="separate"/>
      </w:r>
      <w:r>
        <w:rPr>
          <w:highlight w:val="none"/>
        </w:rPr>
        <w:t>34.土地出让金业务费绩效目标表</w:t>
      </w:r>
      <w:r>
        <w:rPr>
          <w:highlight w:val="none"/>
        </w:rPr>
        <w:tab/>
      </w:r>
      <w:r>
        <w:rPr>
          <w:highlight w:val="none"/>
        </w:rPr>
        <w:fldChar w:fldCharType="begin"/>
      </w:r>
      <w:r>
        <w:rPr>
          <w:highlight w:val="none"/>
        </w:rPr>
        <w:instrText xml:space="preserve">PAGEREF _Toc_4_4_0000000037 \h</w:instrText>
      </w:r>
      <w:r>
        <w:rPr>
          <w:highlight w:val="none"/>
        </w:rPr>
        <w:fldChar w:fldCharType="separate"/>
      </w:r>
      <w:r>
        <w:rPr>
          <w:highlight w:val="none"/>
        </w:rPr>
        <w:t>49</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"_Toc_4_4_0000000038" </w:instrText>
      </w:r>
      <w:r>
        <w:rPr>
          <w:highlight w:val="none"/>
        </w:rPr>
        <w:fldChar w:fldCharType="separate"/>
      </w:r>
      <w:r>
        <w:rPr>
          <w:highlight w:val="none"/>
        </w:rPr>
        <w:t>35.永久性防护林管护费绩效目标表</w:t>
      </w:r>
      <w:r>
        <w:rPr>
          <w:highlight w:val="none"/>
        </w:rPr>
        <w:tab/>
      </w:r>
      <w:r>
        <w:rPr>
          <w:highlight w:val="none"/>
        </w:rPr>
        <w:fldChar w:fldCharType="begin"/>
      </w:r>
      <w:r>
        <w:rPr>
          <w:highlight w:val="none"/>
        </w:rPr>
        <w:instrText xml:space="preserve">PAGEREF _Toc_4_4_0000000038 \h</w:instrText>
      </w:r>
      <w:r>
        <w:rPr>
          <w:highlight w:val="none"/>
        </w:rPr>
        <w:fldChar w:fldCharType="separate"/>
      </w:r>
      <w:r>
        <w:rPr>
          <w:highlight w:val="none"/>
        </w:rPr>
        <w:t>51</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"_Toc_4_4_0000000039" </w:instrText>
      </w:r>
      <w:r>
        <w:rPr>
          <w:highlight w:val="none"/>
        </w:rPr>
        <w:fldChar w:fldCharType="separate"/>
      </w:r>
      <w:r>
        <w:rPr>
          <w:highlight w:val="none"/>
        </w:rPr>
        <w:t>36.征地拆迁补偿绩效目标表</w:t>
      </w:r>
      <w:r>
        <w:rPr>
          <w:highlight w:val="none"/>
        </w:rPr>
        <w:tab/>
      </w:r>
      <w:r>
        <w:rPr>
          <w:highlight w:val="none"/>
        </w:rPr>
        <w:fldChar w:fldCharType="begin"/>
      </w:r>
      <w:r>
        <w:rPr>
          <w:highlight w:val="none"/>
        </w:rPr>
        <w:instrText xml:space="preserve">PAGEREF _Toc_4_4_0000000039 \h</w:instrText>
      </w:r>
      <w:r>
        <w:rPr>
          <w:highlight w:val="none"/>
        </w:rPr>
        <w:fldChar w:fldCharType="separate"/>
      </w:r>
      <w:r>
        <w:rPr>
          <w:highlight w:val="none"/>
        </w:rPr>
        <w:t>52</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"_Toc_4_4_0000000040" </w:instrText>
      </w:r>
      <w:r>
        <w:rPr>
          <w:highlight w:val="none"/>
        </w:rPr>
        <w:fldChar w:fldCharType="separate"/>
      </w:r>
      <w:r>
        <w:rPr>
          <w:highlight w:val="none"/>
        </w:rPr>
        <w:t>37.征地拆迁补偿 绩效目标表</w:t>
      </w:r>
      <w:r>
        <w:rPr>
          <w:highlight w:val="none"/>
        </w:rPr>
        <w:tab/>
      </w:r>
      <w:r>
        <w:rPr>
          <w:highlight w:val="none"/>
        </w:rPr>
        <w:fldChar w:fldCharType="begin"/>
      </w:r>
      <w:r>
        <w:rPr>
          <w:highlight w:val="none"/>
        </w:rPr>
        <w:instrText xml:space="preserve">PAGEREF _Toc_4_4_0000000040 \h</w:instrText>
      </w:r>
      <w:r>
        <w:rPr>
          <w:highlight w:val="none"/>
        </w:rPr>
        <w:fldChar w:fldCharType="separate"/>
      </w:r>
      <w:r>
        <w:rPr>
          <w:highlight w:val="none"/>
        </w:rPr>
        <w:t>53</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"_Toc_4_4_0000000041" </w:instrText>
      </w:r>
      <w:r>
        <w:rPr>
          <w:highlight w:val="none"/>
        </w:rPr>
        <w:fldChar w:fldCharType="separate"/>
      </w:r>
      <w:r>
        <w:rPr>
          <w:highlight w:val="none"/>
        </w:rPr>
        <w:t>38.执法业务费绩效目标表</w:t>
      </w:r>
      <w:r>
        <w:rPr>
          <w:highlight w:val="none"/>
        </w:rPr>
        <w:tab/>
      </w:r>
      <w:r>
        <w:rPr>
          <w:highlight w:val="none"/>
        </w:rPr>
        <w:fldChar w:fldCharType="begin"/>
      </w:r>
      <w:r>
        <w:rPr>
          <w:highlight w:val="none"/>
        </w:rPr>
        <w:instrText xml:space="preserve">PAGEREF _Toc_4_4_0000000041 \h</w:instrText>
      </w:r>
      <w:r>
        <w:rPr>
          <w:highlight w:val="none"/>
        </w:rPr>
        <w:fldChar w:fldCharType="separate"/>
      </w:r>
      <w:r>
        <w:rPr>
          <w:highlight w:val="none"/>
        </w:rPr>
        <w:t>54</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"_Toc_4_4_0000000042" </w:instrText>
      </w:r>
      <w:r>
        <w:rPr>
          <w:highlight w:val="none"/>
        </w:rPr>
        <w:fldChar w:fldCharType="separate"/>
      </w:r>
      <w:r>
        <w:rPr>
          <w:highlight w:val="none"/>
        </w:rPr>
        <w:t>39.自然资源和规划局管理经费绩效目标表</w:t>
      </w:r>
      <w:r>
        <w:rPr>
          <w:highlight w:val="none"/>
        </w:rPr>
        <w:tab/>
      </w:r>
      <w:r>
        <w:rPr>
          <w:highlight w:val="none"/>
        </w:rPr>
        <w:fldChar w:fldCharType="begin"/>
      </w:r>
      <w:r>
        <w:rPr>
          <w:highlight w:val="none"/>
        </w:rPr>
        <w:instrText xml:space="preserve">PAGEREF _Toc_4_4_0000000042 \h</w:instrText>
      </w:r>
      <w:r>
        <w:rPr>
          <w:highlight w:val="none"/>
        </w:rPr>
        <w:fldChar w:fldCharType="separate"/>
      </w:r>
      <w:r>
        <w:rPr>
          <w:highlight w:val="none"/>
        </w:rPr>
        <w:t>55</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"_Toc_4_4_0000000043" </w:instrText>
      </w:r>
      <w:r>
        <w:rPr>
          <w:highlight w:val="none"/>
        </w:rPr>
        <w:fldChar w:fldCharType="separate"/>
      </w:r>
      <w:r>
        <w:rPr>
          <w:highlight w:val="none"/>
        </w:rPr>
        <w:t>40.护林防火“五清”经费绩效目标表</w:t>
      </w:r>
      <w:r>
        <w:rPr>
          <w:highlight w:val="none"/>
        </w:rPr>
        <w:tab/>
      </w:r>
      <w:r>
        <w:rPr>
          <w:highlight w:val="none"/>
        </w:rPr>
        <w:fldChar w:fldCharType="begin"/>
      </w:r>
      <w:r>
        <w:rPr>
          <w:highlight w:val="none"/>
        </w:rPr>
        <w:instrText xml:space="preserve">PAGEREF _Toc_4_4_0000000043 \h</w:instrText>
      </w:r>
      <w:r>
        <w:rPr>
          <w:highlight w:val="none"/>
        </w:rPr>
        <w:fldChar w:fldCharType="separate"/>
      </w:r>
      <w:r>
        <w:rPr>
          <w:highlight w:val="none"/>
        </w:rPr>
        <w:t>57</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"_Toc_4_4_0000000044" </w:instrText>
      </w:r>
      <w:r>
        <w:rPr>
          <w:highlight w:val="none"/>
        </w:rPr>
        <w:fldChar w:fldCharType="separate"/>
      </w:r>
      <w:r>
        <w:rPr>
          <w:highlight w:val="none"/>
        </w:rPr>
        <w:t>41.护林员专项经费绩效目标表</w:t>
      </w:r>
      <w:r>
        <w:rPr>
          <w:highlight w:val="none"/>
        </w:rPr>
        <w:tab/>
      </w:r>
      <w:r>
        <w:rPr>
          <w:highlight w:val="none"/>
        </w:rPr>
        <w:fldChar w:fldCharType="begin"/>
      </w:r>
      <w:r>
        <w:rPr>
          <w:highlight w:val="none"/>
        </w:rPr>
        <w:instrText xml:space="preserve">PAGEREF _Toc_4_4_0000000044 \h</w:instrText>
      </w:r>
      <w:r>
        <w:rPr>
          <w:highlight w:val="none"/>
        </w:rPr>
        <w:fldChar w:fldCharType="separate"/>
      </w:r>
      <w:r>
        <w:rPr>
          <w:highlight w:val="none"/>
        </w:rPr>
        <w:t>58</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"_Toc_4_4_0000000045" </w:instrText>
      </w:r>
      <w:r>
        <w:rPr>
          <w:highlight w:val="none"/>
        </w:rPr>
        <w:fldChar w:fldCharType="separate"/>
      </w:r>
      <w:r>
        <w:rPr>
          <w:highlight w:val="none"/>
        </w:rPr>
        <w:t>42.林场差额补助绩效目标表</w:t>
      </w:r>
      <w:r>
        <w:rPr>
          <w:highlight w:val="none"/>
        </w:rPr>
        <w:tab/>
      </w:r>
      <w:r>
        <w:rPr>
          <w:highlight w:val="none"/>
        </w:rPr>
        <w:fldChar w:fldCharType="begin"/>
      </w:r>
      <w:r>
        <w:rPr>
          <w:highlight w:val="none"/>
        </w:rPr>
        <w:instrText xml:space="preserve">PAGEREF _Toc_4_4_0000000045 \h</w:instrText>
      </w:r>
      <w:r>
        <w:rPr>
          <w:highlight w:val="none"/>
        </w:rPr>
        <w:fldChar w:fldCharType="separate"/>
      </w:r>
      <w:r>
        <w:rPr>
          <w:highlight w:val="none"/>
        </w:rPr>
        <w:t>59</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"_Toc_4_4_0000000046" </w:instrText>
      </w:r>
      <w:r>
        <w:rPr>
          <w:highlight w:val="none"/>
        </w:rPr>
        <w:fldChar w:fldCharType="separate"/>
      </w:r>
      <w:r>
        <w:rPr>
          <w:highlight w:val="none"/>
        </w:rPr>
        <w:t>43.林场差额补助经费绩效目标表</w:t>
      </w:r>
      <w:r>
        <w:rPr>
          <w:highlight w:val="none"/>
        </w:rPr>
        <w:tab/>
      </w:r>
      <w:r>
        <w:rPr>
          <w:highlight w:val="none"/>
        </w:rPr>
        <w:fldChar w:fldCharType="begin"/>
      </w:r>
      <w:r>
        <w:rPr>
          <w:highlight w:val="none"/>
        </w:rPr>
        <w:instrText xml:space="preserve">PAGEREF _Toc_4_4_0000000046 \h</w:instrText>
      </w:r>
      <w:r>
        <w:rPr>
          <w:highlight w:val="none"/>
        </w:rPr>
        <w:fldChar w:fldCharType="separate"/>
      </w:r>
      <w:r>
        <w:rPr>
          <w:highlight w:val="none"/>
        </w:rPr>
        <w:t>60</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"_Toc_4_4_0000000047" </w:instrText>
      </w:r>
      <w:r>
        <w:rPr>
          <w:highlight w:val="none"/>
        </w:rPr>
        <w:fldChar w:fldCharType="separate"/>
      </w:r>
      <w:r>
        <w:rPr>
          <w:highlight w:val="none"/>
        </w:rPr>
        <w:t>44.提前下达2021年中央财政林业改革发展资金-森林生态效益补偿补助-管护补助绩效目标表</w:t>
      </w:r>
      <w:r>
        <w:rPr>
          <w:highlight w:val="none"/>
        </w:rPr>
        <w:tab/>
      </w:r>
      <w:r>
        <w:rPr>
          <w:highlight w:val="none"/>
        </w:rPr>
        <w:fldChar w:fldCharType="begin"/>
      </w:r>
      <w:r>
        <w:rPr>
          <w:highlight w:val="none"/>
        </w:rPr>
        <w:instrText xml:space="preserve">PAGEREF _Toc_4_4_0000000047 \h</w:instrText>
      </w:r>
      <w:r>
        <w:rPr>
          <w:highlight w:val="none"/>
        </w:rPr>
        <w:fldChar w:fldCharType="separate"/>
      </w:r>
      <w:r>
        <w:rPr>
          <w:highlight w:val="none"/>
        </w:rPr>
        <w:t>61</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"_Toc_4_4_0000000048" </w:instrText>
      </w:r>
      <w:r>
        <w:rPr>
          <w:highlight w:val="none"/>
        </w:rPr>
        <w:fldChar w:fldCharType="separate"/>
      </w:r>
      <w:r>
        <w:rPr>
          <w:highlight w:val="none"/>
        </w:rPr>
        <w:t>45.提前下达2021年中央财政林业改革发展资金-天然林停伐管护补助-国有管护补助绩效目标表</w:t>
      </w:r>
      <w:r>
        <w:rPr>
          <w:highlight w:val="none"/>
        </w:rPr>
        <w:tab/>
      </w:r>
      <w:r>
        <w:rPr>
          <w:highlight w:val="none"/>
        </w:rPr>
        <w:fldChar w:fldCharType="begin"/>
      </w:r>
      <w:r>
        <w:rPr>
          <w:highlight w:val="none"/>
        </w:rPr>
        <w:instrText xml:space="preserve">PAGEREF _Toc_4_4_0000000048 \h</w:instrText>
      </w:r>
      <w:r>
        <w:rPr>
          <w:highlight w:val="none"/>
        </w:rPr>
        <w:fldChar w:fldCharType="separate"/>
      </w:r>
      <w:r>
        <w:rPr>
          <w:highlight w:val="none"/>
        </w:rPr>
        <w:t>62</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"_Toc_4_4_0000000049" </w:instrText>
      </w:r>
      <w:r>
        <w:rPr>
          <w:highlight w:val="none"/>
        </w:rPr>
        <w:fldChar w:fldCharType="separate"/>
      </w:r>
      <w:r>
        <w:rPr>
          <w:highlight w:val="none"/>
        </w:rPr>
        <w:t>46.提前下达2022年中央财政林业草原生态保护恢复资金-全面停止天然林商业性采伐绩效目标表</w:t>
      </w:r>
      <w:r>
        <w:rPr>
          <w:highlight w:val="none"/>
        </w:rPr>
        <w:tab/>
      </w:r>
      <w:r>
        <w:rPr>
          <w:highlight w:val="none"/>
        </w:rPr>
        <w:fldChar w:fldCharType="begin"/>
      </w:r>
      <w:r>
        <w:rPr>
          <w:highlight w:val="none"/>
        </w:rPr>
        <w:instrText xml:space="preserve">PAGEREF _Toc_4_4_0000000049 \h</w:instrText>
      </w:r>
      <w:r>
        <w:rPr>
          <w:highlight w:val="none"/>
        </w:rPr>
        <w:fldChar w:fldCharType="separate"/>
      </w:r>
      <w:r>
        <w:rPr>
          <w:highlight w:val="none"/>
        </w:rPr>
        <w:t>63</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"_Toc_4_4_0000000050" </w:instrText>
      </w:r>
      <w:r>
        <w:rPr>
          <w:highlight w:val="none"/>
        </w:rPr>
        <w:fldChar w:fldCharType="separate"/>
      </w:r>
      <w:r>
        <w:rPr>
          <w:highlight w:val="none"/>
        </w:rPr>
        <w:t>47.提前下达2022年中央财政林业改革发展资金-森林生态效益补偿补助-管护补助绩效目标表</w:t>
      </w:r>
      <w:r>
        <w:rPr>
          <w:highlight w:val="none"/>
        </w:rPr>
        <w:tab/>
      </w:r>
      <w:r>
        <w:rPr>
          <w:highlight w:val="none"/>
        </w:rPr>
        <w:fldChar w:fldCharType="begin"/>
      </w:r>
      <w:r>
        <w:rPr>
          <w:highlight w:val="none"/>
        </w:rPr>
        <w:instrText xml:space="preserve">PAGEREF _Toc_4_4_0000000050 \h</w:instrText>
      </w:r>
      <w:r>
        <w:rPr>
          <w:highlight w:val="none"/>
        </w:rPr>
        <w:fldChar w:fldCharType="separate"/>
      </w:r>
      <w:r>
        <w:rPr>
          <w:highlight w:val="none"/>
        </w:rPr>
        <w:t>64</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"_Toc_4_4_0000000051" </w:instrText>
      </w:r>
      <w:r>
        <w:rPr>
          <w:highlight w:val="none"/>
        </w:rPr>
        <w:fldChar w:fldCharType="separate"/>
      </w:r>
      <w:r>
        <w:rPr>
          <w:highlight w:val="none"/>
        </w:rPr>
        <w:t>48.提前下达2022年中央财政林业改革发展资金-森林生态效益补偿补助-国有管护补助绩效目标表</w:t>
      </w:r>
      <w:r>
        <w:rPr>
          <w:highlight w:val="none"/>
        </w:rPr>
        <w:tab/>
      </w:r>
      <w:r>
        <w:rPr>
          <w:highlight w:val="none"/>
        </w:rPr>
        <w:fldChar w:fldCharType="begin"/>
      </w:r>
      <w:r>
        <w:rPr>
          <w:highlight w:val="none"/>
        </w:rPr>
        <w:instrText xml:space="preserve">PAGEREF _Toc_4_4_0000000051 \h</w:instrText>
      </w:r>
      <w:r>
        <w:rPr>
          <w:highlight w:val="none"/>
        </w:rPr>
        <w:fldChar w:fldCharType="separate"/>
      </w:r>
      <w:r>
        <w:rPr>
          <w:highlight w:val="none"/>
        </w:rPr>
        <w:t>65</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"_Toc_4_4_0000000052" </w:instrText>
      </w:r>
      <w:r>
        <w:rPr>
          <w:highlight w:val="none"/>
        </w:rPr>
        <w:fldChar w:fldCharType="separate"/>
      </w:r>
      <w:r>
        <w:rPr>
          <w:highlight w:val="none"/>
        </w:rPr>
        <w:t>49.专项补助绩效目标表</w:t>
      </w:r>
      <w:r>
        <w:rPr>
          <w:highlight w:val="none"/>
        </w:rPr>
        <w:tab/>
      </w:r>
      <w:r>
        <w:rPr>
          <w:highlight w:val="none"/>
        </w:rPr>
        <w:fldChar w:fldCharType="begin"/>
      </w:r>
      <w:r>
        <w:rPr>
          <w:highlight w:val="none"/>
        </w:rPr>
        <w:instrText xml:space="preserve">PAGEREF _Toc_4_4_0000000052 \h</w:instrText>
      </w:r>
      <w:r>
        <w:rPr>
          <w:highlight w:val="none"/>
        </w:rPr>
        <w:fldChar w:fldCharType="separate"/>
      </w:r>
      <w:r>
        <w:rPr>
          <w:highlight w:val="none"/>
        </w:rPr>
        <w:t>66</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"_Toc_4_4_0000000053" </w:instrText>
      </w:r>
      <w:r>
        <w:rPr>
          <w:highlight w:val="none"/>
        </w:rPr>
        <w:fldChar w:fldCharType="separate"/>
      </w:r>
      <w:r>
        <w:rPr>
          <w:highlight w:val="none"/>
        </w:rPr>
        <w:t>50.木材检查站补助经费绩效目标表</w:t>
      </w:r>
      <w:r>
        <w:rPr>
          <w:highlight w:val="none"/>
        </w:rPr>
        <w:tab/>
      </w:r>
      <w:r>
        <w:rPr>
          <w:highlight w:val="none"/>
        </w:rPr>
        <w:fldChar w:fldCharType="begin"/>
      </w:r>
      <w:r>
        <w:rPr>
          <w:highlight w:val="none"/>
        </w:rPr>
        <w:instrText xml:space="preserve">PAGEREF _Toc_4_4_0000000053 \h</w:instrText>
      </w:r>
      <w:r>
        <w:rPr>
          <w:highlight w:val="none"/>
        </w:rPr>
        <w:fldChar w:fldCharType="separate"/>
      </w:r>
      <w:r>
        <w:rPr>
          <w:highlight w:val="none"/>
        </w:rPr>
        <w:t>67</w:t>
      </w:r>
      <w:r>
        <w:rPr>
          <w:highlight w:val="none"/>
        </w:rPr>
        <w:fldChar w:fldCharType="end"/>
      </w:r>
      <w:r>
        <w:rPr>
          <w:highlight w:val="none"/>
        </w:rPr>
        <w:fldChar w:fldCharType="end"/>
      </w:r>
    </w:p>
    <w:p>
      <w:pPr>
        <w:pStyle w:val="15"/>
        <w:tabs>
          <w:tab w:val="right" w:leader="dot" w:pos="9282"/>
        </w:tabs>
        <w:rPr>
          <w:highlight w:val="none"/>
        </w:rPr>
      </w:pPr>
      <w:r>
        <w:rPr>
          <w:highlight w:val="none"/>
        </w:rPr>
        <w:fldChar w:fldCharType="begin"/>
      </w:r>
      <w:r>
        <w:rPr>
          <w:highlight w:val="none"/>
        </w:rPr>
        <w:instrText xml:space="preserve"> HYPERLINK \l "_Toc_4_4_0000000054" </w:instrText>
      </w:r>
      <w:r>
        <w:rPr>
          <w:highlight w:val="none"/>
        </w:rPr>
        <w:fldChar w:fldCharType="separate"/>
      </w:r>
      <w:r>
        <w:rPr>
          <w:highlight w:val="none"/>
        </w:rPr>
        <w:t>51.专项补助绩效目标表</w:t>
      </w:r>
      <w:r>
        <w:rPr>
          <w:highlight w:val="none"/>
        </w:rPr>
        <w:tab/>
      </w:r>
      <w:r>
        <w:rPr>
          <w:highlight w:val="none"/>
        </w:rPr>
        <w:fldChar w:fldCharType="begin"/>
      </w:r>
      <w:r>
        <w:rPr>
          <w:highlight w:val="none"/>
        </w:rPr>
        <w:instrText xml:space="preserve">PAGEREF _Toc_4_4_0000000054 \h</w:instrText>
      </w:r>
      <w:r>
        <w:rPr>
          <w:highlight w:val="none"/>
        </w:rPr>
        <w:fldChar w:fldCharType="separate"/>
      </w:r>
      <w:r>
        <w:rPr>
          <w:highlight w:val="none"/>
        </w:rPr>
        <w:t>68</w:t>
      </w:r>
      <w:r>
        <w:rPr>
          <w:highlight w:val="none"/>
        </w:rPr>
        <w:fldChar w:fldCharType="end"/>
      </w:r>
      <w:r>
        <w:rPr>
          <w:highlight w:val="none"/>
        </w:rPr>
        <w:fldChar w:fldCharType="end"/>
      </w:r>
    </w:p>
    <w:p>
      <w:pPr>
        <w:rPr>
          <w:highlight w:val="none"/>
        </w:rPr>
      </w:pPr>
      <w:r>
        <w:rPr>
          <w:highlight w:val="none"/>
        </w:rPr>
        <w:fldChar w:fldCharType="end"/>
      </w:r>
    </w:p>
    <w:p>
      <w:pPr>
        <w:rPr>
          <w:highlight w:val="none"/>
        </w:rPr>
        <w:sectPr>
          <w:footerReference r:id="rId3" w:type="default"/>
          <w:footerReference r:id="rId4" w:type="even"/>
          <w:pgSz w:w="11900" w:h="16840"/>
          <w:pgMar w:top="1984" w:right="1304" w:bottom="1134" w:left="1304" w:header="720" w:footer="720" w:gutter="0"/>
          <w:pgNumType w:start="1"/>
          <w:cols w:space="720" w:num="1"/>
        </w:sectPr>
      </w:pPr>
      <w:r>
        <w:rPr>
          <w:highlight w:val="none"/>
        </w:rPr>
        <w:br w:type="page"/>
      </w:r>
    </w:p>
    <w:p>
      <w:pPr>
        <w:jc w:val="center"/>
        <w:rPr>
          <w:highlight w:val="none"/>
        </w:rPr>
      </w:pPr>
      <w:r>
        <w:rPr>
          <w:rFonts w:ascii="方正小标宋_GBK" w:hAnsi="方正小标宋_GBK" w:eastAsia="方正小标宋_GBK" w:cs="方正小标宋_GBK"/>
          <w:color w:val="000000"/>
          <w:sz w:val="44"/>
          <w:highlight w:val="none"/>
        </w:rPr>
        <w:t xml:space="preserve"> </w:t>
      </w:r>
    </w:p>
    <w:p>
      <w:pPr>
        <w:jc w:val="center"/>
        <w:rPr>
          <w:highlight w:val="none"/>
        </w:rPr>
      </w:pPr>
      <w:r>
        <w:rPr>
          <w:rFonts w:ascii="方正小标宋_GBK" w:hAnsi="方正小标宋_GBK" w:eastAsia="方正小标宋_GBK" w:cs="方正小标宋_GBK"/>
          <w:color w:val="000000"/>
          <w:sz w:val="44"/>
          <w:highlight w:val="none"/>
        </w:rPr>
        <w:t>第一部分</w:t>
      </w:r>
    </w:p>
    <w:p>
      <w:pPr>
        <w:jc w:val="center"/>
        <w:outlineLvl w:val="0"/>
        <w:rPr>
          <w:highlight w:val="none"/>
        </w:rPr>
      </w:pPr>
      <w:r>
        <w:rPr>
          <w:rFonts w:ascii="方正小标宋_GBK" w:hAnsi="方正小标宋_GBK" w:eastAsia="方正小标宋_GBK" w:cs="方正小标宋_GBK"/>
          <w:color w:val="000000"/>
          <w:sz w:val="44"/>
          <w:highlight w:val="none"/>
        </w:rPr>
        <w:t>部门整体绩效目标</w:t>
      </w:r>
    </w:p>
    <w:p>
      <w:pPr>
        <w:jc w:val="center"/>
        <w:rPr>
          <w:highlight w:val="none"/>
        </w:rPr>
      </w:pPr>
      <w:r>
        <w:rPr>
          <w:rFonts w:ascii="方正小标宋_GBK" w:hAnsi="方正小标宋_GBK" w:eastAsia="方正小标宋_GBK" w:cs="方正小标宋_GBK"/>
          <w:color w:val="000000"/>
          <w:sz w:val="44"/>
          <w:highlight w:val="none"/>
        </w:rPr>
        <w:t xml:space="preserve"> </w:t>
      </w:r>
    </w:p>
    <w:p>
      <w:pPr>
        <w:spacing w:before="10" w:after="10"/>
        <w:ind w:firstLine="560"/>
        <w:outlineLvl w:val="1"/>
        <w:rPr>
          <w:highlight w:val="none"/>
        </w:rPr>
      </w:pPr>
      <w:bookmarkStart w:id="0" w:name="_Toc_2_2_0000000001"/>
      <w:r>
        <w:rPr>
          <w:rFonts w:ascii="方正黑体_GBK" w:hAnsi="方正黑体_GBK" w:eastAsia="方正黑体_GBK" w:cs="方正黑体_GBK"/>
          <w:color w:val="000000"/>
          <w:sz w:val="28"/>
          <w:highlight w:val="none"/>
        </w:rPr>
        <w:t>一、总体绩效目标</w:t>
      </w:r>
      <w:bookmarkEnd w:id="0"/>
    </w:p>
    <w:p>
      <w:pPr>
        <w:pStyle w:val="5"/>
        <w:rPr>
          <w:highlight w:val="none"/>
        </w:rPr>
      </w:pPr>
      <w:r>
        <w:rPr>
          <w:highlight w:val="none"/>
        </w:rPr>
        <w:t>总体绩效目标</w:t>
      </w:r>
    </w:p>
    <w:p>
      <w:pPr>
        <w:pStyle w:val="5"/>
        <w:rPr>
          <w:highlight w:val="none"/>
        </w:rPr>
      </w:pPr>
      <w:r>
        <w:rPr>
          <w:highlight w:val="none"/>
        </w:rPr>
        <w:t>秦皇岛市山海关区自然资源和规划局部门年度发展规划目标</w:t>
      </w:r>
    </w:p>
    <w:p>
      <w:pPr>
        <w:pStyle w:val="5"/>
        <w:rPr>
          <w:highlight w:val="none"/>
        </w:rPr>
      </w:pPr>
    </w:p>
    <w:p>
      <w:pPr>
        <w:pStyle w:val="5"/>
        <w:rPr>
          <w:highlight w:val="none"/>
        </w:rPr>
      </w:pPr>
      <w:r>
        <w:rPr>
          <w:highlight w:val="none"/>
        </w:rPr>
        <w:t>坚持以习近平新时代中国特色社会主义思想为指导，深入贯彻党的十九大和十九届二中、三中全会精神，牢固树立“四个意识”，牢牢坚持“两个维护”，落实上级关于自然资源和规划工作的方针政策和决策部署，坚持树立和落实习近平生态文明思想和新发展理念，结合我局年度工作计划与工作要点，进一步绘好空间规划蓝图，筑牢调查登记之基，发挥用途管制作用，强化生态保护修复，严格保护耕地红线，促进资源集约利用，加快构建全市资源规划管理工作新格局，关注热点难点，切实维护群众利益，严厉打击违法行为，保障全市经济社会高质量发展，使中央、省、市的决策部署在自然资源规划部门落地生根，为加快建设“沿海强区、美丽关城和国际文化旅游名城”提供坚强有力的体制机构保障。</w:t>
      </w:r>
    </w:p>
    <w:p>
      <w:pPr>
        <w:spacing w:before="10" w:after="10"/>
        <w:ind w:firstLine="560"/>
        <w:outlineLvl w:val="1"/>
        <w:rPr>
          <w:highlight w:val="none"/>
        </w:rPr>
      </w:pPr>
      <w:bookmarkStart w:id="1" w:name="_Toc_2_2_0000000002"/>
      <w:r>
        <w:rPr>
          <w:rFonts w:ascii="方正黑体_GBK" w:hAnsi="方正黑体_GBK" w:eastAsia="方正黑体_GBK" w:cs="方正黑体_GBK"/>
          <w:color w:val="000000"/>
          <w:sz w:val="28"/>
          <w:highlight w:val="none"/>
        </w:rPr>
        <w:t>二、分项绩效目标</w:t>
      </w:r>
      <w:bookmarkEnd w:id="1"/>
    </w:p>
    <w:p>
      <w:pPr>
        <w:pStyle w:val="6"/>
        <w:rPr>
          <w:highlight w:val="none"/>
        </w:rPr>
      </w:pPr>
      <w:r>
        <w:rPr>
          <w:highlight w:val="none"/>
        </w:rPr>
        <w:t>分项绩效目标</w:t>
      </w:r>
    </w:p>
    <w:p>
      <w:pPr>
        <w:pStyle w:val="6"/>
        <w:rPr>
          <w:highlight w:val="none"/>
        </w:rPr>
      </w:pPr>
      <w:r>
        <w:rPr>
          <w:highlight w:val="none"/>
        </w:rPr>
        <w:t>一）自然资源督查与执法管理。</w:t>
      </w:r>
    </w:p>
    <w:p>
      <w:pPr>
        <w:pStyle w:val="6"/>
        <w:rPr>
          <w:highlight w:val="none"/>
        </w:rPr>
      </w:pPr>
      <w:r>
        <w:rPr>
          <w:highlight w:val="none"/>
        </w:rPr>
        <w:t>绩效目标：</w:t>
      </w:r>
    </w:p>
    <w:p>
      <w:pPr>
        <w:pStyle w:val="6"/>
        <w:rPr>
          <w:highlight w:val="none"/>
        </w:rPr>
      </w:pPr>
      <w:r>
        <w:rPr>
          <w:highlight w:val="none"/>
        </w:rPr>
        <w:t>及时发现、制止违法行为，重大违法案件查处按量按质完成，维护群众合法权益。保障执法检查的基础性建设，加强日常执法监管，将违法解决在初始、遏制在萌芽。做好重大违法案件查处，严厉打击违法，维护群众合法权益。</w:t>
      </w:r>
    </w:p>
    <w:p>
      <w:pPr>
        <w:pStyle w:val="6"/>
        <w:rPr>
          <w:highlight w:val="none"/>
        </w:rPr>
      </w:pPr>
      <w:r>
        <w:rPr>
          <w:highlight w:val="none"/>
        </w:rPr>
        <w:t>绩效指标：</w:t>
      </w:r>
    </w:p>
    <w:p>
      <w:pPr>
        <w:pStyle w:val="6"/>
        <w:rPr>
          <w:highlight w:val="none"/>
        </w:rPr>
      </w:pPr>
      <w:r>
        <w:rPr>
          <w:highlight w:val="none"/>
        </w:rPr>
        <w:t>1、举报线索处置率。评价标准＞99%为优，99%-95%为良，95%-90%为中，≤90为差。</w:t>
      </w:r>
    </w:p>
    <w:p>
      <w:pPr>
        <w:pStyle w:val="6"/>
        <w:rPr>
          <w:highlight w:val="none"/>
        </w:rPr>
      </w:pPr>
      <w:r>
        <w:rPr>
          <w:highlight w:val="none"/>
        </w:rPr>
        <w:t>2、重大案件处理情况向交办单位反馈率。评价标准≥95%为优，95%-90%为良，≥90%为中，＜85%为差。</w:t>
      </w:r>
    </w:p>
    <w:p>
      <w:pPr>
        <w:pStyle w:val="6"/>
        <w:rPr>
          <w:highlight w:val="none"/>
        </w:rPr>
      </w:pPr>
      <w:r>
        <w:rPr>
          <w:highlight w:val="none"/>
        </w:rPr>
        <w:t>3、基础性保障项目完成率。评价标准≥90%为优，90%-80%为良，80%-70%为中，＜70%为差。</w:t>
      </w:r>
    </w:p>
    <w:p>
      <w:pPr>
        <w:pStyle w:val="6"/>
        <w:rPr>
          <w:highlight w:val="none"/>
        </w:rPr>
      </w:pPr>
      <w:r>
        <w:rPr>
          <w:highlight w:val="none"/>
        </w:rPr>
        <w:t>（二）自然资源资产管理</w:t>
      </w:r>
    </w:p>
    <w:p>
      <w:pPr>
        <w:pStyle w:val="6"/>
        <w:rPr>
          <w:highlight w:val="none"/>
        </w:rPr>
      </w:pPr>
      <w:r>
        <w:rPr>
          <w:highlight w:val="none"/>
        </w:rPr>
        <w:t>绩效目标：切实落实中央和省关于统一行使全民所有自然资源资产所有者职责，为保护和合理开发利用自然资源提供科学指引。加快编制全民所有自然资源资产负债表，加快建立自然资源有偿使用制度，努力提升自然资源保护和合理利用水平，切实维护国家所有者权益。</w:t>
      </w:r>
    </w:p>
    <w:p>
      <w:pPr>
        <w:pStyle w:val="6"/>
        <w:rPr>
          <w:highlight w:val="none"/>
        </w:rPr>
      </w:pPr>
      <w:r>
        <w:rPr>
          <w:highlight w:val="none"/>
        </w:rPr>
        <w:t>绩效指标：1. 矿业权权益金评估工作完成率。评价标准100%为优，≥95%为良，≥90%为中，＜90%为差。</w:t>
      </w:r>
    </w:p>
    <w:p>
      <w:pPr>
        <w:pStyle w:val="6"/>
        <w:rPr>
          <w:highlight w:val="none"/>
        </w:rPr>
      </w:pPr>
      <w:r>
        <w:rPr>
          <w:highlight w:val="none"/>
        </w:rPr>
        <w:t>2. 矿业权出让收益征收管理分析率。评价标准≥90%为优，90%-80%为良，80%-70%为中，＜70%为差。</w:t>
      </w:r>
    </w:p>
    <w:p>
      <w:pPr>
        <w:pStyle w:val="6"/>
        <w:rPr>
          <w:highlight w:val="none"/>
        </w:rPr>
      </w:pPr>
      <w:r>
        <w:rPr>
          <w:highlight w:val="none"/>
        </w:rPr>
        <w:t>3. 自然资源资产统计核算率。评价标准≥90%为优，90%-80%为良，80%-70%为中，＜70%为差。</w:t>
      </w:r>
    </w:p>
    <w:p>
      <w:pPr>
        <w:pStyle w:val="6"/>
        <w:rPr>
          <w:highlight w:val="none"/>
        </w:rPr>
      </w:pPr>
      <w:r>
        <w:rPr>
          <w:highlight w:val="none"/>
        </w:rPr>
        <w:t>（三）自然资源政务管理</w:t>
      </w:r>
    </w:p>
    <w:p>
      <w:pPr>
        <w:pStyle w:val="6"/>
        <w:rPr>
          <w:highlight w:val="none"/>
        </w:rPr>
      </w:pPr>
      <w:r>
        <w:rPr>
          <w:highlight w:val="none"/>
        </w:rPr>
        <w:t>绩效目标：进一步增强自然资源管理保障能力。规范做好自然资源调查监测评价，全面推行自然资源工作依法行政，推动普法工作落实，做好行政复议、行政应诉工作，推进自然资源科技的应用和推广。</w:t>
      </w:r>
    </w:p>
    <w:p>
      <w:pPr>
        <w:pStyle w:val="6"/>
        <w:rPr>
          <w:highlight w:val="none"/>
        </w:rPr>
      </w:pPr>
      <w:r>
        <w:rPr>
          <w:highlight w:val="none"/>
        </w:rPr>
        <w:t>绩效指标：</w:t>
      </w:r>
    </w:p>
    <w:p>
      <w:pPr>
        <w:pStyle w:val="6"/>
        <w:rPr>
          <w:highlight w:val="none"/>
        </w:rPr>
      </w:pPr>
      <w:r>
        <w:rPr>
          <w:highlight w:val="none"/>
        </w:rPr>
        <w:t>1. 综合业务管理工作完成率。评价标准100%为优，≥95%为良，≥90%为中，＜90%为差。</w:t>
      </w:r>
    </w:p>
    <w:p>
      <w:pPr>
        <w:pStyle w:val="6"/>
        <w:rPr>
          <w:highlight w:val="none"/>
        </w:rPr>
      </w:pPr>
      <w:r>
        <w:rPr>
          <w:highlight w:val="none"/>
        </w:rPr>
        <w:t>2. 综合事务管理工作完成率。评价标准≥90%为优，≥85%为良，≥70%为中，＜70%为差。</w:t>
      </w:r>
    </w:p>
    <w:p>
      <w:pPr>
        <w:pStyle w:val="6"/>
        <w:rPr>
          <w:highlight w:val="none"/>
        </w:rPr>
      </w:pPr>
      <w:r>
        <w:rPr>
          <w:highlight w:val="none"/>
        </w:rPr>
        <w:t>（四）国土空间用途管制</w:t>
      </w:r>
    </w:p>
    <w:p>
      <w:pPr>
        <w:pStyle w:val="6"/>
        <w:rPr>
          <w:highlight w:val="none"/>
        </w:rPr>
      </w:pPr>
      <w:r>
        <w:rPr>
          <w:highlight w:val="none"/>
        </w:rPr>
        <w:t>绩效目标：建立国土空间规划体系，尽快实现各类空间规划的深度融合和多规合一。做好用地计划、用地预审管理，严格落实国家空间用途管制各项制度，实施最严格的耕地保护管理。规范做好国土空间各类规划编制和实施，充分发挥国土空间规划的管控作用。完善用途管制制度，将用途管制扩大到所有自然生态空间，严格划定生态空间、城镇空间、农业空间，落实国家用途管制各项新的制度规定。完成相关耕地与基本农田保护管理工作，确保全省耕地保有量和基本农田保护面积，组织实施最严格的耕地保护制度。</w:t>
      </w:r>
    </w:p>
    <w:p>
      <w:pPr>
        <w:pStyle w:val="6"/>
        <w:rPr>
          <w:highlight w:val="none"/>
        </w:rPr>
      </w:pPr>
      <w:r>
        <w:rPr>
          <w:highlight w:val="none"/>
        </w:rPr>
        <w:t>绩效指标：1. 各类规划编制率。评价标准≥95%为优，≥90%为良，≥80%为中，＜80%为差。</w:t>
      </w:r>
    </w:p>
    <w:p>
      <w:pPr>
        <w:pStyle w:val="6"/>
        <w:rPr>
          <w:highlight w:val="none"/>
        </w:rPr>
      </w:pPr>
      <w:r>
        <w:rPr>
          <w:highlight w:val="none"/>
        </w:rPr>
        <w:t>2. 规划数据库更新维护率。评价标准≥95%为优，≥90%为良，≥80%为中，＜80%为差。</w:t>
      </w:r>
    </w:p>
    <w:p>
      <w:pPr>
        <w:pStyle w:val="6"/>
        <w:rPr>
          <w:highlight w:val="none"/>
        </w:rPr>
      </w:pPr>
      <w:r>
        <w:rPr>
          <w:highlight w:val="none"/>
        </w:rPr>
        <w:t>3. 规划实施监测、评价完成率。评价标准≥95%为优，≥90%为良，≥80%为中，＜80%为差。</w:t>
      </w:r>
    </w:p>
    <w:p>
      <w:pPr>
        <w:pStyle w:val="6"/>
        <w:rPr>
          <w:highlight w:val="none"/>
        </w:rPr>
      </w:pPr>
      <w:r>
        <w:rPr>
          <w:highlight w:val="none"/>
        </w:rPr>
        <w:t>4. 国土空间用途管制管理工作完成率。评价标准≥95%为优，≥90%为良，≥80%为中，＜80%为差。</w:t>
      </w:r>
    </w:p>
    <w:p>
      <w:pPr>
        <w:pStyle w:val="6"/>
        <w:rPr>
          <w:highlight w:val="none"/>
        </w:rPr>
      </w:pPr>
      <w:r>
        <w:rPr>
          <w:highlight w:val="none"/>
        </w:rPr>
        <w:t>5. 建设用地项目用地预审工作完成率。评价标准100%为优，≥95%为良，≥90%为中，＜90%为差。</w:t>
      </w:r>
    </w:p>
    <w:p>
      <w:pPr>
        <w:pStyle w:val="6"/>
        <w:rPr>
          <w:highlight w:val="none"/>
        </w:rPr>
      </w:pPr>
      <w:r>
        <w:rPr>
          <w:highlight w:val="none"/>
        </w:rPr>
        <w:t>6. 各类土地用途转用的审核、报批工作完成率。评价标准100%为优，≥95%为良，≥90%为中，＜90%为差。</w:t>
      </w:r>
    </w:p>
    <w:p>
      <w:pPr>
        <w:pStyle w:val="6"/>
        <w:rPr>
          <w:highlight w:val="none"/>
        </w:rPr>
      </w:pPr>
      <w:r>
        <w:rPr>
          <w:highlight w:val="none"/>
        </w:rPr>
        <w:t>7. 耕地质量检测评价与定级完成率。评价标准≥95%为优，≥90%为良，≥80%为中，＜80%为差。</w:t>
      </w:r>
    </w:p>
    <w:p>
      <w:pPr>
        <w:pStyle w:val="6"/>
        <w:rPr>
          <w:highlight w:val="none"/>
        </w:rPr>
      </w:pPr>
      <w:r>
        <w:rPr>
          <w:highlight w:val="none"/>
        </w:rPr>
        <w:t>8. 永久基本农田数据库更新监管率。评价标准≥95%为优，≥90%为良，≥80%为中，＜80%为差。</w:t>
      </w:r>
    </w:p>
    <w:p>
      <w:pPr>
        <w:pStyle w:val="6"/>
        <w:rPr>
          <w:highlight w:val="none"/>
        </w:rPr>
      </w:pPr>
      <w:r>
        <w:rPr>
          <w:highlight w:val="none"/>
        </w:rPr>
        <w:t>9.复垦方案评审完成率。评价标准100%为优，≥95%为良，≥90%为中，＜90%为差。</w:t>
      </w:r>
    </w:p>
    <w:p>
      <w:pPr>
        <w:pStyle w:val="6"/>
        <w:rPr>
          <w:highlight w:val="none"/>
        </w:rPr>
      </w:pPr>
      <w:r>
        <w:rPr>
          <w:highlight w:val="none"/>
        </w:rPr>
        <w:t>（五）自然资源统一确权登记管理</w:t>
      </w:r>
    </w:p>
    <w:p>
      <w:pPr>
        <w:pStyle w:val="6"/>
        <w:rPr>
          <w:highlight w:val="none"/>
        </w:rPr>
      </w:pPr>
      <w:r>
        <w:rPr>
          <w:highlight w:val="none"/>
        </w:rPr>
        <w:t>绩效目标：通过贯彻执行国家各类自然资源和不动产统一确权登记、权籍调查、不动产测绘、争议调处、成果应用的制度、标准、规范，及时掌握全区各类自然资源和不动产权籍信息。不断加强自然资源和不动产统一确权登记规范化建设。保持全区各类自然资源和不动产变更数据的现势性和连续性，各类审批业务提供数据和图件支持。进一步完善登记制度规范，优化登记业务流程，加强存量数据整合汇交，提升信息平台建设质量，不断提升便民利民服务能力和水平，提高政府治理体系和治理能力现代化水平。</w:t>
      </w:r>
    </w:p>
    <w:p>
      <w:pPr>
        <w:pStyle w:val="6"/>
        <w:rPr>
          <w:highlight w:val="none"/>
        </w:rPr>
      </w:pPr>
      <w:r>
        <w:rPr>
          <w:highlight w:val="none"/>
        </w:rPr>
        <w:t>绩效指标：1.变更调查完成率。评价标准≥95%为优，≥90%为良，≥80%为中，＜80%为差。2. 房地一体宅基地和集体建设用地确权登记完成率。评价标准≥90%为优，≥80%为良，≥70%为中，＜70%为差。3. 第三次国土调查完成率。评价标准≥95%为优，≥90%为良，≥80%为中，＜80%为差。4. 不动产权属争议调处达标率。评价标准≥95%为优，≥90%为良，≥80%为中，＜80%为差。5. 市县不动产登记信息数据上报率。评价标准100%为优，≥95%为良，≥90%为中，＜90%为差。</w:t>
      </w:r>
    </w:p>
    <w:p>
      <w:pPr>
        <w:pStyle w:val="6"/>
        <w:rPr>
          <w:highlight w:val="none"/>
        </w:rPr>
      </w:pPr>
      <w:r>
        <w:rPr>
          <w:highlight w:val="none"/>
        </w:rPr>
        <w:t>（六）国土空间生态修复管理</w:t>
      </w:r>
    </w:p>
    <w:p>
      <w:pPr>
        <w:pStyle w:val="6"/>
        <w:rPr>
          <w:highlight w:val="none"/>
        </w:rPr>
      </w:pPr>
      <w:r>
        <w:rPr>
          <w:highlight w:val="none"/>
        </w:rPr>
        <w:t>绩效目标：稳步推进矿山地质环境恢复治理；组织指导海域海岛海岸带整治修复工作；提高地质灾害预警预报能力；掌握地面沉降动态变化数据。</w:t>
      </w:r>
    </w:p>
    <w:p>
      <w:pPr>
        <w:pStyle w:val="6"/>
        <w:rPr>
          <w:highlight w:val="none"/>
        </w:rPr>
      </w:pPr>
      <w:r>
        <w:rPr>
          <w:highlight w:val="none"/>
        </w:rPr>
        <w:t>开展矿山地质环境动态监测；推进责任主体灭失矿山迹地综合治理有序开展，确保年内完成1024处、5.2万亩责任主体灭失矿山迹地治理任务；指导地方国土空间生态修复工作，提高群众满意度。做好汛期地质灾害防治工作；开展地下水过量开采及引发的地面沉降等地质问题的监督管理。</w:t>
      </w:r>
    </w:p>
    <w:p>
      <w:pPr>
        <w:pStyle w:val="6"/>
        <w:rPr>
          <w:highlight w:val="none"/>
        </w:rPr>
      </w:pPr>
      <w:r>
        <w:rPr>
          <w:highlight w:val="none"/>
        </w:rPr>
        <w:t>绩效指标：1. 矿山地质环境动态监测完成率。评价标准≥95%为优，≥90%为良，≥80%为中，＜80%为差。</w:t>
      </w:r>
    </w:p>
    <w:p>
      <w:pPr>
        <w:pStyle w:val="6"/>
        <w:rPr>
          <w:highlight w:val="none"/>
        </w:rPr>
      </w:pPr>
      <w:r>
        <w:rPr>
          <w:highlight w:val="none"/>
        </w:rPr>
        <w:t>2. 责任主体灭失矿山迹地修复率。评价标准≥95%为优，≥90%为良，≥80%为中，＜80%为差。</w:t>
      </w:r>
    </w:p>
    <w:p>
      <w:pPr>
        <w:pStyle w:val="6"/>
        <w:rPr>
          <w:highlight w:val="none"/>
        </w:rPr>
      </w:pPr>
      <w:r>
        <w:rPr>
          <w:highlight w:val="none"/>
        </w:rPr>
        <w:t>3. 矿山地质环境保护与治理恢复方案评审完成率。评价标准100%为优，≥95%为良，≥90%为中，＜90%为差。</w:t>
      </w:r>
    </w:p>
    <w:p>
      <w:pPr>
        <w:pStyle w:val="6"/>
        <w:rPr>
          <w:highlight w:val="none"/>
        </w:rPr>
      </w:pPr>
      <w:r>
        <w:rPr>
          <w:highlight w:val="none"/>
        </w:rPr>
        <w:t>4. 群众满意度。评价标准≥90%为优，≥80%为良，≥70%为中，＜70%为差。</w:t>
      </w:r>
    </w:p>
    <w:p>
      <w:pPr>
        <w:pStyle w:val="6"/>
        <w:rPr>
          <w:highlight w:val="none"/>
        </w:rPr>
      </w:pPr>
      <w:r>
        <w:rPr>
          <w:highlight w:val="none"/>
        </w:rPr>
        <w:t>5. 项目工程完成情况。评价标准100%为优，≥95%为良，≥90%为中，＜90%为差。</w:t>
      </w:r>
    </w:p>
    <w:p>
      <w:pPr>
        <w:pStyle w:val="6"/>
        <w:rPr>
          <w:highlight w:val="none"/>
        </w:rPr>
      </w:pPr>
      <w:r>
        <w:rPr>
          <w:highlight w:val="none"/>
        </w:rPr>
        <w:t>6. 地下水地质环境和地面沉降监测年度监测率。评价标准≥95%为优，≥90%为良，≥80%为中，＜80%为差。</w:t>
      </w:r>
    </w:p>
    <w:p>
      <w:pPr>
        <w:pStyle w:val="6"/>
        <w:rPr>
          <w:highlight w:val="none"/>
        </w:rPr>
      </w:pPr>
      <w:r>
        <w:rPr>
          <w:highlight w:val="none"/>
        </w:rPr>
        <w:t>7. 地质灾害隐患点核查排查率。评价标准≥95%为优，≥90%为良，≥80%为中，＜90%为差。</w:t>
      </w:r>
    </w:p>
    <w:p>
      <w:pPr>
        <w:pStyle w:val="6"/>
        <w:rPr>
          <w:highlight w:val="none"/>
        </w:rPr>
      </w:pPr>
      <w:r>
        <w:rPr>
          <w:highlight w:val="none"/>
        </w:rPr>
        <w:t>8. 地质灾害气象风险预警信息发布率。评价标准≥95%为优，≥90%为良，≥80%为中，＜90%为差。</w:t>
      </w:r>
    </w:p>
    <w:p>
      <w:pPr>
        <w:pStyle w:val="6"/>
        <w:rPr>
          <w:highlight w:val="none"/>
        </w:rPr>
      </w:pPr>
      <w:r>
        <w:rPr>
          <w:highlight w:val="none"/>
        </w:rPr>
        <w:t>（七）自然资源利用管理</w:t>
      </w:r>
    </w:p>
    <w:p>
      <w:pPr>
        <w:pStyle w:val="6"/>
        <w:rPr>
          <w:highlight w:val="none"/>
        </w:rPr>
      </w:pPr>
      <w:r>
        <w:rPr>
          <w:highlight w:val="none"/>
        </w:rPr>
        <w:t>绩效目标：进一步提高自然资源合理开发利用水平；加强基础地质工作，力争提交可供进一步勘查的工作基地3处以上；管理好重要地质资料；管理全省海域海岛，科学合理用海；掌握我省所辖海域海洋水文气象状况，及时掌握海洋经济发展动态。为自然资源开发管理工作提供数据基础；保证自然资源开发利用的科学、合理、有效，把好自然资源开发利用的源头关。对全省自然资源市场进行动态监测，为省政府宏观调控和稳定自然资源市场提供决策依据。掌握评价自然资源利用现状和节约集约程度，为科学管理提供依据。加强我省基础地质和地质找矿工作，服务地质勘查行业，提高我省经济和社会发展资源保障程度，引导社会资本有序投入地质勘查，推进地质勘查项目监管能力。为矿产资源管理提供依据，维护国家矿产资源所有者权益，掌控资源家底，提供宏观调控依据。为建设项目选址和压覆矿产资源调查提供决策依据。提高矿产资源合理利用和保护能力，保护重要地质资料成果，降低地质工作风险，减少重复工作和资金浪费。对古生物化石进行有效监督管理。</w:t>
      </w:r>
    </w:p>
    <w:p>
      <w:pPr>
        <w:pStyle w:val="6"/>
        <w:rPr>
          <w:highlight w:val="none"/>
        </w:rPr>
      </w:pPr>
      <w:r>
        <w:rPr>
          <w:highlight w:val="none"/>
        </w:rPr>
        <w:t>绩效指标：1.资源开发利用现状掌握率。评价标准≥90%为优，≥80%为良，≥70%为中，＜70%为差。</w:t>
      </w:r>
    </w:p>
    <w:p>
      <w:pPr>
        <w:pStyle w:val="6"/>
        <w:rPr>
          <w:highlight w:val="none"/>
        </w:rPr>
      </w:pPr>
      <w:r>
        <w:rPr>
          <w:highlight w:val="none"/>
        </w:rPr>
        <w:t>2.资源利用考核评价成果省级汇总与分析更新完成率。评价标准≥90%为优，≥80%为良，≥70%为中，＜70%为差。</w:t>
      </w:r>
    </w:p>
    <w:p>
      <w:pPr>
        <w:pStyle w:val="6"/>
        <w:rPr>
          <w:highlight w:val="none"/>
        </w:rPr>
      </w:pPr>
      <w:r>
        <w:rPr>
          <w:highlight w:val="none"/>
        </w:rPr>
        <w:t>3.资源市场监测分析工作完成率。评价标准≥90%为优，≥80%为良，≥70%为中，＜70%为差。</w:t>
      </w:r>
    </w:p>
    <w:p>
      <w:pPr>
        <w:pStyle w:val="6"/>
        <w:rPr>
          <w:highlight w:val="none"/>
        </w:rPr>
      </w:pPr>
      <w:r>
        <w:rPr>
          <w:highlight w:val="none"/>
        </w:rPr>
        <w:t>4.开发利用统计分析率。评价标准≥90%为优，≥80%为良，≥70%为中，＜70%为差。</w:t>
      </w:r>
    </w:p>
    <w:p>
      <w:pPr>
        <w:pStyle w:val="6"/>
        <w:rPr>
          <w:highlight w:val="none"/>
        </w:rPr>
      </w:pPr>
      <w:r>
        <w:rPr>
          <w:highlight w:val="none"/>
        </w:rPr>
        <w:t>5. 矿产勘查实施方案评审率。评价标准≥90%为优，≥80%为良，≥70%为中，＜70%为差。</w:t>
      </w:r>
    </w:p>
    <w:p>
      <w:pPr>
        <w:pStyle w:val="6"/>
        <w:rPr>
          <w:highlight w:val="none"/>
        </w:rPr>
      </w:pPr>
    </w:p>
    <w:p>
      <w:pPr>
        <w:pStyle w:val="6"/>
        <w:rPr>
          <w:highlight w:val="none"/>
        </w:rPr>
      </w:pPr>
      <w:r>
        <w:rPr>
          <w:highlight w:val="none"/>
        </w:rPr>
        <w:t>6. 勘查设计工作量完成率。评价标准≥90%为优，≥80%为良，≥70%为中，＜70%为差。</w:t>
      </w:r>
    </w:p>
    <w:p>
      <w:pPr>
        <w:pStyle w:val="6"/>
        <w:rPr>
          <w:highlight w:val="none"/>
        </w:rPr>
      </w:pPr>
      <w:r>
        <w:rPr>
          <w:highlight w:val="none"/>
        </w:rPr>
        <w:t>7.进一步勘查工作地个数(个）。评价标准≥3为优，2为良，1为中，0为差。</w:t>
      </w:r>
    </w:p>
    <w:p>
      <w:pPr>
        <w:pStyle w:val="6"/>
        <w:rPr>
          <w:highlight w:val="none"/>
        </w:rPr>
      </w:pPr>
      <w:r>
        <w:rPr>
          <w:highlight w:val="none"/>
        </w:rPr>
        <w:t>8.成果统计率。评价标准≥90%为优，≥80%为良，≥70%为中，＜70%为差。</w:t>
      </w:r>
    </w:p>
    <w:p>
      <w:pPr>
        <w:pStyle w:val="6"/>
        <w:rPr>
          <w:highlight w:val="none"/>
        </w:rPr>
      </w:pPr>
      <w:r>
        <w:rPr>
          <w:highlight w:val="none"/>
        </w:rPr>
        <w:t>9.资源储量管理基础工作完成率。评价标准≥90%为优，≥80%为良，≥70%为中，＜70%为差。</w:t>
      </w:r>
    </w:p>
    <w:p>
      <w:pPr>
        <w:pStyle w:val="6"/>
        <w:rPr>
          <w:highlight w:val="none"/>
        </w:rPr>
      </w:pPr>
      <w:r>
        <w:rPr>
          <w:highlight w:val="none"/>
        </w:rPr>
        <w:t>10.目跟踪监控工作完成率。评价标准≥95%为优，≥90%为良，≥80%为中，＜80%为差。</w:t>
      </w:r>
    </w:p>
    <w:p>
      <w:pPr>
        <w:pStyle w:val="6"/>
        <w:rPr>
          <w:highlight w:val="none"/>
        </w:rPr>
      </w:pPr>
      <w:r>
        <w:rPr>
          <w:highlight w:val="none"/>
        </w:rPr>
        <w:t>11.权权属纠纷有效处理率。评价标准≥90%为优，≥80%为良，≥70%为中，＜70%为差。</w:t>
      </w:r>
    </w:p>
    <w:p>
      <w:pPr>
        <w:pStyle w:val="6"/>
        <w:rPr>
          <w:highlight w:val="none"/>
        </w:rPr>
      </w:pPr>
      <w:r>
        <w:rPr>
          <w:highlight w:val="none"/>
        </w:rPr>
        <w:t>12.压覆重要矿产资源查询率。评价标准≥90%为优，≥80%为良，≥70%为中，＜70%为差。</w:t>
      </w:r>
    </w:p>
    <w:p>
      <w:pPr>
        <w:pStyle w:val="6"/>
        <w:rPr>
          <w:highlight w:val="none"/>
        </w:rPr>
      </w:pPr>
      <w:r>
        <w:rPr>
          <w:highlight w:val="none"/>
        </w:rPr>
        <w:t>13.监督管理工作年度完成率。评价标准≥95%为优，≥90%为良，≥80%为中，＜80%为差。</w:t>
      </w:r>
    </w:p>
    <w:p>
      <w:pPr>
        <w:pStyle w:val="6"/>
        <w:rPr>
          <w:highlight w:val="none"/>
        </w:rPr>
      </w:pPr>
      <w:r>
        <w:rPr>
          <w:highlight w:val="none"/>
        </w:rPr>
        <w:t>14.管理工作完成率。评价标准≥90%为优，≥80%为良，≥70%为中，＜70%为差。</w:t>
      </w: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r>
        <w:rPr>
          <w:highlight w:val="none"/>
        </w:rPr>
        <w:t>（八）测绘地理信息管理</w:t>
      </w:r>
    </w:p>
    <w:p>
      <w:pPr>
        <w:pStyle w:val="6"/>
        <w:rPr>
          <w:highlight w:val="none"/>
        </w:rPr>
      </w:pPr>
      <w:r>
        <w:rPr>
          <w:highlight w:val="none"/>
        </w:rPr>
        <w:t>绩效目标：加强地理信息成果管理和测量标志保护及重要的地理信息数据审核。加强地图管理、地图审查，强化互联网地图服务监督，加强国家版图意识宣传教育、协同拟定界线标准样图。为地理信息应急提供保障服务，加强地理信息公共服务指导监督。</w:t>
      </w:r>
    </w:p>
    <w:p>
      <w:pPr>
        <w:pStyle w:val="6"/>
        <w:rPr>
          <w:highlight w:val="none"/>
        </w:rPr>
      </w:pPr>
      <w:r>
        <w:rPr>
          <w:highlight w:val="none"/>
        </w:rPr>
        <w:t>绩效指标：</w:t>
      </w:r>
    </w:p>
    <w:p>
      <w:pPr>
        <w:pStyle w:val="6"/>
        <w:rPr>
          <w:highlight w:val="none"/>
        </w:rPr>
      </w:pPr>
      <w:r>
        <w:rPr>
          <w:highlight w:val="none"/>
        </w:rPr>
        <w:t>1.信息数据审核完成率。评价标准100%为优，≥90%为良，≥80%为中，＜80%为差。</w:t>
      </w:r>
    </w:p>
    <w:p>
      <w:pPr>
        <w:pStyle w:val="6"/>
        <w:rPr>
          <w:highlight w:val="none"/>
        </w:rPr>
      </w:pPr>
      <w:r>
        <w:rPr>
          <w:highlight w:val="none"/>
        </w:rPr>
        <w:t>2.运行维护完成率。评价标准100%为优，≥90%为良，≥80%为中，＜80%为差。</w:t>
      </w:r>
    </w:p>
    <w:p>
      <w:pPr>
        <w:pStyle w:val="6"/>
        <w:rPr>
          <w:highlight w:val="none"/>
        </w:rPr>
      </w:pPr>
      <w:r>
        <w:rPr>
          <w:highlight w:val="none"/>
        </w:rPr>
        <w:t>3.监管完成率。评价标准100%为优，≥90%为良，≥80%为中，＜80%为差。</w:t>
      </w:r>
    </w:p>
    <w:p>
      <w:pPr>
        <w:pStyle w:val="6"/>
        <w:rPr>
          <w:highlight w:val="none"/>
        </w:rPr>
      </w:pPr>
      <w:r>
        <w:rPr>
          <w:highlight w:val="none"/>
        </w:rPr>
        <w:t>4.信息成果保密培训、监督、检查完成率。评价标准100%为优，≥90%为良，≥80%为中，＜80%为差。</w:t>
      </w:r>
    </w:p>
    <w:p>
      <w:pPr>
        <w:pStyle w:val="6"/>
        <w:rPr>
          <w:highlight w:val="none"/>
        </w:rPr>
      </w:pPr>
      <w:r>
        <w:rPr>
          <w:highlight w:val="none"/>
        </w:rPr>
        <w:t>5.教育完成数量（次）。评价标准≥15为优，≥13为良，≥10为中，＜10为差。</w:t>
      </w:r>
    </w:p>
    <w:p>
      <w:pPr>
        <w:pStyle w:val="6"/>
        <w:rPr>
          <w:highlight w:val="none"/>
        </w:rPr>
      </w:pPr>
      <w:r>
        <w:rPr>
          <w:highlight w:val="none"/>
        </w:rPr>
        <w:t>6.编制完成率。评价标准100%为优，≥90%为良，≥80%为中，＜80%为差。</w:t>
      </w:r>
    </w:p>
    <w:p>
      <w:pPr>
        <w:pStyle w:val="6"/>
        <w:rPr>
          <w:highlight w:val="none"/>
        </w:rPr>
      </w:pPr>
      <w:r>
        <w:rPr>
          <w:highlight w:val="none"/>
        </w:rPr>
        <w:t>7.保障服务满意度。评价标准100%为优，≥90%为良，≥80%为中，＜80%为差。</w:t>
      </w:r>
    </w:p>
    <w:p>
      <w:pPr>
        <w:pStyle w:val="6"/>
        <w:rPr>
          <w:highlight w:val="none"/>
        </w:rPr>
      </w:pPr>
      <w:r>
        <w:rPr>
          <w:highlight w:val="none"/>
        </w:rPr>
        <w:t>8.完成率。评价标准100%为优，≥90%为良，≥80%为中，＜80%为差。</w:t>
      </w:r>
    </w:p>
    <w:p>
      <w:pPr>
        <w:pStyle w:val="6"/>
        <w:rPr>
          <w:highlight w:val="none"/>
        </w:rPr>
      </w:pPr>
      <w:r>
        <w:rPr>
          <w:highlight w:val="none"/>
        </w:rPr>
        <w:t>9.更新、运行维护考核等次。评价标准五星为优，四星为良，三星为中，二星为差。</w:t>
      </w:r>
    </w:p>
    <w:p>
      <w:pPr>
        <w:pStyle w:val="6"/>
        <w:rPr>
          <w:highlight w:val="none"/>
        </w:rPr>
      </w:pPr>
      <w:r>
        <w:rPr>
          <w:highlight w:val="none"/>
        </w:rPr>
        <w:t>10.天遥感影像成果数据完成率。评价标准100%为优，≥90%为良，≥80%为中，＜80%为差。</w:t>
      </w:r>
    </w:p>
    <w:p>
      <w:pPr>
        <w:pStyle w:val="6"/>
        <w:rPr>
          <w:highlight w:val="none"/>
        </w:rPr>
      </w:pPr>
      <w:r>
        <w:rPr>
          <w:highlight w:val="none"/>
        </w:rPr>
        <w:t>11.维护完成率。评价标准100%为优，≥90%为良，≥80%为中，＜80%为差。</w:t>
      </w:r>
    </w:p>
    <w:p>
      <w:pPr>
        <w:pStyle w:val="6"/>
        <w:rPr>
          <w:highlight w:val="none"/>
        </w:rPr>
      </w:pPr>
      <w:r>
        <w:rPr>
          <w:highlight w:val="none"/>
        </w:rPr>
        <w:t>12.息成果管理及分发服务完成率。评价标准100%为优，≥90%为良，≥80%为中，＜80%为差。</w:t>
      </w:r>
    </w:p>
    <w:p>
      <w:pPr>
        <w:pStyle w:val="6"/>
        <w:rPr>
          <w:highlight w:val="none"/>
        </w:rPr>
      </w:pPr>
      <w:r>
        <w:rPr>
          <w:highlight w:val="none"/>
        </w:rPr>
        <w:t>13.设与运维完成率。评价标准100%为优，≥90%为良，≥80%为中，＜80%为差。</w:t>
      </w:r>
    </w:p>
    <w:p>
      <w:pPr>
        <w:pStyle w:val="6"/>
        <w:rPr>
          <w:highlight w:val="none"/>
        </w:rPr>
      </w:pPr>
      <w:r>
        <w:rPr>
          <w:highlight w:val="none"/>
        </w:rPr>
        <w:t>（九）林业生态建设</w:t>
      </w:r>
    </w:p>
    <w:p>
      <w:pPr>
        <w:pStyle w:val="6"/>
        <w:rPr>
          <w:highlight w:val="none"/>
        </w:rPr>
      </w:pPr>
      <w:r>
        <w:rPr>
          <w:highlight w:val="none"/>
        </w:rPr>
        <w:t>绩效目标：指导公益林、天然林的培育，组织开展森林资源动态监测。</w:t>
      </w:r>
    </w:p>
    <w:p>
      <w:pPr>
        <w:pStyle w:val="6"/>
        <w:rPr>
          <w:highlight w:val="none"/>
        </w:rPr>
      </w:pPr>
      <w:r>
        <w:rPr>
          <w:highlight w:val="none"/>
        </w:rPr>
        <w:t>绩效指标：</w:t>
      </w:r>
    </w:p>
    <w:p>
      <w:pPr>
        <w:pStyle w:val="6"/>
        <w:rPr>
          <w:highlight w:val="none"/>
        </w:rPr>
      </w:pPr>
      <w:r>
        <w:rPr>
          <w:highlight w:val="none"/>
        </w:rPr>
        <w:t>1.公益林验收合格率（%），评价标准100%为优，≥90%为良，≥80%为中，＜80%为差。</w:t>
      </w:r>
    </w:p>
    <w:p>
      <w:pPr>
        <w:pStyle w:val="6"/>
        <w:rPr>
          <w:highlight w:val="none"/>
        </w:rPr>
      </w:pPr>
      <w:r>
        <w:rPr>
          <w:highlight w:val="none"/>
        </w:rPr>
        <w:t>2. 天然林商业性采伐落界核定任务完成率。评价标准100%为优，≥90%为良，≥80%为中，＜80%为差。</w:t>
      </w:r>
    </w:p>
    <w:p>
      <w:pPr>
        <w:pStyle w:val="6"/>
        <w:rPr>
          <w:highlight w:val="none"/>
        </w:rPr>
      </w:pPr>
      <w:r>
        <w:rPr>
          <w:highlight w:val="none"/>
        </w:rPr>
        <w:t>3. 公益林面积核查完成率（%）。评价标准100%为优，≥90%为良，≥80%为中，＜80%为差。</w:t>
      </w:r>
    </w:p>
    <w:p>
      <w:pPr>
        <w:pStyle w:val="6"/>
        <w:rPr>
          <w:highlight w:val="none"/>
        </w:rPr>
      </w:pPr>
      <w:r>
        <w:rPr>
          <w:highlight w:val="none"/>
        </w:rPr>
        <w:t>（十）促进林业发展</w:t>
      </w:r>
    </w:p>
    <w:p>
      <w:pPr>
        <w:pStyle w:val="6"/>
        <w:rPr>
          <w:highlight w:val="none"/>
        </w:rPr>
      </w:pPr>
      <w:r>
        <w:rPr>
          <w:highlight w:val="none"/>
        </w:rPr>
        <w:t>绩效目标：促进现有森林蓄积率稳定健康增长预防和减少林业有害生物对森林资源造成的损失，保护林业资源.</w:t>
      </w:r>
    </w:p>
    <w:p>
      <w:pPr>
        <w:pStyle w:val="6"/>
        <w:rPr>
          <w:highlight w:val="none"/>
        </w:rPr>
      </w:pPr>
      <w:r>
        <w:rPr>
          <w:highlight w:val="none"/>
        </w:rPr>
        <w:t>绩效指标：</w:t>
      </w:r>
    </w:p>
    <w:p>
      <w:pPr>
        <w:pStyle w:val="6"/>
        <w:rPr>
          <w:highlight w:val="none"/>
        </w:rPr>
      </w:pPr>
      <w:r>
        <w:rPr>
          <w:highlight w:val="none"/>
        </w:rPr>
        <w:t>1. 森林面积保存率（%）。评价标准100%为优，≥95%为良，≥90%为中，＜90%为差。</w:t>
      </w:r>
    </w:p>
    <w:p>
      <w:pPr>
        <w:pStyle w:val="6"/>
        <w:rPr>
          <w:highlight w:val="none"/>
        </w:rPr>
      </w:pPr>
      <w:r>
        <w:rPr>
          <w:highlight w:val="none"/>
        </w:rPr>
        <w:t>2. 森林蓄积增长率（%）。评价标准≥1.5%为优，1.4%- 1%为良，0.9%- 0.5%为中，0.4</w:t>
      </w:r>
      <w:r>
        <w:rPr>
          <w:rFonts w:hint="eastAsia"/>
          <w:highlight w:val="none"/>
          <w:lang w:val="en-US" w:eastAsia="zh-CN"/>
        </w:rPr>
        <w:t>%</w:t>
      </w:r>
      <w:r>
        <w:rPr>
          <w:highlight w:val="none"/>
        </w:rPr>
        <w:t>以下为差。</w:t>
      </w:r>
    </w:p>
    <w:p>
      <w:pPr>
        <w:pStyle w:val="6"/>
        <w:rPr>
          <w:highlight w:val="none"/>
        </w:rPr>
      </w:pPr>
      <w:r>
        <w:rPr>
          <w:highlight w:val="none"/>
        </w:rPr>
        <w:t>3. 森林覆盖面积增长率（%）。评价标准4%-5%为优，3%-3.9%为良1%-2.9%为中，0.9%以下为差。</w:t>
      </w:r>
    </w:p>
    <w:p>
      <w:pPr>
        <w:pStyle w:val="6"/>
        <w:rPr>
          <w:highlight w:val="none"/>
        </w:rPr>
      </w:pPr>
      <w:r>
        <w:rPr>
          <w:highlight w:val="none"/>
        </w:rPr>
        <w:t>4. 护林员日常巡查次数（次）。评价标准350次以上为优，320-349次为良，300-319次为中，299次以下为差。</w:t>
      </w:r>
    </w:p>
    <w:p>
      <w:pPr>
        <w:pStyle w:val="6"/>
        <w:rPr>
          <w:color w:val="auto"/>
          <w:highlight w:val="none"/>
        </w:rPr>
      </w:pPr>
      <w:r>
        <w:rPr>
          <w:color w:val="auto"/>
          <w:highlight w:val="none"/>
        </w:rPr>
        <w:t>5. 林业有害生物成灾控制率。评价标准小于等于1‰为优，大于1‰小于等于2‰为良，大于2‰小于等于</w:t>
      </w:r>
      <w:r>
        <w:rPr>
          <w:rFonts w:hint="eastAsia"/>
          <w:color w:val="auto"/>
          <w:highlight w:val="none"/>
          <w:lang w:val="en-US" w:eastAsia="zh-CN"/>
        </w:rPr>
        <w:t>4</w:t>
      </w:r>
      <w:r>
        <w:rPr>
          <w:color w:val="auto"/>
          <w:highlight w:val="none"/>
        </w:rPr>
        <w:t>‰为中，</w:t>
      </w:r>
      <w:r>
        <w:rPr>
          <w:rFonts w:hint="eastAsia"/>
          <w:color w:val="auto"/>
          <w:highlight w:val="none"/>
          <w:lang w:val="en-US" w:eastAsia="zh-CN"/>
        </w:rPr>
        <w:t>4</w:t>
      </w:r>
      <w:r>
        <w:rPr>
          <w:color w:val="auto"/>
          <w:highlight w:val="none"/>
        </w:rPr>
        <w:t>‰以上为差。</w:t>
      </w:r>
    </w:p>
    <w:p>
      <w:pPr>
        <w:pStyle w:val="6"/>
        <w:rPr>
          <w:highlight w:val="none"/>
        </w:rPr>
      </w:pPr>
      <w:r>
        <w:rPr>
          <w:highlight w:val="none"/>
        </w:rPr>
        <w:t>6. 林业有害生物的防治、检疫工作完成率。评价标准90%为优，80%-89%为良，60%-79%为中，59%以下为差。</w:t>
      </w:r>
    </w:p>
    <w:p>
      <w:pPr>
        <w:pStyle w:val="6"/>
        <w:rPr>
          <w:highlight w:val="none"/>
        </w:rPr>
      </w:pPr>
      <w:r>
        <w:rPr>
          <w:highlight w:val="none"/>
        </w:rPr>
        <w:t>（十一）国有林区森林防火工作</w:t>
      </w:r>
    </w:p>
    <w:p>
      <w:pPr>
        <w:pStyle w:val="6"/>
        <w:rPr>
          <w:highlight w:val="none"/>
        </w:rPr>
      </w:pPr>
      <w:r>
        <w:rPr>
          <w:highlight w:val="none"/>
        </w:rPr>
        <w:t>绩效目标：林场防火办加强对护林员的监管力度，以对讲机点名、实地监查、手机定位等形式巡查护林员。加强宣传力度。对各村镇、各个景区、重要地点及路段等明显处粘贴封山防火公告，并对各进山路口、临山各村增挂防火横幅加大宣传氛围。最大限度的减少国有林区的森林火灾隐患，预防森林火灾的能力，有效保护林区宝贵的森林资源。</w:t>
      </w:r>
    </w:p>
    <w:p>
      <w:pPr>
        <w:pStyle w:val="6"/>
        <w:rPr>
          <w:highlight w:val="none"/>
        </w:rPr>
      </w:pPr>
      <w:r>
        <w:rPr>
          <w:highlight w:val="none"/>
        </w:rPr>
        <w:t>绩效指标：</w:t>
      </w:r>
    </w:p>
    <w:p>
      <w:pPr>
        <w:pStyle w:val="6"/>
        <w:rPr>
          <w:highlight w:val="none"/>
        </w:rPr>
      </w:pPr>
      <w:r>
        <w:rPr>
          <w:color w:val="auto"/>
          <w:highlight w:val="none"/>
        </w:rPr>
        <w:t>1. 护林员日常巡山次数（次）。</w:t>
      </w:r>
      <w:r>
        <w:rPr>
          <w:highlight w:val="none"/>
        </w:rPr>
        <w:t>评价标准231-240为优，226-230为良，220-225为中，219以下为差。</w:t>
      </w:r>
    </w:p>
    <w:p>
      <w:pPr>
        <w:pStyle w:val="6"/>
        <w:rPr>
          <w:highlight w:val="none"/>
        </w:rPr>
      </w:pPr>
      <w:r>
        <w:rPr>
          <w:highlight w:val="none"/>
        </w:rPr>
        <w:t>2. 护林员日常巡查日志记录次数（次）。评价标准231-240为优，226-230为良，220-225为中，219以下为差。</w:t>
      </w:r>
    </w:p>
    <w:p>
      <w:pPr>
        <w:pStyle w:val="6"/>
        <w:rPr>
          <w:highlight w:val="none"/>
        </w:rPr>
      </w:pPr>
      <w:r>
        <w:rPr>
          <w:highlight w:val="none"/>
        </w:rPr>
        <w:t>3. 督查护林员巡查次数（次）。评价标准231-240为优，226-230为良，220-225为中，219以下为差。</w:t>
      </w:r>
    </w:p>
    <w:p>
      <w:pPr>
        <w:pStyle w:val="6"/>
        <w:rPr>
          <w:highlight w:val="none"/>
        </w:rPr>
      </w:pPr>
      <w:r>
        <w:rPr>
          <w:highlight w:val="none"/>
        </w:rPr>
        <w:t>4. 粉刷防火宣传标语（条）、评价标准24-25为优，22-23为良，20-21为中，19以下为差。</w:t>
      </w:r>
    </w:p>
    <w:p>
      <w:pPr>
        <w:pStyle w:val="6"/>
        <w:rPr>
          <w:highlight w:val="none"/>
        </w:rPr>
      </w:pPr>
      <w:r>
        <w:rPr>
          <w:highlight w:val="none"/>
        </w:rPr>
        <w:t>5. 悬挂森林防火条幅（条）。评价标准22-24为优，22-25为良，25-26为中，24以下为差。</w:t>
      </w:r>
    </w:p>
    <w:p>
      <w:pPr>
        <w:pStyle w:val="6"/>
        <w:rPr>
          <w:highlight w:val="none"/>
        </w:rPr>
      </w:pPr>
      <w:r>
        <w:rPr>
          <w:highlight w:val="none"/>
        </w:rPr>
        <w:t>6. 维护更换森林防火宣传碑牌（个）。评价标准28-30为优，22-25为良，25-26为中，24以下为差。</w:t>
      </w:r>
    </w:p>
    <w:p>
      <w:pPr>
        <w:pStyle w:val="6"/>
        <w:rPr>
          <w:highlight w:val="none"/>
        </w:rPr>
      </w:pPr>
      <w:r>
        <w:rPr>
          <w:highlight w:val="none"/>
        </w:rPr>
        <w:t>7. 森林边界杂草清理率。评价标准100%为优，22-26为良，90%-94%为中，89%以下为差。</w:t>
      </w:r>
    </w:p>
    <w:p>
      <w:pPr>
        <w:pStyle w:val="6"/>
        <w:rPr>
          <w:highlight w:val="none"/>
        </w:rPr>
      </w:pPr>
      <w:r>
        <w:rPr>
          <w:highlight w:val="none"/>
        </w:rPr>
        <w:t>8. 坟区杂草易燃植被清理率。评价标准100%为优，22-27为良，90%-94%为中，89%以下为差。</w:t>
      </w:r>
    </w:p>
    <w:p>
      <w:pPr>
        <w:pStyle w:val="6"/>
        <w:rPr>
          <w:highlight w:val="none"/>
        </w:rPr>
      </w:pPr>
      <w:r>
        <w:rPr>
          <w:highlight w:val="none"/>
        </w:rPr>
        <w:t>9. 森林防火隔离带完成率。评价标准100%为优，22-28为良，90%-94%为中，89%以下为差。</w:t>
      </w:r>
    </w:p>
    <w:p>
      <w:pPr>
        <w:pStyle w:val="6"/>
        <w:rPr>
          <w:highlight w:val="none"/>
        </w:rPr>
      </w:pPr>
      <w:r>
        <w:rPr>
          <w:highlight w:val="none"/>
        </w:rPr>
        <w:t>（十二）林场管理</w:t>
      </w:r>
    </w:p>
    <w:p>
      <w:pPr>
        <w:pStyle w:val="6"/>
        <w:rPr>
          <w:highlight w:val="none"/>
        </w:rPr>
      </w:pPr>
      <w:r>
        <w:rPr>
          <w:highlight w:val="none"/>
        </w:rPr>
        <w:t>绩效目标：依法依规完成年度工作任务。</w:t>
      </w:r>
    </w:p>
    <w:p>
      <w:pPr>
        <w:pStyle w:val="6"/>
        <w:rPr>
          <w:highlight w:val="none"/>
        </w:rPr>
      </w:pPr>
      <w:r>
        <w:rPr>
          <w:highlight w:val="none"/>
        </w:rPr>
        <w:t>绩效指标：</w:t>
      </w:r>
    </w:p>
    <w:p>
      <w:pPr>
        <w:pStyle w:val="6"/>
        <w:rPr>
          <w:highlight w:val="none"/>
        </w:rPr>
      </w:pPr>
      <w:r>
        <w:rPr>
          <w:highlight w:val="none"/>
        </w:rPr>
        <w:t>1. 任务完成情况与年度目标对比。评价标准完成全年工作任务90%以上为优，22-29为良，完成全年工作任务60%-84%为中，完成全年工作任务59%以下为差。</w:t>
      </w:r>
    </w:p>
    <w:p>
      <w:pPr>
        <w:pStyle w:val="6"/>
        <w:rPr>
          <w:highlight w:val="none"/>
        </w:rPr>
      </w:pPr>
      <w:r>
        <w:rPr>
          <w:highlight w:val="none"/>
        </w:rPr>
        <w:t>2. 保障国家级森林公园完好率。评价标准100%以上为优，22-30为良，90%-94%为中，89%以下为差。</w:t>
      </w:r>
    </w:p>
    <w:p>
      <w:pPr>
        <w:pStyle w:val="6"/>
        <w:rPr>
          <w:color w:val="auto"/>
          <w:highlight w:val="none"/>
        </w:rPr>
      </w:pPr>
      <w:r>
        <w:rPr>
          <w:color w:val="auto"/>
          <w:highlight w:val="none"/>
        </w:rPr>
        <w:t>3. 完成林场改革与验收各项工作任务完成率。评价标准100%上为优，22-30为良，90%-94%为中，89%以下为差。</w:t>
      </w:r>
    </w:p>
    <w:p>
      <w:pPr>
        <w:pStyle w:val="6"/>
        <w:rPr>
          <w:highlight w:val="none"/>
        </w:rPr>
      </w:pPr>
      <w:r>
        <w:rPr>
          <w:highlight w:val="none"/>
        </w:rPr>
        <w:t>（十三）负责风景名胜资源的保护、综合管理与协调工作</w:t>
      </w:r>
    </w:p>
    <w:p>
      <w:pPr>
        <w:pStyle w:val="6"/>
        <w:rPr>
          <w:highlight w:val="none"/>
        </w:rPr>
      </w:pPr>
      <w:r>
        <w:rPr>
          <w:highlight w:val="none"/>
        </w:rPr>
        <w:t>绩效目标：完成风景名胜区的详细规划编制工作，完成风景名胜区的风景名胜各类资源景点的普查工作，完成对风景名胜区的日常监管，对年内申请的建设项目全部完成初审、上报工作，对风景名胜区的服务管理进行提升，制定安全应急预案。</w:t>
      </w:r>
    </w:p>
    <w:p>
      <w:pPr>
        <w:pStyle w:val="6"/>
        <w:rPr>
          <w:highlight w:val="none"/>
        </w:rPr>
      </w:pPr>
      <w:r>
        <w:rPr>
          <w:highlight w:val="none"/>
        </w:rPr>
        <w:t>绩效指标：</w:t>
      </w:r>
    </w:p>
    <w:p>
      <w:pPr>
        <w:pStyle w:val="6"/>
        <w:rPr>
          <w:highlight w:val="none"/>
        </w:rPr>
      </w:pPr>
      <w:r>
        <w:rPr>
          <w:highlight w:val="none"/>
        </w:rPr>
        <w:t>1.规划完成率。评价标准100-96%为优，95-91%为良，90-86%为中，＜85%为差。</w:t>
      </w:r>
    </w:p>
    <w:p>
      <w:pPr>
        <w:pStyle w:val="6"/>
        <w:rPr>
          <w:highlight w:val="none"/>
        </w:rPr>
      </w:pPr>
      <w:r>
        <w:rPr>
          <w:highlight w:val="none"/>
        </w:rPr>
        <w:t>2.总体规划完成率。评价标准100-96%为优，95-91%为良，90-86%为中，＜85%为差。</w:t>
      </w:r>
    </w:p>
    <w:p>
      <w:pPr>
        <w:pStyle w:val="6"/>
        <w:rPr>
          <w:highlight w:val="none"/>
        </w:rPr>
      </w:pPr>
      <w:r>
        <w:rPr>
          <w:highlight w:val="none"/>
        </w:rPr>
        <w:t>3.工作完成率。评价标准100-96%为优，95-91%为良，90-86%为中，＜85%为差。</w:t>
      </w:r>
    </w:p>
    <w:p>
      <w:pPr>
        <w:pStyle w:val="6"/>
        <w:rPr>
          <w:highlight w:val="none"/>
        </w:rPr>
      </w:pPr>
      <w:r>
        <w:rPr>
          <w:highlight w:val="none"/>
        </w:rPr>
        <w:t>4.人文资源普查率。评价标准100-96%为优，95-91%为良，90-86%为中，＜85%为差。</w:t>
      </w:r>
    </w:p>
    <w:p>
      <w:pPr>
        <w:pStyle w:val="6"/>
        <w:rPr>
          <w:highlight w:val="none"/>
        </w:rPr>
      </w:pPr>
      <w:r>
        <w:rPr>
          <w:highlight w:val="none"/>
        </w:rPr>
        <w:t>5.自然资源普查率。评价标准100-96%为优，95-91%为良，90-86%为中，＜85%为差。</w:t>
      </w:r>
    </w:p>
    <w:p>
      <w:pPr>
        <w:pStyle w:val="6"/>
        <w:rPr>
          <w:highlight w:val="none"/>
        </w:rPr>
      </w:pPr>
      <w:r>
        <w:rPr>
          <w:highlight w:val="none"/>
        </w:rPr>
        <w:t>6.资源景点普查。评价标准100-96%为优，95-91%为良，90-86%为中，＜85%为差。</w:t>
      </w:r>
    </w:p>
    <w:p>
      <w:pPr>
        <w:pStyle w:val="6"/>
        <w:rPr>
          <w:highlight w:val="none"/>
        </w:rPr>
      </w:pPr>
      <w:r>
        <w:rPr>
          <w:highlight w:val="none"/>
        </w:rPr>
        <w:t>7.管理办法规范率。评价标准100-91%为优，90-81%为良，80-71%为中，＜70%为差。</w:t>
      </w:r>
    </w:p>
    <w:p>
      <w:pPr>
        <w:pStyle w:val="6"/>
        <w:rPr>
          <w:highlight w:val="none"/>
        </w:rPr>
      </w:pPr>
      <w:r>
        <w:rPr>
          <w:highlight w:val="none"/>
        </w:rPr>
        <w:t>8.管理办法执行率。评价标准100-91%为优，90-81%为良，80-71%为中，＜70%为差。</w:t>
      </w:r>
    </w:p>
    <w:p>
      <w:pPr>
        <w:pStyle w:val="6"/>
        <w:rPr>
          <w:highlight w:val="none"/>
        </w:rPr>
      </w:pPr>
      <w:r>
        <w:rPr>
          <w:highlight w:val="none"/>
        </w:rPr>
        <w:t>9.群众满意率。评价标准100-91%为优，90-81%为良，80-71%为中，＜70%为差。</w:t>
      </w:r>
    </w:p>
    <w:p>
      <w:pPr>
        <w:pStyle w:val="6"/>
        <w:rPr>
          <w:highlight w:val="none"/>
        </w:rPr>
      </w:pPr>
      <w:r>
        <w:rPr>
          <w:highlight w:val="none"/>
        </w:rPr>
        <w:t>10.初审通过率。评价标准100-91%为优，90-81%为良，80-71%为中，＜70%为差。</w:t>
      </w:r>
    </w:p>
    <w:p>
      <w:pPr>
        <w:pStyle w:val="6"/>
        <w:rPr>
          <w:highlight w:val="none"/>
        </w:rPr>
      </w:pPr>
      <w:r>
        <w:rPr>
          <w:highlight w:val="none"/>
        </w:rPr>
        <w:t>11.项目上报率。评价标准100-91%为优，90-81%为良，80-71%为中，＜70%为差。</w:t>
      </w:r>
    </w:p>
    <w:p>
      <w:pPr>
        <w:pStyle w:val="6"/>
        <w:rPr>
          <w:highlight w:val="none"/>
        </w:rPr>
      </w:pPr>
      <w:r>
        <w:rPr>
          <w:highlight w:val="none"/>
        </w:rPr>
        <w:t>12.项目规范率。评价标准100-91%为优，90-81%为良，80-71%为中，＜70%为差。</w:t>
      </w:r>
    </w:p>
    <w:p>
      <w:pPr>
        <w:pStyle w:val="6"/>
        <w:rPr>
          <w:highlight w:val="none"/>
        </w:rPr>
      </w:pPr>
      <w:r>
        <w:rPr>
          <w:highlight w:val="none"/>
        </w:rPr>
        <w:t>13.安全责任率。评价标准100-91%为优，90-81%为良，80-71%为中，＜70%为差。</w:t>
      </w:r>
    </w:p>
    <w:p>
      <w:pPr>
        <w:pStyle w:val="6"/>
        <w:rPr>
          <w:highlight w:val="none"/>
        </w:rPr>
      </w:pPr>
      <w:r>
        <w:rPr>
          <w:highlight w:val="none"/>
        </w:rPr>
        <w:t>14.安全设施普及率。评价标准100-91%为优，90-81%为良，80-71%为中，＜70%为差。</w:t>
      </w:r>
    </w:p>
    <w:p>
      <w:pPr>
        <w:pStyle w:val="6"/>
        <w:rPr>
          <w:highlight w:val="none"/>
        </w:rPr>
      </w:pPr>
      <w:r>
        <w:rPr>
          <w:highlight w:val="none"/>
        </w:rPr>
        <w:t>15.预防意外发生率。评价标准100-91%为优，90-81%为良，80-71%为中，＜70%为差。</w:t>
      </w:r>
    </w:p>
    <w:p>
      <w:pPr>
        <w:pStyle w:val="6"/>
        <w:rPr>
          <w:highlight w:val="none"/>
        </w:rPr>
      </w:pPr>
      <w:r>
        <w:rPr>
          <w:highlight w:val="none"/>
        </w:rPr>
        <w:t>16. 对上级主管部门及区委、区政府</w:t>
      </w:r>
      <w:bookmarkStart w:id="54" w:name="_GoBack"/>
      <w:bookmarkEnd w:id="54"/>
      <w:r>
        <w:rPr>
          <w:highlight w:val="none"/>
        </w:rPr>
        <w:t>交予的其他临时性工作进行落实。评价标准100-90%为优，89-80%为良，79-70%为中，＜69%为差。</w:t>
      </w:r>
    </w:p>
    <w:p>
      <w:pPr>
        <w:pStyle w:val="6"/>
        <w:rPr>
          <w:highlight w:val="none"/>
        </w:rPr>
      </w:pPr>
    </w:p>
    <w:p>
      <w:pPr>
        <w:pStyle w:val="6"/>
        <w:rPr>
          <w:highlight w:val="none"/>
        </w:rPr>
      </w:pPr>
      <w:r>
        <w:rPr>
          <w:highlight w:val="none"/>
        </w:rPr>
        <w:t>（十四）征收管理</w:t>
      </w:r>
    </w:p>
    <w:p>
      <w:pPr>
        <w:pStyle w:val="6"/>
        <w:rPr>
          <w:highlight w:val="none"/>
        </w:rPr>
      </w:pPr>
      <w:r>
        <w:rPr>
          <w:highlight w:val="none"/>
        </w:rPr>
        <w:t>绩效目标：依法依规完成房屋征收工作任务。</w:t>
      </w:r>
    </w:p>
    <w:p>
      <w:pPr>
        <w:pStyle w:val="6"/>
        <w:rPr>
          <w:highlight w:val="none"/>
        </w:rPr>
      </w:pPr>
      <w:r>
        <w:rPr>
          <w:highlight w:val="none"/>
        </w:rPr>
        <w:t>绩效指标：</w:t>
      </w:r>
    </w:p>
    <w:p>
      <w:pPr>
        <w:pStyle w:val="6"/>
        <w:rPr>
          <w:highlight w:val="none"/>
        </w:rPr>
      </w:pPr>
      <w:r>
        <w:rPr>
          <w:highlight w:val="none"/>
        </w:rPr>
        <w:t>1、任务完成情况与年度目标对比：评价标准完成全年工作任务90%以上为优，完成全年工作任务60%-84%为</w:t>
      </w:r>
      <w:r>
        <w:rPr>
          <w:rFonts w:hint="eastAsia"/>
          <w:highlight w:val="none"/>
          <w:lang w:eastAsia="zh-CN"/>
        </w:rPr>
        <w:t>良</w:t>
      </w:r>
      <w:r>
        <w:rPr>
          <w:highlight w:val="none"/>
        </w:rPr>
        <w:t>，完成全年工作任务59%以下为差。</w:t>
      </w:r>
    </w:p>
    <w:p>
      <w:pPr>
        <w:pStyle w:val="6"/>
        <w:rPr>
          <w:highlight w:val="none"/>
        </w:rPr>
      </w:pPr>
      <w:r>
        <w:rPr>
          <w:highlight w:val="none"/>
        </w:rPr>
        <w:t>2、发放被征收户补偿金的及时和准确率。评价标准100%以上为优，90</w:t>
      </w:r>
      <w:r>
        <w:rPr>
          <w:rFonts w:hint="eastAsia"/>
          <w:highlight w:val="none"/>
          <w:lang w:val="en-US" w:eastAsia="zh-CN"/>
        </w:rPr>
        <w:t>%</w:t>
      </w:r>
      <w:r>
        <w:rPr>
          <w:highlight w:val="none"/>
        </w:rPr>
        <w:t>-94</w:t>
      </w:r>
      <w:r>
        <w:rPr>
          <w:rFonts w:hint="eastAsia"/>
          <w:highlight w:val="none"/>
          <w:lang w:val="en-US" w:eastAsia="zh-CN"/>
        </w:rPr>
        <w:t>%</w:t>
      </w:r>
      <w:r>
        <w:rPr>
          <w:highlight w:val="none"/>
        </w:rPr>
        <w:t>为</w:t>
      </w:r>
      <w:r>
        <w:rPr>
          <w:rFonts w:hint="eastAsia"/>
          <w:highlight w:val="none"/>
          <w:lang w:eastAsia="zh-CN"/>
        </w:rPr>
        <w:t>良</w:t>
      </w:r>
      <w:r>
        <w:rPr>
          <w:highlight w:val="none"/>
        </w:rPr>
        <w:t>，89%以下为差。</w:t>
      </w:r>
    </w:p>
    <w:p>
      <w:pPr>
        <w:pStyle w:val="6"/>
        <w:rPr>
          <w:highlight w:val="none"/>
        </w:rPr>
      </w:pPr>
      <w:r>
        <w:rPr>
          <w:highlight w:val="none"/>
        </w:rPr>
        <w:t>3、完成房屋征收计划实施情况及征收补偿方案落实工作任务完成率。评价标准100%以上为优，90%-94%为</w:t>
      </w:r>
      <w:r>
        <w:rPr>
          <w:rFonts w:hint="eastAsia"/>
          <w:highlight w:val="none"/>
          <w:lang w:eastAsia="zh-CN"/>
        </w:rPr>
        <w:t>良</w:t>
      </w:r>
      <w:r>
        <w:rPr>
          <w:highlight w:val="none"/>
        </w:rPr>
        <w:t>，89%以下为差。</w:t>
      </w:r>
    </w:p>
    <w:p>
      <w:pPr>
        <w:pStyle w:val="6"/>
        <w:rPr>
          <w:highlight w:val="none"/>
        </w:rPr>
      </w:pPr>
    </w:p>
    <w:p>
      <w:pPr>
        <w:spacing w:before="10" w:after="10"/>
        <w:ind w:firstLine="560"/>
        <w:outlineLvl w:val="1"/>
        <w:rPr>
          <w:highlight w:val="none"/>
        </w:rPr>
      </w:pPr>
      <w:bookmarkStart w:id="2" w:name="_Toc_2_2_0000000003"/>
      <w:r>
        <w:rPr>
          <w:rFonts w:ascii="方正黑体_GBK" w:hAnsi="方正黑体_GBK" w:eastAsia="方正黑体_GBK" w:cs="方正黑体_GBK"/>
          <w:color w:val="000000"/>
          <w:sz w:val="28"/>
          <w:highlight w:val="none"/>
        </w:rPr>
        <w:t>三、工作保障措施</w:t>
      </w:r>
      <w:bookmarkEnd w:id="2"/>
    </w:p>
    <w:p>
      <w:pPr>
        <w:pStyle w:val="7"/>
        <w:rPr>
          <w:highlight w:val="none"/>
        </w:rPr>
      </w:pPr>
      <w:r>
        <w:rPr>
          <w:highlight w:val="none"/>
        </w:rPr>
        <w:t>三、工作保障措施</w:t>
      </w:r>
    </w:p>
    <w:p>
      <w:pPr>
        <w:pStyle w:val="7"/>
        <w:rPr>
          <w:highlight w:val="none"/>
        </w:rPr>
      </w:pPr>
      <w:r>
        <w:rPr>
          <w:highlight w:val="none"/>
        </w:rPr>
        <w:t>秦皇岛市山海关区自然资源和规划局</w:t>
      </w:r>
    </w:p>
    <w:p>
      <w:pPr>
        <w:pStyle w:val="7"/>
        <w:rPr>
          <w:highlight w:val="none"/>
        </w:rPr>
      </w:pPr>
      <w:r>
        <w:rPr>
          <w:highlight w:val="none"/>
        </w:rPr>
        <w:t>年度目标及保障措施</w:t>
      </w:r>
    </w:p>
    <w:p>
      <w:pPr>
        <w:pStyle w:val="7"/>
        <w:rPr>
          <w:highlight w:val="none"/>
        </w:rPr>
      </w:pPr>
    </w:p>
    <w:p>
      <w:pPr>
        <w:pStyle w:val="7"/>
        <w:rPr>
          <w:highlight w:val="none"/>
        </w:rPr>
      </w:pPr>
      <w:r>
        <w:rPr>
          <w:highlight w:val="none"/>
        </w:rPr>
        <w:t>（一）加强组织领导，明确工作责任。</w:t>
      </w:r>
    </w:p>
    <w:p>
      <w:pPr>
        <w:pStyle w:val="7"/>
        <w:rPr>
          <w:highlight w:val="none"/>
        </w:rPr>
      </w:pPr>
      <w:r>
        <w:rPr>
          <w:highlight w:val="none"/>
        </w:rPr>
        <w:t>高度重视预算绩效各项工作，切实加强领导，增强责任意识，召开专题会议精心谋划，周密部署，明确责任分工，重点工作成立工作专班，扎实推动，确保落实。</w:t>
      </w:r>
    </w:p>
    <w:p>
      <w:pPr>
        <w:pStyle w:val="7"/>
        <w:rPr>
          <w:highlight w:val="none"/>
        </w:rPr>
      </w:pPr>
      <w:r>
        <w:rPr>
          <w:highlight w:val="none"/>
        </w:rPr>
        <w:t>（二）完善制度建设</w:t>
      </w:r>
    </w:p>
    <w:p>
      <w:pPr>
        <w:pStyle w:val="7"/>
        <w:rPr>
          <w:highlight w:val="none"/>
        </w:rPr>
      </w:pPr>
      <w:r>
        <w:rPr>
          <w:highlight w:val="none"/>
        </w:rPr>
        <w:t>建立健全管理制度，制定了《预算管理制度》、《财务管理暂行规定》等一系列财务规章制度。为落实全面实施预算绩效管理要求，规范预算项目管理，做到部门职责与工作活动一致，认真梳理部门职责、工作活动，形成了本单位 “部门职责-工作活动”目录，建立了规范的绩效预算管理结构，健全了绩效目标指标体系。</w:t>
      </w:r>
    </w:p>
    <w:p>
      <w:pPr>
        <w:pStyle w:val="7"/>
        <w:rPr>
          <w:highlight w:val="none"/>
        </w:rPr>
      </w:pPr>
      <w:r>
        <w:rPr>
          <w:highlight w:val="none"/>
        </w:rPr>
        <w:t>（三）加强支出管理</w:t>
      </w:r>
    </w:p>
    <w:p>
      <w:pPr>
        <w:pStyle w:val="7"/>
        <w:rPr>
          <w:highlight w:val="none"/>
        </w:rPr>
      </w:pPr>
      <w:r>
        <w:rPr>
          <w:highlight w:val="none"/>
        </w:rPr>
        <w:t>强化预算刚性约束、绩效理念、支出责任和效率意识，严格执行政府采购制度，将预算收支全部纳入绩效管理，加强支出源头控制和支出精细化管理，严格财务支出管理，坚持按制度支出，按程序审批，保证各项支出的规范、安全、有效。积极制定加快支出、提高支出执行进度的对策措施，及时形成有效支出，确保财政资金合理支出。合理控制项目资金支出，规范了资金运行，提高了资金使用效率。</w:t>
      </w:r>
    </w:p>
    <w:p>
      <w:pPr>
        <w:pStyle w:val="7"/>
        <w:rPr>
          <w:highlight w:val="none"/>
        </w:rPr>
      </w:pPr>
      <w:r>
        <w:rPr>
          <w:highlight w:val="none"/>
        </w:rPr>
        <w:t>（四）加强绩效运行监控</w:t>
      </w:r>
    </w:p>
    <w:p>
      <w:pPr>
        <w:pStyle w:val="7"/>
        <w:rPr>
          <w:highlight w:val="none"/>
        </w:rPr>
      </w:pPr>
      <w:r>
        <w:rPr>
          <w:highlight w:val="none"/>
        </w:rPr>
        <w:t>按照预算绩效管理原则，所有预算收支全面纳入绩效管理，将绩效管理关口前移，逐步建立“预算编制有目标、预算执行有监控、预算完成有评价、评价结果有反馈、反馈结果有应用”的预算绩效管理机制。对项目的绩效目标实现程度和预算执行精度实行“双监控”，确保绩效目标如期保质实现。</w:t>
      </w:r>
    </w:p>
    <w:p>
      <w:pPr>
        <w:pStyle w:val="7"/>
        <w:rPr>
          <w:highlight w:val="none"/>
        </w:rPr>
      </w:pPr>
      <w:r>
        <w:rPr>
          <w:highlight w:val="none"/>
        </w:rPr>
        <w:t>（五）做好绩效自评</w:t>
      </w:r>
    </w:p>
    <w:p>
      <w:pPr>
        <w:pStyle w:val="7"/>
        <w:rPr>
          <w:highlight w:val="none"/>
        </w:rPr>
      </w:pPr>
      <w:r>
        <w:rPr>
          <w:highlight w:val="none"/>
        </w:rPr>
        <w:t>树立绩效理念，将财政支出绩效评价工作列入重要议事日程，按财政要求开展年度部门绩效评价工作。拟定绩效评价工作方案，明确职责，加强内部科室间的协调配合，指定专人负责组织协调本部门绩效评价工作，切实提高自评工作质量，评价中发现的问题如实反映，调整优化支出结构，及时整改，客观公正地实施评价，确保评价工作做到实处，提高财政资金使用效益。</w:t>
      </w:r>
    </w:p>
    <w:p>
      <w:pPr>
        <w:pStyle w:val="7"/>
        <w:rPr>
          <w:highlight w:val="none"/>
        </w:rPr>
      </w:pPr>
      <w:r>
        <w:rPr>
          <w:highlight w:val="none"/>
        </w:rPr>
        <w:t>（六）规范财务资产管理</w:t>
      </w:r>
    </w:p>
    <w:p>
      <w:pPr>
        <w:pStyle w:val="7"/>
        <w:rPr>
          <w:highlight w:val="none"/>
        </w:rPr>
      </w:pPr>
      <w:r>
        <w:rPr>
          <w:highlight w:val="none"/>
        </w:rPr>
        <w:t>强化资产管理，完善财务管理相关制度，严格审批程序，严格执行资产管理制度，加强和规范资产配置、使用和处置管理，维护资产安全完整。严格执行有关通用资产配置标准、办公用房建设装修标准。不定期对本单位资产进行清查盘点，确保资产账、财务账、资产实物账账账相符、账实相符。处置收入按照“收支两条线”管理规定上缴同级国库。</w:t>
      </w:r>
    </w:p>
    <w:p>
      <w:pPr>
        <w:pStyle w:val="7"/>
        <w:rPr>
          <w:highlight w:val="none"/>
        </w:rPr>
      </w:pPr>
      <w:r>
        <w:rPr>
          <w:highlight w:val="none"/>
        </w:rPr>
        <w:t>（七）加强内部监督</w:t>
      </w:r>
    </w:p>
    <w:p>
      <w:pPr>
        <w:pStyle w:val="7"/>
        <w:rPr>
          <w:highlight w:val="none"/>
        </w:rPr>
      </w:pPr>
      <w:r>
        <w:rPr>
          <w:highlight w:val="none"/>
        </w:rPr>
        <w:t>建立健全内部控制体系，完善内部控制制度。建立了项目开展、大额资金使用的集体决策机制，建立了专项资金审批、使用和日常经费使用审批流程，强化对权力运行的制约和监督。建立和完善内部控制手册，严格执行《会计法》，财务人员明确岗位职责，保证单位经济活动合法合规、资产安全和使用有效、财务信息真实完整。</w:t>
      </w:r>
    </w:p>
    <w:p>
      <w:pPr>
        <w:pStyle w:val="7"/>
        <w:rPr>
          <w:highlight w:val="none"/>
        </w:rPr>
      </w:pPr>
      <w:r>
        <w:rPr>
          <w:highlight w:val="none"/>
        </w:rPr>
        <w:t>（八）加强宣传培训调研等</w:t>
      </w:r>
    </w:p>
    <w:p>
      <w:pPr>
        <w:pStyle w:val="7"/>
        <w:rPr>
          <w:highlight w:val="none"/>
        </w:rPr>
      </w:pPr>
      <w:r>
        <w:rPr>
          <w:highlight w:val="none"/>
        </w:rPr>
        <w:t>强化信息宣传，营造良好氛围。进一步加大资源规划领域信息宣传工作力度，扩大宣传范围，创新宣传方式，编制了《国土资源业务工作应知应会知识手册》，让各项制度简单明了、人人掌握，确保业务工作顺利进行。最大限度地争取社会各界对资源规划领域法规政策的理解和支持，树立资源规划部门良好的社会形象。</w:t>
      </w:r>
    </w:p>
    <w:p>
      <w:pPr>
        <w:jc w:val="center"/>
        <w:rPr>
          <w:highlight w:val="none"/>
        </w:rPr>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highlight w:val="none"/>
        </w:rPr>
        <w:t xml:space="preserve"> </w:t>
      </w:r>
    </w:p>
    <w:p>
      <w:pPr>
        <w:jc w:val="center"/>
        <w:rPr>
          <w:highlight w:val="none"/>
        </w:rPr>
      </w:pPr>
      <w:r>
        <w:rPr>
          <w:rFonts w:ascii="方正小标宋_GBK" w:hAnsi="方正小标宋_GBK" w:eastAsia="方正小标宋_GBK" w:cs="方正小标宋_GBK"/>
          <w:color w:val="000000"/>
          <w:sz w:val="52"/>
          <w:highlight w:val="none"/>
        </w:rPr>
        <w:t xml:space="preserve"> </w:t>
      </w:r>
    </w:p>
    <w:p>
      <w:pPr>
        <w:jc w:val="center"/>
        <w:rPr>
          <w:highlight w:val="none"/>
        </w:rPr>
      </w:pPr>
      <w:r>
        <w:rPr>
          <w:rFonts w:ascii="方正小标宋_GBK" w:hAnsi="方正小标宋_GBK" w:eastAsia="方正小标宋_GBK" w:cs="方正小标宋_GBK"/>
          <w:color w:val="000000"/>
          <w:sz w:val="52"/>
          <w:highlight w:val="none"/>
        </w:rPr>
        <w:t xml:space="preserve"> </w:t>
      </w:r>
    </w:p>
    <w:p>
      <w:pPr>
        <w:jc w:val="center"/>
        <w:rPr>
          <w:highlight w:val="none"/>
        </w:rPr>
      </w:pPr>
      <w:r>
        <w:rPr>
          <w:rFonts w:ascii="方正小标宋_GBK" w:hAnsi="方正小标宋_GBK" w:eastAsia="方正小标宋_GBK" w:cs="方正小标宋_GBK"/>
          <w:color w:val="000000"/>
          <w:sz w:val="52"/>
          <w:highlight w:val="none"/>
        </w:rPr>
        <w:t xml:space="preserve"> </w:t>
      </w:r>
    </w:p>
    <w:p>
      <w:pPr>
        <w:jc w:val="center"/>
        <w:rPr>
          <w:highlight w:val="none"/>
        </w:rPr>
      </w:pPr>
      <w:r>
        <w:rPr>
          <w:rFonts w:ascii="方正小标宋_GBK" w:hAnsi="方正小标宋_GBK" w:eastAsia="方正小标宋_GBK" w:cs="方正小标宋_GBK"/>
          <w:color w:val="000000"/>
          <w:sz w:val="44"/>
          <w:highlight w:val="none"/>
        </w:rPr>
        <w:t>第二部分</w:t>
      </w:r>
    </w:p>
    <w:p>
      <w:pPr>
        <w:jc w:val="center"/>
        <w:rPr>
          <w:highlight w:val="none"/>
        </w:rPr>
      </w:pPr>
      <w:r>
        <w:rPr>
          <w:rFonts w:ascii="方正小标宋_GBK" w:hAnsi="方正小标宋_GBK" w:eastAsia="方正小标宋_GBK" w:cs="方正小标宋_GBK"/>
          <w:color w:val="000000"/>
          <w:sz w:val="44"/>
          <w:highlight w:val="none"/>
        </w:rPr>
        <w:t xml:space="preserve"> </w:t>
      </w:r>
    </w:p>
    <w:p>
      <w:pPr>
        <w:jc w:val="center"/>
        <w:outlineLvl w:val="0"/>
        <w:rPr>
          <w:highlight w:val="none"/>
        </w:rPr>
      </w:pPr>
      <w:r>
        <w:rPr>
          <w:rFonts w:ascii="方正小标宋_GBK" w:hAnsi="方正小标宋_GBK" w:eastAsia="方正小标宋_GBK" w:cs="方正小标宋_GBK"/>
          <w:color w:val="000000"/>
          <w:sz w:val="44"/>
          <w:highlight w:val="none"/>
        </w:rPr>
        <w:t>预算项目绩效目标</w:t>
      </w:r>
    </w:p>
    <w:p>
      <w:pPr>
        <w:jc w:val="center"/>
        <w:rPr>
          <w:highlight w:val="none"/>
        </w:rPr>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highlight w:val="none"/>
        </w:rPr>
        <w:t xml:space="preserve"> </w:t>
      </w: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 w:name="_Toc_4_4_0000000004"/>
      <w:r>
        <w:rPr>
          <w:rFonts w:ascii="方正仿宋_GBK" w:hAnsi="方正仿宋_GBK" w:eastAsia="方正仿宋_GBK" w:cs="方正仿宋_GBK"/>
          <w:color w:val="000000"/>
          <w:sz w:val="28"/>
          <w:highlight w:val="none"/>
        </w:rPr>
        <w:t>1.车辆保险费绩效目标表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13030322P004210100069</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4.80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4.80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保证车辆的正常使用</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rFonts w:hint="eastAsia" w:eastAsia="方正书宋_GBK"/>
                <w:highlight w:val="none"/>
                <w:lang w:eastAsia="zh-CN"/>
              </w:rPr>
            </w:pPr>
            <w:r>
              <w:rPr>
                <w:rFonts w:hint="eastAsia"/>
                <w:highlight w:val="none"/>
                <w:lang w:val="en-US" w:eastAsia="zh-CN"/>
              </w:rPr>
              <w:t>0</w:t>
            </w:r>
          </w:p>
        </w:tc>
        <w:tc>
          <w:tcPr>
            <w:tcW w:w="1587" w:type="dxa"/>
            <w:vAlign w:val="center"/>
          </w:tcPr>
          <w:p>
            <w:pPr>
              <w:pStyle w:val="12"/>
              <w:rPr>
                <w:highlight w:val="none"/>
              </w:rPr>
            </w:pPr>
            <w:r>
              <w:rPr>
                <w:rFonts w:hint="eastAsia"/>
                <w:highlight w:val="none"/>
                <w:lang w:val="en-US" w:eastAsia="zh-CN"/>
              </w:rPr>
              <w:t>50</w:t>
            </w:r>
            <w:r>
              <w:rPr>
                <w:highlight w:val="none"/>
              </w:rPr>
              <w:t>%</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1.保证车辆的正常使用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上缴保险的车辆数量</w:t>
            </w:r>
          </w:p>
        </w:tc>
        <w:tc>
          <w:tcPr>
            <w:tcW w:w="2891" w:type="dxa"/>
            <w:vAlign w:val="center"/>
          </w:tcPr>
          <w:p>
            <w:pPr>
              <w:pStyle w:val="10"/>
              <w:rPr>
                <w:highlight w:val="none"/>
              </w:rPr>
            </w:pPr>
            <w:r>
              <w:rPr>
                <w:highlight w:val="none"/>
              </w:rPr>
              <w:t>上缴保险的车辆数量</w:t>
            </w:r>
          </w:p>
        </w:tc>
        <w:tc>
          <w:tcPr>
            <w:tcW w:w="1276" w:type="dxa"/>
            <w:vAlign w:val="center"/>
          </w:tcPr>
          <w:p>
            <w:pPr>
              <w:pStyle w:val="10"/>
              <w:rPr>
                <w:highlight w:val="none"/>
              </w:rPr>
            </w:pPr>
            <w:r>
              <w:rPr>
                <w:highlight w:val="none"/>
              </w:rPr>
              <w:t>≥12辆</w:t>
            </w:r>
          </w:p>
        </w:tc>
        <w:tc>
          <w:tcPr>
            <w:tcW w:w="1843" w:type="dxa"/>
            <w:vAlign w:val="center"/>
          </w:tcPr>
          <w:p>
            <w:pPr>
              <w:pStyle w:val="10"/>
              <w:rPr>
                <w:highlight w:val="none"/>
              </w:rPr>
            </w:pPr>
            <w:r>
              <w:rPr>
                <w:highlight w:val="none"/>
              </w:rPr>
              <w:t>疫情常态化管理相关文件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车辆事故保险赔付率</w:t>
            </w:r>
          </w:p>
        </w:tc>
        <w:tc>
          <w:tcPr>
            <w:tcW w:w="2891" w:type="dxa"/>
            <w:vAlign w:val="center"/>
          </w:tcPr>
          <w:p>
            <w:pPr>
              <w:pStyle w:val="10"/>
              <w:rPr>
                <w:highlight w:val="none"/>
              </w:rPr>
            </w:pPr>
            <w:r>
              <w:rPr>
                <w:highlight w:val="none"/>
              </w:rPr>
              <w:t>车辆事故保险赔付率</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疫情常态化管理相关文件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保险缴纳及时率</w:t>
            </w:r>
          </w:p>
        </w:tc>
        <w:tc>
          <w:tcPr>
            <w:tcW w:w="2891" w:type="dxa"/>
            <w:vAlign w:val="center"/>
          </w:tcPr>
          <w:p>
            <w:pPr>
              <w:pStyle w:val="10"/>
              <w:rPr>
                <w:highlight w:val="none"/>
              </w:rPr>
            </w:pPr>
            <w:r>
              <w:rPr>
                <w:highlight w:val="none"/>
              </w:rPr>
              <w:t>按规定时间及时缴纳保险</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疫情常态化管理相关文件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成本预算控制数</w:t>
            </w:r>
          </w:p>
        </w:tc>
        <w:tc>
          <w:tcPr>
            <w:tcW w:w="2891" w:type="dxa"/>
            <w:vAlign w:val="center"/>
          </w:tcPr>
          <w:p>
            <w:pPr>
              <w:pStyle w:val="10"/>
              <w:rPr>
                <w:highlight w:val="none"/>
              </w:rPr>
            </w:pPr>
            <w:r>
              <w:rPr>
                <w:highlight w:val="none"/>
              </w:rPr>
              <w:t>支出金额控制在预算额度内</w:t>
            </w:r>
          </w:p>
        </w:tc>
        <w:tc>
          <w:tcPr>
            <w:tcW w:w="1276" w:type="dxa"/>
            <w:vAlign w:val="center"/>
          </w:tcPr>
          <w:p>
            <w:pPr>
              <w:pStyle w:val="10"/>
              <w:rPr>
                <w:highlight w:val="none"/>
              </w:rPr>
            </w:pPr>
            <w:r>
              <w:rPr>
                <w:highlight w:val="none"/>
              </w:rPr>
              <w:t>≤48000元</w:t>
            </w:r>
          </w:p>
        </w:tc>
        <w:tc>
          <w:tcPr>
            <w:tcW w:w="1843" w:type="dxa"/>
            <w:vAlign w:val="center"/>
          </w:tcPr>
          <w:p>
            <w:pPr>
              <w:pStyle w:val="10"/>
              <w:rPr>
                <w:highlight w:val="none"/>
              </w:rPr>
            </w:pPr>
            <w:r>
              <w:rPr>
                <w:highlight w:val="none"/>
              </w:rPr>
              <w:t>疫情常态化管理相关文件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保证用车安全</w:t>
            </w:r>
          </w:p>
        </w:tc>
        <w:tc>
          <w:tcPr>
            <w:tcW w:w="2891" w:type="dxa"/>
            <w:vAlign w:val="center"/>
          </w:tcPr>
          <w:p>
            <w:pPr>
              <w:pStyle w:val="10"/>
              <w:rPr>
                <w:highlight w:val="none"/>
              </w:rPr>
            </w:pPr>
            <w:r>
              <w:rPr>
                <w:highlight w:val="none"/>
              </w:rPr>
              <w:t>保证用车安全，减轻单位出车事故负担</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疫情常态化管理相关文件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color w:val="auto"/>
                <w:highlight w:val="none"/>
              </w:rPr>
            </w:pPr>
            <w:r>
              <w:rPr>
                <w:color w:val="auto"/>
                <w:highlight w:val="none"/>
              </w:rPr>
              <w:t>满意度指标</w:t>
            </w:r>
          </w:p>
        </w:tc>
        <w:tc>
          <w:tcPr>
            <w:tcW w:w="1276" w:type="dxa"/>
            <w:vAlign w:val="center"/>
          </w:tcPr>
          <w:p>
            <w:pPr>
              <w:pStyle w:val="10"/>
              <w:rPr>
                <w:color w:val="auto"/>
                <w:highlight w:val="none"/>
              </w:rPr>
            </w:pPr>
            <w:r>
              <w:rPr>
                <w:color w:val="auto"/>
                <w:highlight w:val="none"/>
              </w:rPr>
              <w:t>服务对象满意度指标</w:t>
            </w:r>
          </w:p>
        </w:tc>
        <w:tc>
          <w:tcPr>
            <w:tcW w:w="1332" w:type="dxa"/>
            <w:vAlign w:val="center"/>
          </w:tcPr>
          <w:p>
            <w:pPr>
              <w:pStyle w:val="10"/>
              <w:rPr>
                <w:color w:val="auto"/>
                <w:highlight w:val="none"/>
              </w:rPr>
            </w:pPr>
            <w:r>
              <w:rPr>
                <w:color w:val="auto"/>
                <w:highlight w:val="none"/>
              </w:rPr>
              <w:t>服务对象满意度</w:t>
            </w:r>
          </w:p>
        </w:tc>
        <w:tc>
          <w:tcPr>
            <w:tcW w:w="2891" w:type="dxa"/>
            <w:vAlign w:val="center"/>
          </w:tcPr>
          <w:p>
            <w:pPr>
              <w:pStyle w:val="10"/>
              <w:rPr>
                <w:color w:val="auto"/>
                <w:highlight w:val="none"/>
              </w:rPr>
            </w:pPr>
            <w:r>
              <w:rPr>
                <w:color w:val="auto"/>
                <w:highlight w:val="none"/>
              </w:rPr>
              <w:t>服务对象满意度</w:t>
            </w:r>
          </w:p>
        </w:tc>
        <w:tc>
          <w:tcPr>
            <w:tcW w:w="1276" w:type="dxa"/>
            <w:vAlign w:val="center"/>
          </w:tcPr>
          <w:p>
            <w:pPr>
              <w:pStyle w:val="10"/>
              <w:rPr>
                <w:color w:val="auto"/>
                <w:highlight w:val="none"/>
              </w:rPr>
            </w:pPr>
            <w:r>
              <w:rPr>
                <w:color w:val="auto"/>
                <w:highlight w:val="none"/>
              </w:rPr>
              <w:t>≥90%</w:t>
            </w:r>
          </w:p>
        </w:tc>
        <w:tc>
          <w:tcPr>
            <w:tcW w:w="1843" w:type="dxa"/>
            <w:vAlign w:val="center"/>
          </w:tcPr>
          <w:p>
            <w:pPr>
              <w:pStyle w:val="10"/>
              <w:rPr>
                <w:color w:val="auto"/>
                <w:highlight w:val="none"/>
              </w:rPr>
            </w:pPr>
            <w:r>
              <w:rPr>
                <w:color w:val="auto"/>
                <w:highlight w:val="none"/>
              </w:rPr>
              <w:t>问卷调查</w:t>
            </w:r>
          </w:p>
        </w:tc>
      </w:tr>
    </w:tbl>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4" w:name="_Toc_4_4_0000000005"/>
      <w:r>
        <w:rPr>
          <w:rFonts w:ascii="方正仿宋_GBK" w:hAnsi="方正仿宋_GBK" w:eastAsia="方正仿宋_GBK" w:cs="方正仿宋_GBK"/>
          <w:color w:val="000000"/>
          <w:sz w:val="28"/>
          <w:highlight w:val="none"/>
        </w:rPr>
        <w:t>2.2019-2021年度造林绿化所需资金补助绩效目标表</w:t>
      </w:r>
      <w:bookmarkEnd w:id="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13030322P004256100164</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2019-2021年度造林绿化所需资金补助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240.00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240.00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保证2019-2021年度造林绿化所需资金的正确使用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1.保证2019-2021年度造林绿化所需资金的正确使用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完成造林绿化面积</w:t>
            </w:r>
          </w:p>
        </w:tc>
        <w:tc>
          <w:tcPr>
            <w:tcW w:w="2891" w:type="dxa"/>
            <w:vAlign w:val="center"/>
          </w:tcPr>
          <w:p>
            <w:pPr>
              <w:pStyle w:val="10"/>
              <w:rPr>
                <w:highlight w:val="none"/>
              </w:rPr>
            </w:pPr>
            <w:r>
              <w:rPr>
                <w:highlight w:val="none"/>
              </w:rPr>
              <w:t>完成造林绿化面积</w:t>
            </w:r>
          </w:p>
        </w:tc>
        <w:tc>
          <w:tcPr>
            <w:tcW w:w="1276" w:type="dxa"/>
            <w:vAlign w:val="center"/>
          </w:tcPr>
          <w:p>
            <w:pPr>
              <w:pStyle w:val="10"/>
              <w:rPr>
                <w:highlight w:val="none"/>
              </w:rPr>
            </w:pPr>
            <w:r>
              <w:rPr>
                <w:highlight w:val="none"/>
              </w:rPr>
              <w:t>≥8660亩</w:t>
            </w:r>
          </w:p>
        </w:tc>
        <w:tc>
          <w:tcPr>
            <w:tcW w:w="1843" w:type="dxa"/>
            <w:vAlign w:val="center"/>
          </w:tcPr>
          <w:p>
            <w:pPr>
              <w:pStyle w:val="10"/>
              <w:rPr>
                <w:highlight w:val="none"/>
              </w:rPr>
            </w:pPr>
            <w:r>
              <w:rPr>
                <w:highlight w:val="none"/>
              </w:rPr>
              <w:t>2019-2021年山海关区造林绿化实施方案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造林绿化地块存活率</w:t>
            </w:r>
          </w:p>
        </w:tc>
        <w:tc>
          <w:tcPr>
            <w:tcW w:w="2891" w:type="dxa"/>
            <w:vAlign w:val="center"/>
          </w:tcPr>
          <w:p>
            <w:pPr>
              <w:pStyle w:val="10"/>
              <w:rPr>
                <w:highlight w:val="none"/>
              </w:rPr>
            </w:pPr>
            <w:r>
              <w:rPr>
                <w:highlight w:val="none"/>
              </w:rPr>
              <w:t>造林绿化地块存活率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2019-2021年山海关区造林绿化实施方案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造林绿化完成的及时率</w:t>
            </w:r>
          </w:p>
        </w:tc>
        <w:tc>
          <w:tcPr>
            <w:tcW w:w="2891" w:type="dxa"/>
            <w:vAlign w:val="center"/>
          </w:tcPr>
          <w:p>
            <w:pPr>
              <w:pStyle w:val="10"/>
              <w:rPr>
                <w:highlight w:val="none"/>
              </w:rPr>
            </w:pPr>
            <w:r>
              <w:rPr>
                <w:highlight w:val="none"/>
              </w:rPr>
              <w:t>造林绿化按计划及时开展</w:t>
            </w:r>
          </w:p>
        </w:tc>
        <w:tc>
          <w:tcPr>
            <w:tcW w:w="1276" w:type="dxa"/>
            <w:vAlign w:val="center"/>
          </w:tcPr>
          <w:p>
            <w:pPr>
              <w:pStyle w:val="10"/>
              <w:rPr>
                <w:highlight w:val="none"/>
              </w:rPr>
            </w:pPr>
            <w:r>
              <w:rPr>
                <w:rFonts w:hint="eastAsia"/>
                <w:highlight w:val="none"/>
                <w:lang w:val="en-US" w:eastAsia="zh-CN"/>
              </w:rPr>
              <w:t>=</w:t>
            </w:r>
            <w:r>
              <w:rPr>
                <w:highlight w:val="none"/>
              </w:rPr>
              <w:t>100%</w:t>
            </w:r>
          </w:p>
        </w:tc>
        <w:tc>
          <w:tcPr>
            <w:tcW w:w="1843" w:type="dxa"/>
            <w:vAlign w:val="center"/>
          </w:tcPr>
          <w:p>
            <w:pPr>
              <w:pStyle w:val="10"/>
              <w:rPr>
                <w:highlight w:val="none"/>
              </w:rPr>
            </w:pPr>
            <w:r>
              <w:rPr>
                <w:highlight w:val="none"/>
              </w:rPr>
              <w:t>2019-2021年山海关区造林绿化实施方案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造林绿化补偿的支出</w:t>
            </w:r>
          </w:p>
        </w:tc>
        <w:tc>
          <w:tcPr>
            <w:tcW w:w="2891" w:type="dxa"/>
            <w:vAlign w:val="center"/>
          </w:tcPr>
          <w:p>
            <w:pPr>
              <w:pStyle w:val="10"/>
              <w:rPr>
                <w:highlight w:val="none"/>
              </w:rPr>
            </w:pPr>
            <w:r>
              <w:rPr>
                <w:highlight w:val="none"/>
              </w:rPr>
              <w:t>造林绿化补偿的支出</w:t>
            </w:r>
          </w:p>
        </w:tc>
        <w:tc>
          <w:tcPr>
            <w:tcW w:w="1276" w:type="dxa"/>
            <w:vAlign w:val="center"/>
          </w:tcPr>
          <w:p>
            <w:pPr>
              <w:pStyle w:val="10"/>
              <w:rPr>
                <w:highlight w:val="none"/>
              </w:rPr>
            </w:pPr>
            <w:r>
              <w:rPr>
                <w:highlight w:val="none"/>
              </w:rPr>
              <w:t>≤240万元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改善城乡的生态环境</w:t>
            </w:r>
          </w:p>
        </w:tc>
        <w:tc>
          <w:tcPr>
            <w:tcW w:w="2891" w:type="dxa"/>
            <w:vAlign w:val="center"/>
          </w:tcPr>
          <w:p>
            <w:pPr>
              <w:pStyle w:val="10"/>
              <w:rPr>
                <w:highlight w:val="none"/>
              </w:rPr>
            </w:pPr>
            <w:r>
              <w:rPr>
                <w:highlight w:val="none"/>
              </w:rPr>
              <w:t>改善城乡的生态环境</w:t>
            </w:r>
          </w:p>
        </w:tc>
        <w:tc>
          <w:tcPr>
            <w:tcW w:w="1276" w:type="dxa"/>
            <w:vAlign w:val="center"/>
          </w:tcPr>
          <w:p>
            <w:pPr>
              <w:pStyle w:val="10"/>
              <w:rPr>
                <w:highlight w:val="none"/>
              </w:rPr>
            </w:pPr>
            <w:r>
              <w:rPr>
                <w:highlight w:val="none"/>
              </w:rPr>
              <w:t>改善城乡的生态环境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问卷调查</w:t>
            </w:r>
          </w:p>
        </w:tc>
      </w:tr>
    </w:tbl>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5" w:name="_Toc_4_4_0000000006"/>
      <w:r>
        <w:rPr>
          <w:rFonts w:ascii="方正仿宋_GBK" w:hAnsi="方正仿宋_GBK" w:eastAsia="方正仿宋_GBK" w:cs="方正仿宋_GBK"/>
          <w:color w:val="000000"/>
          <w:sz w:val="28"/>
          <w:highlight w:val="none"/>
        </w:rPr>
        <w:t>3.2019年林业改革发展资金-森林生态效益补偿-管护补助绩效目标表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13030322P00423010003W</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2019年林业改革发展资金-森林生态效益补偿-管护补助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8.61</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8.61</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开展国家级公益林监督检查，促进我区生态林业与经济社会和谐发展</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1.开展国家级公益林监督检查，促进我区生态林业与经济社会和谐发展</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国家级公益林管护面积</w:t>
            </w:r>
          </w:p>
        </w:tc>
        <w:tc>
          <w:tcPr>
            <w:tcW w:w="2891" w:type="dxa"/>
            <w:vAlign w:val="center"/>
          </w:tcPr>
          <w:p>
            <w:pPr>
              <w:pStyle w:val="10"/>
              <w:rPr>
                <w:highlight w:val="none"/>
              </w:rPr>
            </w:pPr>
            <w:r>
              <w:rPr>
                <w:highlight w:val="none"/>
              </w:rPr>
              <w:t>国家级公益林管护面积</w:t>
            </w:r>
          </w:p>
        </w:tc>
        <w:tc>
          <w:tcPr>
            <w:tcW w:w="1276" w:type="dxa"/>
            <w:vAlign w:val="center"/>
          </w:tcPr>
          <w:p>
            <w:pPr>
              <w:pStyle w:val="10"/>
              <w:rPr>
                <w:highlight w:val="none"/>
              </w:rPr>
            </w:pPr>
            <w:r>
              <w:rPr>
                <w:highlight w:val="none"/>
              </w:rPr>
              <w:t>≥5500亩</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公益林保存率</w:t>
            </w:r>
          </w:p>
        </w:tc>
        <w:tc>
          <w:tcPr>
            <w:tcW w:w="2891" w:type="dxa"/>
            <w:vAlign w:val="center"/>
          </w:tcPr>
          <w:p>
            <w:pPr>
              <w:pStyle w:val="10"/>
              <w:rPr>
                <w:highlight w:val="none"/>
              </w:rPr>
            </w:pPr>
            <w:r>
              <w:rPr>
                <w:highlight w:val="none"/>
              </w:rPr>
              <w:t>公益林保存率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各项工作开展及时率</w:t>
            </w:r>
          </w:p>
        </w:tc>
        <w:tc>
          <w:tcPr>
            <w:tcW w:w="2891" w:type="dxa"/>
            <w:vAlign w:val="center"/>
          </w:tcPr>
          <w:p>
            <w:pPr>
              <w:pStyle w:val="10"/>
              <w:rPr>
                <w:highlight w:val="none"/>
              </w:rPr>
            </w:pPr>
            <w:r>
              <w:rPr>
                <w:highlight w:val="none"/>
              </w:rPr>
              <w:t>各项工作按计划及时开展</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国家级公益林管护成本</w:t>
            </w:r>
          </w:p>
        </w:tc>
        <w:tc>
          <w:tcPr>
            <w:tcW w:w="2891" w:type="dxa"/>
            <w:vAlign w:val="center"/>
          </w:tcPr>
          <w:p>
            <w:pPr>
              <w:pStyle w:val="10"/>
              <w:rPr>
                <w:highlight w:val="none"/>
              </w:rPr>
            </w:pPr>
            <w:r>
              <w:rPr>
                <w:highlight w:val="none"/>
              </w:rPr>
              <w:t>国家级公益林管护中央财政补助成本</w:t>
            </w:r>
          </w:p>
        </w:tc>
        <w:tc>
          <w:tcPr>
            <w:tcW w:w="1276" w:type="dxa"/>
            <w:vAlign w:val="center"/>
          </w:tcPr>
          <w:p>
            <w:pPr>
              <w:pStyle w:val="10"/>
              <w:rPr>
                <w:highlight w:val="none"/>
              </w:rPr>
            </w:pPr>
            <w:r>
              <w:rPr>
                <w:highlight w:val="none"/>
              </w:rPr>
              <w:t>≤8.61元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逐步加快</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6" w:name="_Toc_4_4_0000000007"/>
      <w:r>
        <w:rPr>
          <w:rFonts w:ascii="方正仿宋_GBK" w:hAnsi="方正仿宋_GBK" w:eastAsia="方正仿宋_GBK" w:cs="方正仿宋_GBK"/>
          <w:color w:val="000000"/>
          <w:sz w:val="28"/>
          <w:highlight w:val="none"/>
        </w:rPr>
        <w:t>4.2020年林业改革发展资金-森林生态效益补助-管护补助绩效目标表</w:t>
      </w:r>
      <w:bookmarkEnd w:id="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13030322P004230100029</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2020年林业改革发展资金-森林生态效益补助-管护补助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7.83</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7.83</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保证项目的正常运行</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1.保证项目的正常运行</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国家级公益林管护面积</w:t>
            </w:r>
          </w:p>
        </w:tc>
        <w:tc>
          <w:tcPr>
            <w:tcW w:w="2891" w:type="dxa"/>
            <w:vAlign w:val="center"/>
          </w:tcPr>
          <w:p>
            <w:pPr>
              <w:pStyle w:val="10"/>
              <w:rPr>
                <w:highlight w:val="none"/>
              </w:rPr>
            </w:pPr>
            <w:r>
              <w:rPr>
                <w:highlight w:val="none"/>
              </w:rPr>
              <w:t>国家级公益林管护面积</w:t>
            </w:r>
          </w:p>
        </w:tc>
        <w:tc>
          <w:tcPr>
            <w:tcW w:w="1276" w:type="dxa"/>
            <w:vAlign w:val="center"/>
          </w:tcPr>
          <w:p>
            <w:pPr>
              <w:pStyle w:val="10"/>
              <w:rPr>
                <w:highlight w:val="none"/>
              </w:rPr>
            </w:pPr>
            <w:r>
              <w:rPr>
                <w:highlight w:val="none"/>
              </w:rPr>
              <w:t>≥5500亩</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公益林保存率</w:t>
            </w:r>
          </w:p>
        </w:tc>
        <w:tc>
          <w:tcPr>
            <w:tcW w:w="2891" w:type="dxa"/>
            <w:vAlign w:val="center"/>
          </w:tcPr>
          <w:p>
            <w:pPr>
              <w:pStyle w:val="10"/>
              <w:rPr>
                <w:highlight w:val="none"/>
              </w:rPr>
            </w:pPr>
            <w:r>
              <w:rPr>
                <w:highlight w:val="none"/>
              </w:rPr>
              <w:t>公益林保存率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各项工作开展及时率</w:t>
            </w:r>
          </w:p>
        </w:tc>
        <w:tc>
          <w:tcPr>
            <w:tcW w:w="2891" w:type="dxa"/>
            <w:vAlign w:val="center"/>
          </w:tcPr>
          <w:p>
            <w:pPr>
              <w:pStyle w:val="10"/>
              <w:rPr>
                <w:highlight w:val="none"/>
              </w:rPr>
            </w:pPr>
            <w:r>
              <w:rPr>
                <w:highlight w:val="none"/>
              </w:rPr>
              <w:t>各项工作按计划及时开展</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国家级公益林管护成本</w:t>
            </w:r>
          </w:p>
        </w:tc>
        <w:tc>
          <w:tcPr>
            <w:tcW w:w="2891" w:type="dxa"/>
            <w:vAlign w:val="center"/>
          </w:tcPr>
          <w:p>
            <w:pPr>
              <w:pStyle w:val="10"/>
              <w:rPr>
                <w:highlight w:val="none"/>
              </w:rPr>
            </w:pPr>
            <w:r>
              <w:rPr>
                <w:highlight w:val="none"/>
              </w:rPr>
              <w:t>国家级公益林管护中央财政补助成本</w:t>
            </w:r>
          </w:p>
        </w:tc>
        <w:tc>
          <w:tcPr>
            <w:tcW w:w="1276" w:type="dxa"/>
            <w:vAlign w:val="center"/>
          </w:tcPr>
          <w:p>
            <w:pPr>
              <w:pStyle w:val="10"/>
              <w:rPr>
                <w:highlight w:val="none"/>
              </w:rPr>
            </w:pPr>
            <w:r>
              <w:rPr>
                <w:highlight w:val="none"/>
              </w:rPr>
              <w:t>≤7.83元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逐步加快</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7" w:name="_Toc_4_4_0000000008"/>
      <w:r>
        <w:rPr>
          <w:rFonts w:ascii="方正仿宋_GBK" w:hAnsi="方正仿宋_GBK" w:eastAsia="方正仿宋_GBK" w:cs="方正仿宋_GBK"/>
          <w:color w:val="000000"/>
          <w:sz w:val="28"/>
          <w:highlight w:val="none"/>
        </w:rPr>
        <w:t>5.2020年绿色秦皇岛工程补助资金绩效目标表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13030322P00424810001A</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2020年绿色秦皇岛工程补助资金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53.47</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53.47</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2020年绿色秦皇岛工程补助资金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1.保证2020年绿色秦皇岛工程补助资金的正确使用和发放</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完成造林绿化面积</w:t>
            </w:r>
          </w:p>
        </w:tc>
        <w:tc>
          <w:tcPr>
            <w:tcW w:w="2891" w:type="dxa"/>
            <w:vAlign w:val="center"/>
          </w:tcPr>
          <w:p>
            <w:pPr>
              <w:pStyle w:val="10"/>
              <w:rPr>
                <w:highlight w:val="none"/>
              </w:rPr>
            </w:pPr>
            <w:r>
              <w:rPr>
                <w:highlight w:val="none"/>
              </w:rPr>
              <w:t>完成造林绿化面积</w:t>
            </w:r>
          </w:p>
        </w:tc>
        <w:tc>
          <w:tcPr>
            <w:tcW w:w="1276" w:type="dxa"/>
            <w:vAlign w:val="center"/>
          </w:tcPr>
          <w:p>
            <w:pPr>
              <w:pStyle w:val="10"/>
              <w:rPr>
                <w:highlight w:val="none"/>
              </w:rPr>
            </w:pPr>
            <w:r>
              <w:rPr>
                <w:highlight w:val="none"/>
              </w:rPr>
              <w:t>≥1800亩</w:t>
            </w:r>
          </w:p>
        </w:tc>
        <w:tc>
          <w:tcPr>
            <w:tcW w:w="1843" w:type="dxa"/>
            <w:vAlign w:val="center"/>
          </w:tcPr>
          <w:p>
            <w:pPr>
              <w:pStyle w:val="10"/>
              <w:rPr>
                <w:highlight w:val="none"/>
              </w:rPr>
            </w:pPr>
            <w:r>
              <w:rPr>
                <w:highlight w:val="none"/>
              </w:rPr>
              <w:t>依据《关于创建全国绿化模范城市的意见》（秦字【2007】10号）和《关于加快建设绿色秦皇岛的实施意见》（秦字【2006】3号）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造林绿化地块存活率</w:t>
            </w:r>
          </w:p>
        </w:tc>
        <w:tc>
          <w:tcPr>
            <w:tcW w:w="2891" w:type="dxa"/>
            <w:vAlign w:val="center"/>
          </w:tcPr>
          <w:p>
            <w:pPr>
              <w:pStyle w:val="10"/>
              <w:rPr>
                <w:highlight w:val="none"/>
              </w:rPr>
            </w:pPr>
            <w:r>
              <w:rPr>
                <w:highlight w:val="none"/>
              </w:rPr>
              <w:t>造林绿化地块存活率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2依据《关于创建全国绿化模范城市的意见》（秦字【2007】10号）和《关于加快建设绿色秦皇岛的实施意见》（秦字【2006】3号）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造林绿化完成的及时率</w:t>
            </w:r>
          </w:p>
        </w:tc>
        <w:tc>
          <w:tcPr>
            <w:tcW w:w="2891" w:type="dxa"/>
            <w:vAlign w:val="center"/>
          </w:tcPr>
          <w:p>
            <w:pPr>
              <w:pStyle w:val="10"/>
              <w:rPr>
                <w:highlight w:val="none"/>
              </w:rPr>
            </w:pPr>
            <w:r>
              <w:rPr>
                <w:highlight w:val="none"/>
              </w:rPr>
              <w:t>造林绿化按计划及时开展</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依据《关于创建全国绿化模范城市的意见》（秦字【2007】10号）和《关于加快建设绿色秦皇岛的实施意见》（秦字【2006】3号）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造林绿化补偿的支出</w:t>
            </w:r>
          </w:p>
        </w:tc>
        <w:tc>
          <w:tcPr>
            <w:tcW w:w="2891" w:type="dxa"/>
            <w:vAlign w:val="center"/>
          </w:tcPr>
          <w:p>
            <w:pPr>
              <w:pStyle w:val="10"/>
              <w:rPr>
                <w:highlight w:val="none"/>
              </w:rPr>
            </w:pPr>
            <w:r>
              <w:rPr>
                <w:highlight w:val="none"/>
              </w:rPr>
              <w:t>造林绿化补偿的支出</w:t>
            </w:r>
          </w:p>
        </w:tc>
        <w:tc>
          <w:tcPr>
            <w:tcW w:w="1276" w:type="dxa"/>
            <w:vAlign w:val="center"/>
          </w:tcPr>
          <w:p>
            <w:pPr>
              <w:pStyle w:val="10"/>
              <w:rPr>
                <w:highlight w:val="none"/>
              </w:rPr>
            </w:pPr>
            <w:r>
              <w:rPr>
                <w:highlight w:val="none"/>
              </w:rPr>
              <w:t>≤53.47万元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改善城乡的生态环境</w:t>
            </w:r>
          </w:p>
        </w:tc>
        <w:tc>
          <w:tcPr>
            <w:tcW w:w="2891" w:type="dxa"/>
            <w:vAlign w:val="center"/>
          </w:tcPr>
          <w:p>
            <w:pPr>
              <w:pStyle w:val="10"/>
              <w:rPr>
                <w:highlight w:val="none"/>
              </w:rPr>
            </w:pPr>
            <w:r>
              <w:rPr>
                <w:highlight w:val="none"/>
              </w:rPr>
              <w:t>改善城乡的生态环境</w:t>
            </w:r>
          </w:p>
        </w:tc>
        <w:tc>
          <w:tcPr>
            <w:tcW w:w="1276" w:type="dxa"/>
            <w:vAlign w:val="center"/>
          </w:tcPr>
          <w:p>
            <w:pPr>
              <w:pStyle w:val="10"/>
              <w:rPr>
                <w:highlight w:val="none"/>
              </w:rPr>
            </w:pPr>
            <w:r>
              <w:rPr>
                <w:highlight w:val="none"/>
              </w:rPr>
              <w:t>改善城乡的生态环境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8" w:name="_Toc_4_4_0000000009"/>
      <w:r>
        <w:rPr>
          <w:rFonts w:ascii="方正仿宋_GBK" w:hAnsi="方正仿宋_GBK" w:eastAsia="方正仿宋_GBK" w:cs="方正仿宋_GBK"/>
          <w:color w:val="000000"/>
          <w:sz w:val="28"/>
          <w:highlight w:val="none"/>
        </w:rPr>
        <w:t>6.2020年省级林业发展补助资金绩效目标表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13030322P004250100014</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2020年省级林业发展补助资金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165.00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165.00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改善城乡的生态环境</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1.改善城乡的生态环境</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完成造林绿化面积</w:t>
            </w:r>
          </w:p>
        </w:tc>
        <w:tc>
          <w:tcPr>
            <w:tcW w:w="2891" w:type="dxa"/>
            <w:vAlign w:val="center"/>
          </w:tcPr>
          <w:p>
            <w:pPr>
              <w:pStyle w:val="10"/>
              <w:rPr>
                <w:highlight w:val="none"/>
              </w:rPr>
            </w:pPr>
            <w:r>
              <w:rPr>
                <w:highlight w:val="none"/>
              </w:rPr>
              <w:t>完成造林绿化面积</w:t>
            </w:r>
          </w:p>
        </w:tc>
        <w:tc>
          <w:tcPr>
            <w:tcW w:w="1276" w:type="dxa"/>
            <w:vAlign w:val="center"/>
          </w:tcPr>
          <w:p>
            <w:pPr>
              <w:pStyle w:val="10"/>
              <w:rPr>
                <w:highlight w:val="none"/>
              </w:rPr>
            </w:pPr>
            <w:r>
              <w:rPr>
                <w:highlight w:val="none"/>
              </w:rPr>
              <w:t>≥2100亩</w:t>
            </w:r>
          </w:p>
        </w:tc>
        <w:tc>
          <w:tcPr>
            <w:tcW w:w="1843" w:type="dxa"/>
            <w:vAlign w:val="center"/>
          </w:tcPr>
          <w:p>
            <w:pPr>
              <w:pStyle w:val="10"/>
              <w:rPr>
                <w:highlight w:val="none"/>
              </w:rPr>
            </w:pPr>
            <w:r>
              <w:rPr>
                <w:highlight w:val="none"/>
              </w:rPr>
              <w:t>2020年山海关区造林绿化实施方案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造林绿化地块存活率</w:t>
            </w:r>
          </w:p>
        </w:tc>
        <w:tc>
          <w:tcPr>
            <w:tcW w:w="2891" w:type="dxa"/>
            <w:vAlign w:val="center"/>
          </w:tcPr>
          <w:p>
            <w:pPr>
              <w:pStyle w:val="10"/>
              <w:rPr>
                <w:highlight w:val="none"/>
              </w:rPr>
            </w:pPr>
            <w:r>
              <w:rPr>
                <w:highlight w:val="none"/>
              </w:rPr>
              <w:t>造林绿化地块存活率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2020年山海关区造林绿化实施方案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造林绿化完成的及时率</w:t>
            </w:r>
          </w:p>
        </w:tc>
        <w:tc>
          <w:tcPr>
            <w:tcW w:w="2891" w:type="dxa"/>
            <w:vAlign w:val="center"/>
          </w:tcPr>
          <w:p>
            <w:pPr>
              <w:pStyle w:val="10"/>
              <w:rPr>
                <w:highlight w:val="none"/>
              </w:rPr>
            </w:pPr>
            <w:r>
              <w:rPr>
                <w:highlight w:val="none"/>
              </w:rPr>
              <w:t>造林绿化按计划及时开展</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2020年山海关区造林绿化实施方案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造林绿化补偿的支出</w:t>
            </w:r>
          </w:p>
        </w:tc>
        <w:tc>
          <w:tcPr>
            <w:tcW w:w="2891" w:type="dxa"/>
            <w:vAlign w:val="center"/>
          </w:tcPr>
          <w:p>
            <w:pPr>
              <w:pStyle w:val="10"/>
              <w:rPr>
                <w:highlight w:val="none"/>
              </w:rPr>
            </w:pPr>
            <w:r>
              <w:rPr>
                <w:highlight w:val="none"/>
              </w:rPr>
              <w:t>造林绿化补偿的支出</w:t>
            </w:r>
          </w:p>
        </w:tc>
        <w:tc>
          <w:tcPr>
            <w:tcW w:w="1276" w:type="dxa"/>
            <w:vAlign w:val="center"/>
          </w:tcPr>
          <w:p>
            <w:pPr>
              <w:pStyle w:val="10"/>
              <w:rPr>
                <w:highlight w:val="none"/>
              </w:rPr>
            </w:pPr>
            <w:r>
              <w:rPr>
                <w:highlight w:val="none"/>
              </w:rPr>
              <w:t>≤165万元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改善城乡的生态环境</w:t>
            </w:r>
          </w:p>
        </w:tc>
        <w:tc>
          <w:tcPr>
            <w:tcW w:w="2891" w:type="dxa"/>
            <w:vAlign w:val="center"/>
          </w:tcPr>
          <w:p>
            <w:pPr>
              <w:pStyle w:val="10"/>
              <w:rPr>
                <w:highlight w:val="none"/>
              </w:rPr>
            </w:pPr>
            <w:r>
              <w:rPr>
                <w:highlight w:val="none"/>
              </w:rPr>
              <w:t>改善城乡的生态环境</w:t>
            </w:r>
          </w:p>
        </w:tc>
        <w:tc>
          <w:tcPr>
            <w:tcW w:w="1276" w:type="dxa"/>
            <w:vAlign w:val="center"/>
          </w:tcPr>
          <w:p>
            <w:pPr>
              <w:pStyle w:val="10"/>
              <w:rPr>
                <w:highlight w:val="none"/>
              </w:rPr>
            </w:pPr>
            <w:r>
              <w:rPr>
                <w:highlight w:val="none"/>
              </w:rPr>
              <w:t>改善城乡的生态环境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9" w:name="_Toc_4_4_0000000010"/>
      <w:r>
        <w:rPr>
          <w:rFonts w:ascii="方正仿宋_GBK" w:hAnsi="方正仿宋_GBK" w:eastAsia="方正仿宋_GBK" w:cs="方正仿宋_GBK"/>
          <w:color w:val="000000"/>
          <w:sz w:val="28"/>
          <w:highlight w:val="none"/>
        </w:rPr>
        <w:t>7.2021年度山海关区沿海防护林工程补助绩效目标表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13030322P004249100010</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2021年度山海关区沿海防护林工程补助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115.89</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115.89</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保证2021年度山海关区沿海防护林工程护林工程补助的正确使用</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1.保证2021年度山海关区沿海防护林工程护林工程补助的正确使用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完成造林绿化面积</w:t>
            </w:r>
          </w:p>
        </w:tc>
        <w:tc>
          <w:tcPr>
            <w:tcW w:w="2891" w:type="dxa"/>
            <w:vAlign w:val="center"/>
          </w:tcPr>
          <w:p>
            <w:pPr>
              <w:pStyle w:val="10"/>
              <w:rPr>
                <w:highlight w:val="none"/>
              </w:rPr>
            </w:pPr>
            <w:r>
              <w:rPr>
                <w:highlight w:val="none"/>
              </w:rPr>
              <w:t>完成造林绿化面积</w:t>
            </w:r>
          </w:p>
        </w:tc>
        <w:tc>
          <w:tcPr>
            <w:tcW w:w="1276" w:type="dxa"/>
            <w:vAlign w:val="center"/>
          </w:tcPr>
          <w:p>
            <w:pPr>
              <w:pStyle w:val="10"/>
              <w:rPr>
                <w:highlight w:val="none"/>
              </w:rPr>
            </w:pPr>
            <w:r>
              <w:rPr>
                <w:highlight w:val="none"/>
              </w:rPr>
              <w:t>≥2317.72亩</w:t>
            </w:r>
          </w:p>
        </w:tc>
        <w:tc>
          <w:tcPr>
            <w:tcW w:w="1843" w:type="dxa"/>
            <w:vAlign w:val="center"/>
          </w:tcPr>
          <w:p>
            <w:pPr>
              <w:pStyle w:val="10"/>
              <w:rPr>
                <w:highlight w:val="none"/>
              </w:rPr>
            </w:pPr>
            <w:r>
              <w:rPr>
                <w:highlight w:val="none"/>
              </w:rPr>
              <w:t>依据《山海关区沿海防护林工程》）设计和市级财政下达资金文件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造林绿化地块存活率</w:t>
            </w:r>
          </w:p>
        </w:tc>
        <w:tc>
          <w:tcPr>
            <w:tcW w:w="2891" w:type="dxa"/>
            <w:vAlign w:val="center"/>
          </w:tcPr>
          <w:p>
            <w:pPr>
              <w:pStyle w:val="10"/>
              <w:rPr>
                <w:highlight w:val="none"/>
              </w:rPr>
            </w:pPr>
            <w:r>
              <w:rPr>
                <w:highlight w:val="none"/>
              </w:rPr>
              <w:t>造林绿化地块存活率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依据《山海关区沿海防护林工程》）设计和市级财政下达资金文件）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造林绿化完成的及时率</w:t>
            </w:r>
          </w:p>
        </w:tc>
        <w:tc>
          <w:tcPr>
            <w:tcW w:w="2891" w:type="dxa"/>
            <w:vAlign w:val="center"/>
          </w:tcPr>
          <w:p>
            <w:pPr>
              <w:pStyle w:val="10"/>
              <w:rPr>
                <w:highlight w:val="none"/>
              </w:rPr>
            </w:pPr>
            <w:r>
              <w:rPr>
                <w:highlight w:val="none"/>
              </w:rPr>
              <w:t>造林绿化按计划及时开展</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依据《山海关区沿海防护林工程》）设计和市级财政下达资金文件）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造林绿化补偿的支出</w:t>
            </w:r>
          </w:p>
        </w:tc>
        <w:tc>
          <w:tcPr>
            <w:tcW w:w="2891" w:type="dxa"/>
            <w:vAlign w:val="center"/>
          </w:tcPr>
          <w:p>
            <w:pPr>
              <w:pStyle w:val="10"/>
              <w:rPr>
                <w:highlight w:val="none"/>
              </w:rPr>
            </w:pPr>
            <w:r>
              <w:rPr>
                <w:highlight w:val="none"/>
              </w:rPr>
              <w:t>造林绿化补偿的支出</w:t>
            </w:r>
          </w:p>
        </w:tc>
        <w:tc>
          <w:tcPr>
            <w:tcW w:w="1276" w:type="dxa"/>
            <w:vAlign w:val="center"/>
          </w:tcPr>
          <w:p>
            <w:pPr>
              <w:pStyle w:val="10"/>
              <w:rPr>
                <w:highlight w:val="none"/>
              </w:rPr>
            </w:pPr>
            <w:r>
              <w:rPr>
                <w:highlight w:val="none"/>
              </w:rPr>
              <w:t>≤115.88115.886万元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改善城乡的生态环境</w:t>
            </w:r>
          </w:p>
        </w:tc>
        <w:tc>
          <w:tcPr>
            <w:tcW w:w="2891" w:type="dxa"/>
            <w:vAlign w:val="center"/>
          </w:tcPr>
          <w:p>
            <w:pPr>
              <w:pStyle w:val="10"/>
              <w:rPr>
                <w:highlight w:val="none"/>
              </w:rPr>
            </w:pPr>
            <w:r>
              <w:rPr>
                <w:highlight w:val="none"/>
              </w:rPr>
              <w:t>改善城乡的生态环境</w:t>
            </w:r>
          </w:p>
        </w:tc>
        <w:tc>
          <w:tcPr>
            <w:tcW w:w="1276" w:type="dxa"/>
            <w:vAlign w:val="center"/>
          </w:tcPr>
          <w:p>
            <w:pPr>
              <w:pStyle w:val="10"/>
              <w:rPr>
                <w:highlight w:val="none"/>
              </w:rPr>
            </w:pPr>
            <w:r>
              <w:rPr>
                <w:highlight w:val="none"/>
              </w:rPr>
              <w:t>改善城乡的生态环境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0" w:name="_Toc_4_4_0000000011"/>
      <w:r>
        <w:rPr>
          <w:rFonts w:ascii="方正仿宋_GBK" w:hAnsi="方正仿宋_GBK" w:eastAsia="方正仿宋_GBK" w:cs="方正仿宋_GBK"/>
          <w:color w:val="000000"/>
          <w:sz w:val="28"/>
          <w:highlight w:val="none"/>
        </w:rPr>
        <w:t>8.2021年高建庄100亩地块土地租赁差价绩效目标表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13030322P00425610017P</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2021年高建庄100亩地块土地租赁差价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7.00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7.00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保证此款项的正确使用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rFonts w:hint="default" w:eastAsia="方正书宋_GBK"/>
                <w:highlight w:val="none"/>
                <w:lang w:val="en-US" w:eastAsia="zh-CN"/>
              </w:rPr>
            </w:pPr>
            <w:r>
              <w:rPr>
                <w:rFonts w:hint="eastAsia"/>
                <w:highlight w:val="none"/>
                <w:lang w:val="en-US" w:eastAsia="zh-CN"/>
              </w:rPr>
              <w:t>100%</w:t>
            </w:r>
          </w:p>
        </w:tc>
        <w:tc>
          <w:tcPr>
            <w:tcW w:w="1587" w:type="dxa"/>
            <w:vAlign w:val="center"/>
          </w:tcPr>
          <w:p>
            <w:pPr>
              <w:pStyle w:val="12"/>
              <w:rPr>
                <w:highlight w:val="none"/>
              </w:rPr>
            </w:pPr>
            <w:r>
              <w:rPr>
                <w:highlight w:val="none"/>
              </w:rPr>
              <w:t>100%</w:t>
            </w:r>
          </w:p>
        </w:tc>
        <w:tc>
          <w:tcPr>
            <w:tcW w:w="1304" w:type="dxa"/>
            <w:vAlign w:val="center"/>
          </w:tcPr>
          <w:p>
            <w:pPr>
              <w:pStyle w:val="12"/>
              <w:rPr>
                <w:highlight w:val="none"/>
              </w:rPr>
            </w:pPr>
            <w:r>
              <w:rPr>
                <w:highlight w:val="none"/>
              </w:rPr>
              <w:t>100%</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1.保证此款项的正确使用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环城绿化面积</w:t>
            </w:r>
          </w:p>
        </w:tc>
        <w:tc>
          <w:tcPr>
            <w:tcW w:w="2891" w:type="dxa"/>
            <w:vAlign w:val="center"/>
          </w:tcPr>
          <w:p>
            <w:pPr>
              <w:pStyle w:val="10"/>
              <w:rPr>
                <w:highlight w:val="none"/>
              </w:rPr>
            </w:pPr>
            <w:r>
              <w:rPr>
                <w:highlight w:val="none"/>
              </w:rPr>
              <w:t>环城绿化造林面积</w:t>
            </w:r>
          </w:p>
        </w:tc>
        <w:tc>
          <w:tcPr>
            <w:tcW w:w="1276" w:type="dxa"/>
            <w:vAlign w:val="center"/>
          </w:tcPr>
          <w:p>
            <w:pPr>
              <w:pStyle w:val="10"/>
              <w:rPr>
                <w:highlight w:val="none"/>
              </w:rPr>
            </w:pPr>
            <w:r>
              <w:rPr>
                <w:highlight w:val="none"/>
              </w:rPr>
              <w:t>≥100亩</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绿化覆盖率</w:t>
            </w:r>
          </w:p>
        </w:tc>
        <w:tc>
          <w:tcPr>
            <w:tcW w:w="2891" w:type="dxa"/>
            <w:vAlign w:val="center"/>
          </w:tcPr>
          <w:p>
            <w:pPr>
              <w:pStyle w:val="10"/>
              <w:rPr>
                <w:highlight w:val="none"/>
              </w:rPr>
            </w:pPr>
            <w:r>
              <w:rPr>
                <w:highlight w:val="none"/>
              </w:rPr>
              <w:t>每亩地种树棵树</w:t>
            </w:r>
          </w:p>
        </w:tc>
        <w:tc>
          <w:tcPr>
            <w:tcW w:w="1276" w:type="dxa"/>
            <w:vAlign w:val="center"/>
          </w:tcPr>
          <w:p>
            <w:pPr>
              <w:pStyle w:val="10"/>
              <w:rPr>
                <w:highlight w:val="none"/>
              </w:rPr>
            </w:pPr>
            <w:r>
              <w:rPr>
                <w:highlight w:val="none"/>
              </w:rPr>
              <w:t>≥70棵/亩</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绿化补偿款发放的及时性</w:t>
            </w:r>
          </w:p>
        </w:tc>
        <w:tc>
          <w:tcPr>
            <w:tcW w:w="2891" w:type="dxa"/>
            <w:vAlign w:val="center"/>
          </w:tcPr>
          <w:p>
            <w:pPr>
              <w:pStyle w:val="10"/>
              <w:rPr>
                <w:highlight w:val="none"/>
              </w:rPr>
            </w:pPr>
            <w:r>
              <w:rPr>
                <w:highlight w:val="none"/>
              </w:rPr>
              <w:t>绿化补偿款发放的及时性</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环城绿化补偿成本</w:t>
            </w:r>
          </w:p>
        </w:tc>
        <w:tc>
          <w:tcPr>
            <w:tcW w:w="2891" w:type="dxa"/>
            <w:vAlign w:val="center"/>
          </w:tcPr>
          <w:p>
            <w:pPr>
              <w:pStyle w:val="10"/>
              <w:rPr>
                <w:highlight w:val="none"/>
              </w:rPr>
            </w:pPr>
            <w:r>
              <w:rPr>
                <w:highlight w:val="none"/>
              </w:rPr>
              <w:t>按预算控制各项成本</w:t>
            </w:r>
          </w:p>
        </w:tc>
        <w:tc>
          <w:tcPr>
            <w:tcW w:w="1276" w:type="dxa"/>
            <w:vAlign w:val="center"/>
          </w:tcPr>
          <w:p>
            <w:pPr>
              <w:pStyle w:val="10"/>
              <w:rPr>
                <w:highlight w:val="none"/>
              </w:rPr>
            </w:pPr>
            <w:r>
              <w:rPr>
                <w:highlight w:val="none"/>
              </w:rPr>
              <w:t>≤7万元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促进农民增收</w:t>
            </w:r>
          </w:p>
        </w:tc>
        <w:tc>
          <w:tcPr>
            <w:tcW w:w="2891" w:type="dxa"/>
            <w:vAlign w:val="center"/>
          </w:tcPr>
          <w:p>
            <w:pPr>
              <w:pStyle w:val="10"/>
              <w:rPr>
                <w:highlight w:val="none"/>
              </w:rPr>
            </w:pPr>
            <w:r>
              <w:rPr>
                <w:highlight w:val="none"/>
              </w:rPr>
              <w:t>促进农民增收，维护社会稳定</w:t>
            </w:r>
          </w:p>
        </w:tc>
        <w:tc>
          <w:tcPr>
            <w:tcW w:w="1276" w:type="dxa"/>
            <w:vAlign w:val="center"/>
          </w:tcPr>
          <w:p>
            <w:pPr>
              <w:pStyle w:val="10"/>
              <w:rPr>
                <w:highlight w:val="none"/>
              </w:rPr>
            </w:pPr>
            <w:r>
              <w:rPr>
                <w:highlight w:val="none"/>
              </w:rPr>
              <w:t>促进农民增收，维护社会稳定</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1" w:name="_Toc_4_4_0000000012"/>
      <w:r>
        <w:rPr>
          <w:rFonts w:ascii="方正仿宋_GBK" w:hAnsi="方正仿宋_GBK" w:eastAsia="方正仿宋_GBK" w:cs="方正仿宋_GBK"/>
          <w:color w:val="000000"/>
          <w:sz w:val="28"/>
          <w:highlight w:val="none"/>
        </w:rPr>
        <w:t>9.2021年环城绿化补偿费绩效目标表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13030322P00425610015G</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2021年环城绿化补偿费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247.32</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247.32</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给农民发放补偿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rFonts w:hint="eastAsia"/>
                <w:highlight w:val="none"/>
                <w:lang w:val="en-US" w:eastAsia="zh-CN"/>
              </w:rPr>
              <w:t>100</w:t>
            </w:r>
            <w:r>
              <w:rPr>
                <w:highlight w:val="none"/>
              </w:rPr>
              <w:t>%</w:t>
            </w:r>
          </w:p>
        </w:tc>
        <w:tc>
          <w:tcPr>
            <w:tcW w:w="1587" w:type="dxa"/>
            <w:vAlign w:val="center"/>
          </w:tcPr>
          <w:p>
            <w:pPr>
              <w:pStyle w:val="12"/>
              <w:rPr>
                <w:highlight w:val="none"/>
              </w:rPr>
            </w:pPr>
            <w:r>
              <w:rPr>
                <w:rFonts w:hint="eastAsia"/>
                <w:highlight w:val="none"/>
                <w:lang w:val="en-US" w:eastAsia="zh-CN"/>
              </w:rPr>
              <w:t>10</w:t>
            </w:r>
            <w:r>
              <w:rPr>
                <w:highlight w:val="none"/>
              </w:rPr>
              <w:t>0%</w:t>
            </w:r>
          </w:p>
        </w:tc>
        <w:tc>
          <w:tcPr>
            <w:tcW w:w="1304" w:type="dxa"/>
            <w:vAlign w:val="center"/>
          </w:tcPr>
          <w:p>
            <w:pPr>
              <w:pStyle w:val="12"/>
              <w:rPr>
                <w:highlight w:val="none"/>
              </w:rPr>
            </w:pPr>
            <w:r>
              <w:rPr>
                <w:rFonts w:hint="eastAsia"/>
                <w:highlight w:val="none"/>
                <w:lang w:val="en-US" w:eastAsia="zh-CN"/>
              </w:rPr>
              <w:t>100</w:t>
            </w:r>
            <w:r>
              <w:rPr>
                <w:highlight w:val="none"/>
              </w:rPr>
              <w:t>%</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1.给农民发放补偿，促进农民增收，维护社会稳定。</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环城绿化面积</w:t>
            </w:r>
          </w:p>
        </w:tc>
        <w:tc>
          <w:tcPr>
            <w:tcW w:w="2891" w:type="dxa"/>
            <w:vAlign w:val="center"/>
          </w:tcPr>
          <w:p>
            <w:pPr>
              <w:pStyle w:val="10"/>
              <w:rPr>
                <w:highlight w:val="none"/>
              </w:rPr>
            </w:pPr>
            <w:r>
              <w:rPr>
                <w:highlight w:val="none"/>
              </w:rPr>
              <w:t>环城绿化造林面积</w:t>
            </w:r>
          </w:p>
        </w:tc>
        <w:tc>
          <w:tcPr>
            <w:tcW w:w="1276" w:type="dxa"/>
            <w:vAlign w:val="center"/>
          </w:tcPr>
          <w:p>
            <w:pPr>
              <w:pStyle w:val="10"/>
              <w:rPr>
                <w:highlight w:val="none"/>
              </w:rPr>
            </w:pPr>
            <w:r>
              <w:rPr>
                <w:highlight w:val="none"/>
              </w:rPr>
              <w:t>≥2100亩</w:t>
            </w:r>
          </w:p>
        </w:tc>
        <w:tc>
          <w:tcPr>
            <w:tcW w:w="1843" w:type="dxa"/>
            <w:vAlign w:val="center"/>
          </w:tcPr>
          <w:p>
            <w:pPr>
              <w:pStyle w:val="10"/>
              <w:rPr>
                <w:highlight w:val="none"/>
              </w:rPr>
            </w:pPr>
            <w:r>
              <w:rPr>
                <w:highlight w:val="none"/>
              </w:rPr>
              <w:t>区政府纪要（办纪[2013]4号）办纪（2018）16号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绿化覆盖率</w:t>
            </w:r>
          </w:p>
        </w:tc>
        <w:tc>
          <w:tcPr>
            <w:tcW w:w="2891" w:type="dxa"/>
            <w:vAlign w:val="center"/>
          </w:tcPr>
          <w:p>
            <w:pPr>
              <w:pStyle w:val="10"/>
              <w:rPr>
                <w:highlight w:val="none"/>
              </w:rPr>
            </w:pPr>
            <w:r>
              <w:rPr>
                <w:highlight w:val="none"/>
              </w:rPr>
              <w:t>每亩地种树棵树</w:t>
            </w:r>
          </w:p>
        </w:tc>
        <w:tc>
          <w:tcPr>
            <w:tcW w:w="1276" w:type="dxa"/>
            <w:vAlign w:val="center"/>
          </w:tcPr>
          <w:p>
            <w:pPr>
              <w:pStyle w:val="10"/>
              <w:rPr>
                <w:highlight w:val="none"/>
              </w:rPr>
            </w:pPr>
            <w:r>
              <w:rPr>
                <w:highlight w:val="none"/>
              </w:rPr>
              <w:t>≥70棵/亩</w:t>
            </w:r>
          </w:p>
        </w:tc>
        <w:tc>
          <w:tcPr>
            <w:tcW w:w="1843" w:type="dxa"/>
            <w:vAlign w:val="center"/>
          </w:tcPr>
          <w:p>
            <w:pPr>
              <w:pStyle w:val="10"/>
              <w:rPr>
                <w:highlight w:val="none"/>
              </w:rPr>
            </w:pPr>
            <w:r>
              <w:rPr>
                <w:highlight w:val="none"/>
              </w:rPr>
              <w:t>区政府纪要（办纪[2013]4号）办纪（2018）16号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绿化补偿款发放的及时性</w:t>
            </w:r>
          </w:p>
        </w:tc>
        <w:tc>
          <w:tcPr>
            <w:tcW w:w="2891" w:type="dxa"/>
            <w:vAlign w:val="center"/>
          </w:tcPr>
          <w:p>
            <w:pPr>
              <w:pStyle w:val="10"/>
              <w:rPr>
                <w:highlight w:val="none"/>
              </w:rPr>
            </w:pPr>
            <w:r>
              <w:rPr>
                <w:highlight w:val="none"/>
              </w:rPr>
              <w:t>绿化补偿款发放的及时性</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区政府纪要（办纪[2013]4号）办纪（2018）16号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环城绿化补偿成本</w:t>
            </w:r>
          </w:p>
        </w:tc>
        <w:tc>
          <w:tcPr>
            <w:tcW w:w="2891" w:type="dxa"/>
            <w:vAlign w:val="center"/>
          </w:tcPr>
          <w:p>
            <w:pPr>
              <w:pStyle w:val="10"/>
              <w:rPr>
                <w:highlight w:val="none"/>
              </w:rPr>
            </w:pPr>
            <w:r>
              <w:rPr>
                <w:highlight w:val="none"/>
              </w:rPr>
              <w:t>按预算控制各项成本</w:t>
            </w:r>
          </w:p>
        </w:tc>
        <w:tc>
          <w:tcPr>
            <w:tcW w:w="1276" w:type="dxa"/>
            <w:vAlign w:val="center"/>
          </w:tcPr>
          <w:p>
            <w:pPr>
              <w:pStyle w:val="10"/>
              <w:rPr>
                <w:highlight w:val="none"/>
              </w:rPr>
            </w:pPr>
            <w:r>
              <w:rPr>
                <w:highlight w:val="none"/>
              </w:rPr>
              <w:t>≤247.32万元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促进农民增收</w:t>
            </w:r>
          </w:p>
        </w:tc>
        <w:tc>
          <w:tcPr>
            <w:tcW w:w="2891" w:type="dxa"/>
            <w:vAlign w:val="center"/>
          </w:tcPr>
          <w:p>
            <w:pPr>
              <w:pStyle w:val="10"/>
              <w:rPr>
                <w:highlight w:val="none"/>
              </w:rPr>
            </w:pPr>
            <w:r>
              <w:rPr>
                <w:highlight w:val="none"/>
              </w:rPr>
              <w:t>促进农民增收，维护社会稳定</w:t>
            </w:r>
          </w:p>
        </w:tc>
        <w:tc>
          <w:tcPr>
            <w:tcW w:w="1276" w:type="dxa"/>
            <w:vAlign w:val="center"/>
          </w:tcPr>
          <w:p>
            <w:pPr>
              <w:pStyle w:val="10"/>
              <w:rPr>
                <w:highlight w:val="none"/>
              </w:rPr>
            </w:pPr>
            <w:r>
              <w:rPr>
                <w:highlight w:val="none"/>
              </w:rPr>
              <w:t>促进</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2" w:name="_Toc_4_4_0000000013"/>
      <w:r>
        <w:rPr>
          <w:rFonts w:ascii="方正仿宋_GBK" w:hAnsi="方正仿宋_GBK" w:eastAsia="方正仿宋_GBK" w:cs="方正仿宋_GBK"/>
          <w:color w:val="000000"/>
          <w:sz w:val="28"/>
          <w:highlight w:val="none"/>
        </w:rPr>
        <w:t>10.2021年绿色秦皇岛工程补助资金绩效目标表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13030322P00424810002X</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2021年绿色秦皇岛工程补助资金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13.10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13.10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保证2021年绿色秦皇岛工程补助资金的正确发放和使用</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1.保证2021年绿色秦皇岛工程补助资金的正确发放和使用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完成造林绿化面积</w:t>
            </w:r>
          </w:p>
        </w:tc>
        <w:tc>
          <w:tcPr>
            <w:tcW w:w="2891" w:type="dxa"/>
            <w:vAlign w:val="center"/>
          </w:tcPr>
          <w:p>
            <w:pPr>
              <w:pStyle w:val="10"/>
              <w:rPr>
                <w:highlight w:val="none"/>
              </w:rPr>
            </w:pPr>
            <w:r>
              <w:rPr>
                <w:highlight w:val="none"/>
              </w:rPr>
              <w:t>完成造林绿化面积</w:t>
            </w:r>
          </w:p>
        </w:tc>
        <w:tc>
          <w:tcPr>
            <w:tcW w:w="1276" w:type="dxa"/>
            <w:vAlign w:val="center"/>
          </w:tcPr>
          <w:p>
            <w:pPr>
              <w:pStyle w:val="10"/>
              <w:rPr>
                <w:highlight w:val="none"/>
              </w:rPr>
            </w:pPr>
            <w:r>
              <w:rPr>
                <w:highlight w:val="none"/>
              </w:rPr>
              <w:t>≥1800亩</w:t>
            </w:r>
          </w:p>
        </w:tc>
        <w:tc>
          <w:tcPr>
            <w:tcW w:w="1843" w:type="dxa"/>
            <w:vAlign w:val="center"/>
          </w:tcPr>
          <w:p>
            <w:pPr>
              <w:pStyle w:val="10"/>
              <w:rPr>
                <w:highlight w:val="none"/>
              </w:rPr>
            </w:pPr>
            <w:r>
              <w:rPr>
                <w:highlight w:val="none"/>
              </w:rPr>
              <w:t>依据《关于创建全国绿化模范城市的意见》（秦字【2007】10号）和《关于加快建设绿色秦皇岛的实施意见》（秦字【2006】3号）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造林绿化地块存活率</w:t>
            </w:r>
          </w:p>
        </w:tc>
        <w:tc>
          <w:tcPr>
            <w:tcW w:w="2891" w:type="dxa"/>
            <w:vAlign w:val="center"/>
          </w:tcPr>
          <w:p>
            <w:pPr>
              <w:pStyle w:val="10"/>
              <w:rPr>
                <w:highlight w:val="none"/>
              </w:rPr>
            </w:pPr>
            <w:r>
              <w:rPr>
                <w:highlight w:val="none"/>
              </w:rPr>
              <w:t>造林绿化地块存活率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2依据《关于创建全国绿化模范城市的意见》（秦字【2007】10号）和《关于加快建设绿色秦皇岛的实施意见》（秦字【2006】3号）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造林绿化完成的及时率</w:t>
            </w:r>
          </w:p>
        </w:tc>
        <w:tc>
          <w:tcPr>
            <w:tcW w:w="2891" w:type="dxa"/>
            <w:vAlign w:val="center"/>
          </w:tcPr>
          <w:p>
            <w:pPr>
              <w:pStyle w:val="10"/>
              <w:rPr>
                <w:highlight w:val="none"/>
              </w:rPr>
            </w:pPr>
            <w:r>
              <w:rPr>
                <w:highlight w:val="none"/>
              </w:rPr>
              <w:t>造林绿化按计划及时开展</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依据《关于创建全国绿化模范城市的意见》（秦字【2007】10号）和《关于加快建设绿色秦皇岛的实施意见》（秦字【2006】3号）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造林绿化补偿的支出</w:t>
            </w:r>
          </w:p>
        </w:tc>
        <w:tc>
          <w:tcPr>
            <w:tcW w:w="2891" w:type="dxa"/>
            <w:vAlign w:val="center"/>
          </w:tcPr>
          <w:p>
            <w:pPr>
              <w:pStyle w:val="10"/>
              <w:rPr>
                <w:highlight w:val="none"/>
              </w:rPr>
            </w:pPr>
            <w:r>
              <w:rPr>
                <w:highlight w:val="none"/>
              </w:rPr>
              <w:t>造林绿化补偿的支出</w:t>
            </w:r>
          </w:p>
        </w:tc>
        <w:tc>
          <w:tcPr>
            <w:tcW w:w="1276" w:type="dxa"/>
            <w:vAlign w:val="center"/>
          </w:tcPr>
          <w:p>
            <w:pPr>
              <w:pStyle w:val="10"/>
              <w:rPr>
                <w:highlight w:val="none"/>
              </w:rPr>
            </w:pPr>
            <w:r>
              <w:rPr>
                <w:highlight w:val="none"/>
              </w:rPr>
              <w:t>≤535万元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改善城乡的生态环境</w:t>
            </w:r>
          </w:p>
        </w:tc>
        <w:tc>
          <w:tcPr>
            <w:tcW w:w="2891" w:type="dxa"/>
            <w:vAlign w:val="center"/>
          </w:tcPr>
          <w:p>
            <w:pPr>
              <w:pStyle w:val="10"/>
              <w:rPr>
                <w:highlight w:val="none"/>
              </w:rPr>
            </w:pPr>
            <w:r>
              <w:rPr>
                <w:highlight w:val="none"/>
              </w:rPr>
              <w:t>改善城乡的生态环境</w:t>
            </w:r>
          </w:p>
        </w:tc>
        <w:tc>
          <w:tcPr>
            <w:tcW w:w="1276" w:type="dxa"/>
            <w:vAlign w:val="center"/>
          </w:tcPr>
          <w:p>
            <w:pPr>
              <w:pStyle w:val="10"/>
              <w:rPr>
                <w:highlight w:val="none"/>
              </w:rPr>
            </w:pPr>
            <w:r>
              <w:rPr>
                <w:highlight w:val="none"/>
              </w:rPr>
              <w:t>改善城乡的生态环境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3" w:name="_Toc_4_4_0000000014"/>
      <w:r>
        <w:rPr>
          <w:rFonts w:ascii="方正仿宋_GBK" w:hAnsi="方正仿宋_GBK" w:eastAsia="方正仿宋_GBK" w:cs="方正仿宋_GBK"/>
          <w:color w:val="000000"/>
          <w:sz w:val="28"/>
          <w:highlight w:val="none"/>
        </w:rPr>
        <w:t>11.2021年生态保护支撑体系专项中央基建投资预算-秦皇岛市森林火灾高风险区综合治理工程建设项目绩效目标表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13030321P00J0R7100026</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2021年生态保护支撑体系专项中央基建投资预算-秦皇岛市森林火灾高风险区综合治理工程建设项目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97.00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97.00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保证此项目经费的正确使用</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rFonts w:hint="eastAsia"/>
                <w:highlight w:val="none"/>
                <w:lang w:val="en-US" w:eastAsia="zh-CN"/>
              </w:rPr>
              <w:t>0</w:t>
            </w:r>
            <w:r>
              <w:rPr>
                <w:highlight w:val="none"/>
              </w:rPr>
              <w:t>%</w:t>
            </w:r>
          </w:p>
        </w:tc>
        <w:tc>
          <w:tcPr>
            <w:tcW w:w="1587" w:type="dxa"/>
            <w:vAlign w:val="center"/>
          </w:tcPr>
          <w:p>
            <w:pPr>
              <w:pStyle w:val="12"/>
              <w:rPr>
                <w:highlight w:val="none"/>
              </w:rPr>
            </w:pPr>
            <w:r>
              <w:rPr>
                <w:rFonts w:hint="eastAsia"/>
                <w:highlight w:val="none"/>
                <w:lang w:val="en-US" w:eastAsia="zh-CN"/>
              </w:rPr>
              <w:t>10</w:t>
            </w:r>
            <w:r>
              <w:rPr>
                <w:highlight w:val="none"/>
              </w:rPr>
              <w:t>0%</w:t>
            </w:r>
          </w:p>
        </w:tc>
        <w:tc>
          <w:tcPr>
            <w:tcW w:w="1304" w:type="dxa"/>
            <w:vAlign w:val="center"/>
          </w:tcPr>
          <w:p>
            <w:pPr>
              <w:pStyle w:val="12"/>
              <w:rPr>
                <w:highlight w:val="none"/>
              </w:rPr>
            </w:pPr>
            <w:r>
              <w:rPr>
                <w:rFonts w:hint="eastAsia"/>
                <w:highlight w:val="none"/>
                <w:lang w:val="en-US" w:eastAsia="zh-CN"/>
              </w:rPr>
              <w:t>100</w:t>
            </w:r>
            <w:r>
              <w:rPr>
                <w:highlight w:val="none"/>
              </w:rPr>
              <w:t>%</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1.保证此项目经费的正确使用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成本数额正确</w:t>
            </w:r>
          </w:p>
        </w:tc>
        <w:tc>
          <w:tcPr>
            <w:tcW w:w="2891" w:type="dxa"/>
            <w:vAlign w:val="center"/>
          </w:tcPr>
          <w:p>
            <w:pPr>
              <w:pStyle w:val="10"/>
              <w:rPr>
                <w:highlight w:val="none"/>
              </w:rPr>
            </w:pPr>
            <w:r>
              <w:rPr>
                <w:highlight w:val="none"/>
              </w:rPr>
              <w:t>成本数额正确</w:t>
            </w:r>
          </w:p>
        </w:tc>
        <w:tc>
          <w:tcPr>
            <w:tcW w:w="1276" w:type="dxa"/>
            <w:vAlign w:val="center"/>
          </w:tcPr>
          <w:p>
            <w:pPr>
              <w:pStyle w:val="10"/>
              <w:rPr>
                <w:highlight w:val="none"/>
              </w:rPr>
            </w:pPr>
            <w:r>
              <w:rPr>
                <w:highlight w:val="none"/>
              </w:rPr>
              <w:t>≤97万元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保证发放质量</w:t>
            </w:r>
          </w:p>
        </w:tc>
        <w:tc>
          <w:tcPr>
            <w:tcW w:w="2891" w:type="dxa"/>
            <w:vAlign w:val="center"/>
          </w:tcPr>
          <w:p>
            <w:pPr>
              <w:pStyle w:val="10"/>
              <w:rPr>
                <w:highlight w:val="none"/>
              </w:rPr>
            </w:pPr>
            <w:r>
              <w:rPr>
                <w:highlight w:val="none"/>
              </w:rPr>
              <w:t>保证发放质量</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保证及时发放</w:t>
            </w:r>
          </w:p>
        </w:tc>
        <w:tc>
          <w:tcPr>
            <w:tcW w:w="2891" w:type="dxa"/>
            <w:vAlign w:val="center"/>
          </w:tcPr>
          <w:p>
            <w:pPr>
              <w:pStyle w:val="10"/>
              <w:rPr>
                <w:highlight w:val="none"/>
              </w:rPr>
            </w:pPr>
            <w:r>
              <w:rPr>
                <w:highlight w:val="none"/>
              </w:rPr>
              <w:t>保证及时发放</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成本数额正确率</w:t>
            </w:r>
          </w:p>
        </w:tc>
        <w:tc>
          <w:tcPr>
            <w:tcW w:w="2891" w:type="dxa"/>
            <w:vAlign w:val="center"/>
          </w:tcPr>
          <w:p>
            <w:pPr>
              <w:pStyle w:val="10"/>
              <w:rPr>
                <w:highlight w:val="none"/>
              </w:rPr>
            </w:pPr>
            <w:r>
              <w:rPr>
                <w:highlight w:val="none"/>
              </w:rPr>
              <w:t>成本数额正确率</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经济提标</w:t>
            </w:r>
          </w:p>
        </w:tc>
        <w:tc>
          <w:tcPr>
            <w:tcW w:w="2891" w:type="dxa"/>
            <w:vAlign w:val="center"/>
          </w:tcPr>
          <w:p>
            <w:pPr>
              <w:pStyle w:val="10"/>
              <w:rPr>
                <w:highlight w:val="none"/>
              </w:rPr>
            </w:pPr>
            <w:r>
              <w:rPr>
                <w:highlight w:val="none"/>
              </w:rPr>
              <w:t>经济提标</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green"/>
              </w:rPr>
            </w:pPr>
            <w:r>
              <w:rPr>
                <w:highlight w:val="green"/>
              </w:rPr>
              <w:t>满意度指标</w:t>
            </w:r>
          </w:p>
        </w:tc>
        <w:tc>
          <w:tcPr>
            <w:tcW w:w="1276" w:type="dxa"/>
            <w:vAlign w:val="center"/>
          </w:tcPr>
          <w:p>
            <w:pPr>
              <w:pStyle w:val="10"/>
              <w:rPr>
                <w:highlight w:val="green"/>
              </w:rPr>
            </w:pPr>
            <w:r>
              <w:rPr>
                <w:highlight w:val="green"/>
              </w:rPr>
              <w:t>服务对象满意度指标</w:t>
            </w:r>
          </w:p>
        </w:tc>
        <w:tc>
          <w:tcPr>
            <w:tcW w:w="1332" w:type="dxa"/>
            <w:vAlign w:val="center"/>
          </w:tcPr>
          <w:p>
            <w:pPr>
              <w:pStyle w:val="10"/>
              <w:rPr>
                <w:highlight w:val="green"/>
              </w:rPr>
            </w:pPr>
            <w:r>
              <w:rPr>
                <w:highlight w:val="green"/>
              </w:rPr>
              <w:t>满意度</w:t>
            </w:r>
          </w:p>
        </w:tc>
        <w:tc>
          <w:tcPr>
            <w:tcW w:w="2891" w:type="dxa"/>
            <w:vAlign w:val="center"/>
          </w:tcPr>
          <w:p>
            <w:pPr>
              <w:pStyle w:val="10"/>
              <w:rPr>
                <w:highlight w:val="green"/>
              </w:rPr>
            </w:pPr>
            <w:r>
              <w:rPr>
                <w:highlight w:val="green"/>
              </w:rPr>
              <w:t>满意度</w:t>
            </w:r>
          </w:p>
        </w:tc>
        <w:tc>
          <w:tcPr>
            <w:tcW w:w="1276" w:type="dxa"/>
            <w:vAlign w:val="center"/>
          </w:tcPr>
          <w:p>
            <w:pPr>
              <w:pStyle w:val="10"/>
              <w:rPr>
                <w:highlight w:val="green"/>
              </w:rPr>
            </w:pPr>
            <w:r>
              <w:rPr>
                <w:highlight w:val="green"/>
              </w:rPr>
              <w:t>≥99%</w:t>
            </w:r>
          </w:p>
        </w:tc>
        <w:tc>
          <w:tcPr>
            <w:tcW w:w="1843" w:type="dxa"/>
            <w:vAlign w:val="center"/>
          </w:tcPr>
          <w:p>
            <w:pPr>
              <w:pStyle w:val="10"/>
              <w:rPr>
                <w:rFonts w:hint="eastAsia" w:eastAsia="方正书宋_GBK"/>
                <w:highlight w:val="green"/>
                <w:lang w:eastAsia="zh-CN"/>
              </w:rPr>
            </w:pPr>
            <w:r>
              <w:rPr>
                <w:rFonts w:hint="eastAsia"/>
                <w:highlight w:val="green"/>
                <w:lang w:eastAsia="zh-CN"/>
              </w:rPr>
              <w:t>调查问卷</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4" w:name="_Toc_4_4_0000000015"/>
      <w:r>
        <w:rPr>
          <w:rFonts w:ascii="方正仿宋_GBK" w:hAnsi="方正仿宋_GBK" w:eastAsia="方正仿宋_GBK" w:cs="方正仿宋_GBK"/>
          <w:color w:val="000000"/>
          <w:sz w:val="28"/>
          <w:highlight w:val="none"/>
        </w:rPr>
        <w:t>12.2021年中央财政林业改革发展资金-林业有害生物防治补助绩效目标表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13030321BVQUUIQ7RNADI</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2021年中央财政林业改革发展资金-林业有害生物防治补助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用于开展松材线虫病普查工作</w:t>
            </w:r>
            <w:r>
              <w:rPr>
                <w:highlight w:val="none"/>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1.预防和减少林业有害生物对森林资源的损失,保护森林资源</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林业有害生物防治面积</w:t>
            </w:r>
          </w:p>
        </w:tc>
        <w:tc>
          <w:tcPr>
            <w:tcW w:w="2891" w:type="dxa"/>
            <w:vAlign w:val="center"/>
          </w:tcPr>
          <w:p>
            <w:pPr>
              <w:pStyle w:val="10"/>
              <w:rPr>
                <w:highlight w:val="none"/>
              </w:rPr>
            </w:pPr>
            <w:r>
              <w:rPr>
                <w:highlight w:val="none"/>
              </w:rPr>
              <w:t>林业有害生物防治面积</w:t>
            </w:r>
          </w:p>
        </w:tc>
        <w:tc>
          <w:tcPr>
            <w:tcW w:w="1276" w:type="dxa"/>
            <w:vAlign w:val="center"/>
          </w:tcPr>
          <w:p>
            <w:pPr>
              <w:pStyle w:val="10"/>
              <w:rPr>
                <w:highlight w:val="none"/>
              </w:rPr>
            </w:pPr>
            <w:r>
              <w:rPr>
                <w:highlight w:val="none"/>
              </w:rPr>
              <w:t>≥24600亩</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主要林业有害生物成灾率</w:t>
            </w:r>
          </w:p>
        </w:tc>
        <w:tc>
          <w:tcPr>
            <w:tcW w:w="2891" w:type="dxa"/>
            <w:vAlign w:val="center"/>
          </w:tcPr>
          <w:p>
            <w:pPr>
              <w:pStyle w:val="10"/>
              <w:rPr>
                <w:highlight w:val="none"/>
              </w:rPr>
            </w:pPr>
            <w:r>
              <w:rPr>
                <w:highlight w:val="none"/>
              </w:rPr>
              <w:t>主要林业有害生物成灾率</w:t>
            </w:r>
          </w:p>
        </w:tc>
        <w:tc>
          <w:tcPr>
            <w:tcW w:w="1276" w:type="dxa"/>
            <w:vAlign w:val="center"/>
          </w:tcPr>
          <w:p>
            <w:pPr>
              <w:pStyle w:val="10"/>
              <w:rPr>
                <w:highlight w:val="none"/>
              </w:rPr>
            </w:pPr>
            <w:r>
              <w:rPr>
                <w:highlight w:val="none"/>
              </w:rPr>
              <w:t>≤0.38%</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当年实际日常普查目标完成率</w:t>
            </w:r>
          </w:p>
        </w:tc>
        <w:tc>
          <w:tcPr>
            <w:tcW w:w="2891" w:type="dxa"/>
            <w:vAlign w:val="center"/>
          </w:tcPr>
          <w:p>
            <w:pPr>
              <w:pStyle w:val="10"/>
              <w:rPr>
                <w:highlight w:val="none"/>
              </w:rPr>
            </w:pPr>
            <w:r>
              <w:rPr>
                <w:highlight w:val="none"/>
              </w:rPr>
              <w:t>当年实际日常普查目标完成率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有害生物防治率</w:t>
            </w:r>
          </w:p>
        </w:tc>
        <w:tc>
          <w:tcPr>
            <w:tcW w:w="2891" w:type="dxa"/>
            <w:vAlign w:val="center"/>
          </w:tcPr>
          <w:p>
            <w:pPr>
              <w:pStyle w:val="10"/>
              <w:rPr>
                <w:highlight w:val="none"/>
              </w:rPr>
            </w:pPr>
            <w:r>
              <w:rPr>
                <w:highlight w:val="none"/>
              </w:rPr>
              <w:t>有害生物防治率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完成率</w:t>
            </w:r>
          </w:p>
        </w:tc>
        <w:tc>
          <w:tcPr>
            <w:tcW w:w="2891" w:type="dxa"/>
            <w:vAlign w:val="center"/>
          </w:tcPr>
          <w:p>
            <w:pPr>
              <w:pStyle w:val="10"/>
              <w:rPr>
                <w:highlight w:val="none"/>
              </w:rPr>
            </w:pPr>
            <w:r>
              <w:rPr>
                <w:highlight w:val="none"/>
              </w:rPr>
              <w:t>完成率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普查及时率</w:t>
            </w:r>
          </w:p>
        </w:tc>
        <w:tc>
          <w:tcPr>
            <w:tcW w:w="2891" w:type="dxa"/>
            <w:vAlign w:val="center"/>
          </w:tcPr>
          <w:p>
            <w:pPr>
              <w:pStyle w:val="10"/>
              <w:rPr>
                <w:highlight w:val="none"/>
              </w:rPr>
            </w:pPr>
            <w:r>
              <w:rPr>
                <w:highlight w:val="none"/>
              </w:rPr>
              <w:t>普查任务完成及时情况</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资金成本</w:t>
            </w:r>
          </w:p>
        </w:tc>
        <w:tc>
          <w:tcPr>
            <w:tcW w:w="2891" w:type="dxa"/>
            <w:vAlign w:val="center"/>
          </w:tcPr>
          <w:p>
            <w:pPr>
              <w:pStyle w:val="10"/>
              <w:rPr>
                <w:highlight w:val="none"/>
              </w:rPr>
            </w:pPr>
            <w:r>
              <w:rPr>
                <w:highlight w:val="none"/>
              </w:rPr>
              <w:t>支出金额控制在预算额度内</w:t>
            </w:r>
          </w:p>
        </w:tc>
        <w:tc>
          <w:tcPr>
            <w:tcW w:w="1276" w:type="dxa"/>
            <w:vAlign w:val="center"/>
          </w:tcPr>
          <w:p>
            <w:pPr>
              <w:pStyle w:val="10"/>
              <w:rPr>
                <w:highlight w:val="none"/>
              </w:rPr>
            </w:pPr>
            <w:r>
              <w:rPr>
                <w:highlight w:val="none"/>
              </w:rPr>
              <w:t>≤10万元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降低森林资源损失</w:t>
            </w:r>
          </w:p>
        </w:tc>
        <w:tc>
          <w:tcPr>
            <w:tcW w:w="2891" w:type="dxa"/>
            <w:vAlign w:val="center"/>
          </w:tcPr>
          <w:p>
            <w:pPr>
              <w:pStyle w:val="10"/>
              <w:rPr>
                <w:highlight w:val="none"/>
              </w:rPr>
            </w:pPr>
            <w:r>
              <w:rPr>
                <w:highlight w:val="none"/>
              </w:rPr>
              <w:t>通过及时进行森林病虫害防治从而降低森林资源损失</w:t>
            </w:r>
          </w:p>
        </w:tc>
        <w:tc>
          <w:tcPr>
            <w:tcW w:w="1276" w:type="dxa"/>
            <w:vAlign w:val="center"/>
          </w:tcPr>
          <w:p>
            <w:pPr>
              <w:pStyle w:val="10"/>
              <w:rPr>
                <w:highlight w:val="none"/>
              </w:rPr>
            </w:pPr>
            <w:r>
              <w:rPr>
                <w:highlight w:val="none"/>
              </w:rPr>
              <w:t>有效降低</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5" w:name="_Toc_4_4_0000000016"/>
      <w:r>
        <w:rPr>
          <w:rFonts w:ascii="方正仿宋_GBK" w:hAnsi="方正仿宋_GBK" w:eastAsia="方正仿宋_GBK" w:cs="方正仿宋_GBK"/>
          <w:color w:val="000000"/>
          <w:sz w:val="28"/>
          <w:highlight w:val="none"/>
        </w:rPr>
        <w:t>13.耕地开垦费绩效目标表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13030322P004256100139</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耕地开垦费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7596.00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7596.00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及时缴纳耕地开垦费，保障区域内耕地“占补平衡”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1.1．及时缴纳耕地开垦费，保障区域内耕地“占补平衡”</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缴纳耕地开垦费的征地亩数</w:t>
            </w:r>
          </w:p>
        </w:tc>
        <w:tc>
          <w:tcPr>
            <w:tcW w:w="2891" w:type="dxa"/>
            <w:vAlign w:val="center"/>
          </w:tcPr>
          <w:p>
            <w:pPr>
              <w:pStyle w:val="10"/>
              <w:rPr>
                <w:highlight w:val="none"/>
              </w:rPr>
            </w:pPr>
            <w:r>
              <w:rPr>
                <w:highlight w:val="none"/>
              </w:rPr>
              <w:t>项目占用耕地，区内无法平衡，需由全市区域内平衡，保障项目占地后“占补平衡”</w:t>
            </w:r>
          </w:p>
        </w:tc>
        <w:tc>
          <w:tcPr>
            <w:tcW w:w="1276" w:type="dxa"/>
            <w:vAlign w:val="center"/>
          </w:tcPr>
          <w:p>
            <w:pPr>
              <w:pStyle w:val="10"/>
              <w:rPr>
                <w:highlight w:val="none"/>
              </w:rPr>
            </w:pPr>
            <w:r>
              <w:rPr>
                <w:highlight w:val="none"/>
              </w:rPr>
              <w:t>500亩</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耕地开垦费缴纳准确性</w:t>
            </w:r>
          </w:p>
        </w:tc>
        <w:tc>
          <w:tcPr>
            <w:tcW w:w="2891" w:type="dxa"/>
            <w:vAlign w:val="center"/>
          </w:tcPr>
          <w:p>
            <w:pPr>
              <w:pStyle w:val="10"/>
              <w:rPr>
                <w:highlight w:val="none"/>
              </w:rPr>
            </w:pPr>
            <w:r>
              <w:rPr>
                <w:highlight w:val="none"/>
              </w:rPr>
              <w:t>核实项目占用耕地实际数量的准确性</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耕地开垦费缴纳及时性</w:t>
            </w:r>
          </w:p>
        </w:tc>
        <w:tc>
          <w:tcPr>
            <w:tcW w:w="2891" w:type="dxa"/>
            <w:vAlign w:val="center"/>
          </w:tcPr>
          <w:p>
            <w:pPr>
              <w:pStyle w:val="10"/>
              <w:rPr>
                <w:highlight w:val="none"/>
              </w:rPr>
            </w:pPr>
            <w:r>
              <w:rPr>
                <w:highlight w:val="none"/>
              </w:rPr>
              <w:t>项目用地核实后及时缴纳，保障区域“占补平衡”</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耕地开垦费缴纳成本支出</w:t>
            </w:r>
          </w:p>
        </w:tc>
        <w:tc>
          <w:tcPr>
            <w:tcW w:w="2891" w:type="dxa"/>
            <w:vAlign w:val="center"/>
          </w:tcPr>
          <w:p>
            <w:pPr>
              <w:pStyle w:val="10"/>
              <w:rPr>
                <w:highlight w:val="none"/>
              </w:rPr>
            </w:pPr>
            <w:r>
              <w:rPr>
                <w:highlight w:val="none"/>
              </w:rPr>
              <w:t>核实缴纳实际数值</w:t>
            </w:r>
          </w:p>
        </w:tc>
        <w:tc>
          <w:tcPr>
            <w:tcW w:w="1276" w:type="dxa"/>
            <w:vAlign w:val="center"/>
          </w:tcPr>
          <w:p>
            <w:pPr>
              <w:pStyle w:val="10"/>
              <w:rPr>
                <w:highlight w:val="none"/>
              </w:rPr>
            </w:pPr>
            <w:r>
              <w:rPr>
                <w:highlight w:val="none"/>
              </w:rPr>
              <w:t>7596万</w:t>
            </w:r>
          </w:p>
        </w:tc>
        <w:tc>
          <w:tcPr>
            <w:tcW w:w="1843" w:type="dxa"/>
            <w:vAlign w:val="center"/>
          </w:tcPr>
          <w:p>
            <w:pPr>
              <w:pStyle w:val="10"/>
              <w:rPr>
                <w:highlight w:val="none"/>
              </w:rPr>
            </w:pPr>
            <w:r>
              <w:rPr>
                <w:highlight w:val="none"/>
              </w:rPr>
              <w:t>按照政策缴纳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全市区域耕地不减少</w:t>
            </w:r>
          </w:p>
        </w:tc>
        <w:tc>
          <w:tcPr>
            <w:tcW w:w="2891" w:type="dxa"/>
            <w:vAlign w:val="center"/>
          </w:tcPr>
          <w:p>
            <w:pPr>
              <w:pStyle w:val="10"/>
              <w:rPr>
                <w:highlight w:val="none"/>
              </w:rPr>
            </w:pPr>
            <w:r>
              <w:rPr>
                <w:highlight w:val="none"/>
              </w:rPr>
              <w:t>区内无法“占补平衡”，市级区域平衡</w:t>
            </w:r>
          </w:p>
        </w:tc>
        <w:tc>
          <w:tcPr>
            <w:tcW w:w="1276" w:type="dxa"/>
            <w:vAlign w:val="center"/>
          </w:tcPr>
          <w:p>
            <w:pPr>
              <w:pStyle w:val="10"/>
              <w:rPr>
                <w:highlight w:val="none"/>
              </w:rPr>
            </w:pPr>
            <w:r>
              <w:rPr>
                <w:highlight w:val="none"/>
              </w:rPr>
              <w:t>保障区域平衡</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服务对象满意度指标</w:t>
            </w:r>
          </w:p>
        </w:tc>
        <w:tc>
          <w:tcPr>
            <w:tcW w:w="2891" w:type="dxa"/>
            <w:vAlign w:val="center"/>
          </w:tcPr>
          <w:p>
            <w:pPr>
              <w:pStyle w:val="10"/>
              <w:rPr>
                <w:highlight w:val="none"/>
              </w:rPr>
            </w:pPr>
            <w:r>
              <w:rPr>
                <w:highlight w:val="none"/>
              </w:rPr>
              <w:t>失地农民满意度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调查结果</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6" w:name="_Toc_4_4_0000000017"/>
      <w:r>
        <w:rPr>
          <w:rFonts w:ascii="方正仿宋_GBK" w:hAnsi="方正仿宋_GBK" w:eastAsia="方正仿宋_GBK" w:cs="方正仿宋_GBK"/>
          <w:color w:val="000000"/>
          <w:sz w:val="28"/>
          <w:highlight w:val="none"/>
        </w:rPr>
        <w:t>14.耕地占用税绩效目标表</w:t>
      </w:r>
      <w:bookmarkEnd w:id="1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13030322P00425610012M</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985.00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985.00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上缴耕地占用税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rFonts w:hint="eastAsia"/>
                <w:highlight w:val="none"/>
                <w:lang w:val="en-US" w:eastAsia="zh-CN"/>
              </w:rPr>
              <w:t>90</w:t>
            </w:r>
            <w:r>
              <w:rPr>
                <w:highlight w:val="none"/>
              </w:rPr>
              <w:t>%</w:t>
            </w:r>
          </w:p>
        </w:tc>
        <w:tc>
          <w:tcPr>
            <w:tcW w:w="1587" w:type="dxa"/>
            <w:vAlign w:val="center"/>
          </w:tcPr>
          <w:p>
            <w:pPr>
              <w:pStyle w:val="12"/>
              <w:rPr>
                <w:highlight w:val="none"/>
              </w:rPr>
            </w:pPr>
            <w:r>
              <w:rPr>
                <w:rFonts w:hint="eastAsia"/>
                <w:highlight w:val="none"/>
                <w:lang w:val="en-US" w:eastAsia="zh-CN"/>
              </w:rPr>
              <w:t>10</w:t>
            </w:r>
            <w:r>
              <w:rPr>
                <w:highlight w:val="none"/>
              </w:rPr>
              <w:t>0%</w:t>
            </w:r>
          </w:p>
        </w:tc>
        <w:tc>
          <w:tcPr>
            <w:tcW w:w="1304" w:type="dxa"/>
            <w:vAlign w:val="center"/>
          </w:tcPr>
          <w:p>
            <w:pPr>
              <w:pStyle w:val="12"/>
              <w:rPr>
                <w:highlight w:val="none"/>
              </w:rPr>
            </w:pPr>
            <w:r>
              <w:rPr>
                <w:rFonts w:hint="eastAsia"/>
                <w:highlight w:val="none"/>
                <w:lang w:val="en-US" w:eastAsia="zh-CN"/>
              </w:rPr>
              <w:t>100</w:t>
            </w:r>
            <w:r>
              <w:rPr>
                <w:highlight w:val="none"/>
              </w:rPr>
              <w:t>%</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1.1．及时上缴耕地占用税，提高政府税收，保障基础设施建设。</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耕地占用亩数</w:t>
            </w:r>
          </w:p>
          <w:p>
            <w:pPr>
              <w:pStyle w:val="10"/>
              <w:rPr>
                <w:highlight w:val="none"/>
              </w:rPr>
            </w:pPr>
          </w:p>
        </w:tc>
        <w:tc>
          <w:tcPr>
            <w:tcW w:w="2891" w:type="dxa"/>
            <w:vAlign w:val="center"/>
          </w:tcPr>
          <w:p>
            <w:pPr>
              <w:pStyle w:val="10"/>
              <w:rPr>
                <w:highlight w:val="none"/>
              </w:rPr>
            </w:pPr>
            <w:r>
              <w:rPr>
                <w:highlight w:val="none"/>
              </w:rPr>
              <w:t>耕地占用亩数</w:t>
            </w:r>
          </w:p>
        </w:tc>
        <w:tc>
          <w:tcPr>
            <w:tcW w:w="1276" w:type="dxa"/>
            <w:vAlign w:val="center"/>
          </w:tcPr>
          <w:p>
            <w:pPr>
              <w:pStyle w:val="10"/>
              <w:rPr>
                <w:highlight w:val="none"/>
              </w:rPr>
            </w:pPr>
            <w:r>
              <w:rPr>
                <w:highlight w:val="none"/>
              </w:rPr>
              <w:t>≤422亩</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耕地占用税缴纳准确性</w:t>
            </w:r>
          </w:p>
          <w:p>
            <w:pPr>
              <w:pStyle w:val="10"/>
              <w:rPr>
                <w:highlight w:val="none"/>
              </w:rPr>
            </w:pPr>
          </w:p>
        </w:tc>
        <w:tc>
          <w:tcPr>
            <w:tcW w:w="2891" w:type="dxa"/>
            <w:vAlign w:val="center"/>
          </w:tcPr>
          <w:p>
            <w:pPr>
              <w:pStyle w:val="10"/>
              <w:rPr>
                <w:highlight w:val="none"/>
              </w:rPr>
            </w:pPr>
            <w:r>
              <w:rPr>
                <w:highlight w:val="none"/>
              </w:rPr>
              <w:t>耕地占用税缴纳准确性</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耕地占用税缴纳及时性</w:t>
            </w:r>
          </w:p>
          <w:p>
            <w:pPr>
              <w:pStyle w:val="10"/>
              <w:rPr>
                <w:highlight w:val="none"/>
              </w:rPr>
            </w:pPr>
          </w:p>
        </w:tc>
        <w:tc>
          <w:tcPr>
            <w:tcW w:w="2891" w:type="dxa"/>
            <w:vAlign w:val="center"/>
          </w:tcPr>
          <w:p>
            <w:pPr>
              <w:pStyle w:val="10"/>
              <w:rPr>
                <w:highlight w:val="none"/>
              </w:rPr>
            </w:pPr>
            <w:r>
              <w:rPr>
                <w:highlight w:val="none"/>
              </w:rPr>
              <w:t>保证及时上缴</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耕地占用税成本支出</w:t>
            </w:r>
          </w:p>
          <w:p>
            <w:pPr>
              <w:pStyle w:val="10"/>
              <w:rPr>
                <w:highlight w:val="none"/>
              </w:rPr>
            </w:pPr>
          </w:p>
        </w:tc>
        <w:tc>
          <w:tcPr>
            <w:tcW w:w="2891" w:type="dxa"/>
            <w:vAlign w:val="center"/>
          </w:tcPr>
          <w:p>
            <w:pPr>
              <w:pStyle w:val="10"/>
              <w:rPr>
                <w:highlight w:val="none"/>
              </w:rPr>
            </w:pPr>
            <w:r>
              <w:rPr>
                <w:highlight w:val="none"/>
              </w:rPr>
              <w:t>耕地占用税成本支出</w:t>
            </w:r>
          </w:p>
        </w:tc>
        <w:tc>
          <w:tcPr>
            <w:tcW w:w="1276" w:type="dxa"/>
            <w:vAlign w:val="center"/>
          </w:tcPr>
          <w:p>
            <w:pPr>
              <w:pStyle w:val="10"/>
              <w:rPr>
                <w:highlight w:val="none"/>
              </w:rPr>
            </w:pPr>
            <w:r>
              <w:rPr>
                <w:highlight w:val="none"/>
              </w:rPr>
              <w:t>≤985万元</w:t>
            </w:r>
          </w:p>
        </w:tc>
        <w:tc>
          <w:tcPr>
            <w:tcW w:w="1843" w:type="dxa"/>
            <w:vAlign w:val="center"/>
          </w:tcPr>
          <w:p>
            <w:pPr>
              <w:pStyle w:val="10"/>
              <w:rPr>
                <w:highlight w:val="none"/>
              </w:rPr>
            </w:pPr>
            <w:r>
              <w:rPr>
                <w:highlight w:val="none"/>
              </w:rPr>
              <w:t>每平米35元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提高政府税收</w:t>
            </w:r>
          </w:p>
          <w:p>
            <w:pPr>
              <w:pStyle w:val="10"/>
              <w:rPr>
                <w:highlight w:val="none"/>
              </w:rPr>
            </w:pPr>
          </w:p>
        </w:tc>
        <w:tc>
          <w:tcPr>
            <w:tcW w:w="2891" w:type="dxa"/>
            <w:vAlign w:val="center"/>
          </w:tcPr>
          <w:p>
            <w:pPr>
              <w:pStyle w:val="10"/>
              <w:rPr>
                <w:highlight w:val="none"/>
              </w:rPr>
            </w:pPr>
            <w:r>
              <w:rPr>
                <w:highlight w:val="none"/>
              </w:rPr>
              <w:t>提高政府税收</w:t>
            </w:r>
          </w:p>
        </w:tc>
        <w:tc>
          <w:tcPr>
            <w:tcW w:w="1276" w:type="dxa"/>
            <w:vAlign w:val="center"/>
          </w:tcPr>
          <w:p>
            <w:pPr>
              <w:pStyle w:val="10"/>
              <w:rPr>
                <w:highlight w:val="none"/>
              </w:rPr>
            </w:pPr>
            <w:r>
              <w:rPr>
                <w:highlight w:val="none"/>
              </w:rPr>
              <w:t>≤985万元</w:t>
            </w:r>
          </w:p>
        </w:tc>
        <w:tc>
          <w:tcPr>
            <w:tcW w:w="1843" w:type="dxa"/>
            <w:vAlign w:val="center"/>
          </w:tcPr>
          <w:p>
            <w:pPr>
              <w:pStyle w:val="10"/>
              <w:rPr>
                <w:highlight w:val="none"/>
              </w:rPr>
            </w:pPr>
            <w:r>
              <w:rPr>
                <w:highlight w:val="none"/>
              </w:rPr>
              <w:t>每平米35元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w:t>
            </w:r>
          </w:p>
          <w:p>
            <w:pPr>
              <w:pStyle w:val="10"/>
              <w:rPr>
                <w:highlight w:val="none"/>
              </w:rPr>
            </w:pPr>
            <w:r>
              <w:rPr>
                <w:highlight w:val="none"/>
              </w:rPr>
              <w:t>满意度指</w:t>
            </w:r>
          </w:p>
          <w:p>
            <w:pPr>
              <w:pStyle w:val="10"/>
              <w:rPr>
                <w:highlight w:val="none"/>
              </w:rPr>
            </w:pPr>
            <w:r>
              <w:rPr>
                <w:highlight w:val="none"/>
              </w:rPr>
              <w:t>标</w:t>
            </w:r>
          </w:p>
          <w:p>
            <w:pPr>
              <w:pStyle w:val="10"/>
              <w:rPr>
                <w:highlight w:val="none"/>
              </w:rPr>
            </w:pP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调查问卷</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7" w:name="_Toc_4_4_0000000018"/>
      <w:r>
        <w:rPr>
          <w:rFonts w:ascii="方正仿宋_GBK" w:hAnsi="方正仿宋_GBK" w:eastAsia="方正仿宋_GBK" w:cs="方正仿宋_GBK"/>
          <w:color w:val="000000"/>
          <w:sz w:val="28"/>
          <w:highlight w:val="none"/>
        </w:rPr>
        <w:t>15.规划编制费绩效目标表</w:t>
      </w:r>
      <w:bookmarkEnd w:id="1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13030322P00425610020A</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规划编制费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200.00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200.00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山海关区控制性详细规划单元修编、新编进度费用等。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1.1、重新修订、新编城镇开发边界内的控制性详细规划。</w:t>
            </w:r>
          </w:p>
          <w:p>
            <w:pPr>
              <w:pStyle w:val="10"/>
              <w:rPr>
                <w:highlight w:val="none"/>
              </w:rPr>
            </w:pPr>
            <w:r>
              <w:rPr>
                <w:highlight w:val="none"/>
              </w:rPr>
              <w:t>2、履行相关合同内容结清规划编制拖欠费用，并按时拨付新增进度费用，提高编制单位积极性及时完成各项工作任务。</w:t>
            </w: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完成控规成果修编和新编</w:t>
            </w:r>
          </w:p>
        </w:tc>
        <w:tc>
          <w:tcPr>
            <w:tcW w:w="2891" w:type="dxa"/>
            <w:vAlign w:val="center"/>
          </w:tcPr>
          <w:p>
            <w:pPr>
              <w:pStyle w:val="10"/>
              <w:rPr>
                <w:highlight w:val="none"/>
              </w:rPr>
            </w:pPr>
            <w:r>
              <w:rPr>
                <w:highlight w:val="none"/>
              </w:rPr>
              <w:t>完成控规成果修编和新编</w:t>
            </w:r>
          </w:p>
        </w:tc>
        <w:tc>
          <w:tcPr>
            <w:tcW w:w="1276" w:type="dxa"/>
            <w:vAlign w:val="center"/>
          </w:tcPr>
          <w:p>
            <w:pPr>
              <w:pStyle w:val="10"/>
              <w:rPr>
                <w:highlight w:val="none"/>
              </w:rPr>
            </w:pPr>
            <w:r>
              <w:rPr>
                <w:highlight w:val="none"/>
              </w:rPr>
              <w:t>≥2个</w:t>
            </w:r>
          </w:p>
        </w:tc>
        <w:tc>
          <w:tcPr>
            <w:tcW w:w="1843" w:type="dxa"/>
            <w:vAlign w:val="center"/>
          </w:tcPr>
          <w:p>
            <w:pPr>
              <w:pStyle w:val="10"/>
              <w:rPr>
                <w:highlight w:val="none"/>
              </w:rPr>
            </w:pPr>
            <w:r>
              <w:rPr>
                <w:highlight w:val="none"/>
              </w:rPr>
              <w:t>年度工作计划及合同约定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完成成果编制</w:t>
            </w:r>
          </w:p>
        </w:tc>
        <w:tc>
          <w:tcPr>
            <w:tcW w:w="2891" w:type="dxa"/>
            <w:vAlign w:val="center"/>
          </w:tcPr>
          <w:p>
            <w:pPr>
              <w:pStyle w:val="10"/>
              <w:rPr>
                <w:highlight w:val="none"/>
              </w:rPr>
            </w:pPr>
            <w:r>
              <w:rPr>
                <w:highlight w:val="none"/>
              </w:rPr>
              <w:t>完成规划编制数量</w:t>
            </w:r>
          </w:p>
        </w:tc>
        <w:tc>
          <w:tcPr>
            <w:tcW w:w="1276" w:type="dxa"/>
            <w:vAlign w:val="center"/>
          </w:tcPr>
          <w:p>
            <w:pPr>
              <w:pStyle w:val="10"/>
              <w:rPr>
                <w:highlight w:val="none"/>
              </w:rPr>
            </w:pPr>
            <w:r>
              <w:rPr>
                <w:highlight w:val="none"/>
              </w:rPr>
              <w:t>≥6个</w:t>
            </w:r>
          </w:p>
        </w:tc>
        <w:tc>
          <w:tcPr>
            <w:tcW w:w="1843" w:type="dxa"/>
            <w:vAlign w:val="center"/>
          </w:tcPr>
          <w:p>
            <w:pPr>
              <w:pStyle w:val="10"/>
              <w:rPr>
                <w:highlight w:val="none"/>
              </w:rPr>
            </w:pPr>
            <w:r>
              <w:rPr>
                <w:highlight w:val="none"/>
              </w:rPr>
              <w:t>年度工作计划及合同约定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通过上级审查</w:t>
            </w:r>
          </w:p>
        </w:tc>
        <w:tc>
          <w:tcPr>
            <w:tcW w:w="2891" w:type="dxa"/>
            <w:vAlign w:val="center"/>
          </w:tcPr>
          <w:p>
            <w:pPr>
              <w:pStyle w:val="10"/>
              <w:rPr>
                <w:highlight w:val="none"/>
              </w:rPr>
            </w:pPr>
            <w:r>
              <w:rPr>
                <w:highlight w:val="none"/>
              </w:rPr>
              <w:t>通过市、区两级政府审查</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通过上级审查</w:t>
            </w:r>
          </w:p>
        </w:tc>
        <w:tc>
          <w:tcPr>
            <w:tcW w:w="2891" w:type="dxa"/>
            <w:vAlign w:val="center"/>
          </w:tcPr>
          <w:p>
            <w:pPr>
              <w:pStyle w:val="10"/>
              <w:rPr>
                <w:highlight w:val="none"/>
              </w:rPr>
            </w:pPr>
            <w:r>
              <w:rPr>
                <w:highlight w:val="none"/>
              </w:rPr>
              <w:t>通过市、区两级政府审查</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完成率</w:t>
            </w:r>
          </w:p>
        </w:tc>
        <w:tc>
          <w:tcPr>
            <w:tcW w:w="2891" w:type="dxa"/>
            <w:vAlign w:val="center"/>
          </w:tcPr>
          <w:p>
            <w:pPr>
              <w:pStyle w:val="10"/>
              <w:rPr>
                <w:highlight w:val="none"/>
              </w:rPr>
            </w:pPr>
            <w:r>
              <w:rPr>
                <w:highlight w:val="none"/>
              </w:rPr>
              <w:t>按时完成成果编制并通过上级审批</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完成率</w:t>
            </w:r>
          </w:p>
        </w:tc>
        <w:tc>
          <w:tcPr>
            <w:tcW w:w="2891" w:type="dxa"/>
            <w:vAlign w:val="center"/>
          </w:tcPr>
          <w:p>
            <w:pPr>
              <w:pStyle w:val="10"/>
              <w:rPr>
                <w:highlight w:val="none"/>
              </w:rPr>
            </w:pPr>
            <w:r>
              <w:rPr>
                <w:highlight w:val="none"/>
              </w:rPr>
              <w:t>按时完成成果编制并通过上级审批</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资金成本</w:t>
            </w:r>
          </w:p>
        </w:tc>
        <w:tc>
          <w:tcPr>
            <w:tcW w:w="2891" w:type="dxa"/>
            <w:vAlign w:val="center"/>
          </w:tcPr>
          <w:p>
            <w:pPr>
              <w:pStyle w:val="10"/>
              <w:rPr>
                <w:highlight w:val="none"/>
              </w:rPr>
            </w:pPr>
            <w:r>
              <w:rPr>
                <w:highlight w:val="none"/>
              </w:rPr>
              <w:t>支出金额控制在预算额度内</w:t>
            </w:r>
          </w:p>
        </w:tc>
        <w:tc>
          <w:tcPr>
            <w:tcW w:w="1276" w:type="dxa"/>
            <w:vAlign w:val="center"/>
          </w:tcPr>
          <w:p>
            <w:pPr>
              <w:pStyle w:val="10"/>
              <w:rPr>
                <w:highlight w:val="none"/>
              </w:rPr>
            </w:pPr>
            <w:r>
              <w:rPr>
                <w:highlight w:val="none"/>
              </w:rPr>
              <w:t>≤200万元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提高国民生产总值</w:t>
            </w:r>
          </w:p>
        </w:tc>
        <w:tc>
          <w:tcPr>
            <w:tcW w:w="2891" w:type="dxa"/>
            <w:vAlign w:val="center"/>
          </w:tcPr>
          <w:p>
            <w:pPr>
              <w:pStyle w:val="10"/>
              <w:rPr>
                <w:highlight w:val="none"/>
              </w:rPr>
            </w:pPr>
            <w:r>
              <w:rPr>
                <w:highlight w:val="none"/>
              </w:rPr>
              <w:t>优化布局，带动产业发展</w:t>
            </w:r>
          </w:p>
        </w:tc>
        <w:tc>
          <w:tcPr>
            <w:tcW w:w="1276" w:type="dxa"/>
            <w:vAlign w:val="center"/>
          </w:tcPr>
          <w:p>
            <w:pPr>
              <w:pStyle w:val="10"/>
              <w:rPr>
                <w:highlight w:val="none"/>
              </w:rPr>
            </w:pPr>
            <w:r>
              <w:rPr>
                <w:highlight w:val="none"/>
              </w:rPr>
              <w:t>有效提高</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8" w:name="_Toc_4_4_0000000019"/>
      <w:r>
        <w:rPr>
          <w:rFonts w:ascii="方正仿宋_GBK" w:hAnsi="方正仿宋_GBK" w:eastAsia="方正仿宋_GBK" w:cs="方正仿宋_GBK"/>
          <w:color w:val="000000"/>
          <w:sz w:val="28"/>
          <w:highlight w:val="none"/>
        </w:rPr>
        <w:t>16.护林防火经费绩效目标表</w:t>
      </w:r>
      <w:bookmarkEnd w:id="1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13030322P00425610019Y</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护林防火经费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87.00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87.00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用于护林防火工作经费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1.预防减少自然灾害、降低火灾损失、保持森林覆盖率。</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巡查保护林地面积</w:t>
            </w:r>
          </w:p>
        </w:tc>
        <w:tc>
          <w:tcPr>
            <w:tcW w:w="2891" w:type="dxa"/>
            <w:vAlign w:val="center"/>
          </w:tcPr>
          <w:p>
            <w:pPr>
              <w:pStyle w:val="10"/>
              <w:rPr>
                <w:highlight w:val="none"/>
              </w:rPr>
            </w:pPr>
            <w:r>
              <w:rPr>
                <w:highlight w:val="none"/>
              </w:rPr>
              <w:t>巡查保护林地面积</w:t>
            </w:r>
          </w:p>
        </w:tc>
        <w:tc>
          <w:tcPr>
            <w:tcW w:w="1276" w:type="dxa"/>
            <w:vAlign w:val="center"/>
          </w:tcPr>
          <w:p>
            <w:pPr>
              <w:pStyle w:val="10"/>
              <w:rPr>
                <w:highlight w:val="none"/>
              </w:rPr>
            </w:pPr>
            <w:r>
              <w:rPr>
                <w:highlight w:val="none"/>
              </w:rPr>
              <w:t>77880亩</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车辆采购数量</w:t>
            </w:r>
          </w:p>
        </w:tc>
        <w:tc>
          <w:tcPr>
            <w:tcW w:w="2891" w:type="dxa"/>
            <w:vAlign w:val="center"/>
          </w:tcPr>
          <w:p>
            <w:pPr>
              <w:pStyle w:val="10"/>
              <w:rPr>
                <w:highlight w:val="none"/>
              </w:rPr>
            </w:pPr>
            <w:r>
              <w:rPr>
                <w:highlight w:val="none"/>
              </w:rPr>
              <w:t>车辆采购数量</w:t>
            </w:r>
          </w:p>
        </w:tc>
        <w:tc>
          <w:tcPr>
            <w:tcW w:w="1276" w:type="dxa"/>
            <w:vAlign w:val="center"/>
          </w:tcPr>
          <w:p>
            <w:pPr>
              <w:pStyle w:val="10"/>
              <w:rPr>
                <w:highlight w:val="none"/>
              </w:rPr>
            </w:pPr>
            <w:r>
              <w:rPr>
                <w:highlight w:val="none"/>
              </w:rPr>
              <w:t>2辆</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验收合格率</w:t>
            </w:r>
          </w:p>
        </w:tc>
        <w:tc>
          <w:tcPr>
            <w:tcW w:w="2891" w:type="dxa"/>
            <w:vAlign w:val="center"/>
          </w:tcPr>
          <w:p>
            <w:pPr>
              <w:pStyle w:val="10"/>
              <w:rPr>
                <w:highlight w:val="none"/>
              </w:rPr>
            </w:pPr>
            <w:r>
              <w:rPr>
                <w:highlight w:val="none"/>
              </w:rPr>
              <w:t>采购车辆验收合格率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按年度工作计划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当年实际日常巡查目标完成率</w:t>
            </w:r>
          </w:p>
        </w:tc>
        <w:tc>
          <w:tcPr>
            <w:tcW w:w="2891" w:type="dxa"/>
            <w:vAlign w:val="center"/>
          </w:tcPr>
          <w:p>
            <w:pPr>
              <w:pStyle w:val="10"/>
              <w:rPr>
                <w:highlight w:val="none"/>
              </w:rPr>
            </w:pPr>
            <w:r>
              <w:rPr>
                <w:highlight w:val="none"/>
              </w:rPr>
              <w:t>当年实际日常巡查目标完成率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人员工资保障率</w:t>
            </w:r>
          </w:p>
        </w:tc>
        <w:tc>
          <w:tcPr>
            <w:tcW w:w="2891" w:type="dxa"/>
            <w:vAlign w:val="center"/>
          </w:tcPr>
          <w:p>
            <w:pPr>
              <w:pStyle w:val="10"/>
              <w:rPr>
                <w:highlight w:val="none"/>
              </w:rPr>
            </w:pPr>
            <w:r>
              <w:rPr>
                <w:highlight w:val="none"/>
              </w:rPr>
              <w:t>保障人员工资按时发放工资</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护林防火任务完成率</w:t>
            </w:r>
          </w:p>
        </w:tc>
        <w:tc>
          <w:tcPr>
            <w:tcW w:w="2891" w:type="dxa"/>
            <w:vAlign w:val="center"/>
          </w:tcPr>
          <w:p>
            <w:pPr>
              <w:pStyle w:val="10"/>
              <w:rPr>
                <w:highlight w:val="none"/>
              </w:rPr>
            </w:pPr>
            <w:r>
              <w:rPr>
                <w:highlight w:val="none"/>
              </w:rPr>
              <w:t>护林防火任务完成率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成本预算控制数</w:t>
            </w:r>
          </w:p>
        </w:tc>
        <w:tc>
          <w:tcPr>
            <w:tcW w:w="2891" w:type="dxa"/>
            <w:vAlign w:val="center"/>
          </w:tcPr>
          <w:p>
            <w:pPr>
              <w:pStyle w:val="10"/>
              <w:rPr>
                <w:highlight w:val="none"/>
              </w:rPr>
            </w:pPr>
            <w:r>
              <w:rPr>
                <w:highlight w:val="none"/>
              </w:rPr>
              <w:t>支出金额控制在预算额度内</w:t>
            </w:r>
          </w:p>
        </w:tc>
        <w:tc>
          <w:tcPr>
            <w:tcW w:w="1276" w:type="dxa"/>
            <w:vAlign w:val="center"/>
          </w:tcPr>
          <w:p>
            <w:pPr>
              <w:pStyle w:val="10"/>
              <w:rPr>
                <w:highlight w:val="none"/>
              </w:rPr>
            </w:pPr>
            <w:r>
              <w:rPr>
                <w:highlight w:val="none"/>
              </w:rPr>
              <w:t>≤87万元</w:t>
            </w:r>
          </w:p>
        </w:tc>
        <w:tc>
          <w:tcPr>
            <w:tcW w:w="1843" w:type="dxa"/>
            <w:vAlign w:val="center"/>
          </w:tcPr>
          <w:p>
            <w:pPr>
              <w:pStyle w:val="10"/>
              <w:rPr>
                <w:highlight w:val="none"/>
              </w:rPr>
            </w:pPr>
            <w:r>
              <w:rPr>
                <w:highlight w:val="none"/>
              </w:rPr>
              <w:t>按年度工作计划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降低火灾损失</w:t>
            </w:r>
          </w:p>
        </w:tc>
        <w:tc>
          <w:tcPr>
            <w:tcW w:w="2891" w:type="dxa"/>
            <w:vAlign w:val="center"/>
          </w:tcPr>
          <w:p>
            <w:pPr>
              <w:pStyle w:val="10"/>
              <w:rPr>
                <w:highlight w:val="none"/>
              </w:rPr>
            </w:pPr>
            <w:r>
              <w:rPr>
                <w:highlight w:val="none"/>
              </w:rPr>
              <w:t>通过护林防火巡查从而减低火灾损失</w:t>
            </w:r>
          </w:p>
        </w:tc>
        <w:tc>
          <w:tcPr>
            <w:tcW w:w="1276" w:type="dxa"/>
            <w:vAlign w:val="center"/>
          </w:tcPr>
          <w:p>
            <w:pPr>
              <w:pStyle w:val="10"/>
              <w:rPr>
                <w:highlight w:val="none"/>
              </w:rPr>
            </w:pPr>
            <w:r>
              <w:rPr>
                <w:highlight w:val="none"/>
              </w:rPr>
              <w:t>有效降低</w:t>
            </w:r>
          </w:p>
        </w:tc>
        <w:tc>
          <w:tcPr>
            <w:tcW w:w="1843" w:type="dxa"/>
            <w:vAlign w:val="center"/>
          </w:tcPr>
          <w:p>
            <w:pPr>
              <w:pStyle w:val="10"/>
              <w:rPr>
                <w:highlight w:val="none"/>
              </w:rPr>
            </w:pPr>
            <w:r>
              <w:rPr>
                <w:highlight w:val="none"/>
              </w:rPr>
              <w:t>按年度工作计划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19" w:name="_Toc_4_4_0000000020"/>
      <w:r>
        <w:rPr>
          <w:rFonts w:ascii="方正仿宋_GBK" w:hAnsi="方正仿宋_GBK" w:eastAsia="方正仿宋_GBK" w:cs="方正仿宋_GBK"/>
          <w:color w:val="000000"/>
          <w:sz w:val="28"/>
          <w:highlight w:val="none"/>
        </w:rPr>
        <w:t>17.佳龙拟建动物园片区相关费用绩效目标表</w:t>
      </w:r>
      <w:bookmarkEnd w:id="1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13030322P00425610065U</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佳龙拟建动物园片区相关费用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13.00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13.00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"保障佳龙拟建动物园区工作正常运转。</w:t>
            </w:r>
            <w:r>
              <w:rPr>
                <w:highlight w:val="none"/>
              </w:rPr>
              <w:tab/>
            </w: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shd w:val="clear" w:color="auto" w:fill="E2EFDA" w:themeFill="accent6" w:themeFillTint="32"/>
            <w:vAlign w:val="center"/>
          </w:tcPr>
          <w:p>
            <w:pPr>
              <w:pStyle w:val="12"/>
              <w:rPr>
                <w:highlight w:val="none"/>
              </w:rPr>
            </w:pPr>
            <w:r>
              <w:rPr>
                <w:rFonts w:hint="eastAsia"/>
                <w:highlight w:val="none"/>
                <w:lang w:val="en-US" w:eastAsia="zh-CN"/>
              </w:rPr>
              <w:t>100</w:t>
            </w:r>
            <w:r>
              <w:rPr>
                <w:highlight w:val="none"/>
              </w:rPr>
              <w:t>%</w:t>
            </w:r>
          </w:p>
        </w:tc>
        <w:tc>
          <w:tcPr>
            <w:tcW w:w="1587" w:type="dxa"/>
            <w:shd w:val="clear" w:color="auto" w:fill="E2EFDA" w:themeFill="accent6" w:themeFillTint="32"/>
            <w:vAlign w:val="center"/>
          </w:tcPr>
          <w:p>
            <w:pPr>
              <w:pStyle w:val="12"/>
              <w:rPr>
                <w:highlight w:val="none"/>
              </w:rPr>
            </w:pPr>
            <w:r>
              <w:rPr>
                <w:rFonts w:hint="eastAsia"/>
                <w:highlight w:val="none"/>
                <w:lang w:val="en-US" w:eastAsia="zh-CN"/>
              </w:rPr>
              <w:t>100</w:t>
            </w:r>
            <w:r>
              <w:rPr>
                <w:highlight w:val="none"/>
              </w:rPr>
              <w:t>%</w:t>
            </w:r>
          </w:p>
        </w:tc>
        <w:tc>
          <w:tcPr>
            <w:tcW w:w="1304" w:type="dxa"/>
            <w:shd w:val="clear" w:color="auto" w:fill="E2EFDA" w:themeFill="accent6" w:themeFillTint="32"/>
            <w:vAlign w:val="center"/>
          </w:tcPr>
          <w:p>
            <w:pPr>
              <w:pStyle w:val="12"/>
              <w:rPr>
                <w:highlight w:val="none"/>
              </w:rPr>
            </w:pPr>
            <w:r>
              <w:rPr>
                <w:rFonts w:hint="eastAsia"/>
                <w:highlight w:val="none"/>
                <w:lang w:val="en-US" w:eastAsia="zh-CN"/>
              </w:rPr>
              <w:t>100</w:t>
            </w:r>
            <w:r>
              <w:rPr>
                <w:highlight w:val="none"/>
              </w:rPr>
              <w:t>%</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1.保障佳龙拟建动物园区工作正常运转。</w:t>
            </w:r>
            <w:r>
              <w:rPr>
                <w:highlight w:val="none"/>
              </w:rPr>
              <w:tab/>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租赁面积</w:t>
            </w:r>
          </w:p>
        </w:tc>
        <w:tc>
          <w:tcPr>
            <w:tcW w:w="2891" w:type="dxa"/>
            <w:vAlign w:val="center"/>
          </w:tcPr>
          <w:p>
            <w:pPr>
              <w:pStyle w:val="10"/>
              <w:rPr>
                <w:highlight w:val="none"/>
              </w:rPr>
            </w:pPr>
            <w:r>
              <w:rPr>
                <w:highlight w:val="none"/>
              </w:rPr>
              <w:t>租赁办公用房面积</w:t>
            </w:r>
          </w:p>
        </w:tc>
        <w:tc>
          <w:tcPr>
            <w:tcW w:w="1276" w:type="dxa"/>
            <w:vAlign w:val="center"/>
          </w:tcPr>
          <w:p>
            <w:pPr>
              <w:pStyle w:val="10"/>
              <w:rPr>
                <w:highlight w:val="none"/>
              </w:rPr>
            </w:pPr>
            <w:r>
              <w:rPr>
                <w:highlight w:val="none"/>
              </w:rPr>
              <w:t>100平方米</w:t>
            </w:r>
          </w:p>
        </w:tc>
        <w:tc>
          <w:tcPr>
            <w:tcW w:w="1843" w:type="dxa"/>
            <w:vAlign w:val="center"/>
          </w:tcPr>
          <w:p>
            <w:pPr>
              <w:pStyle w:val="10"/>
              <w:rPr>
                <w:highlight w:val="none"/>
              </w:rPr>
            </w:pPr>
            <w:r>
              <w:rPr>
                <w:highlight w:val="none"/>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租赁办公用房质量情况</w:t>
            </w:r>
          </w:p>
        </w:tc>
        <w:tc>
          <w:tcPr>
            <w:tcW w:w="2891" w:type="dxa"/>
            <w:vAlign w:val="center"/>
          </w:tcPr>
          <w:p>
            <w:pPr>
              <w:pStyle w:val="10"/>
              <w:rPr>
                <w:highlight w:val="none"/>
              </w:rPr>
            </w:pPr>
            <w:r>
              <w:rPr>
                <w:highlight w:val="none"/>
              </w:rPr>
              <w:t>办公用房内各项设施齐全，运转正常</w:t>
            </w:r>
          </w:p>
        </w:tc>
        <w:tc>
          <w:tcPr>
            <w:tcW w:w="1276" w:type="dxa"/>
            <w:vAlign w:val="center"/>
          </w:tcPr>
          <w:p>
            <w:pPr>
              <w:pStyle w:val="10"/>
              <w:rPr>
                <w:highlight w:val="none"/>
              </w:rPr>
            </w:pPr>
            <w:r>
              <w:rPr>
                <w:highlight w:val="none"/>
              </w:rPr>
              <w:t>设施齐全，正常运转</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房租支出的及时性</w:t>
            </w:r>
          </w:p>
        </w:tc>
        <w:tc>
          <w:tcPr>
            <w:tcW w:w="2891" w:type="dxa"/>
            <w:vAlign w:val="center"/>
          </w:tcPr>
          <w:p>
            <w:pPr>
              <w:pStyle w:val="10"/>
              <w:rPr>
                <w:highlight w:val="none"/>
              </w:rPr>
            </w:pPr>
            <w:r>
              <w:rPr>
                <w:highlight w:val="none"/>
              </w:rPr>
              <w:t>按合同约定及时支付房租</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房屋租赁费</w:t>
            </w:r>
          </w:p>
        </w:tc>
        <w:tc>
          <w:tcPr>
            <w:tcW w:w="2891" w:type="dxa"/>
            <w:vAlign w:val="center"/>
          </w:tcPr>
          <w:p>
            <w:pPr>
              <w:pStyle w:val="10"/>
              <w:rPr>
                <w:highlight w:val="none"/>
              </w:rPr>
            </w:pPr>
            <w:r>
              <w:rPr>
                <w:highlight w:val="none"/>
              </w:rPr>
              <w:t>房屋租赁费</w:t>
            </w:r>
          </w:p>
        </w:tc>
        <w:tc>
          <w:tcPr>
            <w:tcW w:w="1276" w:type="dxa"/>
            <w:vAlign w:val="center"/>
          </w:tcPr>
          <w:p>
            <w:pPr>
              <w:pStyle w:val="10"/>
              <w:rPr>
                <w:highlight w:val="none"/>
              </w:rPr>
            </w:pPr>
            <w:r>
              <w:rPr>
                <w:highlight w:val="none"/>
              </w:rPr>
              <w:t>13万元</w:t>
            </w:r>
          </w:p>
        </w:tc>
        <w:tc>
          <w:tcPr>
            <w:tcW w:w="1843" w:type="dxa"/>
            <w:vAlign w:val="center"/>
          </w:tcPr>
          <w:p>
            <w:pPr>
              <w:pStyle w:val="10"/>
              <w:rPr>
                <w:highlight w:val="none"/>
              </w:rPr>
            </w:pPr>
            <w:r>
              <w:rPr>
                <w:highlight w:val="none"/>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改善办公条件</w:t>
            </w:r>
          </w:p>
        </w:tc>
        <w:tc>
          <w:tcPr>
            <w:tcW w:w="2891" w:type="dxa"/>
            <w:vAlign w:val="center"/>
          </w:tcPr>
          <w:p>
            <w:pPr>
              <w:pStyle w:val="10"/>
              <w:rPr>
                <w:highlight w:val="none"/>
              </w:rPr>
            </w:pPr>
            <w:r>
              <w:rPr>
                <w:highlight w:val="none"/>
              </w:rPr>
              <w:t>改善办公条件</w:t>
            </w:r>
          </w:p>
        </w:tc>
        <w:tc>
          <w:tcPr>
            <w:tcW w:w="1276" w:type="dxa"/>
            <w:vAlign w:val="center"/>
          </w:tcPr>
          <w:p>
            <w:pPr>
              <w:pStyle w:val="10"/>
              <w:rPr>
                <w:highlight w:val="none"/>
              </w:rPr>
            </w:pPr>
            <w:r>
              <w:rPr>
                <w:highlight w:val="none"/>
              </w:rPr>
              <w:t>逐渐改善</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服务对象满意度指标</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群众满意度调查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0" w:name="_Toc_4_4_0000000021"/>
      <w:r>
        <w:rPr>
          <w:rFonts w:ascii="方正仿宋_GBK" w:hAnsi="方正仿宋_GBK" w:eastAsia="方正仿宋_GBK" w:cs="方正仿宋_GBK"/>
          <w:color w:val="000000"/>
          <w:sz w:val="28"/>
          <w:highlight w:val="none"/>
        </w:rPr>
        <w:t>18.林业草原生态保护恢复资金绩效目标表</w:t>
      </w:r>
      <w:bookmarkEnd w:id="2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13030322P00422910001H</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林业草原生态保护恢复资金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4.81</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4.81</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"依据检查验收结果发放农户补助</w:t>
            </w:r>
            <w:r>
              <w:rPr>
                <w:highlight w:val="none"/>
              </w:rPr>
              <w:tab/>
            </w: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1.依据检查验收结果发放农户补助</w:t>
            </w:r>
            <w:r>
              <w:rPr>
                <w:highlight w:val="none"/>
              </w:rPr>
              <w:tab/>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造林任务完成率</w:t>
            </w:r>
          </w:p>
        </w:tc>
        <w:tc>
          <w:tcPr>
            <w:tcW w:w="2891" w:type="dxa"/>
            <w:vAlign w:val="center"/>
          </w:tcPr>
          <w:p>
            <w:pPr>
              <w:pStyle w:val="10"/>
              <w:rPr>
                <w:highlight w:val="none"/>
              </w:rPr>
            </w:pPr>
            <w:r>
              <w:rPr>
                <w:highlight w:val="none"/>
              </w:rPr>
              <w:t>完成预期目标</w:t>
            </w:r>
          </w:p>
        </w:tc>
        <w:tc>
          <w:tcPr>
            <w:tcW w:w="1276" w:type="dxa"/>
            <w:vAlign w:val="center"/>
          </w:tcPr>
          <w:p>
            <w:pPr>
              <w:pStyle w:val="10"/>
              <w:rPr>
                <w:highlight w:val="none"/>
              </w:rPr>
            </w:pPr>
            <w:r>
              <w:rPr>
                <w:rFonts w:hint="eastAsia"/>
                <w:highlight w:val="none"/>
                <w:lang w:val="en-US" w:eastAsia="zh-CN"/>
              </w:rPr>
              <w:t>=</w:t>
            </w:r>
            <w:r>
              <w:rPr>
                <w:highlight w:val="none"/>
              </w:rPr>
              <w:t>100%</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苗木保存率和成活率</w:t>
            </w:r>
          </w:p>
        </w:tc>
        <w:tc>
          <w:tcPr>
            <w:tcW w:w="2891" w:type="dxa"/>
            <w:vAlign w:val="center"/>
          </w:tcPr>
          <w:p>
            <w:pPr>
              <w:pStyle w:val="10"/>
              <w:rPr>
                <w:highlight w:val="none"/>
              </w:rPr>
            </w:pPr>
            <w:r>
              <w:rPr>
                <w:highlight w:val="none"/>
              </w:rPr>
              <w:t>苗木保存率和成活率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上一轮退耕还生态林苗木保存率</w:t>
            </w:r>
          </w:p>
        </w:tc>
        <w:tc>
          <w:tcPr>
            <w:tcW w:w="2891" w:type="dxa"/>
            <w:vAlign w:val="center"/>
          </w:tcPr>
          <w:p>
            <w:pPr>
              <w:pStyle w:val="10"/>
              <w:rPr>
                <w:highlight w:val="none"/>
              </w:rPr>
            </w:pPr>
            <w:r>
              <w:rPr>
                <w:highlight w:val="none"/>
              </w:rPr>
              <w:t>上一轮退耕还生态林农户苗木当期保存率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上一轮退耕还生态林中央财政补助</w:t>
            </w:r>
          </w:p>
        </w:tc>
        <w:tc>
          <w:tcPr>
            <w:tcW w:w="2891" w:type="dxa"/>
            <w:vAlign w:val="center"/>
          </w:tcPr>
          <w:p>
            <w:pPr>
              <w:pStyle w:val="10"/>
              <w:rPr>
                <w:highlight w:val="none"/>
              </w:rPr>
            </w:pPr>
            <w:r>
              <w:rPr>
                <w:highlight w:val="none"/>
              </w:rPr>
              <w:t>上一轮退耕还生态林中央财政补助</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完成预期目标</w:t>
            </w:r>
          </w:p>
        </w:tc>
        <w:tc>
          <w:tcPr>
            <w:tcW w:w="2891" w:type="dxa"/>
            <w:vAlign w:val="center"/>
          </w:tcPr>
          <w:p>
            <w:pPr>
              <w:pStyle w:val="10"/>
              <w:rPr>
                <w:highlight w:val="none"/>
              </w:rPr>
            </w:pPr>
            <w:r>
              <w:rPr>
                <w:highlight w:val="none"/>
              </w:rPr>
              <w:t>完成预期目标</w:t>
            </w:r>
          </w:p>
        </w:tc>
        <w:tc>
          <w:tcPr>
            <w:tcW w:w="1276" w:type="dxa"/>
            <w:vAlign w:val="center"/>
          </w:tcPr>
          <w:p>
            <w:pPr>
              <w:pStyle w:val="10"/>
              <w:rPr>
                <w:highlight w:val="none"/>
              </w:rPr>
            </w:pPr>
            <w:r>
              <w:rPr>
                <w:highlight w:val="none"/>
              </w:rPr>
              <w:t>≥95%</w:t>
            </w:r>
          </w:p>
        </w:tc>
        <w:tc>
          <w:tcPr>
            <w:tcW w:w="1843" w:type="dxa"/>
            <w:vAlign w:val="center"/>
          </w:tcPr>
          <w:p>
            <w:pPr>
              <w:pStyle w:val="10"/>
              <w:rPr>
                <w:rFonts w:hint="eastAsia" w:eastAsia="方正书宋_GBK"/>
                <w:highlight w:val="none"/>
                <w:lang w:eastAsia="zh-CN"/>
              </w:rPr>
            </w:pPr>
            <w:r>
              <w:rPr>
                <w:rFonts w:hint="eastAsia"/>
                <w:highlight w:val="none"/>
                <w:lang w:eastAsia="zh-CN"/>
              </w:rPr>
              <w:t>调查问卷</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1" w:name="_Toc_4_4_0000000022"/>
      <w:r>
        <w:rPr>
          <w:rFonts w:ascii="方正仿宋_GBK" w:hAnsi="方正仿宋_GBK" w:eastAsia="方正仿宋_GBK" w:cs="方正仿宋_GBK"/>
          <w:color w:val="000000"/>
          <w:sz w:val="28"/>
          <w:highlight w:val="none"/>
        </w:rPr>
        <w:t>19.人事代理专项补助绩效目标表</w:t>
      </w:r>
      <w:bookmarkEnd w:id="2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13030322P00426410008B</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36.00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36.00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保证专项补助的正确使用和发放</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1.保证专项补助的正确使用和发放</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成本数额正确</w:t>
            </w:r>
          </w:p>
        </w:tc>
        <w:tc>
          <w:tcPr>
            <w:tcW w:w="2891" w:type="dxa"/>
            <w:vAlign w:val="center"/>
          </w:tcPr>
          <w:p>
            <w:pPr>
              <w:pStyle w:val="10"/>
              <w:rPr>
                <w:highlight w:val="none"/>
              </w:rPr>
            </w:pPr>
            <w:r>
              <w:rPr>
                <w:highlight w:val="none"/>
              </w:rPr>
              <w:t>成本数额正确</w:t>
            </w:r>
          </w:p>
        </w:tc>
        <w:tc>
          <w:tcPr>
            <w:tcW w:w="1276" w:type="dxa"/>
            <w:vAlign w:val="center"/>
          </w:tcPr>
          <w:p>
            <w:pPr>
              <w:pStyle w:val="10"/>
              <w:rPr>
                <w:highlight w:val="none"/>
              </w:rPr>
            </w:pPr>
            <w:r>
              <w:rPr>
                <w:highlight w:val="none"/>
              </w:rPr>
              <w:t>≤36万元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保证发放质量</w:t>
            </w:r>
          </w:p>
        </w:tc>
        <w:tc>
          <w:tcPr>
            <w:tcW w:w="2891" w:type="dxa"/>
            <w:vAlign w:val="center"/>
          </w:tcPr>
          <w:p>
            <w:pPr>
              <w:pStyle w:val="10"/>
              <w:rPr>
                <w:highlight w:val="none"/>
              </w:rPr>
            </w:pPr>
            <w:r>
              <w:rPr>
                <w:highlight w:val="none"/>
              </w:rPr>
              <w:t>保证发放质量</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保证及时发放</w:t>
            </w:r>
          </w:p>
        </w:tc>
        <w:tc>
          <w:tcPr>
            <w:tcW w:w="2891" w:type="dxa"/>
            <w:vAlign w:val="center"/>
          </w:tcPr>
          <w:p>
            <w:pPr>
              <w:pStyle w:val="10"/>
              <w:rPr>
                <w:highlight w:val="none"/>
              </w:rPr>
            </w:pPr>
            <w:r>
              <w:rPr>
                <w:highlight w:val="none"/>
              </w:rPr>
              <w:t>保证及时发放</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成本数额正确率</w:t>
            </w:r>
          </w:p>
        </w:tc>
        <w:tc>
          <w:tcPr>
            <w:tcW w:w="2891" w:type="dxa"/>
            <w:vAlign w:val="center"/>
          </w:tcPr>
          <w:p>
            <w:pPr>
              <w:pStyle w:val="10"/>
              <w:rPr>
                <w:highlight w:val="none"/>
              </w:rPr>
            </w:pPr>
            <w:r>
              <w:rPr>
                <w:highlight w:val="none"/>
              </w:rPr>
              <w:t>成本数额正确率</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经济提标</w:t>
            </w:r>
          </w:p>
        </w:tc>
        <w:tc>
          <w:tcPr>
            <w:tcW w:w="2891" w:type="dxa"/>
            <w:vAlign w:val="center"/>
          </w:tcPr>
          <w:p>
            <w:pPr>
              <w:pStyle w:val="10"/>
              <w:rPr>
                <w:highlight w:val="none"/>
              </w:rPr>
            </w:pPr>
            <w:r>
              <w:rPr>
                <w:highlight w:val="none"/>
              </w:rPr>
              <w:t>经济提标</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green"/>
              </w:rPr>
            </w:pPr>
            <w:r>
              <w:rPr>
                <w:highlight w:val="green"/>
              </w:rPr>
              <w:t>满意度指标</w:t>
            </w:r>
          </w:p>
        </w:tc>
        <w:tc>
          <w:tcPr>
            <w:tcW w:w="1276" w:type="dxa"/>
            <w:vAlign w:val="center"/>
          </w:tcPr>
          <w:p>
            <w:pPr>
              <w:pStyle w:val="10"/>
              <w:rPr>
                <w:highlight w:val="green"/>
              </w:rPr>
            </w:pPr>
            <w:r>
              <w:rPr>
                <w:highlight w:val="green"/>
              </w:rPr>
              <w:t>服务对象满意度指标</w:t>
            </w:r>
          </w:p>
        </w:tc>
        <w:tc>
          <w:tcPr>
            <w:tcW w:w="1332" w:type="dxa"/>
            <w:vAlign w:val="center"/>
          </w:tcPr>
          <w:p>
            <w:pPr>
              <w:pStyle w:val="10"/>
              <w:rPr>
                <w:highlight w:val="green"/>
              </w:rPr>
            </w:pPr>
            <w:r>
              <w:rPr>
                <w:highlight w:val="green"/>
              </w:rPr>
              <w:t>满意度</w:t>
            </w:r>
          </w:p>
        </w:tc>
        <w:tc>
          <w:tcPr>
            <w:tcW w:w="2891" w:type="dxa"/>
            <w:vAlign w:val="center"/>
          </w:tcPr>
          <w:p>
            <w:pPr>
              <w:pStyle w:val="10"/>
              <w:rPr>
                <w:highlight w:val="green"/>
              </w:rPr>
            </w:pPr>
            <w:r>
              <w:rPr>
                <w:highlight w:val="green"/>
              </w:rPr>
              <w:t>满意度</w:t>
            </w:r>
          </w:p>
        </w:tc>
        <w:tc>
          <w:tcPr>
            <w:tcW w:w="1276" w:type="dxa"/>
            <w:vAlign w:val="center"/>
          </w:tcPr>
          <w:p>
            <w:pPr>
              <w:pStyle w:val="10"/>
              <w:rPr>
                <w:highlight w:val="green"/>
              </w:rPr>
            </w:pPr>
            <w:r>
              <w:rPr>
                <w:highlight w:val="green"/>
              </w:rPr>
              <w:t>≥99%</w:t>
            </w:r>
          </w:p>
        </w:tc>
        <w:tc>
          <w:tcPr>
            <w:tcW w:w="1843" w:type="dxa"/>
            <w:vAlign w:val="center"/>
          </w:tcPr>
          <w:p>
            <w:pPr>
              <w:pStyle w:val="10"/>
              <w:rPr>
                <w:rFonts w:hint="eastAsia" w:eastAsia="方正书宋_GBK"/>
                <w:highlight w:val="green"/>
                <w:lang w:eastAsia="zh-CN"/>
              </w:rPr>
            </w:pPr>
            <w:r>
              <w:rPr>
                <w:rFonts w:hint="eastAsia"/>
                <w:highlight w:val="green"/>
                <w:lang w:eastAsia="zh-CN"/>
              </w:rPr>
              <w:t>调查问卷</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2" w:name="_Toc_4_4_0000000023"/>
      <w:r>
        <w:rPr>
          <w:rFonts w:ascii="方正仿宋_GBK" w:hAnsi="方正仿宋_GBK" w:eastAsia="方正仿宋_GBK" w:cs="方正仿宋_GBK"/>
          <w:color w:val="000000"/>
          <w:sz w:val="28"/>
          <w:highlight w:val="none"/>
        </w:rPr>
        <w:t>20.山海关存量农村宅基地和集体建设用地及房屋登记资料汇交入库绩效目标表</w:t>
      </w:r>
      <w:bookmarkEnd w:id="2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13030322P00425610022H</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山海关存量农村宅基地和集体建设用地及房屋登记资料汇交入库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80.00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80.00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按照省市相关文件要求，通过区财政部门资金拨付支持，保障项目的全力开展，确保我区存量农村宅基地和集体建设用地及房屋登记资料汇交入库工作按时完成，使我区新增建设用地报批工作不受影响，从而保障我区整体建设及经济发展平稳发展。</w:t>
            </w:r>
            <w:r>
              <w:rPr>
                <w:highlight w:val="none"/>
              </w:rPr>
              <w:tab/>
            </w:r>
            <w:r>
              <w:rPr>
                <w:highlight w:val="none"/>
              </w:rPr>
              <w:tab/>
            </w:r>
            <w:r>
              <w:rPr>
                <w:highlight w:val="none"/>
              </w:rPr>
              <w:tab/>
            </w:r>
            <w:r>
              <w:rPr>
                <w:highlight w:val="none"/>
              </w:rPr>
              <w:tab/>
            </w: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按照省市相关文件要求，通过区财政部门资金拨付支持，保障项目的全力开展，确保我区存量农村宅基地和集体建设用地及房屋登记资料汇交入库工作按时完成，使我区新增建设用地报批工作不受影响，从而保障我区整体建设及经济发展平稳发展。</w:t>
            </w:r>
            <w:r>
              <w:rPr>
                <w:highlight w:val="none"/>
              </w:rPr>
              <w:tab/>
            </w:r>
            <w:r>
              <w:rPr>
                <w:highlight w:val="none"/>
              </w:rPr>
              <w:tab/>
            </w:r>
            <w:r>
              <w:rPr>
                <w:highlight w:val="none"/>
              </w:rPr>
              <w:tab/>
            </w:r>
            <w:r>
              <w:rPr>
                <w:highlight w:val="none"/>
              </w:rPr>
              <w:tab/>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山海关区存量农村宅基地和集体建设用地及房屋登记资料汇交入库（17000宗）</w:t>
            </w:r>
          </w:p>
        </w:tc>
        <w:tc>
          <w:tcPr>
            <w:tcW w:w="2891" w:type="dxa"/>
            <w:vAlign w:val="center"/>
          </w:tcPr>
          <w:p>
            <w:pPr>
              <w:pStyle w:val="10"/>
              <w:rPr>
                <w:highlight w:val="none"/>
              </w:rPr>
            </w:pPr>
            <w:r>
              <w:rPr>
                <w:highlight w:val="none"/>
              </w:rPr>
              <w:t>针对山海关区已有存量农村宅基地和集体建设用地及房屋登记资料进行扫描及数据处理并上交省厅完成汇交入库</w:t>
            </w:r>
          </w:p>
        </w:tc>
        <w:tc>
          <w:tcPr>
            <w:tcW w:w="1276" w:type="dxa"/>
            <w:vAlign w:val="center"/>
          </w:tcPr>
          <w:p>
            <w:pPr>
              <w:pStyle w:val="10"/>
              <w:rPr>
                <w:highlight w:val="none"/>
              </w:rPr>
            </w:pPr>
            <w:r>
              <w:rPr>
                <w:highlight w:val="none"/>
              </w:rPr>
              <w:t>符合省厅汇交入库技术要求</w:t>
            </w:r>
          </w:p>
        </w:tc>
        <w:tc>
          <w:tcPr>
            <w:tcW w:w="1843" w:type="dxa"/>
            <w:vAlign w:val="center"/>
          </w:tcPr>
          <w:p>
            <w:pPr>
              <w:pStyle w:val="10"/>
              <w:rPr>
                <w:highlight w:val="none"/>
              </w:rPr>
            </w:pPr>
            <w:r>
              <w:rPr>
                <w:highlight w:val="none"/>
              </w:rPr>
              <w:t>自然资源部关于加快宅基地和集体建设用地使用权确权登记工作的通知（自然资发[2020]84号）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按照省厅技术要求按时限完成</w:t>
            </w:r>
          </w:p>
        </w:tc>
        <w:tc>
          <w:tcPr>
            <w:tcW w:w="2891" w:type="dxa"/>
            <w:vAlign w:val="center"/>
          </w:tcPr>
          <w:p>
            <w:pPr>
              <w:pStyle w:val="10"/>
              <w:rPr>
                <w:highlight w:val="none"/>
              </w:rPr>
            </w:pPr>
            <w:r>
              <w:rPr>
                <w:highlight w:val="none"/>
              </w:rPr>
              <w:t>汇交入库数据符合国家相关规范性文件</w:t>
            </w:r>
          </w:p>
        </w:tc>
        <w:tc>
          <w:tcPr>
            <w:tcW w:w="1276" w:type="dxa"/>
            <w:vAlign w:val="center"/>
          </w:tcPr>
          <w:p>
            <w:pPr>
              <w:pStyle w:val="10"/>
              <w:rPr>
                <w:highlight w:val="none"/>
              </w:rPr>
            </w:pPr>
            <w:r>
              <w:rPr>
                <w:highlight w:val="none"/>
              </w:rPr>
              <w:t>符合省厅汇交入库技术要求</w:t>
            </w:r>
          </w:p>
        </w:tc>
        <w:tc>
          <w:tcPr>
            <w:tcW w:w="1843" w:type="dxa"/>
            <w:vAlign w:val="center"/>
          </w:tcPr>
          <w:p>
            <w:pPr>
              <w:pStyle w:val="10"/>
              <w:rPr>
                <w:highlight w:val="none"/>
              </w:rPr>
            </w:pPr>
            <w:r>
              <w:rPr>
                <w:highlight w:val="none"/>
              </w:rPr>
              <w:t>河北省自然资源部信息中心通过汇交入库的通知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省级自然资源管理部门具体要求</w:t>
            </w:r>
          </w:p>
        </w:tc>
        <w:tc>
          <w:tcPr>
            <w:tcW w:w="2891" w:type="dxa"/>
            <w:vAlign w:val="center"/>
          </w:tcPr>
          <w:p>
            <w:pPr>
              <w:pStyle w:val="10"/>
              <w:rPr>
                <w:highlight w:val="none"/>
              </w:rPr>
            </w:pPr>
            <w:r>
              <w:rPr>
                <w:highlight w:val="none"/>
              </w:rPr>
              <w:t>在省级自然资源管理部门要求的时间内完成相关工作</w:t>
            </w:r>
          </w:p>
        </w:tc>
        <w:tc>
          <w:tcPr>
            <w:tcW w:w="1276" w:type="dxa"/>
            <w:vAlign w:val="center"/>
          </w:tcPr>
          <w:p>
            <w:pPr>
              <w:pStyle w:val="10"/>
              <w:rPr>
                <w:highlight w:val="none"/>
              </w:rPr>
            </w:pPr>
            <w:r>
              <w:rPr>
                <w:highlight w:val="none"/>
              </w:rPr>
              <w:t>符合河北省自然资源管理部门关于该项目的时间要求</w:t>
            </w:r>
          </w:p>
        </w:tc>
        <w:tc>
          <w:tcPr>
            <w:tcW w:w="1843" w:type="dxa"/>
            <w:vAlign w:val="center"/>
          </w:tcPr>
          <w:p>
            <w:pPr>
              <w:pStyle w:val="10"/>
              <w:rPr>
                <w:highlight w:val="none"/>
              </w:rPr>
            </w:pPr>
            <w:r>
              <w:rPr>
                <w:highlight w:val="none"/>
              </w:rPr>
              <w:t>河北省自然资源部信息中心通过汇交入库的通知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档案资料扫描、数字化处理、数据格式编制及数据库对接，并将相关数据与不动产登记系统进行数据挂接</w:t>
            </w:r>
          </w:p>
        </w:tc>
        <w:tc>
          <w:tcPr>
            <w:tcW w:w="2891" w:type="dxa"/>
            <w:vAlign w:val="center"/>
          </w:tcPr>
          <w:p>
            <w:pPr>
              <w:pStyle w:val="10"/>
              <w:rPr>
                <w:highlight w:val="none"/>
              </w:rPr>
            </w:pPr>
            <w:r>
              <w:rPr>
                <w:highlight w:val="none"/>
              </w:rPr>
              <w:t>按照省自然资源管理部门技术要求，对档案资料扫描、数字化处理、数据格式编制及数据库对接，并将相关数据与不动产登记系统进行数据挂接</w:t>
            </w:r>
          </w:p>
        </w:tc>
        <w:tc>
          <w:tcPr>
            <w:tcW w:w="1276" w:type="dxa"/>
            <w:vAlign w:val="center"/>
          </w:tcPr>
          <w:p>
            <w:pPr>
              <w:pStyle w:val="10"/>
              <w:rPr>
                <w:highlight w:val="none"/>
              </w:rPr>
            </w:pPr>
            <w:r>
              <w:rPr>
                <w:highlight w:val="none"/>
              </w:rPr>
              <w:t>≤80万元</w:t>
            </w:r>
          </w:p>
        </w:tc>
        <w:tc>
          <w:tcPr>
            <w:tcW w:w="1843" w:type="dxa"/>
            <w:vAlign w:val="center"/>
          </w:tcPr>
          <w:p>
            <w:pPr>
              <w:pStyle w:val="10"/>
              <w:rPr>
                <w:highlight w:val="none"/>
              </w:rPr>
            </w:pPr>
            <w:r>
              <w:rPr>
                <w:highlight w:val="none"/>
              </w:rPr>
              <w:t>山海关区存量农村宅基地和集体建设用地及房屋登记资料汇交入库预算表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按照省市相关文件要求，按时完成汇交入库，使我区新增建设用地报批工作不受影响，从而保障我区整体建设及经济发展平稳发展。</w:t>
            </w:r>
          </w:p>
        </w:tc>
        <w:tc>
          <w:tcPr>
            <w:tcW w:w="2891" w:type="dxa"/>
            <w:vAlign w:val="center"/>
          </w:tcPr>
          <w:p>
            <w:pPr>
              <w:pStyle w:val="10"/>
              <w:rPr>
                <w:highlight w:val="none"/>
              </w:rPr>
            </w:pPr>
            <w:r>
              <w:rPr>
                <w:highlight w:val="none"/>
              </w:rPr>
              <w:t>按照省市相关文件要求，按时完成汇交入库，使我区新增建设用地报批工作不受影响，从而保障我区整体建设及经济发展平稳发展。</w:t>
            </w:r>
          </w:p>
        </w:tc>
        <w:tc>
          <w:tcPr>
            <w:tcW w:w="1276" w:type="dxa"/>
            <w:vAlign w:val="center"/>
          </w:tcPr>
          <w:p>
            <w:pPr>
              <w:pStyle w:val="10"/>
              <w:rPr>
                <w:highlight w:val="none"/>
              </w:rPr>
            </w:pPr>
            <w:r>
              <w:rPr>
                <w:highlight w:val="none"/>
              </w:rPr>
              <w:t>按时完成</w:t>
            </w:r>
          </w:p>
        </w:tc>
        <w:tc>
          <w:tcPr>
            <w:tcW w:w="1843" w:type="dxa"/>
            <w:vAlign w:val="center"/>
          </w:tcPr>
          <w:p>
            <w:pPr>
              <w:pStyle w:val="10"/>
              <w:rPr>
                <w:highlight w:val="none"/>
              </w:rPr>
            </w:pPr>
            <w:r>
              <w:rPr>
                <w:highlight w:val="none"/>
              </w:rPr>
              <w:t>河北省自然资源厅信息中心通过汇交入库的通知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通过省级资源管理部门入库审查</w:t>
            </w:r>
          </w:p>
        </w:tc>
        <w:tc>
          <w:tcPr>
            <w:tcW w:w="2891" w:type="dxa"/>
            <w:vAlign w:val="center"/>
          </w:tcPr>
          <w:p>
            <w:pPr>
              <w:pStyle w:val="10"/>
              <w:rPr>
                <w:highlight w:val="none"/>
              </w:rPr>
            </w:pPr>
            <w:r>
              <w:rPr>
                <w:highlight w:val="none"/>
              </w:rPr>
              <w:t>通过省级部门相关质检要求，通过数据汇交入库审查</w:t>
            </w:r>
          </w:p>
        </w:tc>
        <w:tc>
          <w:tcPr>
            <w:tcW w:w="1276" w:type="dxa"/>
            <w:vAlign w:val="center"/>
          </w:tcPr>
          <w:p>
            <w:pPr>
              <w:pStyle w:val="10"/>
              <w:rPr>
                <w:highlight w:val="none"/>
              </w:rPr>
            </w:pPr>
            <w:r>
              <w:rPr>
                <w:highlight w:val="none"/>
              </w:rPr>
              <w:t>合格</w:t>
            </w:r>
          </w:p>
        </w:tc>
        <w:tc>
          <w:tcPr>
            <w:tcW w:w="1843" w:type="dxa"/>
            <w:vAlign w:val="center"/>
          </w:tcPr>
          <w:p>
            <w:pPr>
              <w:pStyle w:val="10"/>
              <w:rPr>
                <w:rFonts w:hint="eastAsia" w:eastAsia="方正书宋_GBK"/>
                <w:highlight w:val="none"/>
                <w:lang w:eastAsia="zh-CN"/>
              </w:rPr>
            </w:pPr>
            <w:r>
              <w:rPr>
                <w:rFonts w:hint="eastAsia"/>
                <w:highlight w:val="none"/>
                <w:lang w:eastAsia="zh-CN"/>
              </w:rPr>
              <w:t>满意度调查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3" w:name="_Toc_4_4_0000000024"/>
      <w:r>
        <w:rPr>
          <w:rFonts w:ascii="方正仿宋_GBK" w:hAnsi="方正仿宋_GBK" w:eastAsia="方正仿宋_GBK" w:cs="方正仿宋_GBK"/>
          <w:color w:val="000000"/>
          <w:sz w:val="28"/>
          <w:highlight w:val="none"/>
        </w:rPr>
        <w:t>21.山海关区2020年度、2021年度国土变更调查绩效目标表</w:t>
      </w:r>
      <w:bookmarkEnd w:id="2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13030322P004256100235</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山海关区2020年度、2021年度国土变更调查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80.00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80.00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国土变更调查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1.1.开展2020年度国土变更调查，促进我区掌握国土利用变化情况</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国家审查通过图斑数量比例</w:t>
            </w:r>
          </w:p>
        </w:tc>
        <w:tc>
          <w:tcPr>
            <w:tcW w:w="2891" w:type="dxa"/>
            <w:vAlign w:val="center"/>
          </w:tcPr>
          <w:p>
            <w:pPr>
              <w:pStyle w:val="10"/>
              <w:rPr>
                <w:highlight w:val="none"/>
              </w:rPr>
            </w:pPr>
            <w:r>
              <w:rPr>
                <w:highlight w:val="none"/>
              </w:rPr>
              <w:t>国家审查通过图斑数量比例</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各项工作开展及时率</w:t>
            </w:r>
          </w:p>
        </w:tc>
        <w:tc>
          <w:tcPr>
            <w:tcW w:w="2891" w:type="dxa"/>
            <w:vAlign w:val="center"/>
          </w:tcPr>
          <w:p>
            <w:pPr>
              <w:pStyle w:val="10"/>
              <w:rPr>
                <w:highlight w:val="none"/>
              </w:rPr>
            </w:pPr>
            <w:r>
              <w:rPr>
                <w:highlight w:val="none"/>
              </w:rPr>
              <w:t>各项工作按计划及时开展</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项目成本</w:t>
            </w:r>
          </w:p>
        </w:tc>
        <w:tc>
          <w:tcPr>
            <w:tcW w:w="2891" w:type="dxa"/>
            <w:vAlign w:val="center"/>
          </w:tcPr>
          <w:p>
            <w:pPr>
              <w:pStyle w:val="10"/>
              <w:rPr>
                <w:highlight w:val="none"/>
              </w:rPr>
            </w:pPr>
            <w:r>
              <w:rPr>
                <w:highlight w:val="none"/>
              </w:rPr>
              <w:t>项目支出成本</w:t>
            </w:r>
          </w:p>
        </w:tc>
        <w:tc>
          <w:tcPr>
            <w:tcW w:w="1276" w:type="dxa"/>
            <w:vAlign w:val="center"/>
          </w:tcPr>
          <w:p>
            <w:pPr>
              <w:pStyle w:val="10"/>
              <w:rPr>
                <w:highlight w:val="none"/>
              </w:rPr>
            </w:pPr>
            <w:r>
              <w:rPr>
                <w:highlight w:val="none"/>
              </w:rPr>
              <w:t>80万元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变更调查土地面积</w:t>
            </w:r>
          </w:p>
        </w:tc>
        <w:tc>
          <w:tcPr>
            <w:tcW w:w="2891" w:type="dxa"/>
            <w:vAlign w:val="center"/>
          </w:tcPr>
          <w:p>
            <w:pPr>
              <w:pStyle w:val="10"/>
              <w:rPr>
                <w:highlight w:val="none"/>
              </w:rPr>
            </w:pPr>
            <w:r>
              <w:rPr>
                <w:highlight w:val="none"/>
              </w:rPr>
              <w:t>山海关区变更调查土地面积</w:t>
            </w:r>
          </w:p>
          <w:p>
            <w:pPr>
              <w:pStyle w:val="10"/>
              <w:rPr>
                <w:highlight w:val="none"/>
              </w:rPr>
            </w:pPr>
          </w:p>
        </w:tc>
        <w:tc>
          <w:tcPr>
            <w:tcW w:w="1276" w:type="dxa"/>
            <w:vAlign w:val="center"/>
          </w:tcPr>
          <w:p>
            <w:pPr>
              <w:pStyle w:val="10"/>
              <w:rPr>
                <w:highlight w:val="none"/>
              </w:rPr>
            </w:pPr>
            <w:r>
              <w:rPr>
                <w:highlight w:val="none"/>
              </w:rPr>
              <w:t>&lt;400平方千米</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推进区域经济社会高质量发展</w:t>
            </w:r>
          </w:p>
        </w:tc>
        <w:tc>
          <w:tcPr>
            <w:tcW w:w="2891" w:type="dxa"/>
            <w:vAlign w:val="center"/>
          </w:tcPr>
          <w:p>
            <w:pPr>
              <w:pStyle w:val="10"/>
              <w:rPr>
                <w:highlight w:val="none"/>
              </w:rPr>
            </w:pPr>
            <w:r>
              <w:rPr>
                <w:highlight w:val="none"/>
              </w:rPr>
              <w:t>促进我区掌握国土利用变化情况，统筹优化土地利用布局，</w:t>
            </w:r>
          </w:p>
        </w:tc>
        <w:tc>
          <w:tcPr>
            <w:tcW w:w="1276" w:type="dxa"/>
            <w:vAlign w:val="center"/>
          </w:tcPr>
          <w:p>
            <w:pPr>
              <w:pStyle w:val="10"/>
              <w:rPr>
                <w:highlight w:val="none"/>
              </w:rPr>
            </w:pPr>
            <w:r>
              <w:rPr>
                <w:highlight w:val="none"/>
              </w:rPr>
              <w:t>逐步改善</w:t>
            </w:r>
          </w:p>
        </w:tc>
        <w:tc>
          <w:tcPr>
            <w:tcW w:w="1843" w:type="dxa"/>
            <w:vAlign w:val="center"/>
          </w:tcPr>
          <w:p>
            <w:pPr>
              <w:pStyle w:val="10"/>
              <w:rPr>
                <w:highlight w:val="none"/>
              </w:rPr>
            </w:pPr>
            <w:r>
              <w:rPr>
                <w:highlight w:val="none"/>
              </w:rPr>
              <w:t>《自然资源部办公厅关于开展2020年度全国国土变更调查工作的通知》</w:t>
            </w:r>
          </w:p>
          <w:p>
            <w:pPr>
              <w:pStyle w:val="10"/>
              <w:rPr>
                <w:highlight w:val="none"/>
              </w:rPr>
            </w:pPr>
            <w:r>
              <w:rPr>
                <w:highlight w:val="none"/>
              </w:rPr>
              <w:t>自然资办发〔2020〕56号</w:t>
            </w:r>
          </w:p>
          <w:p>
            <w:pPr>
              <w:pStyle w:val="1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服务对象满意度指标</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4" w:name="_Toc_4_4_0000000025"/>
      <w:r>
        <w:rPr>
          <w:rFonts w:ascii="方正仿宋_GBK" w:hAnsi="方正仿宋_GBK" w:eastAsia="方正仿宋_GBK" w:cs="方正仿宋_GBK"/>
          <w:color w:val="000000"/>
          <w:sz w:val="28"/>
          <w:highlight w:val="none"/>
        </w:rPr>
        <w:t>22.山海关土地征收成本开发方案绩效目标表</w:t>
      </w:r>
      <w:bookmarkEnd w:id="2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13030322P00425610021X</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山海关土地征收成本开发方案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20.00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20.00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"1. 确定成片开发用地的位置、范围、基础设施条件、主要用途、实现的功能、拟安排的建设项目、开发时序和年度实施计划，测算公益用地比例</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 确定成片开发用地的位置、范围、基础设施条件、主要用途、实现的功能、拟安排的建设项目、开发时序和年度实施计划，测算公益用地比例</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ab/>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方案文本</w:t>
            </w:r>
          </w:p>
        </w:tc>
        <w:tc>
          <w:tcPr>
            <w:tcW w:w="2891" w:type="dxa"/>
            <w:vAlign w:val="center"/>
          </w:tcPr>
          <w:p>
            <w:pPr>
              <w:pStyle w:val="10"/>
              <w:rPr>
                <w:highlight w:val="none"/>
              </w:rPr>
            </w:pPr>
            <w:r>
              <w:rPr>
                <w:highlight w:val="none"/>
              </w:rPr>
              <w:t>成片开发方案文本、图件、表格等</w:t>
            </w:r>
          </w:p>
        </w:tc>
        <w:tc>
          <w:tcPr>
            <w:tcW w:w="1276" w:type="dxa"/>
            <w:vAlign w:val="center"/>
          </w:tcPr>
          <w:p>
            <w:pPr>
              <w:pStyle w:val="10"/>
              <w:rPr>
                <w:highlight w:val="none"/>
              </w:rPr>
            </w:pPr>
            <w:r>
              <w:rPr>
                <w:highlight w:val="none"/>
              </w:rPr>
              <w:t>1个</w:t>
            </w:r>
          </w:p>
        </w:tc>
        <w:tc>
          <w:tcPr>
            <w:tcW w:w="1843" w:type="dxa"/>
            <w:vAlign w:val="center"/>
          </w:tcPr>
          <w:p>
            <w:pPr>
              <w:pStyle w:val="10"/>
              <w:rPr>
                <w:highlight w:val="none"/>
              </w:rPr>
            </w:pPr>
            <w:r>
              <w:rPr>
                <w:highlight w:val="none"/>
              </w:rPr>
              <w:t>《河北省土地征收成片开发实施细则》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通过审查</w:t>
            </w:r>
          </w:p>
        </w:tc>
        <w:tc>
          <w:tcPr>
            <w:tcW w:w="2891" w:type="dxa"/>
            <w:vAlign w:val="center"/>
          </w:tcPr>
          <w:p>
            <w:pPr>
              <w:pStyle w:val="10"/>
              <w:rPr>
                <w:highlight w:val="none"/>
              </w:rPr>
            </w:pPr>
            <w:r>
              <w:rPr>
                <w:highlight w:val="none"/>
              </w:rPr>
              <w:t>满足《河北省土地征收成片开发实施细则》要求</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《河北省土地征收成片开发实施细则》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按时完成</w:t>
            </w:r>
          </w:p>
        </w:tc>
        <w:tc>
          <w:tcPr>
            <w:tcW w:w="2891" w:type="dxa"/>
            <w:vAlign w:val="center"/>
          </w:tcPr>
          <w:p>
            <w:pPr>
              <w:pStyle w:val="10"/>
              <w:rPr>
                <w:highlight w:val="none"/>
              </w:rPr>
            </w:pPr>
            <w:r>
              <w:rPr>
                <w:highlight w:val="none"/>
              </w:rPr>
              <w:t>方案编制完成及时情况</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项目预算控制数</w:t>
            </w:r>
          </w:p>
        </w:tc>
        <w:tc>
          <w:tcPr>
            <w:tcW w:w="2891" w:type="dxa"/>
            <w:vAlign w:val="center"/>
          </w:tcPr>
          <w:p>
            <w:pPr>
              <w:pStyle w:val="10"/>
              <w:rPr>
                <w:highlight w:val="none"/>
              </w:rPr>
            </w:pPr>
            <w:r>
              <w:rPr>
                <w:highlight w:val="none"/>
              </w:rPr>
              <w:t>支出金额控制在预算额度内</w:t>
            </w:r>
          </w:p>
        </w:tc>
        <w:tc>
          <w:tcPr>
            <w:tcW w:w="1276" w:type="dxa"/>
            <w:vAlign w:val="center"/>
          </w:tcPr>
          <w:p>
            <w:pPr>
              <w:pStyle w:val="10"/>
              <w:rPr>
                <w:highlight w:val="none"/>
              </w:rPr>
            </w:pPr>
            <w:r>
              <w:rPr>
                <w:highlight w:val="none"/>
              </w:rPr>
              <w:t>20万元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推进区域经济社会高质量发展</w:t>
            </w:r>
          </w:p>
        </w:tc>
        <w:tc>
          <w:tcPr>
            <w:tcW w:w="2891" w:type="dxa"/>
            <w:vAlign w:val="center"/>
          </w:tcPr>
          <w:p>
            <w:pPr>
              <w:pStyle w:val="10"/>
              <w:rPr>
                <w:highlight w:val="none"/>
              </w:rPr>
            </w:pPr>
            <w:r>
              <w:rPr>
                <w:highlight w:val="none"/>
              </w:rPr>
              <w:t>优化资源要素配置，提高资源的利用率，降低能耗，提高土地的综合利用率</w:t>
            </w:r>
          </w:p>
        </w:tc>
        <w:tc>
          <w:tcPr>
            <w:tcW w:w="1276" w:type="dxa"/>
            <w:vAlign w:val="center"/>
          </w:tcPr>
          <w:p>
            <w:pPr>
              <w:pStyle w:val="10"/>
              <w:rPr>
                <w:highlight w:val="none"/>
              </w:rPr>
            </w:pPr>
            <w:r>
              <w:rPr>
                <w:highlight w:val="none"/>
              </w:rPr>
              <w:t>有效提高</w:t>
            </w:r>
          </w:p>
        </w:tc>
        <w:tc>
          <w:tcPr>
            <w:tcW w:w="1843" w:type="dxa"/>
            <w:vAlign w:val="center"/>
          </w:tcPr>
          <w:p>
            <w:pPr>
              <w:pStyle w:val="10"/>
              <w:rPr>
                <w:highlight w:val="none"/>
              </w:rPr>
            </w:pPr>
            <w:r>
              <w:rPr>
                <w:highlight w:val="none"/>
              </w:rPr>
              <w:t>《河北省土地征收成片开发实施细则》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群众满意度</w:t>
            </w:r>
          </w:p>
        </w:tc>
        <w:tc>
          <w:tcPr>
            <w:tcW w:w="2891" w:type="dxa"/>
            <w:vAlign w:val="center"/>
          </w:tcPr>
          <w:p>
            <w:pPr>
              <w:pStyle w:val="10"/>
              <w:rPr>
                <w:highlight w:val="none"/>
              </w:rPr>
            </w:pPr>
            <w:r>
              <w:rPr>
                <w:highlight w:val="none"/>
              </w:rPr>
              <w:t>被征地农民群众满意度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群众满意度调查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5" w:name="_Toc_4_4_0000000026"/>
      <w:r>
        <w:rPr>
          <w:rFonts w:ascii="方正仿宋_GBK" w:hAnsi="方正仿宋_GBK" w:eastAsia="方正仿宋_GBK" w:cs="方正仿宋_GBK"/>
          <w:color w:val="000000"/>
          <w:sz w:val="28"/>
          <w:highlight w:val="none"/>
        </w:rPr>
        <w:t>23.失地农民养老基金绩效目标表</w:t>
      </w:r>
      <w:bookmarkEnd w:id="2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13030322P00425610014W</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失地农民养老基金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1266.00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1266.00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缴纳失地农民养老保险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1.1．及时缴纳失地农民养老保险，保障失地农民基本收入，减少上访事件，维护社会稳定</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缴纳保险的征地亩数</w:t>
            </w:r>
          </w:p>
          <w:p>
            <w:pPr>
              <w:pStyle w:val="10"/>
              <w:rPr>
                <w:highlight w:val="none"/>
              </w:rPr>
            </w:pPr>
          </w:p>
        </w:tc>
        <w:tc>
          <w:tcPr>
            <w:tcW w:w="2891" w:type="dxa"/>
            <w:vAlign w:val="center"/>
          </w:tcPr>
          <w:p>
            <w:pPr>
              <w:pStyle w:val="10"/>
              <w:rPr>
                <w:highlight w:val="none"/>
              </w:rPr>
            </w:pPr>
            <w:r>
              <w:rPr>
                <w:highlight w:val="none"/>
              </w:rPr>
              <w:t>缴纳保险的征地亩数</w:t>
            </w:r>
          </w:p>
        </w:tc>
        <w:tc>
          <w:tcPr>
            <w:tcW w:w="1276" w:type="dxa"/>
            <w:vAlign w:val="center"/>
          </w:tcPr>
          <w:p>
            <w:pPr>
              <w:pStyle w:val="10"/>
              <w:rPr>
                <w:highlight w:val="none"/>
              </w:rPr>
            </w:pPr>
            <w:r>
              <w:rPr>
                <w:highlight w:val="none"/>
              </w:rPr>
              <w:t>765亩</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养老保险缴纳准确性</w:t>
            </w:r>
          </w:p>
          <w:p>
            <w:pPr>
              <w:pStyle w:val="10"/>
              <w:rPr>
                <w:highlight w:val="none"/>
              </w:rPr>
            </w:pPr>
          </w:p>
        </w:tc>
        <w:tc>
          <w:tcPr>
            <w:tcW w:w="2891" w:type="dxa"/>
            <w:vAlign w:val="center"/>
          </w:tcPr>
          <w:p>
            <w:pPr>
              <w:pStyle w:val="10"/>
              <w:rPr>
                <w:highlight w:val="none"/>
              </w:rPr>
            </w:pPr>
            <w:r>
              <w:rPr>
                <w:highlight w:val="none"/>
              </w:rPr>
              <w:t>养老保险缴纳准确性</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养老保险缴及时性</w:t>
            </w:r>
          </w:p>
          <w:p>
            <w:pPr>
              <w:pStyle w:val="10"/>
              <w:rPr>
                <w:highlight w:val="none"/>
              </w:rPr>
            </w:pPr>
          </w:p>
        </w:tc>
        <w:tc>
          <w:tcPr>
            <w:tcW w:w="2891" w:type="dxa"/>
            <w:vAlign w:val="center"/>
          </w:tcPr>
          <w:p>
            <w:pPr>
              <w:pStyle w:val="10"/>
              <w:rPr>
                <w:highlight w:val="none"/>
              </w:rPr>
            </w:pPr>
            <w:r>
              <w:rPr>
                <w:highlight w:val="none"/>
              </w:rPr>
              <w:t>养老保险缴纳及时性</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养老保险缴纳成本支出</w:t>
            </w:r>
          </w:p>
          <w:p>
            <w:pPr>
              <w:pStyle w:val="10"/>
              <w:rPr>
                <w:highlight w:val="none"/>
              </w:rPr>
            </w:pPr>
          </w:p>
        </w:tc>
        <w:tc>
          <w:tcPr>
            <w:tcW w:w="2891" w:type="dxa"/>
            <w:vAlign w:val="center"/>
          </w:tcPr>
          <w:p>
            <w:pPr>
              <w:pStyle w:val="10"/>
              <w:rPr>
                <w:highlight w:val="none"/>
              </w:rPr>
            </w:pPr>
            <w:r>
              <w:rPr>
                <w:highlight w:val="none"/>
              </w:rPr>
              <w:t>养老保险缴纳成本支出</w:t>
            </w:r>
          </w:p>
        </w:tc>
        <w:tc>
          <w:tcPr>
            <w:tcW w:w="1276" w:type="dxa"/>
            <w:vAlign w:val="center"/>
          </w:tcPr>
          <w:p>
            <w:pPr>
              <w:pStyle w:val="10"/>
              <w:rPr>
                <w:highlight w:val="none"/>
              </w:rPr>
            </w:pPr>
            <w:r>
              <w:rPr>
                <w:highlight w:val="none"/>
              </w:rPr>
              <w:t>1266万元</w:t>
            </w:r>
          </w:p>
        </w:tc>
        <w:tc>
          <w:tcPr>
            <w:tcW w:w="1843" w:type="dxa"/>
            <w:vAlign w:val="center"/>
          </w:tcPr>
          <w:p>
            <w:pPr>
              <w:pStyle w:val="10"/>
              <w:rPr>
                <w:highlight w:val="none"/>
              </w:rPr>
            </w:pPr>
            <w:r>
              <w:rPr>
                <w:highlight w:val="none"/>
              </w:rPr>
              <w:t>按照政策为区片地价15%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失地农民上访率</w:t>
            </w:r>
          </w:p>
          <w:p>
            <w:pPr>
              <w:pStyle w:val="10"/>
              <w:rPr>
                <w:highlight w:val="none"/>
              </w:rPr>
            </w:pPr>
          </w:p>
        </w:tc>
        <w:tc>
          <w:tcPr>
            <w:tcW w:w="2891" w:type="dxa"/>
            <w:vAlign w:val="center"/>
          </w:tcPr>
          <w:p>
            <w:pPr>
              <w:pStyle w:val="10"/>
              <w:rPr>
                <w:highlight w:val="none"/>
              </w:rPr>
            </w:pPr>
            <w:r>
              <w:rPr>
                <w:highlight w:val="none"/>
              </w:rPr>
              <w:t>失地农民上访率</w:t>
            </w:r>
          </w:p>
        </w:tc>
        <w:tc>
          <w:tcPr>
            <w:tcW w:w="1276" w:type="dxa"/>
            <w:vAlign w:val="center"/>
          </w:tcPr>
          <w:p>
            <w:pPr>
              <w:pStyle w:val="10"/>
              <w:rPr>
                <w:highlight w:val="none"/>
              </w:rPr>
            </w:pPr>
            <w:r>
              <w:rPr>
                <w:highlight w:val="none"/>
              </w:rPr>
              <w:t>零上访</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w:t>
            </w:r>
          </w:p>
          <w:p>
            <w:pPr>
              <w:pStyle w:val="10"/>
              <w:rPr>
                <w:highlight w:val="none"/>
              </w:rPr>
            </w:pPr>
            <w:r>
              <w:rPr>
                <w:highlight w:val="none"/>
              </w:rPr>
              <w:t>满意度指</w:t>
            </w:r>
          </w:p>
          <w:p>
            <w:pPr>
              <w:pStyle w:val="10"/>
              <w:rPr>
                <w:highlight w:val="none"/>
              </w:rPr>
            </w:pPr>
            <w:r>
              <w:rPr>
                <w:highlight w:val="none"/>
              </w:rPr>
              <w:t>标</w:t>
            </w:r>
          </w:p>
          <w:p>
            <w:pPr>
              <w:pStyle w:val="10"/>
              <w:rPr>
                <w:highlight w:val="none"/>
              </w:rPr>
            </w:pPr>
          </w:p>
        </w:tc>
        <w:tc>
          <w:tcPr>
            <w:tcW w:w="2891" w:type="dxa"/>
            <w:vAlign w:val="center"/>
          </w:tcPr>
          <w:p>
            <w:pPr>
              <w:pStyle w:val="10"/>
              <w:rPr>
                <w:highlight w:val="none"/>
              </w:rPr>
            </w:pPr>
            <w:r>
              <w:rPr>
                <w:highlight w:val="none"/>
              </w:rPr>
              <w:t>失地农民满</w:t>
            </w:r>
          </w:p>
          <w:p>
            <w:pPr>
              <w:pStyle w:val="10"/>
              <w:rPr>
                <w:highlight w:val="none"/>
              </w:rPr>
            </w:pPr>
            <w:r>
              <w:rPr>
                <w:highlight w:val="none"/>
              </w:rPr>
              <w:t>意度</w:t>
            </w:r>
          </w:p>
          <w:p>
            <w:pPr>
              <w:pStyle w:val="10"/>
              <w:rPr>
                <w:highlight w:val="none"/>
              </w:rPr>
            </w:pP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调查结果</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6" w:name="_Toc_4_4_0000000027"/>
      <w:r>
        <w:rPr>
          <w:rFonts w:ascii="方正仿宋_GBK" w:hAnsi="方正仿宋_GBK" w:eastAsia="方正仿宋_GBK" w:cs="方正仿宋_GBK"/>
          <w:color w:val="000000"/>
          <w:sz w:val="28"/>
          <w:highlight w:val="none"/>
        </w:rPr>
        <w:t>24.提前下达2020年中央财政林业改革发展资金-森林抚育绩效目标表</w:t>
      </w:r>
      <w:bookmarkEnd w:id="2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13030322P00423010001M</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提前下达2020年中央财政林业改革发展资金-森林抚育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4.25</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4.25</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"按照检查验收结果发放补助</w:t>
            </w:r>
            <w:r>
              <w:rPr>
                <w:highlight w:val="none"/>
              </w:rPr>
              <w:tab/>
            </w: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1.按照检查验收结果发放补助</w:t>
            </w:r>
            <w:r>
              <w:rPr>
                <w:highlight w:val="none"/>
              </w:rPr>
              <w:tab/>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造林任务完成率</w:t>
            </w:r>
          </w:p>
        </w:tc>
        <w:tc>
          <w:tcPr>
            <w:tcW w:w="2891" w:type="dxa"/>
            <w:vAlign w:val="center"/>
          </w:tcPr>
          <w:p>
            <w:pPr>
              <w:pStyle w:val="10"/>
              <w:rPr>
                <w:highlight w:val="none"/>
              </w:rPr>
            </w:pPr>
            <w:r>
              <w:rPr>
                <w:highlight w:val="none"/>
              </w:rPr>
              <w:t>当年造林任务完成面积</w:t>
            </w:r>
          </w:p>
        </w:tc>
        <w:tc>
          <w:tcPr>
            <w:tcW w:w="1276" w:type="dxa"/>
            <w:vAlign w:val="center"/>
          </w:tcPr>
          <w:p>
            <w:pPr>
              <w:pStyle w:val="10"/>
              <w:rPr>
                <w:highlight w:val="none"/>
              </w:rPr>
            </w:pPr>
            <w:r>
              <w:rPr>
                <w:rFonts w:hint="eastAsia"/>
                <w:highlight w:val="none"/>
                <w:lang w:val="en-US" w:eastAsia="zh-CN"/>
              </w:rPr>
              <w:t>=</w:t>
            </w:r>
            <w:r>
              <w:rPr>
                <w:highlight w:val="none"/>
              </w:rPr>
              <w:t>100%</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苗木保存率和成活率</w:t>
            </w:r>
          </w:p>
        </w:tc>
        <w:tc>
          <w:tcPr>
            <w:tcW w:w="2891" w:type="dxa"/>
            <w:vAlign w:val="center"/>
          </w:tcPr>
          <w:p>
            <w:pPr>
              <w:pStyle w:val="10"/>
              <w:rPr>
                <w:highlight w:val="none"/>
              </w:rPr>
            </w:pPr>
            <w:r>
              <w:rPr>
                <w:highlight w:val="none"/>
              </w:rPr>
              <w:t>苗木保存率和成活率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上一轮退耕还林农户苗木保存率</w:t>
            </w:r>
          </w:p>
        </w:tc>
        <w:tc>
          <w:tcPr>
            <w:tcW w:w="2891" w:type="dxa"/>
            <w:vAlign w:val="center"/>
          </w:tcPr>
          <w:p>
            <w:pPr>
              <w:pStyle w:val="10"/>
              <w:rPr>
                <w:highlight w:val="none"/>
              </w:rPr>
            </w:pPr>
            <w:r>
              <w:rPr>
                <w:highlight w:val="none"/>
              </w:rPr>
              <w:t>上一轮退耕还林农户苗木保存率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上一轮退耕还生态林中央财政补助</w:t>
            </w:r>
          </w:p>
        </w:tc>
        <w:tc>
          <w:tcPr>
            <w:tcW w:w="2891" w:type="dxa"/>
            <w:vAlign w:val="center"/>
          </w:tcPr>
          <w:p>
            <w:pPr>
              <w:pStyle w:val="10"/>
              <w:rPr>
                <w:highlight w:val="none"/>
              </w:rPr>
            </w:pPr>
            <w:r>
              <w:rPr>
                <w:highlight w:val="none"/>
              </w:rPr>
              <w:t>上一轮退耕还生态林中央财政补助</w:t>
            </w:r>
          </w:p>
        </w:tc>
        <w:tc>
          <w:tcPr>
            <w:tcW w:w="1276" w:type="dxa"/>
            <w:vAlign w:val="center"/>
          </w:tcPr>
          <w:p>
            <w:pPr>
              <w:pStyle w:val="10"/>
              <w:rPr>
                <w:highlight w:val="none"/>
              </w:rPr>
            </w:pPr>
            <w:r>
              <w:rPr>
                <w:highlight w:val="none"/>
              </w:rPr>
              <w:t>≤4.25万元</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服务对象满意度</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7" w:name="_Toc_4_4_0000000028"/>
      <w:r>
        <w:rPr>
          <w:rFonts w:ascii="方正仿宋_GBK" w:hAnsi="方正仿宋_GBK" w:eastAsia="方正仿宋_GBK" w:cs="方正仿宋_GBK"/>
          <w:color w:val="000000"/>
          <w:sz w:val="28"/>
          <w:highlight w:val="none"/>
        </w:rPr>
        <w:t>25.提前下达2021年省级林业改革发展补助资金-森林植被恢复费绩效目标表</w:t>
      </w:r>
      <w:bookmarkEnd w:id="2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13030321ANXWULMZT25I4</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提前下达2021年省级林业改革发展补助资金-森林植被恢复费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5.00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5.00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保证此项目资金的正确使用</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1.保证此项目资金的正确使用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成本数额正确</w:t>
            </w:r>
          </w:p>
        </w:tc>
        <w:tc>
          <w:tcPr>
            <w:tcW w:w="2891" w:type="dxa"/>
            <w:vAlign w:val="center"/>
          </w:tcPr>
          <w:p>
            <w:pPr>
              <w:pStyle w:val="10"/>
              <w:rPr>
                <w:highlight w:val="none"/>
              </w:rPr>
            </w:pPr>
            <w:r>
              <w:rPr>
                <w:highlight w:val="none"/>
              </w:rPr>
              <w:t>成本数额正确</w:t>
            </w:r>
          </w:p>
        </w:tc>
        <w:tc>
          <w:tcPr>
            <w:tcW w:w="1276" w:type="dxa"/>
            <w:vAlign w:val="center"/>
          </w:tcPr>
          <w:p>
            <w:pPr>
              <w:pStyle w:val="10"/>
              <w:rPr>
                <w:highlight w:val="none"/>
              </w:rPr>
            </w:pPr>
            <w:r>
              <w:rPr>
                <w:highlight w:val="none"/>
              </w:rPr>
              <w:t>≤5万元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保证发放质量</w:t>
            </w:r>
          </w:p>
        </w:tc>
        <w:tc>
          <w:tcPr>
            <w:tcW w:w="2891" w:type="dxa"/>
            <w:vAlign w:val="center"/>
          </w:tcPr>
          <w:p>
            <w:pPr>
              <w:pStyle w:val="10"/>
              <w:rPr>
                <w:highlight w:val="none"/>
              </w:rPr>
            </w:pPr>
            <w:r>
              <w:rPr>
                <w:highlight w:val="none"/>
              </w:rPr>
              <w:t>保证发放质量</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保证及时发放</w:t>
            </w:r>
          </w:p>
        </w:tc>
        <w:tc>
          <w:tcPr>
            <w:tcW w:w="2891" w:type="dxa"/>
            <w:vAlign w:val="center"/>
          </w:tcPr>
          <w:p>
            <w:pPr>
              <w:pStyle w:val="10"/>
              <w:rPr>
                <w:highlight w:val="none"/>
              </w:rPr>
            </w:pPr>
            <w:r>
              <w:rPr>
                <w:highlight w:val="none"/>
              </w:rPr>
              <w:t>保证及时发放</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成本数额正确率</w:t>
            </w:r>
          </w:p>
        </w:tc>
        <w:tc>
          <w:tcPr>
            <w:tcW w:w="2891" w:type="dxa"/>
            <w:vAlign w:val="center"/>
          </w:tcPr>
          <w:p>
            <w:pPr>
              <w:pStyle w:val="10"/>
              <w:rPr>
                <w:highlight w:val="none"/>
              </w:rPr>
            </w:pPr>
            <w:r>
              <w:rPr>
                <w:highlight w:val="none"/>
              </w:rPr>
              <w:t>成本数额正确率</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经济提标</w:t>
            </w:r>
          </w:p>
        </w:tc>
        <w:tc>
          <w:tcPr>
            <w:tcW w:w="2891" w:type="dxa"/>
            <w:vAlign w:val="center"/>
          </w:tcPr>
          <w:p>
            <w:pPr>
              <w:pStyle w:val="10"/>
              <w:rPr>
                <w:highlight w:val="none"/>
              </w:rPr>
            </w:pPr>
            <w:r>
              <w:rPr>
                <w:highlight w:val="none"/>
              </w:rPr>
              <w:t>经济提标</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green"/>
              </w:rPr>
            </w:pPr>
            <w:r>
              <w:rPr>
                <w:highlight w:val="green"/>
              </w:rPr>
              <w:t>满意度指标</w:t>
            </w:r>
          </w:p>
        </w:tc>
        <w:tc>
          <w:tcPr>
            <w:tcW w:w="1276" w:type="dxa"/>
            <w:vAlign w:val="center"/>
          </w:tcPr>
          <w:p>
            <w:pPr>
              <w:pStyle w:val="10"/>
              <w:rPr>
                <w:highlight w:val="green"/>
              </w:rPr>
            </w:pPr>
            <w:r>
              <w:rPr>
                <w:highlight w:val="green"/>
              </w:rPr>
              <w:t>服务对象满意度指标</w:t>
            </w:r>
          </w:p>
        </w:tc>
        <w:tc>
          <w:tcPr>
            <w:tcW w:w="1332" w:type="dxa"/>
            <w:vAlign w:val="center"/>
          </w:tcPr>
          <w:p>
            <w:pPr>
              <w:pStyle w:val="10"/>
              <w:rPr>
                <w:highlight w:val="green"/>
              </w:rPr>
            </w:pPr>
            <w:r>
              <w:rPr>
                <w:highlight w:val="green"/>
              </w:rPr>
              <w:t>满意度</w:t>
            </w:r>
          </w:p>
        </w:tc>
        <w:tc>
          <w:tcPr>
            <w:tcW w:w="2891" w:type="dxa"/>
            <w:vAlign w:val="center"/>
          </w:tcPr>
          <w:p>
            <w:pPr>
              <w:pStyle w:val="10"/>
              <w:rPr>
                <w:highlight w:val="green"/>
              </w:rPr>
            </w:pPr>
            <w:r>
              <w:rPr>
                <w:highlight w:val="green"/>
              </w:rPr>
              <w:t>满意度</w:t>
            </w:r>
          </w:p>
        </w:tc>
        <w:tc>
          <w:tcPr>
            <w:tcW w:w="1276" w:type="dxa"/>
            <w:vAlign w:val="center"/>
          </w:tcPr>
          <w:p>
            <w:pPr>
              <w:pStyle w:val="10"/>
              <w:rPr>
                <w:highlight w:val="green"/>
              </w:rPr>
            </w:pPr>
            <w:r>
              <w:rPr>
                <w:highlight w:val="green"/>
              </w:rPr>
              <w:t>≥99%</w:t>
            </w:r>
          </w:p>
        </w:tc>
        <w:tc>
          <w:tcPr>
            <w:tcW w:w="1843" w:type="dxa"/>
            <w:vAlign w:val="center"/>
          </w:tcPr>
          <w:p>
            <w:pPr>
              <w:pStyle w:val="10"/>
              <w:rPr>
                <w:rFonts w:hint="eastAsia" w:eastAsia="方正书宋_GBK"/>
                <w:highlight w:val="green"/>
                <w:lang w:eastAsia="zh-CN"/>
              </w:rPr>
            </w:pPr>
            <w:r>
              <w:rPr>
                <w:rFonts w:hint="eastAsia"/>
                <w:highlight w:val="green"/>
                <w:lang w:eastAsia="zh-CN"/>
              </w:rPr>
              <w:t>调查问卷</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8" w:name="_Toc_4_4_0000000029"/>
      <w:r>
        <w:rPr>
          <w:rFonts w:ascii="方正仿宋_GBK" w:hAnsi="方正仿宋_GBK" w:eastAsia="方正仿宋_GBK" w:cs="方正仿宋_GBK"/>
          <w:color w:val="000000"/>
          <w:sz w:val="28"/>
          <w:highlight w:val="none"/>
        </w:rPr>
        <w:t>26.提前下达2021年中央财政林业草原生态保护恢复资金预算-完善退耕还林政策补助绩效目标表</w:t>
      </w:r>
      <w:bookmarkEnd w:id="2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13030321XBDDVTEQHLMS5</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提前下达2021年中央财政林业草原生态保护恢复资金预算-完善退耕还林政策补助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12.95</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12.95</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"1.完善退耕还林政策补助</w:t>
            </w:r>
            <w:r>
              <w:rPr>
                <w:highlight w:val="none"/>
              </w:rPr>
              <w:tab/>
            </w: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r>
              <w:rPr>
                <w:highlight w:val="none"/>
              </w:rPr>
              <w:t>"2.依据检查验收结果发放农户补助</w:t>
            </w:r>
            <w:r>
              <w:rPr>
                <w:highlight w:val="none"/>
              </w:rPr>
              <w:tab/>
            </w: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1.1.完善退耕还林政策补助</w:t>
            </w:r>
            <w:r>
              <w:rPr>
                <w:highlight w:val="none"/>
              </w:rPr>
              <w:tab/>
            </w:r>
          </w:p>
          <w:p>
            <w:pPr>
              <w:pStyle w:val="10"/>
              <w:rPr>
                <w:highlight w:val="none"/>
              </w:rPr>
            </w:pPr>
            <w:r>
              <w:rPr>
                <w:highlight w:val="none"/>
              </w:rPr>
              <w:t>2.2.依据检查验收结果发放农户补助</w:t>
            </w:r>
            <w:r>
              <w:rPr>
                <w:highlight w:val="none"/>
              </w:rPr>
              <w:tab/>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造林任务完成率</w:t>
            </w:r>
          </w:p>
        </w:tc>
        <w:tc>
          <w:tcPr>
            <w:tcW w:w="2891" w:type="dxa"/>
            <w:vAlign w:val="center"/>
          </w:tcPr>
          <w:p>
            <w:pPr>
              <w:pStyle w:val="10"/>
              <w:rPr>
                <w:highlight w:val="none"/>
              </w:rPr>
            </w:pPr>
            <w:r>
              <w:rPr>
                <w:highlight w:val="none"/>
              </w:rPr>
              <w:t>完成预期目标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苗木保存率和成活率</w:t>
            </w:r>
          </w:p>
        </w:tc>
        <w:tc>
          <w:tcPr>
            <w:tcW w:w="2891" w:type="dxa"/>
            <w:vAlign w:val="center"/>
          </w:tcPr>
          <w:p>
            <w:pPr>
              <w:pStyle w:val="10"/>
              <w:rPr>
                <w:highlight w:val="none"/>
              </w:rPr>
            </w:pPr>
            <w:r>
              <w:rPr>
                <w:highlight w:val="none"/>
              </w:rPr>
              <w:t>苗木保存率和成活率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上一轮退耕还生态林苗木保存率</w:t>
            </w:r>
          </w:p>
        </w:tc>
        <w:tc>
          <w:tcPr>
            <w:tcW w:w="2891" w:type="dxa"/>
            <w:vAlign w:val="center"/>
          </w:tcPr>
          <w:p>
            <w:pPr>
              <w:pStyle w:val="10"/>
              <w:rPr>
                <w:highlight w:val="none"/>
              </w:rPr>
            </w:pPr>
            <w:r>
              <w:rPr>
                <w:highlight w:val="none"/>
              </w:rPr>
              <w:t>上一轮退耕还生态林农户苗木当期保存率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上一轮退耕还生态林中央财政补助</w:t>
            </w:r>
          </w:p>
        </w:tc>
        <w:tc>
          <w:tcPr>
            <w:tcW w:w="2891" w:type="dxa"/>
            <w:vAlign w:val="center"/>
          </w:tcPr>
          <w:p>
            <w:pPr>
              <w:pStyle w:val="10"/>
              <w:rPr>
                <w:highlight w:val="none"/>
              </w:rPr>
            </w:pPr>
            <w:r>
              <w:rPr>
                <w:highlight w:val="none"/>
              </w:rPr>
              <w:t>上一轮退耕还生态林中央财政补助</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完成预期目标</w:t>
            </w:r>
          </w:p>
        </w:tc>
        <w:tc>
          <w:tcPr>
            <w:tcW w:w="2891" w:type="dxa"/>
            <w:vAlign w:val="center"/>
          </w:tcPr>
          <w:p>
            <w:pPr>
              <w:pStyle w:val="10"/>
              <w:rPr>
                <w:highlight w:val="none"/>
              </w:rPr>
            </w:pPr>
            <w:r>
              <w:rPr>
                <w:highlight w:val="none"/>
              </w:rPr>
              <w:t>完成预期目标</w:t>
            </w:r>
          </w:p>
        </w:tc>
        <w:tc>
          <w:tcPr>
            <w:tcW w:w="1276" w:type="dxa"/>
            <w:vAlign w:val="center"/>
          </w:tcPr>
          <w:p>
            <w:pPr>
              <w:pStyle w:val="10"/>
              <w:rPr>
                <w:highlight w:val="none"/>
              </w:rPr>
            </w:pPr>
            <w:r>
              <w:rPr>
                <w:highlight w:val="none"/>
              </w:rPr>
              <w:t>≥95%</w:t>
            </w:r>
          </w:p>
        </w:tc>
        <w:tc>
          <w:tcPr>
            <w:tcW w:w="1843" w:type="dxa"/>
            <w:vAlign w:val="center"/>
          </w:tcPr>
          <w:p>
            <w:pPr>
              <w:pStyle w:val="10"/>
              <w:rPr>
                <w:rFonts w:hint="eastAsia" w:eastAsia="方正书宋_GBK"/>
                <w:highlight w:val="none"/>
                <w:lang w:eastAsia="zh-CN"/>
              </w:rPr>
            </w:pPr>
            <w:r>
              <w:rPr>
                <w:rFonts w:hint="eastAsia"/>
                <w:highlight w:val="none"/>
                <w:lang w:eastAsia="zh-CN"/>
              </w:rPr>
              <w:t>满意度调查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29" w:name="_Toc_4_4_0000000030"/>
      <w:r>
        <w:rPr>
          <w:rFonts w:ascii="方正仿宋_GBK" w:hAnsi="方正仿宋_GBK" w:eastAsia="方正仿宋_GBK" w:cs="方正仿宋_GBK"/>
          <w:color w:val="000000"/>
          <w:sz w:val="28"/>
          <w:highlight w:val="none"/>
        </w:rPr>
        <w:t>27.提前下达2021年中央财政林业改革发展资金-森林抚育绩效目标表</w:t>
      </w:r>
      <w:bookmarkEnd w:id="2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13030321K3XAT7HTGB8UP</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提前下达2021年中央财政林业改革发展资金-森林抚育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7.00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7.00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"1.上一轮退耕还林农户的森林抚育补助</w:t>
            </w:r>
          </w:p>
          <w:p>
            <w:pPr>
              <w:pStyle w:val="10"/>
              <w:rPr>
                <w:highlight w:val="none"/>
              </w:rPr>
            </w:pP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r>
              <w:rPr>
                <w:highlight w:val="none"/>
              </w:rPr>
              <w:t>"2.按照检查验收结果发放补助</w:t>
            </w:r>
          </w:p>
          <w:p>
            <w:pPr>
              <w:pStyle w:val="10"/>
              <w:rPr>
                <w:highlight w:val="none"/>
              </w:rPr>
            </w:pP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1.1.上一轮退耕还林农户的森林抚育补助</w:t>
            </w:r>
          </w:p>
          <w:p>
            <w:pPr>
              <w:pStyle w:val="10"/>
              <w:rPr>
                <w:highlight w:val="none"/>
              </w:rPr>
            </w:pPr>
          </w:p>
          <w:p>
            <w:pPr>
              <w:pStyle w:val="10"/>
              <w:rPr>
                <w:highlight w:val="none"/>
              </w:rPr>
            </w:pPr>
            <w:r>
              <w:rPr>
                <w:highlight w:val="none"/>
              </w:rPr>
              <w:t>2.2.按照检查验收结果发放补助</w:t>
            </w: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造林任务完成率</w:t>
            </w:r>
          </w:p>
        </w:tc>
        <w:tc>
          <w:tcPr>
            <w:tcW w:w="2891" w:type="dxa"/>
            <w:vAlign w:val="center"/>
          </w:tcPr>
          <w:p>
            <w:pPr>
              <w:pStyle w:val="10"/>
              <w:rPr>
                <w:highlight w:val="none"/>
              </w:rPr>
            </w:pPr>
            <w:r>
              <w:rPr>
                <w:highlight w:val="none"/>
              </w:rPr>
              <w:t>当年造林任务完成面积</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苗木保存率和成活率</w:t>
            </w:r>
          </w:p>
        </w:tc>
        <w:tc>
          <w:tcPr>
            <w:tcW w:w="2891" w:type="dxa"/>
            <w:vAlign w:val="center"/>
          </w:tcPr>
          <w:p>
            <w:pPr>
              <w:pStyle w:val="10"/>
              <w:rPr>
                <w:highlight w:val="none"/>
              </w:rPr>
            </w:pPr>
            <w:r>
              <w:rPr>
                <w:highlight w:val="none"/>
              </w:rPr>
              <w:t>苗木保存率和成活率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上一轮退耕还林农户苗木保存率</w:t>
            </w:r>
          </w:p>
        </w:tc>
        <w:tc>
          <w:tcPr>
            <w:tcW w:w="2891" w:type="dxa"/>
            <w:vAlign w:val="center"/>
          </w:tcPr>
          <w:p>
            <w:pPr>
              <w:pStyle w:val="10"/>
              <w:rPr>
                <w:highlight w:val="none"/>
              </w:rPr>
            </w:pPr>
            <w:r>
              <w:rPr>
                <w:highlight w:val="none"/>
              </w:rPr>
              <w:t>上一轮退耕还林农户苗木保存率</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上一轮退耕还生态林中央财政补助</w:t>
            </w:r>
          </w:p>
        </w:tc>
        <w:tc>
          <w:tcPr>
            <w:tcW w:w="2891" w:type="dxa"/>
            <w:vAlign w:val="center"/>
          </w:tcPr>
          <w:p>
            <w:pPr>
              <w:pStyle w:val="10"/>
              <w:rPr>
                <w:highlight w:val="none"/>
              </w:rPr>
            </w:pPr>
            <w:r>
              <w:rPr>
                <w:highlight w:val="none"/>
              </w:rPr>
              <w:t>上一轮退耕还生态林中央财政补助</w:t>
            </w:r>
          </w:p>
        </w:tc>
        <w:tc>
          <w:tcPr>
            <w:tcW w:w="1276" w:type="dxa"/>
            <w:vAlign w:val="center"/>
          </w:tcPr>
          <w:p>
            <w:pPr>
              <w:pStyle w:val="10"/>
              <w:rPr>
                <w:highlight w:val="none"/>
              </w:rPr>
            </w:pPr>
            <w:r>
              <w:rPr>
                <w:highlight w:val="none"/>
              </w:rPr>
              <w:t>≤7万元</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≥85%</w:t>
            </w:r>
          </w:p>
        </w:tc>
        <w:tc>
          <w:tcPr>
            <w:tcW w:w="1843" w:type="dxa"/>
            <w:vAlign w:val="center"/>
          </w:tcPr>
          <w:p>
            <w:pPr>
              <w:pStyle w:val="10"/>
              <w:rPr>
                <w:highlight w:val="none"/>
              </w:rPr>
            </w:pPr>
            <w:r>
              <w:rPr>
                <w:highlight w:val="none"/>
              </w:rPr>
              <w:t>退耕还林条例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rFonts w:hint="eastAsia" w:eastAsia="方正书宋_GBK"/>
                <w:highlight w:val="none"/>
                <w:lang w:eastAsia="zh-CN"/>
              </w:rPr>
            </w:pPr>
            <w:r>
              <w:rPr>
                <w:highlight w:val="none"/>
              </w:rPr>
              <w:t>服务对象满意度</w:t>
            </w:r>
            <w:r>
              <w:rPr>
                <w:rFonts w:hint="eastAsia"/>
                <w:highlight w:val="none"/>
                <w:lang w:eastAsia="zh-CN"/>
              </w:rPr>
              <w:t>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0" w:name="_Toc_4_4_0000000031"/>
      <w:r>
        <w:rPr>
          <w:rFonts w:ascii="方正仿宋_GBK" w:hAnsi="方正仿宋_GBK" w:eastAsia="方正仿宋_GBK" w:cs="方正仿宋_GBK"/>
          <w:color w:val="000000"/>
          <w:sz w:val="28"/>
          <w:highlight w:val="none"/>
        </w:rPr>
        <w:t>28.提前下达2021年中央财政林业改革发展资金-森林生态效益补偿补助-公共管护补助绩效目标表</w:t>
      </w:r>
      <w:bookmarkEnd w:id="3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13030321NO9CFUG6C0Z7N</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提前下达2021年中央财政林业改革发展资金-森林生态效益补偿补助-公共管护补助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0.59</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0.59</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"1.组织开展森林资源动态监测</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p>
            <w:pPr>
              <w:pStyle w:val="10"/>
              <w:rPr>
                <w:highlight w:val="none"/>
              </w:rPr>
            </w:pP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r>
              <w:rPr>
                <w:highlight w:val="none"/>
              </w:rPr>
              <w:t>2.设立国家级公益林标牌，标明公益林、地点、四至范围、面积、林权权利人、管护责任人，保护管理责任和要求、监督单位、监督举报电话。</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1.1.组织开展森林资源动态监测</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p>
            <w:pPr>
              <w:pStyle w:val="10"/>
              <w:rPr>
                <w:highlight w:val="none"/>
              </w:rPr>
            </w:pPr>
          </w:p>
          <w:p>
            <w:pPr>
              <w:pStyle w:val="10"/>
              <w:rPr>
                <w:highlight w:val="none"/>
              </w:rPr>
            </w:pPr>
            <w:r>
              <w:rPr>
                <w:highlight w:val="none"/>
              </w:rPr>
              <w:t>2.2.设立国家级公益林标牌，标明公益林、地点、四至范围、面积、林权权利人、管护责任人，保护管理责任和要求、监督单位、监督举报电话。</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集体国家级公益林管护面积</w:t>
            </w:r>
          </w:p>
        </w:tc>
        <w:tc>
          <w:tcPr>
            <w:tcW w:w="2891" w:type="dxa"/>
            <w:vAlign w:val="center"/>
          </w:tcPr>
          <w:p>
            <w:pPr>
              <w:pStyle w:val="10"/>
              <w:rPr>
                <w:highlight w:val="none"/>
              </w:rPr>
            </w:pPr>
            <w:r>
              <w:rPr>
                <w:highlight w:val="none"/>
              </w:rPr>
              <w:t>国有国家级公益林管护面积</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河北省重点生态公益林管理办法的通知（冀林字【2015】114号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管护公益林</w:t>
            </w:r>
          </w:p>
        </w:tc>
        <w:tc>
          <w:tcPr>
            <w:tcW w:w="2891" w:type="dxa"/>
            <w:vAlign w:val="center"/>
          </w:tcPr>
          <w:p>
            <w:pPr>
              <w:pStyle w:val="10"/>
              <w:rPr>
                <w:highlight w:val="none"/>
              </w:rPr>
            </w:pPr>
            <w:r>
              <w:rPr>
                <w:highlight w:val="none"/>
              </w:rPr>
              <w:t>管护公益林</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河北省重点生态公益林管理办法的通知（冀林字【2015】114号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森林生态效益当期完成率</w:t>
            </w:r>
          </w:p>
        </w:tc>
        <w:tc>
          <w:tcPr>
            <w:tcW w:w="2891" w:type="dxa"/>
            <w:vAlign w:val="center"/>
          </w:tcPr>
          <w:p>
            <w:pPr>
              <w:pStyle w:val="10"/>
              <w:rPr>
                <w:highlight w:val="none"/>
              </w:rPr>
            </w:pPr>
            <w:r>
              <w:rPr>
                <w:highlight w:val="none"/>
              </w:rPr>
              <w:t>森林生态效益当期完成率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河北省重点生态公益林管理办法的通知（冀林字【2015】114号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国家级公益林管护中央财政补助</w:t>
            </w:r>
          </w:p>
        </w:tc>
        <w:tc>
          <w:tcPr>
            <w:tcW w:w="2891" w:type="dxa"/>
            <w:vAlign w:val="center"/>
          </w:tcPr>
          <w:p>
            <w:pPr>
              <w:pStyle w:val="10"/>
              <w:rPr>
                <w:highlight w:val="none"/>
              </w:rPr>
            </w:pPr>
            <w:r>
              <w:rPr>
                <w:highlight w:val="none"/>
              </w:rPr>
              <w:t>国家级公益林管护中央财政补助</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林业改革发展资金管理办法的通知（财农【2016】196号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河北省重点生态公益林管理办法的通知（冀林字【2015】114号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完成预期目标</w:t>
            </w:r>
          </w:p>
        </w:tc>
        <w:tc>
          <w:tcPr>
            <w:tcW w:w="2891" w:type="dxa"/>
            <w:vAlign w:val="center"/>
          </w:tcPr>
          <w:p>
            <w:pPr>
              <w:pStyle w:val="10"/>
              <w:rPr>
                <w:highlight w:val="none"/>
              </w:rPr>
            </w:pPr>
            <w:r>
              <w:rPr>
                <w:highlight w:val="none"/>
              </w:rPr>
              <w:t>完成预期目标</w:t>
            </w:r>
          </w:p>
        </w:tc>
        <w:tc>
          <w:tcPr>
            <w:tcW w:w="1276" w:type="dxa"/>
            <w:vAlign w:val="center"/>
          </w:tcPr>
          <w:p>
            <w:pPr>
              <w:pStyle w:val="10"/>
              <w:rPr>
                <w:highlight w:val="none"/>
              </w:rPr>
            </w:pPr>
            <w:r>
              <w:rPr>
                <w:highlight w:val="none"/>
              </w:rPr>
              <w:t>≥95%</w:t>
            </w:r>
          </w:p>
        </w:tc>
        <w:tc>
          <w:tcPr>
            <w:tcW w:w="1843" w:type="dxa"/>
            <w:vAlign w:val="center"/>
          </w:tcPr>
          <w:p>
            <w:pPr>
              <w:pStyle w:val="10"/>
              <w:rPr>
                <w:rFonts w:hint="eastAsia" w:eastAsia="方正书宋_GBK"/>
                <w:highlight w:val="none"/>
                <w:lang w:eastAsia="zh-CN"/>
              </w:rPr>
            </w:pPr>
            <w:r>
              <w:rPr>
                <w:rFonts w:hint="eastAsia"/>
                <w:highlight w:val="none"/>
                <w:lang w:eastAsia="zh-CN"/>
              </w:rPr>
              <w:t>满意度调查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1" w:name="_Toc_4_4_0000000032"/>
      <w:r>
        <w:rPr>
          <w:rFonts w:ascii="方正仿宋_GBK" w:hAnsi="方正仿宋_GBK" w:eastAsia="方正仿宋_GBK" w:cs="方正仿宋_GBK"/>
          <w:color w:val="000000"/>
          <w:sz w:val="28"/>
          <w:highlight w:val="none"/>
        </w:rPr>
        <w:t>29.提前下达2021年中央财政林业改革发展资金-森林生态效益补偿补助-管护补助绩效目标表</w:t>
      </w:r>
      <w:bookmarkEnd w:id="3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13030321BDWO0Y6BIEAU9</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提前下达2021年中央财政林业改革发展资金-森林生态效益补偿补助-管护补助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8.67</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8.67</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"开展国家级公益林监督检查，促进我区生态林业与经济社会和谐发展</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r>
              <w:rPr>
                <w:highlight w:val="none"/>
              </w:rPr>
              <w:t>开展国家级公益林评价，改善生态环境，保障可持续发展</w:t>
            </w:r>
            <w:r>
              <w:rPr>
                <w:highlight w:val="none"/>
              </w:rPr>
              <w:tab/>
            </w:r>
            <w:r>
              <w:rPr>
                <w:highlight w:val="none"/>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1.开展国家级公益林监督检查，促进我区生态林业与经济社会和谐发展</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p>
            <w:pPr>
              <w:pStyle w:val="10"/>
              <w:rPr>
                <w:highlight w:val="none"/>
              </w:rPr>
            </w:pPr>
            <w:r>
              <w:rPr>
                <w:highlight w:val="none"/>
              </w:rPr>
              <w:t>2.开展国家级公益林评价，改善生态环境，保障可持续发展</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国家级公益林管护面积</w:t>
            </w:r>
          </w:p>
        </w:tc>
        <w:tc>
          <w:tcPr>
            <w:tcW w:w="2891" w:type="dxa"/>
            <w:vAlign w:val="center"/>
          </w:tcPr>
          <w:p>
            <w:pPr>
              <w:pStyle w:val="10"/>
              <w:rPr>
                <w:highlight w:val="none"/>
              </w:rPr>
            </w:pPr>
            <w:r>
              <w:rPr>
                <w:highlight w:val="none"/>
              </w:rPr>
              <w:t>国家级公益林管护面积</w:t>
            </w:r>
          </w:p>
        </w:tc>
        <w:tc>
          <w:tcPr>
            <w:tcW w:w="1276" w:type="dxa"/>
            <w:vAlign w:val="center"/>
          </w:tcPr>
          <w:p>
            <w:pPr>
              <w:pStyle w:val="10"/>
              <w:rPr>
                <w:highlight w:val="none"/>
              </w:rPr>
            </w:pPr>
            <w:r>
              <w:rPr>
                <w:highlight w:val="none"/>
              </w:rPr>
              <w:t>5500亩</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公益林保存率</w:t>
            </w:r>
          </w:p>
        </w:tc>
        <w:tc>
          <w:tcPr>
            <w:tcW w:w="2891" w:type="dxa"/>
            <w:vAlign w:val="center"/>
          </w:tcPr>
          <w:p>
            <w:pPr>
              <w:pStyle w:val="10"/>
              <w:rPr>
                <w:highlight w:val="none"/>
              </w:rPr>
            </w:pPr>
            <w:r>
              <w:rPr>
                <w:highlight w:val="none"/>
              </w:rPr>
              <w:t>公益林保存率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各项工作开展及时率</w:t>
            </w:r>
          </w:p>
        </w:tc>
        <w:tc>
          <w:tcPr>
            <w:tcW w:w="2891" w:type="dxa"/>
            <w:vAlign w:val="center"/>
          </w:tcPr>
          <w:p>
            <w:pPr>
              <w:pStyle w:val="10"/>
              <w:rPr>
                <w:highlight w:val="none"/>
              </w:rPr>
            </w:pPr>
            <w:r>
              <w:rPr>
                <w:highlight w:val="none"/>
              </w:rPr>
              <w:t>各项工作按计划及时开展</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国家级公益林管护中央财政补助成本</w:t>
            </w:r>
          </w:p>
        </w:tc>
        <w:tc>
          <w:tcPr>
            <w:tcW w:w="2891" w:type="dxa"/>
            <w:vAlign w:val="center"/>
          </w:tcPr>
          <w:p>
            <w:pPr>
              <w:pStyle w:val="10"/>
              <w:rPr>
                <w:highlight w:val="none"/>
              </w:rPr>
            </w:pPr>
            <w:r>
              <w:rPr>
                <w:highlight w:val="none"/>
              </w:rPr>
              <w:t>国家级公益林管护中央财政补助成本</w:t>
            </w:r>
          </w:p>
        </w:tc>
        <w:tc>
          <w:tcPr>
            <w:tcW w:w="1276" w:type="dxa"/>
            <w:vAlign w:val="center"/>
          </w:tcPr>
          <w:p>
            <w:pPr>
              <w:pStyle w:val="10"/>
              <w:rPr>
                <w:highlight w:val="none"/>
              </w:rPr>
            </w:pPr>
            <w:r>
              <w:rPr>
                <w:highlight w:val="none"/>
              </w:rPr>
              <w:t>8.66万元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可持续影响指标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逐步加快</w:t>
            </w:r>
          </w:p>
        </w:tc>
        <w:tc>
          <w:tcPr>
            <w:tcW w:w="1843" w:type="dxa"/>
            <w:vAlign w:val="center"/>
          </w:tcPr>
          <w:p>
            <w:pPr>
              <w:pStyle w:val="10"/>
              <w:rPr>
                <w:highlight w:val="none"/>
              </w:rPr>
            </w:pPr>
            <w:r>
              <w:rPr>
                <w:highlight w:val="none"/>
              </w:rPr>
              <w:t>《林业改革发展资金管理办法》的通知 财农【2016】196号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rFonts w:hint="eastAsia"/>
                <w:highlight w:val="none"/>
                <w:lang w:val="en-US" w:eastAsia="zh-CN"/>
              </w:rPr>
              <w:t>95</w:t>
            </w:r>
            <w:r>
              <w:rPr>
                <w:highlight w:val="none"/>
              </w:rPr>
              <w:t>%</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2" w:name="_Toc_4_4_0000000033"/>
      <w:r>
        <w:rPr>
          <w:rFonts w:ascii="方正仿宋_GBK" w:hAnsi="方正仿宋_GBK" w:eastAsia="方正仿宋_GBK" w:cs="方正仿宋_GBK"/>
          <w:color w:val="000000"/>
          <w:sz w:val="28"/>
          <w:highlight w:val="none"/>
        </w:rPr>
        <w:t>30.提前下达2022年中央财政林业改革发展资金-林业有害生物防治绩效目标表</w:t>
      </w:r>
      <w:bookmarkEnd w:id="3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13030322P00430910012A</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提前下达2022年中央财政林业改革发展资金-林业有害生物防治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预防和减少林业有害生物对森林资源的损失,保护森林资源</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1.预防和减少林业有害生物对森林资源的损失,保护森林资源</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林业有害生物防治面积(0.64万亩)</w:t>
            </w:r>
          </w:p>
        </w:tc>
        <w:tc>
          <w:tcPr>
            <w:tcW w:w="2891" w:type="dxa"/>
            <w:vAlign w:val="center"/>
          </w:tcPr>
          <w:p>
            <w:pPr>
              <w:pStyle w:val="10"/>
              <w:rPr>
                <w:highlight w:val="none"/>
              </w:rPr>
            </w:pPr>
            <w:r>
              <w:rPr>
                <w:highlight w:val="none"/>
              </w:rPr>
              <w:t>林业有害生物防治面积(0.64万亩)</w:t>
            </w:r>
          </w:p>
        </w:tc>
        <w:tc>
          <w:tcPr>
            <w:tcW w:w="1276" w:type="dxa"/>
            <w:vAlign w:val="center"/>
          </w:tcPr>
          <w:p>
            <w:pPr>
              <w:pStyle w:val="10"/>
              <w:rPr>
                <w:highlight w:val="none"/>
              </w:rPr>
            </w:pPr>
            <w:r>
              <w:rPr>
                <w:highlight w:val="none"/>
              </w:rPr>
              <w:t>0.64万元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主要林业有害生物成灾率</w:t>
            </w:r>
          </w:p>
        </w:tc>
        <w:tc>
          <w:tcPr>
            <w:tcW w:w="2891" w:type="dxa"/>
            <w:vAlign w:val="center"/>
          </w:tcPr>
          <w:p>
            <w:pPr>
              <w:pStyle w:val="10"/>
              <w:rPr>
                <w:highlight w:val="none"/>
              </w:rPr>
            </w:pPr>
            <w:r>
              <w:rPr>
                <w:highlight w:val="none"/>
              </w:rPr>
              <w:t>主要林业有害生物成灾率</w:t>
            </w:r>
          </w:p>
        </w:tc>
        <w:tc>
          <w:tcPr>
            <w:tcW w:w="1276" w:type="dxa"/>
            <w:vAlign w:val="center"/>
          </w:tcPr>
          <w:p>
            <w:pPr>
              <w:pStyle w:val="10"/>
              <w:rPr>
                <w:highlight w:val="none"/>
              </w:rPr>
            </w:pPr>
            <w:r>
              <w:rPr>
                <w:highlight w:val="none"/>
              </w:rPr>
              <w:t>≤0.38%</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完成率</w:t>
            </w:r>
          </w:p>
        </w:tc>
        <w:tc>
          <w:tcPr>
            <w:tcW w:w="2891" w:type="dxa"/>
            <w:vAlign w:val="center"/>
          </w:tcPr>
          <w:p>
            <w:pPr>
              <w:pStyle w:val="10"/>
              <w:rPr>
                <w:highlight w:val="none"/>
              </w:rPr>
            </w:pPr>
            <w:r>
              <w:rPr>
                <w:highlight w:val="none"/>
              </w:rPr>
              <w:t>完成率</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本年度林业有害生物防治成本</w:t>
            </w:r>
          </w:p>
        </w:tc>
        <w:tc>
          <w:tcPr>
            <w:tcW w:w="2891" w:type="dxa"/>
            <w:vAlign w:val="center"/>
          </w:tcPr>
          <w:p>
            <w:pPr>
              <w:pStyle w:val="10"/>
              <w:rPr>
                <w:highlight w:val="none"/>
              </w:rPr>
            </w:pPr>
            <w:r>
              <w:rPr>
                <w:highlight w:val="none"/>
              </w:rPr>
              <w:t>本年度林业有害生物防治成本</w:t>
            </w:r>
          </w:p>
        </w:tc>
        <w:tc>
          <w:tcPr>
            <w:tcW w:w="1276" w:type="dxa"/>
            <w:vAlign w:val="center"/>
          </w:tcPr>
          <w:p>
            <w:pPr>
              <w:pStyle w:val="10"/>
              <w:rPr>
                <w:highlight w:val="none"/>
              </w:rPr>
            </w:pPr>
            <w:r>
              <w:rPr>
                <w:highlight w:val="none"/>
              </w:rPr>
              <w:t>≤10万元</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生态效益指标</w:t>
            </w:r>
          </w:p>
        </w:tc>
        <w:tc>
          <w:tcPr>
            <w:tcW w:w="1332" w:type="dxa"/>
            <w:vAlign w:val="center"/>
          </w:tcPr>
          <w:p>
            <w:pPr>
              <w:pStyle w:val="10"/>
              <w:rPr>
                <w:highlight w:val="none"/>
              </w:rPr>
            </w:pPr>
            <w:r>
              <w:rPr>
                <w:highlight w:val="none"/>
              </w:rPr>
              <w:t>林业有害生物无公害防治</w:t>
            </w:r>
          </w:p>
        </w:tc>
        <w:tc>
          <w:tcPr>
            <w:tcW w:w="2891" w:type="dxa"/>
            <w:vAlign w:val="center"/>
          </w:tcPr>
          <w:p>
            <w:pPr>
              <w:pStyle w:val="10"/>
              <w:rPr>
                <w:highlight w:val="none"/>
              </w:rPr>
            </w:pPr>
            <w:r>
              <w:rPr>
                <w:highlight w:val="none"/>
              </w:rPr>
              <w:t>林业有害生物无公害防治</w:t>
            </w:r>
          </w:p>
        </w:tc>
        <w:tc>
          <w:tcPr>
            <w:tcW w:w="1276" w:type="dxa"/>
            <w:vAlign w:val="center"/>
          </w:tcPr>
          <w:p>
            <w:pPr>
              <w:pStyle w:val="10"/>
              <w:rPr>
                <w:highlight w:val="none"/>
              </w:rPr>
            </w:pPr>
            <w:r>
              <w:rPr>
                <w:highlight w:val="none"/>
              </w:rPr>
              <w:t>≥87%</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rFonts w:hint="eastAsia"/>
                <w:highlight w:val="none"/>
                <w:lang w:eastAsia="zh-CN"/>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3" w:name="_Toc_4_4_0000000034"/>
      <w:r>
        <w:rPr>
          <w:rFonts w:ascii="方正仿宋_GBK" w:hAnsi="方正仿宋_GBK" w:eastAsia="方正仿宋_GBK" w:cs="方正仿宋_GBK"/>
          <w:color w:val="000000"/>
          <w:sz w:val="28"/>
          <w:highlight w:val="none"/>
        </w:rPr>
        <w:t>31.提前下达2022年中央财政林业改革发展资金-森林抚育（上一轮退耕还生态林）绩效目标表</w:t>
      </w:r>
      <w:bookmarkEnd w:id="3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13030322P00430910011N</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提前下达2022年中央财政林业改革发展资金-森林抚育（上一轮退耕还生态林）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5.50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5.50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"2022年中央财政林业改革发展资金-森林抚育（上一轮退耕还生态林）</w:t>
            </w:r>
            <w:r>
              <w:rPr>
                <w:highlight w:val="none"/>
              </w:rPr>
              <w:tab/>
            </w:r>
            <w:r>
              <w:rPr>
                <w:highlight w:val="none"/>
              </w:rPr>
              <w:tab/>
            </w:r>
            <w:r>
              <w:rPr>
                <w:highlight w:val="none"/>
              </w:rPr>
              <w:tab/>
            </w:r>
          </w:p>
          <w:p>
            <w:pPr>
              <w:pStyle w:val="10"/>
              <w:rPr>
                <w:highlight w:val="none"/>
              </w:rPr>
            </w:pP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1.2022年中央财政林业改革发展资金-森林抚育（上一轮退耕还生态林）</w:t>
            </w:r>
            <w:r>
              <w:rPr>
                <w:highlight w:val="none"/>
              </w:rPr>
              <w:tab/>
            </w:r>
            <w:r>
              <w:rPr>
                <w:highlight w:val="none"/>
              </w:rPr>
              <w:tab/>
            </w:r>
            <w:r>
              <w:rPr>
                <w:highlight w:val="none"/>
              </w:rPr>
              <w:tab/>
            </w: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政策到期上一轮退耕还生态林面积（万亩）</w:t>
            </w:r>
          </w:p>
        </w:tc>
        <w:tc>
          <w:tcPr>
            <w:tcW w:w="2891" w:type="dxa"/>
            <w:vAlign w:val="center"/>
          </w:tcPr>
          <w:p>
            <w:pPr>
              <w:pStyle w:val="10"/>
              <w:rPr>
                <w:highlight w:val="none"/>
              </w:rPr>
            </w:pPr>
            <w:r>
              <w:rPr>
                <w:highlight w:val="none"/>
              </w:rPr>
              <w:t>森林抚育（上一轮退耕还生态林）补助面积2750亩</w:t>
            </w:r>
          </w:p>
        </w:tc>
        <w:tc>
          <w:tcPr>
            <w:tcW w:w="1276" w:type="dxa"/>
            <w:vAlign w:val="center"/>
          </w:tcPr>
          <w:p>
            <w:pPr>
              <w:pStyle w:val="10"/>
              <w:rPr>
                <w:highlight w:val="none"/>
              </w:rPr>
            </w:pPr>
            <w:r>
              <w:rPr>
                <w:rFonts w:hint="eastAsia"/>
                <w:highlight w:val="none"/>
                <w:lang w:val="en-US" w:eastAsia="zh-CN"/>
              </w:rPr>
              <w:t>=</w:t>
            </w:r>
            <w:r>
              <w:rPr>
                <w:highlight w:val="none"/>
              </w:rPr>
              <w:t>100%</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森林抚育质量合格率</w:t>
            </w:r>
          </w:p>
        </w:tc>
        <w:tc>
          <w:tcPr>
            <w:tcW w:w="2891" w:type="dxa"/>
            <w:vAlign w:val="center"/>
          </w:tcPr>
          <w:p>
            <w:pPr>
              <w:pStyle w:val="10"/>
              <w:rPr>
                <w:highlight w:val="none"/>
              </w:rPr>
            </w:pPr>
            <w:r>
              <w:rPr>
                <w:highlight w:val="none"/>
              </w:rPr>
              <w:t>苗木保存率和成活率</w:t>
            </w:r>
          </w:p>
        </w:tc>
        <w:tc>
          <w:tcPr>
            <w:tcW w:w="1276" w:type="dxa"/>
            <w:vAlign w:val="center"/>
          </w:tcPr>
          <w:p>
            <w:pPr>
              <w:pStyle w:val="10"/>
              <w:rPr>
                <w:highlight w:val="none"/>
              </w:rPr>
            </w:pPr>
            <w:r>
              <w:rPr>
                <w:highlight w:val="none"/>
              </w:rPr>
              <w:t>≥85%</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森林抚育当期任务完成率</w:t>
            </w:r>
          </w:p>
        </w:tc>
        <w:tc>
          <w:tcPr>
            <w:tcW w:w="2891" w:type="dxa"/>
            <w:vAlign w:val="center"/>
          </w:tcPr>
          <w:p>
            <w:pPr>
              <w:pStyle w:val="10"/>
              <w:rPr>
                <w:highlight w:val="none"/>
              </w:rPr>
            </w:pPr>
            <w:r>
              <w:rPr>
                <w:highlight w:val="none"/>
              </w:rPr>
              <w:t>森林抚育当期任务完成率</w:t>
            </w:r>
          </w:p>
        </w:tc>
        <w:tc>
          <w:tcPr>
            <w:tcW w:w="1276" w:type="dxa"/>
            <w:vAlign w:val="center"/>
          </w:tcPr>
          <w:p>
            <w:pPr>
              <w:pStyle w:val="10"/>
              <w:rPr>
                <w:highlight w:val="none"/>
              </w:rPr>
            </w:pPr>
            <w:r>
              <w:rPr>
                <w:highlight w:val="none"/>
              </w:rPr>
              <w:t>≥85%</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森林抚育当期补助标准</w:t>
            </w:r>
          </w:p>
        </w:tc>
        <w:tc>
          <w:tcPr>
            <w:tcW w:w="2891" w:type="dxa"/>
            <w:vAlign w:val="center"/>
          </w:tcPr>
          <w:p>
            <w:pPr>
              <w:pStyle w:val="10"/>
              <w:rPr>
                <w:highlight w:val="none"/>
              </w:rPr>
            </w:pPr>
            <w:r>
              <w:rPr>
                <w:highlight w:val="none"/>
              </w:rPr>
              <w:t>森林抚育（上一轮退耕还生态林）补助标准20元/亩</w:t>
            </w:r>
          </w:p>
        </w:tc>
        <w:tc>
          <w:tcPr>
            <w:tcW w:w="1276" w:type="dxa"/>
            <w:vAlign w:val="center"/>
          </w:tcPr>
          <w:p>
            <w:pPr>
              <w:pStyle w:val="10"/>
              <w:rPr>
                <w:highlight w:val="none"/>
              </w:rPr>
            </w:pPr>
            <w:r>
              <w:rPr>
                <w:highlight w:val="none"/>
              </w:rPr>
              <w:t>5.5万元</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≥85%</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rFonts w:hint="eastAsia"/>
                <w:highlight w:val="none"/>
                <w:lang w:eastAsia="zh-CN"/>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4" w:name="_Toc_4_4_0000000035"/>
      <w:r>
        <w:rPr>
          <w:rFonts w:ascii="方正仿宋_GBK" w:hAnsi="方正仿宋_GBK" w:eastAsia="方正仿宋_GBK" w:cs="方正仿宋_GBK"/>
          <w:color w:val="000000"/>
          <w:sz w:val="28"/>
          <w:highlight w:val="none"/>
        </w:rPr>
        <w:t>32.提前下达2022年中央财政林业改革发展资金-森林生态效益补偿补助-公共管护补助绩效目标表</w:t>
      </w:r>
      <w:bookmarkEnd w:id="3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13030322P00430910007G</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提前下达2022年中央财政林业改革发展资金-森林生态效益补偿补助-公共管护补助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0.45</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0.45</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"2022年中央财政林业改革发展资金-森林生态效益补偿补助</w:t>
            </w:r>
            <w:r>
              <w:rPr>
                <w:highlight w:val="none"/>
              </w:rPr>
              <w:tab/>
            </w:r>
            <w:r>
              <w:rPr>
                <w:highlight w:val="none"/>
              </w:rPr>
              <w:tab/>
            </w:r>
            <w:r>
              <w:rPr>
                <w:highlight w:val="none"/>
              </w:rPr>
              <w:tab/>
            </w:r>
          </w:p>
          <w:p>
            <w:pPr>
              <w:pStyle w:val="10"/>
              <w:rPr>
                <w:highlight w:val="none"/>
              </w:rPr>
            </w:pP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1.2022年中央财政林业改革发展资金-森林生态效益补偿补助</w:t>
            </w:r>
            <w:r>
              <w:rPr>
                <w:highlight w:val="none"/>
              </w:rPr>
              <w:tab/>
            </w:r>
            <w:r>
              <w:rPr>
                <w:highlight w:val="none"/>
              </w:rPr>
              <w:tab/>
            </w:r>
            <w:r>
              <w:rPr>
                <w:highlight w:val="none"/>
              </w:rPr>
              <w:tab/>
            </w: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国家级公益林管护面积</w:t>
            </w:r>
          </w:p>
        </w:tc>
        <w:tc>
          <w:tcPr>
            <w:tcW w:w="2891" w:type="dxa"/>
            <w:vAlign w:val="center"/>
          </w:tcPr>
          <w:p>
            <w:pPr>
              <w:pStyle w:val="10"/>
              <w:rPr>
                <w:highlight w:val="none"/>
              </w:rPr>
            </w:pPr>
            <w:r>
              <w:rPr>
                <w:highlight w:val="none"/>
              </w:rPr>
              <w:t>公益林管护面积</w:t>
            </w:r>
          </w:p>
        </w:tc>
        <w:tc>
          <w:tcPr>
            <w:tcW w:w="1276" w:type="dxa"/>
            <w:vAlign w:val="center"/>
          </w:tcPr>
          <w:p>
            <w:pPr>
              <w:pStyle w:val="10"/>
              <w:rPr>
                <w:highlight w:val="none"/>
              </w:rPr>
            </w:pPr>
            <w:r>
              <w:rPr>
                <w:highlight w:val="none"/>
              </w:rPr>
              <w:t>37600亩</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公益林检查验收合格率</w:t>
            </w:r>
          </w:p>
        </w:tc>
        <w:tc>
          <w:tcPr>
            <w:tcW w:w="2891" w:type="dxa"/>
            <w:vAlign w:val="center"/>
          </w:tcPr>
          <w:p>
            <w:pPr>
              <w:pStyle w:val="10"/>
              <w:rPr>
                <w:highlight w:val="none"/>
              </w:rPr>
            </w:pPr>
            <w:r>
              <w:rPr>
                <w:highlight w:val="none"/>
              </w:rPr>
              <w:t>公益林检查验收合格率</w:t>
            </w:r>
          </w:p>
        </w:tc>
        <w:tc>
          <w:tcPr>
            <w:tcW w:w="1276" w:type="dxa"/>
            <w:vAlign w:val="center"/>
          </w:tcPr>
          <w:p>
            <w:pPr>
              <w:pStyle w:val="10"/>
              <w:rPr>
                <w:highlight w:val="none"/>
              </w:rPr>
            </w:pPr>
            <w:r>
              <w:rPr>
                <w:highlight w:val="none"/>
              </w:rPr>
              <w:t>100%</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各公益林管护当期任务完成率</w:t>
            </w:r>
          </w:p>
        </w:tc>
        <w:tc>
          <w:tcPr>
            <w:tcW w:w="2891" w:type="dxa"/>
            <w:vAlign w:val="center"/>
          </w:tcPr>
          <w:p>
            <w:pPr>
              <w:pStyle w:val="10"/>
              <w:rPr>
                <w:highlight w:val="none"/>
              </w:rPr>
            </w:pPr>
            <w:r>
              <w:rPr>
                <w:highlight w:val="none"/>
              </w:rPr>
              <w:t>各公益林管护当期任务完成率</w:t>
            </w:r>
          </w:p>
        </w:tc>
        <w:tc>
          <w:tcPr>
            <w:tcW w:w="1276" w:type="dxa"/>
            <w:vAlign w:val="center"/>
          </w:tcPr>
          <w:p>
            <w:pPr>
              <w:pStyle w:val="10"/>
              <w:rPr>
                <w:highlight w:val="none"/>
              </w:rPr>
            </w:pPr>
            <w:r>
              <w:rPr>
                <w:highlight w:val="none"/>
              </w:rPr>
              <w:t>100%</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国家级公益林管护中央财政补助标准</w:t>
            </w:r>
          </w:p>
        </w:tc>
        <w:tc>
          <w:tcPr>
            <w:tcW w:w="2891" w:type="dxa"/>
            <w:vAlign w:val="center"/>
          </w:tcPr>
          <w:p>
            <w:pPr>
              <w:pStyle w:val="10"/>
              <w:rPr>
                <w:highlight w:val="none"/>
              </w:rPr>
            </w:pPr>
            <w:r>
              <w:rPr>
                <w:highlight w:val="none"/>
              </w:rPr>
              <w:t>国家级公益林管护中央财政补助4500元</w:t>
            </w:r>
          </w:p>
        </w:tc>
        <w:tc>
          <w:tcPr>
            <w:tcW w:w="1276" w:type="dxa"/>
            <w:vAlign w:val="center"/>
          </w:tcPr>
          <w:p>
            <w:pPr>
              <w:pStyle w:val="10"/>
              <w:rPr>
                <w:highlight w:val="none"/>
              </w:rPr>
            </w:pPr>
            <w:r>
              <w:rPr>
                <w:highlight w:val="none"/>
              </w:rPr>
              <w:t>0.45万元</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逐步加快</w:t>
            </w:r>
          </w:p>
          <w:p>
            <w:pPr>
              <w:pStyle w:val="10"/>
              <w:rPr>
                <w:highlight w:val="none"/>
              </w:rPr>
            </w:pP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≥90%</w:t>
            </w:r>
          </w:p>
        </w:tc>
        <w:tc>
          <w:tcPr>
            <w:tcW w:w="1843" w:type="dxa"/>
            <w:vAlign w:val="center"/>
          </w:tcPr>
          <w:p>
            <w:pPr>
              <w:pStyle w:val="10"/>
              <w:rPr>
                <w:rFonts w:hint="eastAsia" w:eastAsia="方正书宋_GBK"/>
                <w:highlight w:val="none"/>
                <w:lang w:eastAsia="zh-CN"/>
              </w:rPr>
            </w:pPr>
            <w:r>
              <w:rPr>
                <w:rFonts w:hint="eastAsia"/>
                <w:highlight w:val="none"/>
                <w:lang w:eastAsia="zh-CN"/>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5" w:name="_Toc_4_4_0000000036"/>
      <w:r>
        <w:rPr>
          <w:rFonts w:ascii="方正仿宋_GBK" w:hAnsi="方正仿宋_GBK" w:eastAsia="方正仿宋_GBK" w:cs="方正仿宋_GBK"/>
          <w:color w:val="000000"/>
          <w:sz w:val="28"/>
          <w:highlight w:val="none"/>
        </w:rPr>
        <w:t>33.提前下达2022年中央财政林业改革发展资金-森林生态效益补偿补助-管护补助绩效目标表</w:t>
      </w:r>
      <w:bookmarkEnd w:id="3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13030322P004309100084</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提前下达2022年中央财政林业改革发展资金-森林生态效益补偿补助-管护补助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7.88</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7.88</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"提前下达2022年中央财政林业改革发展资金-森林生态效益补偿补助-管护补助</w:t>
            </w:r>
            <w:r>
              <w:rPr>
                <w:highlight w:val="none"/>
              </w:rPr>
              <w:tab/>
            </w:r>
            <w:r>
              <w:rPr>
                <w:highlight w:val="none"/>
              </w:rPr>
              <w:tab/>
            </w:r>
            <w:r>
              <w:rPr>
                <w:highlight w:val="none"/>
              </w:rPr>
              <w:tab/>
            </w:r>
          </w:p>
          <w:p>
            <w:pPr>
              <w:pStyle w:val="10"/>
              <w:rPr>
                <w:highlight w:val="none"/>
              </w:rPr>
            </w:pPr>
            <w:r>
              <w:rPr>
                <w:highlight w:val="none"/>
              </w:rPr>
              <w:t>"</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1.提前下达2022年中央财政林业改革发展资金-森林生态效益补偿补助-管护补助</w:t>
            </w:r>
            <w:r>
              <w:rPr>
                <w:highlight w:val="none"/>
              </w:rPr>
              <w:tab/>
            </w:r>
            <w:r>
              <w:rPr>
                <w:highlight w:val="none"/>
              </w:rPr>
              <w:tab/>
            </w:r>
            <w:r>
              <w:rPr>
                <w:highlight w:val="none"/>
              </w:rPr>
              <w:tab/>
            </w: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集体国家级公益林管护面积5000亩</w:t>
            </w:r>
          </w:p>
        </w:tc>
        <w:tc>
          <w:tcPr>
            <w:tcW w:w="2891" w:type="dxa"/>
            <w:vAlign w:val="center"/>
          </w:tcPr>
          <w:p>
            <w:pPr>
              <w:pStyle w:val="10"/>
              <w:rPr>
                <w:highlight w:val="none"/>
              </w:rPr>
            </w:pPr>
            <w:r>
              <w:rPr>
                <w:highlight w:val="none"/>
              </w:rPr>
              <w:t>集体国家级公益林管护面积5000亩</w:t>
            </w:r>
          </w:p>
        </w:tc>
        <w:tc>
          <w:tcPr>
            <w:tcW w:w="1276" w:type="dxa"/>
            <w:vAlign w:val="center"/>
          </w:tcPr>
          <w:p>
            <w:pPr>
              <w:pStyle w:val="10"/>
              <w:rPr>
                <w:highlight w:val="none"/>
              </w:rPr>
            </w:pPr>
            <w:r>
              <w:rPr>
                <w:highlight w:val="none"/>
              </w:rPr>
              <w:t>≥5000亩</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公益林检查验收合格率</w:t>
            </w:r>
          </w:p>
        </w:tc>
        <w:tc>
          <w:tcPr>
            <w:tcW w:w="2891" w:type="dxa"/>
            <w:vAlign w:val="center"/>
          </w:tcPr>
          <w:p>
            <w:pPr>
              <w:pStyle w:val="10"/>
              <w:rPr>
                <w:highlight w:val="none"/>
              </w:rPr>
            </w:pPr>
            <w:r>
              <w:rPr>
                <w:highlight w:val="none"/>
              </w:rPr>
              <w:t>公益林检查验收合格率</w:t>
            </w:r>
          </w:p>
        </w:tc>
        <w:tc>
          <w:tcPr>
            <w:tcW w:w="1276" w:type="dxa"/>
            <w:vAlign w:val="center"/>
          </w:tcPr>
          <w:p>
            <w:pPr>
              <w:pStyle w:val="10"/>
              <w:rPr>
                <w:highlight w:val="none"/>
              </w:rPr>
            </w:pPr>
            <w:r>
              <w:rPr>
                <w:highlight w:val="none"/>
              </w:rPr>
              <w:t>100%</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各公益林管护当期任务完成率</w:t>
            </w:r>
          </w:p>
        </w:tc>
        <w:tc>
          <w:tcPr>
            <w:tcW w:w="2891" w:type="dxa"/>
            <w:vAlign w:val="center"/>
          </w:tcPr>
          <w:p>
            <w:pPr>
              <w:pStyle w:val="10"/>
              <w:rPr>
                <w:highlight w:val="none"/>
              </w:rPr>
            </w:pPr>
            <w:r>
              <w:rPr>
                <w:highlight w:val="none"/>
              </w:rPr>
              <w:t>各项工作按计划及时开展</w:t>
            </w:r>
          </w:p>
        </w:tc>
        <w:tc>
          <w:tcPr>
            <w:tcW w:w="1276" w:type="dxa"/>
            <w:vAlign w:val="center"/>
          </w:tcPr>
          <w:p>
            <w:pPr>
              <w:pStyle w:val="10"/>
              <w:rPr>
                <w:highlight w:val="none"/>
              </w:rPr>
            </w:pPr>
            <w:r>
              <w:rPr>
                <w:highlight w:val="none"/>
              </w:rPr>
              <w:t>100%</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集体国家级公益林管护中央财政补助标准</w:t>
            </w:r>
          </w:p>
        </w:tc>
        <w:tc>
          <w:tcPr>
            <w:tcW w:w="2891" w:type="dxa"/>
            <w:vAlign w:val="center"/>
          </w:tcPr>
          <w:p>
            <w:pPr>
              <w:pStyle w:val="10"/>
              <w:rPr>
                <w:highlight w:val="none"/>
              </w:rPr>
            </w:pPr>
            <w:r>
              <w:rPr>
                <w:highlight w:val="none"/>
              </w:rPr>
              <w:t>集体国家级公益林管护中央财政补助标准15.75元/亩</w:t>
            </w:r>
          </w:p>
        </w:tc>
        <w:tc>
          <w:tcPr>
            <w:tcW w:w="1276" w:type="dxa"/>
            <w:vAlign w:val="center"/>
          </w:tcPr>
          <w:p>
            <w:pPr>
              <w:pStyle w:val="10"/>
              <w:rPr>
                <w:highlight w:val="none"/>
              </w:rPr>
            </w:pPr>
            <w:r>
              <w:rPr>
                <w:highlight w:val="none"/>
              </w:rPr>
              <w:t>7.88万元</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加快生态建设步伐</w:t>
            </w:r>
          </w:p>
        </w:tc>
        <w:tc>
          <w:tcPr>
            <w:tcW w:w="2891" w:type="dxa"/>
            <w:vAlign w:val="center"/>
          </w:tcPr>
          <w:p>
            <w:pPr>
              <w:pStyle w:val="10"/>
              <w:rPr>
                <w:highlight w:val="none"/>
              </w:rPr>
            </w:pPr>
            <w:r>
              <w:rPr>
                <w:highlight w:val="none"/>
              </w:rPr>
              <w:t>加快生态建设步伐</w:t>
            </w:r>
          </w:p>
        </w:tc>
        <w:tc>
          <w:tcPr>
            <w:tcW w:w="1276" w:type="dxa"/>
            <w:vAlign w:val="center"/>
          </w:tcPr>
          <w:p>
            <w:pPr>
              <w:pStyle w:val="10"/>
              <w:rPr>
                <w:highlight w:val="none"/>
              </w:rPr>
            </w:pPr>
            <w:r>
              <w:rPr>
                <w:highlight w:val="none"/>
              </w:rPr>
              <w:t>逐步加快</w:t>
            </w:r>
          </w:p>
        </w:tc>
        <w:tc>
          <w:tcPr>
            <w:tcW w:w="1843" w:type="dxa"/>
            <w:vAlign w:val="center"/>
          </w:tcPr>
          <w:p>
            <w:pPr>
              <w:rPr>
                <w:highlight w:val="green"/>
              </w:rPr>
            </w:pPr>
            <w:r>
              <w:rPr>
                <w:rFonts w:hint="eastAsia"/>
                <w:highlight w:val="green"/>
              </w:rP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rFonts w:hint="eastAsia"/>
                <w:highlight w:val="none"/>
                <w:lang w:eastAsia="zh-CN"/>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6" w:name="_Toc_4_4_0000000037"/>
      <w:r>
        <w:rPr>
          <w:rFonts w:ascii="方正仿宋_GBK" w:hAnsi="方正仿宋_GBK" w:eastAsia="方正仿宋_GBK" w:cs="方正仿宋_GBK"/>
          <w:color w:val="000000"/>
          <w:sz w:val="28"/>
          <w:highlight w:val="none"/>
        </w:rPr>
        <w:t>34.土地出让金业务费绩效目标表</w:t>
      </w:r>
      <w:bookmarkEnd w:id="3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13030322P004256100112</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土地出让金业务费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300.00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300.00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推进自然资源征拆工作所需各项支出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1.1、用于推进自然资源工作开展所需的各项支出。</w:t>
            </w:r>
          </w:p>
          <w:p>
            <w:pPr>
              <w:pStyle w:val="10"/>
              <w:rPr>
                <w:highlight w:val="none"/>
              </w:rPr>
            </w:pPr>
            <w:r>
              <w:rPr>
                <w:highlight w:val="none"/>
              </w:rPr>
              <w:t>2、土地收储项目、开发利用项目评估、评审费、测绘费，已收储地块附着物拆除清理费、管护费等。</w:t>
            </w:r>
          </w:p>
          <w:p>
            <w:pPr>
              <w:pStyle w:val="10"/>
              <w:rPr>
                <w:highlight w:val="none"/>
              </w:rPr>
            </w:pP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完成的资源国土业务工作</w:t>
            </w:r>
          </w:p>
        </w:tc>
        <w:tc>
          <w:tcPr>
            <w:tcW w:w="2891" w:type="dxa"/>
            <w:vAlign w:val="center"/>
          </w:tcPr>
          <w:p>
            <w:pPr>
              <w:pStyle w:val="10"/>
              <w:rPr>
                <w:highlight w:val="none"/>
              </w:rPr>
            </w:pPr>
            <w:r>
              <w:rPr>
                <w:highlight w:val="none"/>
              </w:rPr>
              <w:t>保证相关业务科室国土业务开展</w:t>
            </w:r>
          </w:p>
        </w:tc>
        <w:tc>
          <w:tcPr>
            <w:tcW w:w="1276" w:type="dxa"/>
            <w:vAlign w:val="center"/>
          </w:tcPr>
          <w:p>
            <w:pPr>
              <w:pStyle w:val="10"/>
              <w:rPr>
                <w:highlight w:val="none"/>
              </w:rPr>
            </w:pPr>
            <w:r>
              <w:rPr>
                <w:highlight w:val="none"/>
              </w:rPr>
              <w:t>≥20个</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储备的项目数量</w:t>
            </w:r>
          </w:p>
        </w:tc>
        <w:tc>
          <w:tcPr>
            <w:tcW w:w="2891" w:type="dxa"/>
            <w:vAlign w:val="center"/>
          </w:tcPr>
          <w:p>
            <w:pPr>
              <w:pStyle w:val="10"/>
              <w:rPr>
                <w:highlight w:val="none"/>
              </w:rPr>
            </w:pPr>
            <w:r>
              <w:rPr>
                <w:highlight w:val="none"/>
              </w:rPr>
              <w:t>已储备地块4宗，2022年内拟收储完成3个地块及白鹭岛片区地块管理</w:t>
            </w:r>
          </w:p>
        </w:tc>
        <w:tc>
          <w:tcPr>
            <w:tcW w:w="1276" w:type="dxa"/>
            <w:vAlign w:val="center"/>
          </w:tcPr>
          <w:p>
            <w:pPr>
              <w:pStyle w:val="10"/>
              <w:rPr>
                <w:highlight w:val="none"/>
              </w:rPr>
            </w:pPr>
            <w:r>
              <w:rPr>
                <w:highlight w:val="none"/>
              </w:rPr>
              <w:t>≥7个</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开发利用项目数量</w:t>
            </w:r>
          </w:p>
        </w:tc>
        <w:tc>
          <w:tcPr>
            <w:tcW w:w="2891" w:type="dxa"/>
            <w:vAlign w:val="center"/>
          </w:tcPr>
          <w:p>
            <w:pPr>
              <w:pStyle w:val="10"/>
              <w:rPr>
                <w:highlight w:val="none"/>
              </w:rPr>
            </w:pPr>
            <w:r>
              <w:rPr>
                <w:highlight w:val="none"/>
              </w:rPr>
              <w:t>2022年计划出让供地9个</w:t>
            </w:r>
          </w:p>
        </w:tc>
        <w:tc>
          <w:tcPr>
            <w:tcW w:w="1276" w:type="dxa"/>
            <w:vAlign w:val="center"/>
          </w:tcPr>
          <w:p>
            <w:pPr>
              <w:pStyle w:val="10"/>
              <w:rPr>
                <w:highlight w:val="none"/>
              </w:rPr>
            </w:pPr>
            <w:r>
              <w:rPr>
                <w:highlight w:val="none"/>
              </w:rPr>
              <w:t>≥9个</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差旅等费用</w:t>
            </w:r>
          </w:p>
        </w:tc>
        <w:tc>
          <w:tcPr>
            <w:tcW w:w="2891" w:type="dxa"/>
            <w:vAlign w:val="center"/>
          </w:tcPr>
          <w:p>
            <w:pPr>
              <w:pStyle w:val="10"/>
              <w:rPr>
                <w:highlight w:val="none"/>
              </w:rPr>
            </w:pPr>
            <w:r>
              <w:rPr>
                <w:highlight w:val="none"/>
              </w:rPr>
              <w:t>涉及国土业务差旅外出的科室个数</w:t>
            </w:r>
          </w:p>
        </w:tc>
        <w:tc>
          <w:tcPr>
            <w:tcW w:w="1276" w:type="dxa"/>
            <w:vAlign w:val="center"/>
          </w:tcPr>
          <w:p>
            <w:pPr>
              <w:pStyle w:val="10"/>
              <w:rPr>
                <w:highlight w:val="none"/>
              </w:rPr>
            </w:pPr>
            <w:r>
              <w:rPr>
                <w:highlight w:val="none"/>
              </w:rPr>
              <w:t>≥20个</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资源业务工作完成情况</w:t>
            </w:r>
          </w:p>
        </w:tc>
        <w:tc>
          <w:tcPr>
            <w:tcW w:w="2891" w:type="dxa"/>
            <w:vAlign w:val="center"/>
          </w:tcPr>
          <w:p>
            <w:pPr>
              <w:pStyle w:val="10"/>
              <w:rPr>
                <w:highlight w:val="none"/>
              </w:rPr>
            </w:pPr>
            <w:r>
              <w:rPr>
                <w:highlight w:val="none"/>
              </w:rPr>
              <w:t>完成工作占工作计划的百分比</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按标准及规定</w:t>
            </w:r>
          </w:p>
        </w:tc>
        <w:tc>
          <w:tcPr>
            <w:tcW w:w="2891" w:type="dxa"/>
            <w:vAlign w:val="center"/>
          </w:tcPr>
          <w:p>
            <w:pPr>
              <w:pStyle w:val="10"/>
              <w:rPr>
                <w:highlight w:val="none"/>
              </w:rPr>
            </w:pPr>
            <w:r>
              <w:rPr>
                <w:highlight w:val="none"/>
              </w:rPr>
              <w:t>差旅费支出符合相关文件规定</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完成土地储备项目测算</w:t>
            </w:r>
          </w:p>
        </w:tc>
        <w:tc>
          <w:tcPr>
            <w:tcW w:w="2891" w:type="dxa"/>
            <w:vAlign w:val="center"/>
          </w:tcPr>
          <w:p>
            <w:pPr>
              <w:pStyle w:val="10"/>
              <w:rPr>
                <w:highlight w:val="none"/>
              </w:rPr>
            </w:pPr>
            <w:r>
              <w:rPr>
                <w:highlight w:val="none"/>
              </w:rPr>
              <w:t>完成项目测算</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符合2022年土地收储项目要求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支出的和规率</w:t>
            </w:r>
          </w:p>
        </w:tc>
        <w:tc>
          <w:tcPr>
            <w:tcW w:w="2891" w:type="dxa"/>
            <w:vAlign w:val="center"/>
          </w:tcPr>
          <w:p>
            <w:pPr>
              <w:pStyle w:val="10"/>
              <w:rPr>
                <w:highlight w:val="none"/>
              </w:rPr>
            </w:pPr>
            <w:r>
              <w:rPr>
                <w:highlight w:val="none"/>
              </w:rPr>
              <w:t>项目实施过程规范</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符合《河北省村庄规划编制导则》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支出完成及时性</w:t>
            </w:r>
          </w:p>
        </w:tc>
        <w:tc>
          <w:tcPr>
            <w:tcW w:w="2891" w:type="dxa"/>
            <w:vAlign w:val="center"/>
          </w:tcPr>
          <w:p>
            <w:pPr>
              <w:pStyle w:val="10"/>
              <w:rPr>
                <w:highlight w:val="none"/>
              </w:rPr>
            </w:pPr>
            <w:r>
              <w:rPr>
                <w:highlight w:val="none"/>
              </w:rPr>
              <w:t>业务费用及时支出</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符合《河北省村庄规划编制导则》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按照编制要求完成编制</w:t>
            </w:r>
          </w:p>
        </w:tc>
        <w:tc>
          <w:tcPr>
            <w:tcW w:w="2891" w:type="dxa"/>
            <w:vAlign w:val="center"/>
          </w:tcPr>
          <w:p>
            <w:pPr>
              <w:pStyle w:val="10"/>
              <w:rPr>
                <w:highlight w:val="none"/>
              </w:rPr>
            </w:pPr>
            <w:r>
              <w:rPr>
                <w:highlight w:val="none"/>
              </w:rPr>
              <w:t>按照已收储土地要求完成编制</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符合2022年土地收储项目要求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资源国土业务工作的支出</w:t>
            </w:r>
          </w:p>
        </w:tc>
        <w:tc>
          <w:tcPr>
            <w:tcW w:w="2891" w:type="dxa"/>
            <w:vAlign w:val="center"/>
          </w:tcPr>
          <w:p>
            <w:pPr>
              <w:pStyle w:val="10"/>
              <w:rPr>
                <w:highlight w:val="none"/>
              </w:rPr>
            </w:pPr>
            <w:r>
              <w:rPr>
                <w:highlight w:val="none"/>
              </w:rPr>
              <w:t>各项资源国土业务工作所需资金</w:t>
            </w:r>
          </w:p>
        </w:tc>
        <w:tc>
          <w:tcPr>
            <w:tcW w:w="1276" w:type="dxa"/>
            <w:vAlign w:val="center"/>
          </w:tcPr>
          <w:p>
            <w:pPr>
              <w:pStyle w:val="10"/>
              <w:rPr>
                <w:highlight w:val="none"/>
              </w:rPr>
            </w:pPr>
            <w:r>
              <w:rPr>
                <w:highlight w:val="none"/>
              </w:rPr>
              <w:t>≤200万元</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储备中心业务工作的支出</w:t>
            </w:r>
          </w:p>
        </w:tc>
        <w:tc>
          <w:tcPr>
            <w:tcW w:w="2891" w:type="dxa"/>
            <w:vAlign w:val="center"/>
          </w:tcPr>
          <w:p>
            <w:pPr>
              <w:pStyle w:val="10"/>
              <w:rPr>
                <w:highlight w:val="none"/>
              </w:rPr>
            </w:pPr>
            <w:r>
              <w:rPr>
                <w:highlight w:val="none"/>
              </w:rPr>
              <w:t>储备中心业务工作的支出</w:t>
            </w:r>
          </w:p>
        </w:tc>
        <w:tc>
          <w:tcPr>
            <w:tcW w:w="1276" w:type="dxa"/>
            <w:vAlign w:val="center"/>
          </w:tcPr>
          <w:p>
            <w:pPr>
              <w:pStyle w:val="10"/>
              <w:rPr>
                <w:highlight w:val="none"/>
              </w:rPr>
            </w:pPr>
            <w:r>
              <w:rPr>
                <w:highlight w:val="none"/>
              </w:rPr>
              <w:t>≤100万元</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t>提升业务管理水平</w:t>
            </w:r>
          </w:p>
        </w:tc>
        <w:tc>
          <w:tcPr>
            <w:tcW w:w="2891" w:type="dxa"/>
            <w:vAlign w:val="center"/>
          </w:tcPr>
          <w:p>
            <w:pPr>
              <w:pStyle w:val="10"/>
              <w:rPr>
                <w:highlight w:val="none"/>
              </w:rPr>
            </w:pPr>
            <w:r>
              <w:t>促进各科室自然资源业务管理水平提升</w:t>
            </w:r>
          </w:p>
        </w:tc>
        <w:tc>
          <w:tcPr>
            <w:tcW w:w="1276" w:type="dxa"/>
            <w:vAlign w:val="center"/>
          </w:tcPr>
          <w:p>
            <w:pPr>
              <w:pStyle w:val="10"/>
              <w:rPr>
                <w:highlight w:val="none"/>
              </w:rPr>
            </w:pPr>
            <w:r>
              <w:rPr>
                <w:highlight w:val="green"/>
              </w:rPr>
              <w:t>效果明显</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w:t>
            </w:r>
            <w:r>
              <w:rPr>
                <w:rFonts w:hint="eastAsia"/>
                <w:highlight w:val="none"/>
                <w:lang w:val="en-US" w:eastAsia="zh-CN"/>
              </w:rPr>
              <w:t>5</w:t>
            </w:r>
            <w:r>
              <w:rPr>
                <w:highlight w:val="none"/>
              </w:rPr>
              <w:t>%</w:t>
            </w:r>
          </w:p>
        </w:tc>
        <w:tc>
          <w:tcPr>
            <w:tcW w:w="1843" w:type="dxa"/>
            <w:vAlign w:val="center"/>
          </w:tcPr>
          <w:p>
            <w:pPr>
              <w:pStyle w:val="10"/>
              <w:rPr>
                <w:highlight w:val="none"/>
              </w:rPr>
            </w:pPr>
            <w:r>
              <w:rPr>
                <w:rFonts w:hint="eastAsia"/>
                <w:highlight w:val="none"/>
                <w:lang w:eastAsia="zh-CN"/>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7" w:name="_Toc_4_4_0000000038"/>
      <w:r>
        <w:rPr>
          <w:rFonts w:ascii="方正仿宋_GBK" w:hAnsi="方正仿宋_GBK" w:eastAsia="方正仿宋_GBK" w:cs="方正仿宋_GBK"/>
          <w:color w:val="000000"/>
          <w:sz w:val="28"/>
          <w:highlight w:val="none"/>
        </w:rPr>
        <w:t>35.永久性防护林管护费绩效目标表</w:t>
      </w:r>
      <w:bookmarkEnd w:id="3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13030322P00425610063L</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永久性防护林管护费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100.00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100.00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改善城乡的生态环境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1.1.改善城乡的生态环境</w:t>
            </w:r>
          </w:p>
          <w:p>
            <w:pPr>
              <w:pStyle w:val="10"/>
              <w:rPr>
                <w:highlight w:val="none"/>
              </w:rPr>
            </w:pPr>
            <w:r>
              <w:rPr>
                <w:highlight w:val="none"/>
              </w:rPr>
              <w:t>2.提升绿化和生态建设水平</w:t>
            </w: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永久性防护林管护面积</w:t>
            </w:r>
          </w:p>
        </w:tc>
        <w:tc>
          <w:tcPr>
            <w:tcW w:w="2891" w:type="dxa"/>
            <w:vAlign w:val="center"/>
          </w:tcPr>
          <w:p>
            <w:pPr>
              <w:pStyle w:val="10"/>
              <w:rPr>
                <w:highlight w:val="none"/>
              </w:rPr>
            </w:pPr>
            <w:r>
              <w:rPr>
                <w:highlight w:val="none"/>
              </w:rPr>
              <w:t>永久性防护林管护面积</w:t>
            </w:r>
          </w:p>
        </w:tc>
        <w:tc>
          <w:tcPr>
            <w:tcW w:w="1276" w:type="dxa"/>
            <w:vAlign w:val="center"/>
          </w:tcPr>
          <w:p>
            <w:pPr>
              <w:pStyle w:val="10"/>
              <w:rPr>
                <w:highlight w:val="none"/>
              </w:rPr>
            </w:pPr>
            <w:r>
              <w:rPr>
                <w:highlight w:val="none"/>
              </w:rPr>
              <w:t>≥2512亩</w:t>
            </w:r>
          </w:p>
        </w:tc>
        <w:tc>
          <w:tcPr>
            <w:tcW w:w="1843" w:type="dxa"/>
            <w:vAlign w:val="center"/>
          </w:tcPr>
          <w:p>
            <w:pPr>
              <w:pStyle w:val="10"/>
              <w:rPr>
                <w:highlight w:val="none"/>
              </w:rPr>
            </w:pPr>
            <w:r>
              <w:rPr>
                <w:highlight w:val="none"/>
              </w:rP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完成永久性防护林管护面积等工作</w:t>
            </w:r>
          </w:p>
        </w:tc>
        <w:tc>
          <w:tcPr>
            <w:tcW w:w="2891" w:type="dxa"/>
            <w:vAlign w:val="center"/>
          </w:tcPr>
          <w:p>
            <w:pPr>
              <w:pStyle w:val="10"/>
              <w:rPr>
                <w:highlight w:val="none"/>
              </w:rPr>
            </w:pPr>
            <w:r>
              <w:rPr>
                <w:highlight w:val="none"/>
              </w:rPr>
              <w:t>永久性防护林检查验收的合格面积</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按合同验收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管护工作完成及时性</w:t>
            </w:r>
          </w:p>
        </w:tc>
        <w:tc>
          <w:tcPr>
            <w:tcW w:w="2891" w:type="dxa"/>
            <w:vAlign w:val="center"/>
          </w:tcPr>
          <w:p>
            <w:pPr>
              <w:pStyle w:val="10"/>
              <w:rPr>
                <w:highlight w:val="none"/>
              </w:rPr>
            </w:pPr>
            <w:r>
              <w:rPr>
                <w:highlight w:val="none"/>
              </w:rPr>
              <w:t>及时完成永久性防护林管护面积和土地补偿费用发放工作。</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永久性防护林管护费支出</w:t>
            </w:r>
          </w:p>
        </w:tc>
        <w:tc>
          <w:tcPr>
            <w:tcW w:w="2891" w:type="dxa"/>
            <w:vAlign w:val="center"/>
          </w:tcPr>
          <w:p>
            <w:pPr>
              <w:pStyle w:val="10"/>
              <w:rPr>
                <w:highlight w:val="none"/>
              </w:rPr>
            </w:pPr>
            <w:r>
              <w:rPr>
                <w:highlight w:val="none"/>
              </w:rPr>
              <w:t>对永久性防护林林地进行除草、打药、修枝。</w:t>
            </w:r>
          </w:p>
        </w:tc>
        <w:tc>
          <w:tcPr>
            <w:tcW w:w="1276" w:type="dxa"/>
            <w:vAlign w:val="center"/>
          </w:tcPr>
          <w:p>
            <w:pPr>
              <w:pStyle w:val="10"/>
              <w:rPr>
                <w:highlight w:val="none"/>
              </w:rPr>
            </w:pPr>
            <w:r>
              <w:rPr>
                <w:highlight w:val="none"/>
              </w:rPr>
              <w:t>47.8万元</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改善城乡的生态环境</w:t>
            </w:r>
          </w:p>
        </w:tc>
        <w:tc>
          <w:tcPr>
            <w:tcW w:w="2891" w:type="dxa"/>
            <w:vAlign w:val="center"/>
          </w:tcPr>
          <w:p>
            <w:pPr>
              <w:pStyle w:val="10"/>
              <w:rPr>
                <w:highlight w:val="none"/>
              </w:rPr>
            </w:pPr>
            <w:r>
              <w:rPr>
                <w:highlight w:val="none"/>
              </w:rPr>
              <w:t>改善城乡的生态环境</w:t>
            </w:r>
          </w:p>
        </w:tc>
        <w:tc>
          <w:tcPr>
            <w:tcW w:w="1276" w:type="dxa"/>
            <w:vAlign w:val="center"/>
          </w:tcPr>
          <w:p>
            <w:pPr>
              <w:pStyle w:val="10"/>
              <w:rPr>
                <w:highlight w:val="none"/>
              </w:rPr>
            </w:pPr>
            <w:r>
              <w:rPr>
                <w:highlight w:val="none"/>
              </w:rPr>
              <w:t>改善</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服务对象满意度指标</w:t>
            </w:r>
          </w:p>
        </w:tc>
        <w:tc>
          <w:tcPr>
            <w:tcW w:w="2891" w:type="dxa"/>
            <w:vAlign w:val="center"/>
          </w:tcPr>
          <w:p>
            <w:pPr>
              <w:pStyle w:val="10"/>
              <w:rPr>
                <w:highlight w:val="none"/>
              </w:rPr>
            </w:pPr>
            <w:r>
              <w:rPr>
                <w:highlight w:val="none"/>
              </w:rPr>
              <w:t>群众满意度</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8" w:name="_Toc_4_4_0000000039"/>
      <w:r>
        <w:rPr>
          <w:rFonts w:ascii="方正仿宋_GBK" w:hAnsi="方正仿宋_GBK" w:eastAsia="方正仿宋_GBK" w:cs="方正仿宋_GBK"/>
          <w:color w:val="000000"/>
          <w:sz w:val="28"/>
          <w:highlight w:val="none"/>
        </w:rPr>
        <w:t>36.征地拆迁补偿绩效目标表</w:t>
      </w:r>
      <w:bookmarkEnd w:id="3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13030322P00425610010E</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征地拆迁补偿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5965.00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5965.00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完成土地储备项目综合测算</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1.完成土地储备项目综合测算</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项目数量</w:t>
            </w:r>
          </w:p>
        </w:tc>
        <w:tc>
          <w:tcPr>
            <w:tcW w:w="2891" w:type="dxa"/>
            <w:vAlign w:val="center"/>
          </w:tcPr>
          <w:p>
            <w:pPr>
              <w:pStyle w:val="10"/>
              <w:rPr>
                <w:highlight w:val="none"/>
              </w:rPr>
            </w:pPr>
            <w:r>
              <w:rPr>
                <w:highlight w:val="none"/>
              </w:rPr>
              <w:t>土地储备项目</w:t>
            </w:r>
          </w:p>
        </w:tc>
        <w:tc>
          <w:tcPr>
            <w:tcW w:w="1276" w:type="dxa"/>
            <w:vAlign w:val="center"/>
          </w:tcPr>
          <w:p>
            <w:pPr>
              <w:pStyle w:val="10"/>
              <w:rPr>
                <w:highlight w:val="none"/>
              </w:rPr>
            </w:pPr>
            <w:r>
              <w:rPr>
                <w:highlight w:val="none"/>
              </w:rPr>
              <w:t>≥3个</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完成土地储备项目测算</w:t>
            </w:r>
          </w:p>
        </w:tc>
        <w:tc>
          <w:tcPr>
            <w:tcW w:w="2891" w:type="dxa"/>
            <w:vAlign w:val="center"/>
          </w:tcPr>
          <w:p>
            <w:pPr>
              <w:pStyle w:val="10"/>
              <w:rPr>
                <w:highlight w:val="none"/>
              </w:rPr>
            </w:pPr>
            <w:r>
              <w:rPr>
                <w:highlight w:val="none"/>
              </w:rPr>
              <w:t>完成项目测算</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符合2022年土地收储项目要求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按照编制要求完成编制</w:t>
            </w:r>
          </w:p>
        </w:tc>
        <w:tc>
          <w:tcPr>
            <w:tcW w:w="2891" w:type="dxa"/>
            <w:vAlign w:val="center"/>
          </w:tcPr>
          <w:p>
            <w:pPr>
              <w:pStyle w:val="10"/>
              <w:rPr>
                <w:highlight w:val="none"/>
              </w:rPr>
            </w:pPr>
            <w:r>
              <w:rPr>
                <w:highlight w:val="none"/>
              </w:rPr>
              <w:t>按照土地收储要求完成编制</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符合2022年土地收储项目要求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成本预算控制数</w:t>
            </w:r>
          </w:p>
        </w:tc>
        <w:tc>
          <w:tcPr>
            <w:tcW w:w="2891" w:type="dxa"/>
            <w:vAlign w:val="center"/>
          </w:tcPr>
          <w:p>
            <w:pPr>
              <w:pStyle w:val="10"/>
              <w:rPr>
                <w:highlight w:val="none"/>
              </w:rPr>
            </w:pPr>
            <w:r>
              <w:rPr>
                <w:highlight w:val="none"/>
              </w:rPr>
              <w:t>编制成本</w:t>
            </w:r>
          </w:p>
        </w:tc>
        <w:tc>
          <w:tcPr>
            <w:tcW w:w="1276" w:type="dxa"/>
            <w:vAlign w:val="center"/>
          </w:tcPr>
          <w:p>
            <w:pPr>
              <w:pStyle w:val="10"/>
              <w:rPr>
                <w:highlight w:val="none"/>
              </w:rPr>
            </w:pPr>
            <w:r>
              <w:rPr>
                <w:highlight w:val="none"/>
              </w:rPr>
              <w:t>≤5万元</w:t>
            </w:r>
          </w:p>
        </w:tc>
        <w:tc>
          <w:tcPr>
            <w:tcW w:w="1843" w:type="dxa"/>
            <w:vAlign w:val="center"/>
          </w:tcPr>
          <w:p>
            <w:pPr>
              <w:pStyle w:val="10"/>
              <w:rPr>
                <w:highlight w:val="none"/>
              </w:rPr>
            </w:pPr>
            <w:r>
              <w:rPr>
                <w:highlight w:val="none"/>
              </w:rPr>
              <w:t>编制合同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分析土地储备项目资金需求</w:t>
            </w:r>
          </w:p>
        </w:tc>
        <w:tc>
          <w:tcPr>
            <w:tcW w:w="2891" w:type="dxa"/>
            <w:vAlign w:val="center"/>
          </w:tcPr>
          <w:p>
            <w:pPr>
              <w:pStyle w:val="10"/>
              <w:rPr>
                <w:highlight w:val="none"/>
              </w:rPr>
            </w:pPr>
            <w:r>
              <w:rPr>
                <w:highlight w:val="none"/>
              </w:rPr>
              <w:t>全面分析土地储备资金需求</w:t>
            </w:r>
          </w:p>
        </w:tc>
        <w:tc>
          <w:tcPr>
            <w:tcW w:w="1276" w:type="dxa"/>
            <w:vAlign w:val="center"/>
          </w:tcPr>
          <w:p>
            <w:pPr>
              <w:pStyle w:val="10"/>
              <w:rPr>
                <w:highlight w:val="none"/>
              </w:rPr>
            </w:pPr>
            <w:r>
              <w:rPr>
                <w:highlight w:val="none"/>
              </w:rPr>
              <w:t>全面分析土地储备资金需求</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服务对象满意度指标</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39" w:name="_Toc_4_4_0000000040"/>
      <w:r>
        <w:rPr>
          <w:rFonts w:ascii="方正仿宋_GBK" w:hAnsi="方正仿宋_GBK" w:eastAsia="方正仿宋_GBK" w:cs="方正仿宋_GBK"/>
          <w:color w:val="000000"/>
          <w:sz w:val="28"/>
          <w:highlight w:val="none"/>
        </w:rPr>
        <w:t>37.征地拆迁补偿 绩效目标表</w:t>
      </w:r>
      <w:bookmarkEnd w:id="3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13030322P004256100093</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 xml:space="preserve">征地拆迁补偿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11197.05</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11197.05</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完成征拆项目、储备项目用地综合测算.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1.1、保证各项事务正常运行、提高整体工作效率，保障各项工作正常运转，提高土地使用效率。</w:t>
            </w:r>
          </w:p>
          <w:p>
            <w:pPr>
              <w:pStyle w:val="10"/>
              <w:rPr>
                <w:highlight w:val="none"/>
              </w:rPr>
            </w:pPr>
            <w:r>
              <w:rPr>
                <w:highlight w:val="none"/>
              </w:rPr>
              <w:t>2、完成征拆项目、储备项目用地综合测算.</w:t>
            </w:r>
          </w:p>
          <w:p>
            <w:pPr>
              <w:pStyle w:val="10"/>
              <w:rPr>
                <w:highlight w:val="none"/>
              </w:rPr>
            </w:pP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完成的资源国土业务工作</w:t>
            </w:r>
          </w:p>
        </w:tc>
        <w:tc>
          <w:tcPr>
            <w:tcW w:w="2891" w:type="dxa"/>
            <w:vAlign w:val="center"/>
          </w:tcPr>
          <w:p>
            <w:pPr>
              <w:pStyle w:val="10"/>
              <w:rPr>
                <w:highlight w:val="none"/>
              </w:rPr>
            </w:pPr>
            <w:r>
              <w:rPr>
                <w:highlight w:val="none"/>
              </w:rPr>
              <w:t>保证相关业务科室国土业务开展</w:t>
            </w:r>
          </w:p>
        </w:tc>
        <w:tc>
          <w:tcPr>
            <w:tcW w:w="1276" w:type="dxa"/>
            <w:vAlign w:val="center"/>
          </w:tcPr>
          <w:p>
            <w:pPr>
              <w:pStyle w:val="10"/>
              <w:rPr>
                <w:highlight w:val="none"/>
              </w:rPr>
            </w:pPr>
            <w:r>
              <w:rPr>
                <w:highlight w:val="none"/>
              </w:rPr>
              <w:t>≥9个</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储备的项目数量</w:t>
            </w:r>
          </w:p>
        </w:tc>
        <w:tc>
          <w:tcPr>
            <w:tcW w:w="2891" w:type="dxa"/>
            <w:vAlign w:val="center"/>
          </w:tcPr>
          <w:p>
            <w:pPr>
              <w:pStyle w:val="10"/>
              <w:rPr>
                <w:highlight w:val="none"/>
              </w:rPr>
            </w:pPr>
            <w:r>
              <w:rPr>
                <w:highlight w:val="none"/>
              </w:rPr>
              <w:t>已储备地块4宗，2022年内拟收储完成3个地块及白鹭岛片区地块管理</w:t>
            </w:r>
          </w:p>
        </w:tc>
        <w:tc>
          <w:tcPr>
            <w:tcW w:w="1276" w:type="dxa"/>
            <w:vAlign w:val="center"/>
          </w:tcPr>
          <w:p>
            <w:pPr>
              <w:pStyle w:val="10"/>
              <w:rPr>
                <w:highlight w:val="none"/>
              </w:rPr>
            </w:pPr>
            <w:r>
              <w:rPr>
                <w:highlight w:val="none"/>
              </w:rPr>
              <w:t>≥7个</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征地拆迁项目数量</w:t>
            </w:r>
          </w:p>
        </w:tc>
        <w:tc>
          <w:tcPr>
            <w:tcW w:w="2891" w:type="dxa"/>
            <w:vAlign w:val="center"/>
          </w:tcPr>
          <w:p>
            <w:pPr>
              <w:pStyle w:val="10"/>
              <w:rPr>
                <w:highlight w:val="none"/>
              </w:rPr>
            </w:pPr>
            <w:r>
              <w:rPr>
                <w:highlight w:val="none"/>
              </w:rPr>
              <w:t>完成12个项目及遗留问题征地补偿工作</w:t>
            </w:r>
          </w:p>
        </w:tc>
        <w:tc>
          <w:tcPr>
            <w:tcW w:w="1276" w:type="dxa"/>
            <w:vAlign w:val="center"/>
          </w:tcPr>
          <w:p>
            <w:pPr>
              <w:pStyle w:val="10"/>
              <w:rPr>
                <w:highlight w:val="none"/>
              </w:rPr>
            </w:pPr>
            <w:r>
              <w:rPr>
                <w:highlight w:val="none"/>
              </w:rPr>
              <w:t>≥12个</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资源业务工作完成情况</w:t>
            </w:r>
          </w:p>
        </w:tc>
        <w:tc>
          <w:tcPr>
            <w:tcW w:w="2891" w:type="dxa"/>
            <w:vAlign w:val="center"/>
          </w:tcPr>
          <w:p>
            <w:pPr>
              <w:pStyle w:val="10"/>
              <w:rPr>
                <w:highlight w:val="none"/>
              </w:rPr>
            </w:pPr>
            <w:r>
              <w:rPr>
                <w:highlight w:val="none"/>
              </w:rPr>
              <w:t>完成工作占工作计划的百分比</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完成土地储备项目、征拆项目测算</w:t>
            </w:r>
          </w:p>
        </w:tc>
        <w:tc>
          <w:tcPr>
            <w:tcW w:w="2891" w:type="dxa"/>
            <w:vAlign w:val="center"/>
          </w:tcPr>
          <w:p>
            <w:pPr>
              <w:pStyle w:val="10"/>
              <w:rPr>
                <w:highlight w:val="none"/>
              </w:rPr>
            </w:pPr>
            <w:r>
              <w:rPr>
                <w:highlight w:val="none"/>
              </w:rPr>
              <w:t>完成项目测算</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符合2022年土地收储项目及征拆项目要求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支出的和规率</w:t>
            </w:r>
          </w:p>
        </w:tc>
        <w:tc>
          <w:tcPr>
            <w:tcW w:w="2891" w:type="dxa"/>
            <w:vAlign w:val="center"/>
          </w:tcPr>
          <w:p>
            <w:pPr>
              <w:pStyle w:val="10"/>
              <w:rPr>
                <w:highlight w:val="none"/>
              </w:rPr>
            </w:pPr>
            <w:r>
              <w:rPr>
                <w:highlight w:val="none"/>
              </w:rPr>
              <w:t>项目实施过程规范</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支出完成及时性</w:t>
            </w:r>
          </w:p>
        </w:tc>
        <w:tc>
          <w:tcPr>
            <w:tcW w:w="2891" w:type="dxa"/>
            <w:vAlign w:val="center"/>
          </w:tcPr>
          <w:p>
            <w:pPr>
              <w:pStyle w:val="10"/>
              <w:rPr>
                <w:highlight w:val="none"/>
              </w:rPr>
            </w:pPr>
            <w:r>
              <w:rPr>
                <w:highlight w:val="none"/>
              </w:rPr>
              <w:t>及时支出相关征拆补偿费用</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符合征拆补偿标准和财务管理制度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完成的资源国土业务工作</w:t>
            </w:r>
          </w:p>
        </w:tc>
        <w:tc>
          <w:tcPr>
            <w:tcW w:w="2891" w:type="dxa"/>
            <w:vAlign w:val="center"/>
          </w:tcPr>
          <w:p>
            <w:pPr>
              <w:pStyle w:val="10"/>
              <w:rPr>
                <w:highlight w:val="none"/>
              </w:rPr>
            </w:pPr>
            <w:r>
              <w:rPr>
                <w:highlight w:val="none"/>
              </w:rPr>
              <w:t>及时支出项目评估、评审费、测绘费、地上附着物清理费</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符合2022年土地收储征拆项目要求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自然资源征拆工作的支出</w:t>
            </w:r>
          </w:p>
        </w:tc>
        <w:tc>
          <w:tcPr>
            <w:tcW w:w="2891" w:type="dxa"/>
            <w:vAlign w:val="center"/>
          </w:tcPr>
          <w:p>
            <w:pPr>
              <w:pStyle w:val="10"/>
              <w:rPr>
                <w:highlight w:val="none"/>
              </w:rPr>
            </w:pPr>
            <w:r>
              <w:rPr>
                <w:highlight w:val="none"/>
              </w:rPr>
              <w:t>各项资源国土业务工作所需资金</w:t>
            </w:r>
          </w:p>
        </w:tc>
        <w:tc>
          <w:tcPr>
            <w:tcW w:w="1276" w:type="dxa"/>
            <w:vAlign w:val="center"/>
          </w:tcPr>
          <w:p>
            <w:pPr>
              <w:pStyle w:val="10"/>
              <w:rPr>
                <w:highlight w:val="none"/>
              </w:rPr>
            </w:pPr>
            <w:r>
              <w:rPr>
                <w:highlight w:val="none"/>
              </w:rPr>
              <w:t>≤11197.04万元</w:t>
            </w:r>
          </w:p>
        </w:tc>
        <w:tc>
          <w:tcPr>
            <w:tcW w:w="1843" w:type="dxa"/>
            <w:vAlign w:val="center"/>
          </w:tcPr>
          <w:p>
            <w:pPr>
              <w:pStyle w:val="10"/>
              <w:rPr>
                <w:highlight w:val="none"/>
              </w:rPr>
            </w:pPr>
            <w:r>
              <w:rPr>
                <w:highlight w:val="none"/>
              </w:rPr>
              <w:t>按实际工作需要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分析土地储备项目资金需求</w:t>
            </w:r>
          </w:p>
        </w:tc>
        <w:tc>
          <w:tcPr>
            <w:tcW w:w="2891" w:type="dxa"/>
            <w:vAlign w:val="center"/>
          </w:tcPr>
          <w:p>
            <w:pPr>
              <w:pStyle w:val="10"/>
              <w:rPr>
                <w:highlight w:val="none"/>
              </w:rPr>
            </w:pPr>
            <w:r>
              <w:rPr>
                <w:highlight w:val="none"/>
              </w:rPr>
              <w:t>土地收储后出让前期，需对地块进行管理、管护、场地清理后净地出让</w:t>
            </w:r>
          </w:p>
        </w:tc>
        <w:tc>
          <w:tcPr>
            <w:tcW w:w="1276" w:type="dxa"/>
            <w:vAlign w:val="center"/>
          </w:tcPr>
          <w:p>
            <w:pPr>
              <w:pStyle w:val="10"/>
              <w:rPr>
                <w:highlight w:val="none"/>
              </w:rPr>
            </w:pPr>
            <w:r>
              <w:rPr>
                <w:highlight w:val="none"/>
              </w:rPr>
              <w:t>年度工作计划</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服务对象满意度指标</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40" w:name="_Toc_4_4_0000000041"/>
      <w:r>
        <w:rPr>
          <w:rFonts w:ascii="方正仿宋_GBK" w:hAnsi="方正仿宋_GBK" w:eastAsia="方正仿宋_GBK" w:cs="方正仿宋_GBK"/>
          <w:color w:val="000000"/>
          <w:sz w:val="28"/>
          <w:highlight w:val="none"/>
        </w:rPr>
        <w:t>38.执法业务费绩效目标表</w:t>
      </w:r>
      <w:bookmarkEnd w:id="4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13030322P004255100172</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执法业务费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80.00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80.00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保证此款项的正确支出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1.顺利开展执法业务</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违法案件核查数</w:t>
            </w:r>
          </w:p>
        </w:tc>
        <w:tc>
          <w:tcPr>
            <w:tcW w:w="2891" w:type="dxa"/>
            <w:vAlign w:val="center"/>
          </w:tcPr>
          <w:p>
            <w:pPr>
              <w:pStyle w:val="10"/>
              <w:rPr>
                <w:highlight w:val="none"/>
              </w:rPr>
            </w:pPr>
            <w:r>
              <w:rPr>
                <w:highlight w:val="none"/>
              </w:rPr>
              <w:t>对违法案件进行核查的个数</w:t>
            </w:r>
          </w:p>
        </w:tc>
        <w:tc>
          <w:tcPr>
            <w:tcW w:w="1276" w:type="dxa"/>
            <w:vAlign w:val="center"/>
          </w:tcPr>
          <w:p>
            <w:pPr>
              <w:pStyle w:val="10"/>
              <w:rPr>
                <w:highlight w:val="none"/>
              </w:rPr>
            </w:pPr>
            <w:r>
              <w:rPr>
                <w:highlight w:val="none"/>
              </w:rPr>
              <w:t>≥10个</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违法图斑核查数量</w:t>
            </w:r>
          </w:p>
        </w:tc>
        <w:tc>
          <w:tcPr>
            <w:tcW w:w="2891" w:type="dxa"/>
            <w:vAlign w:val="center"/>
          </w:tcPr>
          <w:p>
            <w:pPr>
              <w:pStyle w:val="10"/>
              <w:rPr>
                <w:highlight w:val="none"/>
              </w:rPr>
            </w:pPr>
            <w:r>
              <w:rPr>
                <w:highlight w:val="none"/>
              </w:rPr>
              <w:t>对违法图斑进行核查的个数</w:t>
            </w:r>
          </w:p>
        </w:tc>
        <w:tc>
          <w:tcPr>
            <w:tcW w:w="1276" w:type="dxa"/>
            <w:vAlign w:val="center"/>
          </w:tcPr>
          <w:p>
            <w:pPr>
              <w:pStyle w:val="10"/>
              <w:rPr>
                <w:highlight w:val="none"/>
              </w:rPr>
            </w:pPr>
            <w:r>
              <w:rPr>
                <w:highlight w:val="none"/>
              </w:rPr>
              <w:t>根据上级下发</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发放工资人数</w:t>
            </w:r>
          </w:p>
        </w:tc>
        <w:tc>
          <w:tcPr>
            <w:tcW w:w="2891" w:type="dxa"/>
            <w:vAlign w:val="center"/>
          </w:tcPr>
          <w:p>
            <w:pPr>
              <w:pStyle w:val="10"/>
              <w:rPr>
                <w:highlight w:val="none"/>
              </w:rPr>
            </w:pPr>
            <w:r>
              <w:rPr>
                <w:highlight w:val="none"/>
              </w:rPr>
              <w:t>临时工发放工资人数</w:t>
            </w:r>
          </w:p>
        </w:tc>
        <w:tc>
          <w:tcPr>
            <w:tcW w:w="1276" w:type="dxa"/>
            <w:vAlign w:val="center"/>
          </w:tcPr>
          <w:p>
            <w:pPr>
              <w:pStyle w:val="10"/>
              <w:rPr>
                <w:highlight w:val="none"/>
              </w:rPr>
            </w:pPr>
            <w:r>
              <w:rPr>
                <w:highlight w:val="none"/>
              </w:rPr>
              <w:t>≥10人</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违法案件核查率</w:t>
            </w:r>
          </w:p>
        </w:tc>
        <w:tc>
          <w:tcPr>
            <w:tcW w:w="2891" w:type="dxa"/>
            <w:vAlign w:val="center"/>
          </w:tcPr>
          <w:p>
            <w:pPr>
              <w:pStyle w:val="10"/>
              <w:rPr>
                <w:highlight w:val="none"/>
              </w:rPr>
            </w:pPr>
            <w:r>
              <w:rPr>
                <w:highlight w:val="none"/>
              </w:rPr>
              <w:t>违法案件、违法图斑核查到位率</w:t>
            </w:r>
          </w:p>
        </w:tc>
        <w:tc>
          <w:tcPr>
            <w:tcW w:w="1276" w:type="dxa"/>
            <w:vAlign w:val="center"/>
          </w:tcPr>
          <w:p>
            <w:pPr>
              <w:pStyle w:val="10"/>
              <w:rPr>
                <w:highlight w:val="none"/>
              </w:rPr>
            </w:pPr>
            <w:r>
              <w:rPr>
                <w:highlight w:val="none"/>
              </w:rPr>
              <w:t>≥90%</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违法图斑核查率</w:t>
            </w:r>
          </w:p>
        </w:tc>
        <w:tc>
          <w:tcPr>
            <w:tcW w:w="2891" w:type="dxa"/>
            <w:vAlign w:val="center"/>
          </w:tcPr>
          <w:p>
            <w:pPr>
              <w:pStyle w:val="10"/>
              <w:rPr>
                <w:highlight w:val="none"/>
              </w:rPr>
            </w:pPr>
            <w:r>
              <w:rPr>
                <w:highlight w:val="none"/>
              </w:rPr>
              <w:t>违法案件、违法图斑核查到位率</w:t>
            </w:r>
          </w:p>
        </w:tc>
        <w:tc>
          <w:tcPr>
            <w:tcW w:w="1276" w:type="dxa"/>
            <w:vAlign w:val="center"/>
          </w:tcPr>
          <w:p>
            <w:pPr>
              <w:pStyle w:val="10"/>
              <w:rPr>
                <w:highlight w:val="none"/>
              </w:rPr>
            </w:pPr>
            <w:r>
              <w:rPr>
                <w:highlight w:val="none"/>
              </w:rPr>
              <w:t>≥91%</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违法案件、违法图斑核查完成时间</w:t>
            </w:r>
          </w:p>
        </w:tc>
        <w:tc>
          <w:tcPr>
            <w:tcW w:w="2891" w:type="dxa"/>
            <w:vAlign w:val="center"/>
          </w:tcPr>
          <w:p>
            <w:pPr>
              <w:pStyle w:val="10"/>
              <w:rPr>
                <w:highlight w:val="none"/>
              </w:rPr>
            </w:pPr>
            <w:r>
              <w:rPr>
                <w:highlight w:val="none"/>
              </w:rPr>
              <w:t>按规定时间及时查处完成</w:t>
            </w:r>
          </w:p>
        </w:tc>
        <w:tc>
          <w:tcPr>
            <w:tcW w:w="1276" w:type="dxa"/>
            <w:vAlign w:val="center"/>
          </w:tcPr>
          <w:p>
            <w:pPr>
              <w:pStyle w:val="10"/>
              <w:rPr>
                <w:highlight w:val="none"/>
              </w:rPr>
            </w:pPr>
            <w:r>
              <w:rPr>
                <w:highlight w:val="none"/>
              </w:rPr>
              <w:t>及时完成</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各项业务工作的支出</w:t>
            </w:r>
          </w:p>
        </w:tc>
        <w:tc>
          <w:tcPr>
            <w:tcW w:w="2891" w:type="dxa"/>
            <w:vAlign w:val="center"/>
          </w:tcPr>
          <w:p>
            <w:pPr>
              <w:pStyle w:val="10"/>
              <w:rPr>
                <w:highlight w:val="none"/>
              </w:rPr>
            </w:pPr>
            <w:r>
              <w:rPr>
                <w:highlight w:val="none"/>
              </w:rPr>
              <w:t>工资、设备购置、办公、差旅等经费的支出</w:t>
            </w:r>
          </w:p>
        </w:tc>
        <w:tc>
          <w:tcPr>
            <w:tcW w:w="1276" w:type="dxa"/>
            <w:vAlign w:val="center"/>
          </w:tcPr>
          <w:p>
            <w:pPr>
              <w:pStyle w:val="10"/>
              <w:rPr>
                <w:highlight w:val="none"/>
              </w:rPr>
            </w:pPr>
            <w:r>
              <w:rPr>
                <w:highlight w:val="none"/>
              </w:rPr>
              <w:t>≤80万元</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提高资源使用效率</w:t>
            </w:r>
          </w:p>
        </w:tc>
        <w:tc>
          <w:tcPr>
            <w:tcW w:w="2891" w:type="dxa"/>
            <w:vAlign w:val="center"/>
          </w:tcPr>
          <w:p>
            <w:pPr>
              <w:pStyle w:val="10"/>
              <w:rPr>
                <w:highlight w:val="none"/>
              </w:rPr>
            </w:pPr>
            <w:r>
              <w:rPr>
                <w:highlight w:val="none"/>
              </w:rPr>
              <w:t>提高资源使用效率</w:t>
            </w:r>
          </w:p>
        </w:tc>
        <w:tc>
          <w:tcPr>
            <w:tcW w:w="1276" w:type="dxa"/>
            <w:vAlign w:val="center"/>
          </w:tcPr>
          <w:p>
            <w:pPr>
              <w:pStyle w:val="10"/>
              <w:rPr>
                <w:highlight w:val="none"/>
              </w:rPr>
            </w:pPr>
            <w:r>
              <w:rPr>
                <w:highlight w:val="none"/>
              </w:rPr>
              <w:t>逐步提高</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服务对象满意度指标</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41" w:name="_Toc_4_4_0000000042"/>
      <w:r>
        <w:rPr>
          <w:rFonts w:ascii="方正仿宋_GBK" w:hAnsi="方正仿宋_GBK" w:eastAsia="方正仿宋_GBK" w:cs="方正仿宋_GBK"/>
          <w:color w:val="000000"/>
          <w:sz w:val="28"/>
          <w:highlight w:val="none"/>
        </w:rPr>
        <w:t>39.自然资源和规划局管理经费绩效目标表</w:t>
      </w:r>
      <w:bookmarkEnd w:id="4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324001区自然资源和规划部门自然资源和规划局本级</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13030322P00425510016E</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自然资源和规划局管理经费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60.00</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60.00</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保证本级管理经费的使用</w:t>
            </w:r>
            <w:r>
              <w:rPr>
                <w:highlight w:val="none"/>
              </w:rPr>
              <w:tab/>
            </w:r>
            <w:r>
              <w:rPr>
                <w:highlight w:val="none"/>
              </w:rPr>
              <w:tab/>
            </w:r>
            <w:r>
              <w:rPr>
                <w:highlight w:val="none"/>
              </w:rPr>
              <w:tab/>
            </w:r>
            <w:r>
              <w:rPr>
                <w:highlight w:val="none"/>
              </w:rPr>
              <w:tab/>
            </w:r>
            <w:r>
              <w:rPr>
                <w:highlight w:val="none"/>
              </w:rPr>
              <w:tab/>
            </w:r>
            <w:r>
              <w:rPr>
                <w:highlight w:val="none"/>
              </w:rPr>
              <w:tab/>
            </w:r>
          </w:p>
          <w:p>
            <w:pPr>
              <w:pStyle w:val="10"/>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1.保证本级管理经费的使用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保障我区第二批“办证难”项目及即将开展的林权、宅基地及城市平房不动产登记业务的顺利开展，同时解决临时聘用人员工资及电脑等设备更新费用。</w:t>
            </w:r>
          </w:p>
        </w:tc>
        <w:tc>
          <w:tcPr>
            <w:tcW w:w="2891" w:type="dxa"/>
            <w:vAlign w:val="center"/>
          </w:tcPr>
          <w:p>
            <w:pPr>
              <w:pStyle w:val="10"/>
              <w:rPr>
                <w:highlight w:val="none"/>
              </w:rPr>
            </w:pPr>
            <w:r>
              <w:rPr>
                <w:highlight w:val="none"/>
              </w:rPr>
              <w:t>保障我区第二批“办证难”项目及即将开展的林权、宅基地及城市平房不动产登记业务的顺利开展，同时解决临时聘用人员工资及电脑等设备更新费用。</w:t>
            </w:r>
          </w:p>
        </w:tc>
        <w:tc>
          <w:tcPr>
            <w:tcW w:w="1276" w:type="dxa"/>
            <w:vAlign w:val="center"/>
          </w:tcPr>
          <w:p>
            <w:pPr>
              <w:pStyle w:val="10"/>
              <w:rPr>
                <w:highlight w:val="none"/>
              </w:rPr>
            </w:pPr>
            <w:r>
              <w:rPr>
                <w:highlight w:val="none"/>
              </w:rPr>
              <w:t>≤60万元</w:t>
            </w:r>
          </w:p>
        </w:tc>
        <w:tc>
          <w:tcPr>
            <w:tcW w:w="1843" w:type="dxa"/>
            <w:vAlign w:val="center"/>
          </w:tcPr>
          <w:p>
            <w:pPr>
              <w:pStyle w:val="10"/>
              <w:rPr>
                <w:highlight w:val="none"/>
              </w:rPr>
            </w:pPr>
            <w:r>
              <w:rPr>
                <w:highlight w:val="none"/>
              </w:rPr>
              <w:t>按照省市相关文件要求，继续推进历史遗留办证难及不动产登记工作，圆满解决我区历史遗留问题“办证难”项目。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质量</w:t>
            </w:r>
          </w:p>
        </w:tc>
        <w:tc>
          <w:tcPr>
            <w:tcW w:w="2891" w:type="dxa"/>
            <w:vAlign w:val="center"/>
          </w:tcPr>
          <w:p>
            <w:pPr>
              <w:pStyle w:val="10"/>
              <w:rPr>
                <w:highlight w:val="none"/>
              </w:rPr>
            </w:pPr>
            <w:r>
              <w:rPr>
                <w:highlight w:val="none"/>
              </w:rPr>
              <w:t>保障我区第二批“办证难”项目及即将开展的林权、宅基地及城市平房不动产登记业务的顺利开展，同时解决临时聘用人员工资及电脑等设备更新费用。</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按照省市相关文件要求，继续推进历史遗留办证难及不动产登记工作，圆满解决我区历史遗留问题“办证难”项目。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时效</w:t>
            </w:r>
          </w:p>
        </w:tc>
        <w:tc>
          <w:tcPr>
            <w:tcW w:w="2891" w:type="dxa"/>
            <w:vAlign w:val="center"/>
          </w:tcPr>
          <w:p>
            <w:pPr>
              <w:pStyle w:val="10"/>
              <w:rPr>
                <w:highlight w:val="none"/>
              </w:rPr>
            </w:pPr>
            <w:r>
              <w:rPr>
                <w:highlight w:val="none"/>
              </w:rPr>
              <w:t>在省级自然资源管理部门要求的时间内完成相关工作</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按照省市相关文件要求，继续推进历史遗留办证难及不动产登记工作，圆满解决我区历史遗留问题“办证难”项目。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成本</w:t>
            </w:r>
          </w:p>
        </w:tc>
        <w:tc>
          <w:tcPr>
            <w:tcW w:w="2891" w:type="dxa"/>
            <w:vAlign w:val="center"/>
          </w:tcPr>
          <w:p>
            <w:pPr>
              <w:pStyle w:val="10"/>
              <w:rPr>
                <w:highlight w:val="none"/>
              </w:rPr>
            </w:pPr>
            <w:r>
              <w:rPr>
                <w:highlight w:val="none"/>
              </w:rPr>
              <w:t>按照省自然资源管理部门技术要求，对档案资料扫描、数字化处理、数据格式编制及数据库对接，并将相关数据与不动产登记系统进行数据挂接</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按照省市相关文件要求，继续推进历史遗留办证难及不动产登记工作，圆满解决我区历史遗留问题“办证难”项目。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经济效益指标</w:t>
            </w:r>
          </w:p>
        </w:tc>
        <w:tc>
          <w:tcPr>
            <w:tcW w:w="1332" w:type="dxa"/>
            <w:vAlign w:val="center"/>
          </w:tcPr>
          <w:p>
            <w:pPr>
              <w:pStyle w:val="10"/>
              <w:rPr>
                <w:highlight w:val="none"/>
              </w:rPr>
            </w:pPr>
            <w:r>
              <w:rPr>
                <w:highlight w:val="none"/>
              </w:rPr>
              <w:t xml:space="preserve"> 经济效益</w:t>
            </w:r>
          </w:p>
        </w:tc>
        <w:tc>
          <w:tcPr>
            <w:tcW w:w="2891" w:type="dxa"/>
            <w:vAlign w:val="center"/>
          </w:tcPr>
          <w:p>
            <w:pPr>
              <w:pStyle w:val="10"/>
              <w:rPr>
                <w:highlight w:val="none"/>
              </w:rPr>
            </w:pPr>
            <w:r>
              <w:rPr>
                <w:highlight w:val="none"/>
              </w:rPr>
              <w:t>圆满解决我区历史遗留问题“办证难”项目，化解群众因办证难引发的信访隐患。</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按照省市相关文件要求，继续推进历史遗留办证难及不动产登记工作，圆满解决我区历史遗留问题“办证难”项目。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满意度</w:t>
            </w:r>
          </w:p>
        </w:tc>
        <w:tc>
          <w:tcPr>
            <w:tcW w:w="2891" w:type="dxa"/>
            <w:vAlign w:val="center"/>
          </w:tcPr>
          <w:p>
            <w:pPr>
              <w:pStyle w:val="10"/>
              <w:rPr>
                <w:highlight w:val="none"/>
              </w:rPr>
            </w:pPr>
            <w:r>
              <w:rPr>
                <w:highlight w:val="none"/>
              </w:rPr>
              <w:t>圆满解决我区历史遗留问题“办证难”项目，化解群众因办证难引发的信访隐患。</w:t>
            </w:r>
          </w:p>
        </w:tc>
        <w:tc>
          <w:tcPr>
            <w:tcW w:w="1276" w:type="dxa"/>
            <w:vAlign w:val="center"/>
          </w:tcPr>
          <w:p>
            <w:pPr>
              <w:pStyle w:val="10"/>
              <w:rPr>
                <w:highlight w:val="none"/>
              </w:rPr>
            </w:pPr>
            <w:r>
              <w:rPr>
                <w:highlight w:val="none"/>
              </w:rPr>
              <w:t>≥99%</w:t>
            </w:r>
          </w:p>
        </w:tc>
        <w:tc>
          <w:tcPr>
            <w:tcW w:w="1843" w:type="dxa"/>
            <w:vAlign w:val="center"/>
          </w:tcPr>
          <w:p>
            <w:pPr>
              <w:pStyle w:val="10"/>
              <w:rPr>
                <w:rFonts w:hint="eastAsia" w:eastAsia="方正书宋_GBK"/>
                <w:highlight w:val="none"/>
                <w:lang w:eastAsia="zh-CN"/>
              </w:rPr>
            </w:pPr>
            <w:r>
              <w:rPr>
                <w:rFonts w:hint="eastAsia"/>
                <w:highlight w:val="none"/>
                <w:lang w:eastAsia="zh-CN"/>
              </w:rPr>
              <w:t>满意度调查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green"/>
        </w:rPr>
      </w:pPr>
      <w:bookmarkStart w:id="42" w:name="_Toc_4_4_0000000043"/>
      <w:r>
        <w:rPr>
          <w:rFonts w:ascii="方正仿宋_GBK" w:hAnsi="方正仿宋_GBK" w:eastAsia="方正仿宋_GBK" w:cs="方正仿宋_GBK"/>
          <w:color w:val="000000"/>
          <w:sz w:val="28"/>
          <w:highlight w:val="green"/>
        </w:rPr>
        <w:t>40.护林防火“五清”经费绩效目标表</w:t>
      </w:r>
      <w:bookmarkEnd w:id="4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13030322P00425510008R</w:t>
            </w:r>
          </w:p>
        </w:tc>
        <w:tc>
          <w:tcPr>
            <w:tcW w:w="1587" w:type="dxa"/>
            <w:vAlign w:val="center"/>
          </w:tcPr>
          <w:p>
            <w:pPr>
              <w:pStyle w:val="11"/>
            </w:pPr>
            <w:r>
              <w:t>项目名称</w:t>
            </w:r>
          </w:p>
        </w:tc>
        <w:tc>
          <w:tcPr>
            <w:tcW w:w="4423" w:type="dxa"/>
            <w:gridSpan w:val="3"/>
            <w:vAlign w:val="center"/>
          </w:tcPr>
          <w:p>
            <w:pPr>
              <w:pStyle w:val="10"/>
            </w:pPr>
            <w:r>
              <w:t>护林防火“五清”经费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7.00</w:t>
            </w:r>
          </w:p>
        </w:tc>
        <w:tc>
          <w:tcPr>
            <w:tcW w:w="1587" w:type="dxa"/>
            <w:vAlign w:val="center"/>
          </w:tcPr>
          <w:p>
            <w:pPr>
              <w:pStyle w:val="11"/>
            </w:pPr>
            <w:r>
              <w:t>其中：财政    资金</w:t>
            </w:r>
          </w:p>
        </w:tc>
        <w:tc>
          <w:tcPr>
            <w:tcW w:w="1304" w:type="dxa"/>
            <w:vAlign w:val="center"/>
          </w:tcPr>
          <w:p>
            <w:pPr>
              <w:pStyle w:val="10"/>
            </w:pPr>
            <w:r>
              <w:t>7.00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支付防火”五清“经费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85%</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1.最大限度减少国有林区的森林火灾隐患，提升预防森林火灾的能力，有效保护林区宝贵资源。</w:t>
            </w:r>
          </w:p>
          <w:p>
            <w:pPr>
              <w:pStyle w:val="10"/>
            </w:pPr>
            <w:r>
              <w:t>2.通过广泛深入的开展清理以“与林区接壤的路边、坟边、矿边、地边和防火隔离带等”为重点内容的“五清”行动。</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森林防火隔离带完成情况</w:t>
            </w:r>
          </w:p>
        </w:tc>
        <w:tc>
          <w:tcPr>
            <w:tcW w:w="2891" w:type="dxa"/>
            <w:vAlign w:val="center"/>
          </w:tcPr>
          <w:p>
            <w:pPr>
              <w:pStyle w:val="10"/>
            </w:pPr>
            <w:r>
              <w:t>在深山林区与浅山林区中设立防火隔离带</w:t>
            </w:r>
          </w:p>
        </w:tc>
        <w:tc>
          <w:tcPr>
            <w:tcW w:w="1276" w:type="dxa"/>
            <w:vAlign w:val="center"/>
          </w:tcPr>
          <w:p>
            <w:pPr>
              <w:pStyle w:val="10"/>
              <w:rPr>
                <w:rFonts w:hint="eastAsia" w:eastAsia="方正书宋_GBK"/>
                <w:highlight w:val="green"/>
                <w:lang w:eastAsia="zh-CN"/>
              </w:rPr>
            </w:pPr>
            <w:r>
              <w:rPr>
                <w:highlight w:val="green"/>
              </w:rPr>
              <w:t>≥95</w:t>
            </w:r>
            <w:r>
              <w:rPr>
                <w:rFonts w:hint="eastAsia"/>
                <w:highlight w:val="green"/>
                <w:lang w:eastAsia="zh-CN"/>
              </w:rPr>
              <w:t>%</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森林边界杂草清理率</w:t>
            </w:r>
          </w:p>
        </w:tc>
        <w:tc>
          <w:tcPr>
            <w:tcW w:w="2891" w:type="dxa"/>
            <w:vAlign w:val="center"/>
          </w:tcPr>
          <w:p>
            <w:pPr>
              <w:pStyle w:val="10"/>
            </w:pPr>
            <w:r>
              <w:t>以人工打药和人工除草的方式在森林边界形成防火隔离带</w:t>
            </w:r>
          </w:p>
        </w:tc>
        <w:tc>
          <w:tcPr>
            <w:tcW w:w="1276" w:type="dxa"/>
            <w:vAlign w:val="center"/>
          </w:tcPr>
          <w:p>
            <w:pPr>
              <w:pStyle w:val="10"/>
              <w:rPr>
                <w:rFonts w:hint="eastAsia" w:eastAsia="方正书宋_GBK"/>
                <w:highlight w:val="green"/>
                <w:lang w:eastAsia="zh-CN"/>
              </w:rPr>
            </w:pPr>
            <w:r>
              <w:rPr>
                <w:highlight w:val="green"/>
              </w:rPr>
              <w:t>≥95</w:t>
            </w:r>
            <w:r>
              <w:rPr>
                <w:rFonts w:hint="eastAsia"/>
                <w:highlight w:val="green"/>
                <w:lang w:eastAsia="zh-CN"/>
              </w:rPr>
              <w:t>%</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“五清”完成时效</w:t>
            </w:r>
          </w:p>
        </w:tc>
        <w:tc>
          <w:tcPr>
            <w:tcW w:w="2891" w:type="dxa"/>
            <w:vAlign w:val="center"/>
          </w:tcPr>
          <w:p>
            <w:pPr>
              <w:pStyle w:val="10"/>
            </w:pPr>
            <w:r>
              <w:t>“五清”完成时效</w:t>
            </w:r>
          </w:p>
        </w:tc>
        <w:tc>
          <w:tcPr>
            <w:tcW w:w="1276" w:type="dxa"/>
            <w:vAlign w:val="center"/>
          </w:tcPr>
          <w:p>
            <w:pPr>
              <w:pStyle w:val="10"/>
            </w:pPr>
            <w:r>
              <w:t>≤12月底前完成</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“五清”经费支出</w:t>
            </w:r>
          </w:p>
        </w:tc>
        <w:tc>
          <w:tcPr>
            <w:tcW w:w="2891" w:type="dxa"/>
            <w:vAlign w:val="center"/>
          </w:tcPr>
          <w:p>
            <w:pPr>
              <w:pStyle w:val="10"/>
            </w:pPr>
            <w:r>
              <w:t>“五清”经费支出</w:t>
            </w:r>
          </w:p>
        </w:tc>
        <w:tc>
          <w:tcPr>
            <w:tcW w:w="1276" w:type="dxa"/>
            <w:vAlign w:val="center"/>
          </w:tcPr>
          <w:p>
            <w:pPr>
              <w:pStyle w:val="10"/>
            </w:pPr>
            <w:r>
              <w:t>≤7万元</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生态效益指标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森林火灾受害控制率</w:t>
            </w:r>
          </w:p>
        </w:tc>
        <w:tc>
          <w:tcPr>
            <w:tcW w:w="2891" w:type="dxa"/>
            <w:vAlign w:val="center"/>
          </w:tcPr>
          <w:p>
            <w:pPr>
              <w:pStyle w:val="10"/>
              <w:rPr>
                <w:rFonts w:ascii="方正书宋_GBK" w:hAnsi="方正书宋_GBK" w:eastAsia="方正书宋_GBK" w:cs="方正书宋_GBK"/>
                <w:sz w:val="21"/>
                <w:szCs w:val="24"/>
                <w:lang w:val="en-US" w:eastAsia="uk-UA" w:bidi="ar-SA"/>
              </w:rPr>
            </w:pPr>
            <w:r>
              <w:t>森林火灾受害控制率</w:t>
            </w:r>
          </w:p>
        </w:tc>
        <w:tc>
          <w:tcPr>
            <w:tcW w:w="1276" w:type="dxa"/>
            <w:vAlign w:val="center"/>
          </w:tcPr>
          <w:p>
            <w:pPr>
              <w:pStyle w:val="10"/>
              <w:rPr>
                <w:rFonts w:hint="eastAsia" w:ascii="方正书宋_GBK" w:hAnsi="方正书宋_GBK" w:eastAsia="方正书宋_GBK" w:cs="方正书宋_GBK"/>
                <w:sz w:val="21"/>
                <w:szCs w:val="24"/>
                <w:highlight w:val="green"/>
                <w:lang w:val="en-US" w:eastAsia="zh-CN" w:bidi="ar-SA"/>
              </w:rPr>
            </w:pPr>
            <w:r>
              <w:rPr>
                <w:highlight w:val="green"/>
              </w:rPr>
              <w:t>≥95</w:t>
            </w:r>
            <w:r>
              <w:rPr>
                <w:rFonts w:hint="eastAsia"/>
                <w:highlight w:val="green"/>
                <w:lang w:eastAsia="zh-CN"/>
              </w:rPr>
              <w:t>%</w:t>
            </w:r>
          </w:p>
        </w:tc>
        <w:tc>
          <w:tcPr>
            <w:tcW w:w="1843" w:type="dxa"/>
            <w:vAlign w:val="center"/>
          </w:tcPr>
          <w:p>
            <w:pPr>
              <w:pStyle w:val="10"/>
              <w:rPr>
                <w:rFonts w:ascii="方正书宋_GBK" w:hAnsi="方正书宋_GBK" w:eastAsia="方正书宋_GBK" w:cs="方正书宋_GBK"/>
                <w:sz w:val="21"/>
                <w:szCs w:val="24"/>
                <w:lang w:val="en-US" w:eastAsia="uk-UA" w:bidi="ar-SA"/>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人民群众满意度</w:t>
            </w:r>
          </w:p>
        </w:tc>
        <w:tc>
          <w:tcPr>
            <w:tcW w:w="2891" w:type="dxa"/>
            <w:vAlign w:val="center"/>
          </w:tcPr>
          <w:p>
            <w:pPr>
              <w:pStyle w:val="10"/>
            </w:pPr>
            <w:r>
              <w:t>人民群众满意度</w:t>
            </w:r>
          </w:p>
        </w:tc>
        <w:tc>
          <w:tcPr>
            <w:tcW w:w="1276" w:type="dxa"/>
            <w:vAlign w:val="center"/>
          </w:tcPr>
          <w:p>
            <w:pPr>
              <w:pStyle w:val="10"/>
              <w:rPr>
                <w:rFonts w:hint="eastAsia" w:eastAsia="方正书宋_GBK"/>
                <w:highlight w:val="green"/>
                <w:lang w:eastAsia="zh-CN"/>
              </w:rPr>
            </w:pPr>
            <w:r>
              <w:rPr>
                <w:highlight w:val="green"/>
              </w:rPr>
              <w:t>≥95</w:t>
            </w:r>
            <w:r>
              <w:rPr>
                <w:rFonts w:hint="eastAsia"/>
                <w:highlight w:val="green"/>
                <w:lang w:eastAsia="zh-CN"/>
              </w:rPr>
              <w:t>%</w:t>
            </w:r>
          </w:p>
        </w:tc>
        <w:tc>
          <w:tcPr>
            <w:tcW w:w="1843" w:type="dxa"/>
            <w:vAlign w:val="center"/>
          </w:tcPr>
          <w:p>
            <w:pPr>
              <w:pStyle w:val="10"/>
              <w:rPr>
                <w:rFonts w:hint="eastAsia"/>
                <w:highlight w:val="green"/>
                <w:lang w:eastAsia="zh-CN"/>
              </w:rPr>
            </w:pPr>
            <w:r>
              <w:rPr>
                <w:rFonts w:hint="eastAsia"/>
                <w:highlight w:val="green"/>
                <w:lang w:eastAsia="zh-CN"/>
              </w:rP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_4_4_0000000044"/>
      <w:r>
        <w:rPr>
          <w:rFonts w:ascii="方正仿宋_GBK" w:hAnsi="方正仿宋_GBK" w:eastAsia="方正仿宋_GBK" w:cs="方正仿宋_GBK"/>
          <w:color w:val="000000"/>
          <w:sz w:val="28"/>
          <w:highlight w:val="green"/>
        </w:rPr>
        <w:t>41.护林员专项经费绩效目标表</w:t>
      </w:r>
      <w:bookmarkEnd w:id="4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13030322P004255100076</w:t>
            </w:r>
          </w:p>
        </w:tc>
        <w:tc>
          <w:tcPr>
            <w:tcW w:w="1587" w:type="dxa"/>
            <w:vAlign w:val="center"/>
          </w:tcPr>
          <w:p>
            <w:pPr>
              <w:pStyle w:val="11"/>
            </w:pPr>
            <w:r>
              <w:t>项目名称</w:t>
            </w:r>
          </w:p>
        </w:tc>
        <w:tc>
          <w:tcPr>
            <w:tcW w:w="4423" w:type="dxa"/>
            <w:gridSpan w:val="3"/>
            <w:vAlign w:val="center"/>
          </w:tcPr>
          <w:p>
            <w:pPr>
              <w:pStyle w:val="10"/>
            </w:pPr>
            <w:r>
              <w:t>护林员专项经费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21.00</w:t>
            </w:r>
          </w:p>
        </w:tc>
        <w:tc>
          <w:tcPr>
            <w:tcW w:w="1587" w:type="dxa"/>
            <w:vAlign w:val="center"/>
          </w:tcPr>
          <w:p>
            <w:pPr>
              <w:pStyle w:val="11"/>
            </w:pPr>
            <w:r>
              <w:t>其中：财政    资金</w:t>
            </w:r>
          </w:p>
        </w:tc>
        <w:tc>
          <w:tcPr>
            <w:tcW w:w="1304" w:type="dxa"/>
            <w:vAlign w:val="center"/>
          </w:tcPr>
          <w:p>
            <w:pPr>
              <w:pStyle w:val="10"/>
            </w:pPr>
            <w:r>
              <w:t>21.00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支付护林员工资经费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1.保障护林员工资及时发放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支付护林员工资人数</w:t>
            </w:r>
          </w:p>
        </w:tc>
        <w:tc>
          <w:tcPr>
            <w:tcW w:w="2891" w:type="dxa"/>
            <w:vAlign w:val="center"/>
          </w:tcPr>
          <w:p>
            <w:pPr>
              <w:pStyle w:val="10"/>
            </w:pPr>
            <w:r>
              <w:t>支付护林员工资人数</w:t>
            </w:r>
          </w:p>
        </w:tc>
        <w:tc>
          <w:tcPr>
            <w:tcW w:w="1276" w:type="dxa"/>
            <w:vAlign w:val="center"/>
          </w:tcPr>
          <w:p>
            <w:pPr>
              <w:pStyle w:val="10"/>
            </w:pPr>
            <w:r>
              <w:t>≥10人</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工资及保险发放准确率</w:t>
            </w:r>
          </w:p>
        </w:tc>
        <w:tc>
          <w:tcPr>
            <w:tcW w:w="2891" w:type="dxa"/>
            <w:vAlign w:val="center"/>
          </w:tcPr>
          <w:p>
            <w:pPr>
              <w:pStyle w:val="10"/>
            </w:pPr>
            <w:r>
              <w:t>工资及保险发放准确率</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资金支付及时率</w:t>
            </w:r>
          </w:p>
        </w:tc>
        <w:tc>
          <w:tcPr>
            <w:tcW w:w="2891" w:type="dxa"/>
            <w:vAlign w:val="center"/>
          </w:tcPr>
          <w:p>
            <w:pPr>
              <w:pStyle w:val="10"/>
            </w:pPr>
            <w:r>
              <w:t>资金支付及时率</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控制在预算资金内</w:t>
            </w:r>
          </w:p>
        </w:tc>
        <w:tc>
          <w:tcPr>
            <w:tcW w:w="2891" w:type="dxa"/>
            <w:vAlign w:val="center"/>
          </w:tcPr>
          <w:p>
            <w:pPr>
              <w:pStyle w:val="10"/>
            </w:pPr>
            <w:r>
              <w:t>控制在预算资金内</w:t>
            </w:r>
          </w:p>
        </w:tc>
        <w:tc>
          <w:tcPr>
            <w:tcW w:w="1276" w:type="dxa"/>
            <w:vAlign w:val="center"/>
          </w:tcPr>
          <w:p>
            <w:pPr>
              <w:pStyle w:val="10"/>
            </w:pPr>
            <w:r>
              <w:t>≤21万元</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经济效益指标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资金使用效益</w:t>
            </w:r>
          </w:p>
        </w:tc>
        <w:tc>
          <w:tcPr>
            <w:tcW w:w="2891" w:type="dxa"/>
            <w:vAlign w:val="center"/>
          </w:tcPr>
          <w:p>
            <w:pPr>
              <w:pStyle w:val="10"/>
              <w:rPr>
                <w:rFonts w:ascii="方正书宋_GBK" w:hAnsi="方正书宋_GBK" w:eastAsia="方正书宋_GBK" w:cs="方正书宋_GBK"/>
                <w:sz w:val="21"/>
                <w:szCs w:val="24"/>
                <w:lang w:val="en-US" w:eastAsia="uk-UA" w:bidi="ar-SA"/>
              </w:rPr>
            </w:pPr>
            <w:r>
              <w:t>资金支出情况</w:t>
            </w:r>
          </w:p>
        </w:tc>
        <w:tc>
          <w:tcPr>
            <w:tcW w:w="1276" w:type="dxa"/>
            <w:vAlign w:val="center"/>
          </w:tcPr>
          <w:p>
            <w:pPr>
              <w:pStyle w:val="10"/>
              <w:rPr>
                <w:rFonts w:ascii="方正书宋_GBK" w:hAnsi="方正书宋_GBK" w:eastAsia="方正书宋_GBK" w:cs="方正书宋_GBK"/>
                <w:sz w:val="21"/>
                <w:szCs w:val="24"/>
                <w:lang w:val="en-US" w:eastAsia="uk-UA" w:bidi="ar-SA"/>
              </w:rPr>
            </w:pPr>
            <w:r>
              <w:t>按要求支出</w:t>
            </w:r>
          </w:p>
        </w:tc>
        <w:tc>
          <w:tcPr>
            <w:tcW w:w="1843" w:type="dxa"/>
            <w:vAlign w:val="center"/>
          </w:tcPr>
          <w:p>
            <w:pPr>
              <w:pStyle w:val="10"/>
              <w:rPr>
                <w:rFonts w:ascii="方正书宋_GBK" w:hAnsi="方正书宋_GBK" w:eastAsia="方正书宋_GBK" w:cs="方正书宋_GBK"/>
                <w:sz w:val="21"/>
                <w:szCs w:val="24"/>
                <w:lang w:val="en-US" w:eastAsia="uk-UA" w:bidi="ar-SA"/>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职工满意度</w:t>
            </w:r>
          </w:p>
        </w:tc>
        <w:tc>
          <w:tcPr>
            <w:tcW w:w="2891" w:type="dxa"/>
            <w:vAlign w:val="center"/>
          </w:tcPr>
          <w:p>
            <w:pPr>
              <w:pStyle w:val="10"/>
            </w:pPr>
            <w:r>
              <w:t>满意人员占护林员总人数之比</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rPr>
                <w:rFonts w:hint="default" w:eastAsia="方正书宋_GBK"/>
                <w:highlight w:val="green"/>
                <w:lang w:val="en-US" w:eastAsia="zh-CN"/>
              </w:rPr>
            </w:pPr>
            <w:r>
              <w:rPr>
                <w:rFonts w:hint="eastAsia"/>
                <w:highlight w:val="green"/>
                <w:lang w:val="en-US" w:eastAsia="zh-CN"/>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highlight w:val="green"/>
        </w:rPr>
      </w:pPr>
      <w:bookmarkStart w:id="44" w:name="_Toc_4_4_0000000045"/>
      <w:r>
        <w:rPr>
          <w:rFonts w:ascii="方正仿宋_GBK" w:hAnsi="方正仿宋_GBK" w:eastAsia="方正仿宋_GBK" w:cs="方正仿宋_GBK"/>
          <w:color w:val="000000"/>
          <w:sz w:val="28"/>
          <w:highlight w:val="green"/>
        </w:rPr>
        <w:t>42.林场差额补助绩效目标表</w:t>
      </w:r>
      <w:bookmarkEnd w:id="4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13030322P00425510006J</w:t>
            </w:r>
          </w:p>
        </w:tc>
        <w:tc>
          <w:tcPr>
            <w:tcW w:w="1587" w:type="dxa"/>
            <w:vAlign w:val="center"/>
          </w:tcPr>
          <w:p>
            <w:pPr>
              <w:pStyle w:val="11"/>
            </w:pPr>
            <w:r>
              <w:t>项目名称</w:t>
            </w:r>
          </w:p>
        </w:tc>
        <w:tc>
          <w:tcPr>
            <w:tcW w:w="4423" w:type="dxa"/>
            <w:gridSpan w:val="3"/>
            <w:vAlign w:val="center"/>
          </w:tcPr>
          <w:p>
            <w:pPr>
              <w:pStyle w:val="10"/>
            </w:pPr>
            <w:r>
              <w:t>林场差额补助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30.40</w:t>
            </w:r>
          </w:p>
        </w:tc>
        <w:tc>
          <w:tcPr>
            <w:tcW w:w="1587" w:type="dxa"/>
            <w:vAlign w:val="center"/>
          </w:tcPr>
          <w:p>
            <w:pPr>
              <w:pStyle w:val="11"/>
            </w:pPr>
            <w:r>
              <w:t>其中：财政    资金</w:t>
            </w:r>
          </w:p>
        </w:tc>
        <w:tc>
          <w:tcPr>
            <w:tcW w:w="1304" w:type="dxa"/>
            <w:vAlign w:val="center"/>
          </w:tcPr>
          <w:p>
            <w:pPr>
              <w:pStyle w:val="10"/>
            </w:pPr>
            <w:r>
              <w:t>30.40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支付人员工资及保险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1.保障单位差额人员工资及时支付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支付工资及保险人员数量</w:t>
            </w:r>
          </w:p>
        </w:tc>
        <w:tc>
          <w:tcPr>
            <w:tcW w:w="2891" w:type="dxa"/>
            <w:vAlign w:val="center"/>
          </w:tcPr>
          <w:p>
            <w:pPr>
              <w:pStyle w:val="10"/>
            </w:pPr>
            <w:r>
              <w:t>支付工资及保险人员数量</w:t>
            </w:r>
          </w:p>
        </w:tc>
        <w:tc>
          <w:tcPr>
            <w:tcW w:w="1276" w:type="dxa"/>
            <w:vAlign w:val="center"/>
          </w:tcPr>
          <w:p>
            <w:pPr>
              <w:pStyle w:val="10"/>
            </w:pPr>
            <w:r>
              <w:t>68人</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工资及保险发放准确率</w:t>
            </w:r>
          </w:p>
        </w:tc>
        <w:tc>
          <w:tcPr>
            <w:tcW w:w="2891" w:type="dxa"/>
            <w:vAlign w:val="center"/>
          </w:tcPr>
          <w:p>
            <w:pPr>
              <w:pStyle w:val="10"/>
            </w:pPr>
            <w:r>
              <w:t>工资及保险发放准确率</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资金支付及时率</w:t>
            </w:r>
          </w:p>
        </w:tc>
        <w:tc>
          <w:tcPr>
            <w:tcW w:w="2891" w:type="dxa"/>
            <w:vAlign w:val="center"/>
          </w:tcPr>
          <w:p>
            <w:pPr>
              <w:pStyle w:val="10"/>
            </w:pPr>
            <w:r>
              <w:t>资金支付及时率</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控制在预算资金内</w:t>
            </w:r>
          </w:p>
        </w:tc>
        <w:tc>
          <w:tcPr>
            <w:tcW w:w="2891" w:type="dxa"/>
            <w:vAlign w:val="center"/>
          </w:tcPr>
          <w:p>
            <w:pPr>
              <w:pStyle w:val="10"/>
            </w:pPr>
            <w:r>
              <w:t>控制在预算资金内</w:t>
            </w:r>
          </w:p>
        </w:tc>
        <w:tc>
          <w:tcPr>
            <w:tcW w:w="1276" w:type="dxa"/>
            <w:vAlign w:val="center"/>
          </w:tcPr>
          <w:p>
            <w:pPr>
              <w:pStyle w:val="10"/>
            </w:pPr>
            <w:r>
              <w:t>≤30.4万元</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社会效益指标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业务工作稳定性</w:t>
            </w:r>
          </w:p>
        </w:tc>
        <w:tc>
          <w:tcPr>
            <w:tcW w:w="2891" w:type="dxa"/>
            <w:vAlign w:val="center"/>
          </w:tcPr>
          <w:p>
            <w:pPr>
              <w:pStyle w:val="10"/>
              <w:rPr>
                <w:rFonts w:ascii="方正书宋_GBK" w:hAnsi="方正书宋_GBK" w:eastAsia="方正书宋_GBK" w:cs="方正书宋_GBK"/>
                <w:sz w:val="21"/>
                <w:szCs w:val="24"/>
                <w:lang w:val="en-US" w:eastAsia="uk-UA" w:bidi="ar-SA"/>
              </w:rPr>
            </w:pPr>
            <w:r>
              <w:t>通过日常工作稳定运转</w:t>
            </w:r>
          </w:p>
        </w:tc>
        <w:tc>
          <w:tcPr>
            <w:tcW w:w="1276" w:type="dxa"/>
            <w:vAlign w:val="center"/>
          </w:tcPr>
          <w:p>
            <w:pPr>
              <w:pStyle w:val="10"/>
              <w:rPr>
                <w:rFonts w:ascii="方正书宋_GBK" w:hAnsi="方正书宋_GBK" w:eastAsia="方正书宋_GBK" w:cs="方正书宋_GBK"/>
                <w:sz w:val="21"/>
                <w:szCs w:val="24"/>
                <w:lang w:val="en-US" w:eastAsia="uk-UA" w:bidi="ar-SA"/>
              </w:rPr>
            </w:pPr>
            <w:r>
              <w:t>进一步推动</w:t>
            </w:r>
          </w:p>
        </w:tc>
        <w:tc>
          <w:tcPr>
            <w:tcW w:w="1843" w:type="dxa"/>
            <w:vAlign w:val="center"/>
          </w:tcPr>
          <w:p>
            <w:pPr>
              <w:pStyle w:val="10"/>
              <w:rPr>
                <w:rFonts w:ascii="方正书宋_GBK" w:hAnsi="方正书宋_GBK" w:eastAsia="方正书宋_GBK" w:cs="方正书宋_GBK"/>
                <w:sz w:val="21"/>
                <w:szCs w:val="24"/>
                <w:lang w:val="en-US" w:eastAsia="uk-UA" w:bidi="ar-SA"/>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职工满意度</w:t>
            </w:r>
          </w:p>
        </w:tc>
        <w:tc>
          <w:tcPr>
            <w:tcW w:w="2891" w:type="dxa"/>
            <w:vAlign w:val="center"/>
          </w:tcPr>
          <w:p>
            <w:pPr>
              <w:pStyle w:val="10"/>
            </w:pPr>
            <w:r>
              <w:t>满意人员占差额人员总人数之比</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rPr>
                <w:rFonts w:hint="default" w:eastAsia="方正书宋_GBK"/>
                <w:highlight w:val="green"/>
                <w:lang w:val="en-US" w:eastAsia="zh-CN"/>
              </w:rPr>
            </w:pPr>
            <w:r>
              <w:rPr>
                <w:rFonts w:hint="eastAsia"/>
                <w:highlight w:val="green"/>
                <w:lang w:val="en-US" w:eastAsia="zh-CN"/>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highlight w:val="green"/>
        </w:rPr>
      </w:pPr>
      <w:bookmarkStart w:id="45" w:name="_Toc_4_4_0000000046"/>
      <w:r>
        <w:rPr>
          <w:rFonts w:ascii="方正仿宋_GBK" w:hAnsi="方正仿宋_GBK" w:eastAsia="方正仿宋_GBK" w:cs="方正仿宋_GBK"/>
          <w:color w:val="000000"/>
          <w:sz w:val="28"/>
          <w:highlight w:val="green"/>
        </w:rPr>
        <w:t>43.林场差额补助经费绩效目标表</w:t>
      </w:r>
      <w:bookmarkEnd w:id="4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13030322P00420810001D</w:t>
            </w:r>
          </w:p>
        </w:tc>
        <w:tc>
          <w:tcPr>
            <w:tcW w:w="1587" w:type="dxa"/>
            <w:vAlign w:val="center"/>
          </w:tcPr>
          <w:p>
            <w:pPr>
              <w:pStyle w:val="11"/>
            </w:pPr>
            <w:r>
              <w:t>项目名称</w:t>
            </w:r>
          </w:p>
        </w:tc>
        <w:tc>
          <w:tcPr>
            <w:tcW w:w="4423" w:type="dxa"/>
            <w:gridSpan w:val="3"/>
            <w:vAlign w:val="center"/>
          </w:tcPr>
          <w:p>
            <w:pPr>
              <w:pStyle w:val="10"/>
            </w:pPr>
            <w:r>
              <w:t>林场差额补助经费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415.07</w:t>
            </w:r>
          </w:p>
        </w:tc>
        <w:tc>
          <w:tcPr>
            <w:tcW w:w="1587" w:type="dxa"/>
            <w:vAlign w:val="center"/>
          </w:tcPr>
          <w:p>
            <w:pPr>
              <w:pStyle w:val="11"/>
            </w:pPr>
            <w:r>
              <w:t>其中：财政    资金</w:t>
            </w:r>
          </w:p>
        </w:tc>
        <w:tc>
          <w:tcPr>
            <w:tcW w:w="1304" w:type="dxa"/>
            <w:vAlign w:val="center"/>
          </w:tcPr>
          <w:p>
            <w:pPr>
              <w:pStyle w:val="10"/>
            </w:pPr>
            <w:r>
              <w:t>415.07</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支付工资及保险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1.保障差额人员工资及时支付，稳定单位运转。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支付工资及保险人员数量</w:t>
            </w:r>
          </w:p>
        </w:tc>
        <w:tc>
          <w:tcPr>
            <w:tcW w:w="2891" w:type="dxa"/>
            <w:vAlign w:val="center"/>
          </w:tcPr>
          <w:p>
            <w:pPr>
              <w:pStyle w:val="10"/>
            </w:pPr>
            <w:r>
              <w:t>支付工资及保险人员数量</w:t>
            </w:r>
          </w:p>
        </w:tc>
        <w:tc>
          <w:tcPr>
            <w:tcW w:w="1276" w:type="dxa"/>
            <w:vAlign w:val="center"/>
          </w:tcPr>
          <w:p>
            <w:pPr>
              <w:pStyle w:val="10"/>
            </w:pPr>
            <w:r>
              <w:t>68人</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工资及保险发放准确率</w:t>
            </w:r>
          </w:p>
        </w:tc>
        <w:tc>
          <w:tcPr>
            <w:tcW w:w="2891" w:type="dxa"/>
            <w:vAlign w:val="center"/>
          </w:tcPr>
          <w:p>
            <w:pPr>
              <w:pStyle w:val="10"/>
            </w:pPr>
            <w:r>
              <w:t>工资及保险发放准确率</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资金支付及时率</w:t>
            </w:r>
          </w:p>
        </w:tc>
        <w:tc>
          <w:tcPr>
            <w:tcW w:w="2891" w:type="dxa"/>
            <w:vAlign w:val="center"/>
          </w:tcPr>
          <w:p>
            <w:pPr>
              <w:pStyle w:val="10"/>
            </w:pPr>
            <w:r>
              <w:t>资金支付及时率</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控制在预算资金内</w:t>
            </w:r>
          </w:p>
        </w:tc>
        <w:tc>
          <w:tcPr>
            <w:tcW w:w="2891" w:type="dxa"/>
            <w:vAlign w:val="center"/>
          </w:tcPr>
          <w:p>
            <w:pPr>
              <w:pStyle w:val="10"/>
            </w:pPr>
            <w:r>
              <w:t>控制在预算资金内</w:t>
            </w:r>
          </w:p>
        </w:tc>
        <w:tc>
          <w:tcPr>
            <w:tcW w:w="1276" w:type="dxa"/>
            <w:vAlign w:val="center"/>
          </w:tcPr>
          <w:p>
            <w:pPr>
              <w:pStyle w:val="10"/>
            </w:pPr>
            <w:r>
              <w:t>≤415.07万元</w:t>
            </w:r>
          </w:p>
        </w:tc>
        <w:tc>
          <w:tcPr>
            <w:tcW w:w="1843"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社会效益指标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业务工作稳定性</w:t>
            </w:r>
          </w:p>
        </w:tc>
        <w:tc>
          <w:tcPr>
            <w:tcW w:w="2891" w:type="dxa"/>
            <w:vAlign w:val="center"/>
          </w:tcPr>
          <w:p>
            <w:pPr>
              <w:pStyle w:val="10"/>
              <w:rPr>
                <w:rFonts w:ascii="方正书宋_GBK" w:hAnsi="方正书宋_GBK" w:eastAsia="方正书宋_GBK" w:cs="方正书宋_GBK"/>
                <w:sz w:val="21"/>
                <w:szCs w:val="24"/>
                <w:lang w:val="en-US" w:eastAsia="uk-UA" w:bidi="ar-SA"/>
              </w:rPr>
            </w:pPr>
            <w:r>
              <w:t>通过日常工作稳定运转</w:t>
            </w:r>
          </w:p>
        </w:tc>
        <w:tc>
          <w:tcPr>
            <w:tcW w:w="1276" w:type="dxa"/>
            <w:vAlign w:val="center"/>
          </w:tcPr>
          <w:p>
            <w:pPr>
              <w:pStyle w:val="10"/>
              <w:rPr>
                <w:rFonts w:ascii="方正书宋_GBK" w:hAnsi="方正书宋_GBK" w:eastAsia="方正书宋_GBK" w:cs="方正书宋_GBK"/>
                <w:sz w:val="21"/>
                <w:szCs w:val="24"/>
                <w:lang w:val="en-US" w:eastAsia="uk-UA" w:bidi="ar-SA"/>
              </w:rPr>
            </w:pPr>
            <w:r>
              <w:t>进一步推动</w:t>
            </w:r>
          </w:p>
        </w:tc>
        <w:tc>
          <w:tcPr>
            <w:tcW w:w="1843" w:type="dxa"/>
            <w:vAlign w:val="center"/>
          </w:tcPr>
          <w:p>
            <w:pPr>
              <w:pStyle w:val="10"/>
              <w:rPr>
                <w:rFonts w:ascii="方正书宋_GBK" w:hAnsi="方正书宋_GBK" w:eastAsia="方正书宋_GBK" w:cs="方正书宋_GBK"/>
                <w:sz w:val="21"/>
                <w:szCs w:val="24"/>
                <w:lang w:val="en-US" w:eastAsia="uk-UA" w:bidi="ar-SA"/>
              </w:rP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职工满意度</w:t>
            </w:r>
          </w:p>
        </w:tc>
        <w:tc>
          <w:tcPr>
            <w:tcW w:w="2891" w:type="dxa"/>
            <w:vAlign w:val="center"/>
          </w:tcPr>
          <w:p>
            <w:pPr>
              <w:pStyle w:val="10"/>
            </w:pPr>
            <w:r>
              <w:t>满意人员占差额职工总人数之比</w:t>
            </w:r>
          </w:p>
        </w:tc>
        <w:tc>
          <w:tcPr>
            <w:tcW w:w="1276" w:type="dxa"/>
            <w:vAlign w:val="center"/>
          </w:tcPr>
          <w:p>
            <w:pPr>
              <w:pStyle w:val="10"/>
              <w:rPr>
                <w:rFonts w:hint="eastAsia" w:eastAsia="方正书宋_GBK"/>
                <w:highlight w:val="green"/>
                <w:lang w:eastAsia="zh-CN"/>
              </w:rPr>
            </w:pPr>
            <w:r>
              <w:rPr>
                <w:highlight w:val="green"/>
              </w:rPr>
              <w:t>≥90</w:t>
            </w:r>
            <w:r>
              <w:rPr>
                <w:rFonts w:hint="eastAsia"/>
                <w:highlight w:val="green"/>
                <w:lang w:eastAsia="zh-CN"/>
              </w:rPr>
              <w:t>%</w:t>
            </w:r>
          </w:p>
        </w:tc>
        <w:tc>
          <w:tcPr>
            <w:tcW w:w="1843" w:type="dxa"/>
            <w:vAlign w:val="center"/>
          </w:tcPr>
          <w:p>
            <w:pPr>
              <w:pStyle w:val="10"/>
              <w:rPr>
                <w:rFonts w:hint="default" w:eastAsia="方正书宋_GBK"/>
                <w:highlight w:val="green"/>
                <w:lang w:val="en-US" w:eastAsia="zh-CN"/>
              </w:rPr>
            </w:pPr>
            <w:r>
              <w:rPr>
                <w:rFonts w:hint="eastAsia"/>
                <w:highlight w:val="green"/>
                <w:lang w:val="en-US" w:eastAsia="zh-CN"/>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highlight w:val="green"/>
        </w:rPr>
      </w:pPr>
      <w:bookmarkStart w:id="46" w:name="_Toc_4_4_0000000047"/>
      <w:r>
        <w:rPr>
          <w:rFonts w:ascii="方正仿宋_GBK" w:hAnsi="方正仿宋_GBK" w:eastAsia="方正仿宋_GBK" w:cs="方正仿宋_GBK"/>
          <w:color w:val="000000"/>
          <w:sz w:val="28"/>
          <w:highlight w:val="green"/>
        </w:rPr>
        <w:t>44.提前下达2021年中央财政林业改革发展资金-森林生态效益补偿补助-管护补助绩效目标表</w:t>
      </w:r>
      <w:bookmarkEnd w:id="4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130303218427N26LD8CZT</w:t>
            </w:r>
          </w:p>
        </w:tc>
        <w:tc>
          <w:tcPr>
            <w:tcW w:w="1587" w:type="dxa"/>
            <w:vAlign w:val="center"/>
          </w:tcPr>
          <w:p>
            <w:pPr>
              <w:pStyle w:val="11"/>
            </w:pPr>
            <w:r>
              <w:t>项目名称</w:t>
            </w:r>
          </w:p>
        </w:tc>
        <w:tc>
          <w:tcPr>
            <w:tcW w:w="4423" w:type="dxa"/>
            <w:gridSpan w:val="3"/>
            <w:vAlign w:val="center"/>
          </w:tcPr>
          <w:p>
            <w:pPr>
              <w:pStyle w:val="10"/>
            </w:pPr>
            <w:r>
              <w:t>提前下达2021年中央财政林业改革发展资金-森林生态效益补偿补助-管护补助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9.00</w:t>
            </w:r>
          </w:p>
        </w:tc>
        <w:tc>
          <w:tcPr>
            <w:tcW w:w="1587" w:type="dxa"/>
            <w:vAlign w:val="center"/>
          </w:tcPr>
          <w:p>
            <w:pPr>
              <w:pStyle w:val="11"/>
            </w:pPr>
            <w:r>
              <w:t>其中：财政    资金</w:t>
            </w:r>
          </w:p>
        </w:tc>
        <w:tc>
          <w:tcPr>
            <w:tcW w:w="1304" w:type="dxa"/>
            <w:vAlign w:val="center"/>
          </w:tcPr>
          <w:p>
            <w:pPr>
              <w:pStyle w:val="10"/>
            </w:pPr>
            <w:r>
              <w:t>9.00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生态从逐步好转进一步向明显改善转变，水土流失明显减少，生物多样性明显增加。</w:t>
            </w:r>
          </w:p>
          <w:p>
            <w:pPr>
              <w:pStyle w:val="10"/>
            </w:pP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50%</w:t>
            </w:r>
          </w:p>
        </w:tc>
        <w:tc>
          <w:tcPr>
            <w:tcW w:w="1587" w:type="dxa"/>
            <w:vAlign w:val="center"/>
          </w:tcPr>
          <w:p>
            <w:pPr>
              <w:pStyle w:val="12"/>
            </w:pPr>
            <w:r>
              <w:t>100%</w:t>
            </w:r>
          </w:p>
        </w:tc>
        <w:tc>
          <w:tcPr>
            <w:tcW w:w="1304" w:type="dxa"/>
            <w:vAlign w:val="center"/>
          </w:tcPr>
          <w:p>
            <w:pPr>
              <w:pStyle w:val="12"/>
            </w:pPr>
            <w:r>
              <w:t>100%</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1.生态从逐步好转进一步向明显改善转变，水土流失明显减少，生物多样性明显增加。</w:t>
            </w:r>
          </w:p>
          <w:p>
            <w:pPr>
              <w:pStyle w:val="10"/>
            </w:pP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天保工程区外国有林停伐产量</w:t>
            </w:r>
          </w:p>
        </w:tc>
        <w:tc>
          <w:tcPr>
            <w:tcW w:w="2891" w:type="dxa"/>
            <w:vAlign w:val="center"/>
          </w:tcPr>
          <w:p>
            <w:pPr>
              <w:pStyle w:val="10"/>
            </w:pPr>
            <w:r>
              <w:t>天保工程区外国有林停伐产量</w:t>
            </w:r>
          </w:p>
        </w:tc>
        <w:tc>
          <w:tcPr>
            <w:tcW w:w="1276" w:type="dxa"/>
            <w:vAlign w:val="center"/>
          </w:tcPr>
          <w:p>
            <w:pPr>
              <w:pStyle w:val="10"/>
            </w:pPr>
            <w:r>
              <w:t>100立方米</w:t>
            </w:r>
          </w:p>
        </w:tc>
        <w:tc>
          <w:tcPr>
            <w:tcW w:w="1843" w:type="dxa"/>
            <w:vAlign w:val="center"/>
          </w:tcPr>
          <w:p>
            <w:pPr>
              <w:pStyle w:val="10"/>
            </w:pPr>
            <w:r>
              <w:t>停伐产量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停止天然林商业性采伐</w:t>
            </w:r>
          </w:p>
        </w:tc>
        <w:tc>
          <w:tcPr>
            <w:tcW w:w="2891" w:type="dxa"/>
            <w:vAlign w:val="center"/>
          </w:tcPr>
          <w:p>
            <w:pPr>
              <w:pStyle w:val="10"/>
            </w:pPr>
            <w:r>
              <w:t>停止天然林商业性采伐</w:t>
            </w:r>
          </w:p>
        </w:tc>
        <w:tc>
          <w:tcPr>
            <w:tcW w:w="1276" w:type="dxa"/>
            <w:vAlign w:val="center"/>
          </w:tcPr>
          <w:p>
            <w:pPr>
              <w:pStyle w:val="10"/>
            </w:pPr>
            <w:r>
              <w:t>100立方米</w:t>
            </w:r>
          </w:p>
        </w:tc>
        <w:tc>
          <w:tcPr>
            <w:tcW w:w="1843" w:type="dxa"/>
            <w:vAlign w:val="center"/>
          </w:tcPr>
          <w:p>
            <w:pPr>
              <w:pStyle w:val="10"/>
            </w:pPr>
            <w:r>
              <w:t>停伐产量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rPr>
                <w:highlight w:val="green"/>
              </w:rPr>
            </w:pPr>
            <w:r>
              <w:rPr>
                <w:highlight w:val="green"/>
              </w:rPr>
              <w:t>当年度全部完成</w:t>
            </w:r>
          </w:p>
        </w:tc>
        <w:tc>
          <w:tcPr>
            <w:tcW w:w="2891" w:type="dxa"/>
            <w:vAlign w:val="center"/>
          </w:tcPr>
          <w:p>
            <w:pPr>
              <w:pStyle w:val="10"/>
              <w:rPr>
                <w:highlight w:val="green"/>
              </w:rPr>
            </w:pPr>
            <w:r>
              <w:rPr>
                <w:highlight w:val="green"/>
              </w:rPr>
              <w:t>当年度全部完成</w:t>
            </w:r>
          </w:p>
        </w:tc>
        <w:tc>
          <w:tcPr>
            <w:tcW w:w="1276" w:type="dxa"/>
            <w:vAlign w:val="center"/>
          </w:tcPr>
          <w:p>
            <w:pPr>
              <w:pStyle w:val="10"/>
              <w:rPr>
                <w:highlight w:val="green"/>
              </w:rPr>
            </w:pPr>
            <w:r>
              <w:rPr>
                <w:rFonts w:hint="eastAsia"/>
                <w:highlight w:val="green"/>
                <w:lang w:eastAsia="zh-CN"/>
              </w:rPr>
              <w:t>12月底前</w:t>
            </w:r>
          </w:p>
        </w:tc>
        <w:tc>
          <w:tcPr>
            <w:tcW w:w="1843" w:type="dxa"/>
            <w:vAlign w:val="center"/>
          </w:tcPr>
          <w:p>
            <w:pPr>
              <w:pStyle w:val="10"/>
            </w:pPr>
            <w:r>
              <w:t>停伐产量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天然林停伐中央资金</w:t>
            </w:r>
          </w:p>
        </w:tc>
        <w:tc>
          <w:tcPr>
            <w:tcW w:w="2891" w:type="dxa"/>
            <w:vAlign w:val="center"/>
          </w:tcPr>
          <w:p>
            <w:pPr>
              <w:pStyle w:val="10"/>
            </w:pPr>
            <w:r>
              <w:t>天然林停伐中央资金</w:t>
            </w:r>
          </w:p>
        </w:tc>
        <w:tc>
          <w:tcPr>
            <w:tcW w:w="1276" w:type="dxa"/>
            <w:vAlign w:val="center"/>
          </w:tcPr>
          <w:p>
            <w:pPr>
              <w:pStyle w:val="10"/>
            </w:pPr>
            <w:r>
              <w:t>≤</w:t>
            </w:r>
            <w:r>
              <w:rPr>
                <w:rFonts w:hint="eastAsia"/>
                <w:lang w:eastAsia="zh-CN"/>
              </w:rPr>
              <w:t>9</w:t>
            </w:r>
            <w:r>
              <w:t>万元</w:t>
            </w:r>
          </w:p>
        </w:tc>
        <w:tc>
          <w:tcPr>
            <w:tcW w:w="1843" w:type="dxa"/>
            <w:vAlign w:val="center"/>
          </w:tcPr>
          <w:p>
            <w:pPr>
              <w:pStyle w:val="10"/>
            </w:pPr>
            <w:r>
              <w:t>天然林停伐中央资金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生态效益指标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减少水土流失，使生物多样性增加</w:t>
            </w:r>
          </w:p>
        </w:tc>
        <w:tc>
          <w:tcPr>
            <w:tcW w:w="2891" w:type="dxa"/>
            <w:vAlign w:val="center"/>
          </w:tcPr>
          <w:p>
            <w:pPr>
              <w:pStyle w:val="10"/>
              <w:rPr>
                <w:rFonts w:ascii="方正书宋_GBK" w:hAnsi="方正书宋_GBK" w:eastAsia="方正书宋_GBK" w:cs="方正书宋_GBK"/>
                <w:sz w:val="21"/>
                <w:szCs w:val="24"/>
                <w:lang w:val="en-US" w:eastAsia="uk-UA" w:bidi="ar-SA"/>
              </w:rPr>
            </w:pPr>
            <w:r>
              <w:t>减少水土流失，使生物多样性增加</w:t>
            </w:r>
          </w:p>
        </w:tc>
        <w:tc>
          <w:tcPr>
            <w:tcW w:w="1276" w:type="dxa"/>
            <w:vAlign w:val="center"/>
          </w:tcPr>
          <w:p>
            <w:pPr>
              <w:pStyle w:val="10"/>
              <w:rPr>
                <w:rFonts w:ascii="方正书宋_GBK" w:hAnsi="方正书宋_GBK" w:eastAsia="方正书宋_GBK" w:cs="方正书宋_GBK"/>
                <w:sz w:val="21"/>
                <w:szCs w:val="24"/>
                <w:lang w:val="en-US" w:eastAsia="uk-UA" w:bidi="ar-SA"/>
              </w:rPr>
            </w:pPr>
            <w:r>
              <w:rPr>
                <w:rFonts w:hint="eastAsia"/>
                <w:lang w:eastAsia="zh-CN"/>
              </w:rPr>
              <w:t>进一步促进</w:t>
            </w:r>
          </w:p>
        </w:tc>
        <w:tc>
          <w:tcPr>
            <w:tcW w:w="1843" w:type="dxa"/>
            <w:vAlign w:val="center"/>
          </w:tcPr>
          <w:p>
            <w:pPr>
              <w:pStyle w:val="10"/>
              <w:rPr>
                <w:rFonts w:ascii="方正书宋_GBK" w:hAnsi="方正书宋_GBK" w:eastAsia="方正书宋_GBK" w:cs="方正书宋_GBK"/>
                <w:sz w:val="21"/>
                <w:szCs w:val="24"/>
                <w:lang w:val="en-US" w:eastAsia="uk-UA" w:bidi="ar-SA"/>
              </w:rPr>
            </w:pPr>
            <w:r>
              <w:t>停伐产量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rPr>
                <w:rFonts w:hint="eastAsia"/>
                <w:lang w:eastAsia="zh-CN"/>
              </w:rPr>
              <w:t>群众满意度</w:t>
            </w:r>
          </w:p>
        </w:tc>
        <w:tc>
          <w:tcPr>
            <w:tcW w:w="2891" w:type="dxa"/>
            <w:vAlign w:val="center"/>
          </w:tcPr>
          <w:p>
            <w:pPr>
              <w:pStyle w:val="10"/>
            </w:pPr>
            <w:r>
              <w:rPr>
                <w:rFonts w:hint="eastAsia"/>
                <w:lang w:eastAsia="zh-CN"/>
              </w:rPr>
              <w:t>群众满意度</w:t>
            </w:r>
          </w:p>
        </w:tc>
        <w:tc>
          <w:tcPr>
            <w:tcW w:w="1276" w:type="dxa"/>
            <w:vAlign w:val="center"/>
          </w:tcPr>
          <w:p>
            <w:pPr>
              <w:pStyle w:val="10"/>
              <w:rPr>
                <w:highlight w:val="green"/>
              </w:rPr>
            </w:pPr>
            <w:r>
              <w:rPr>
                <w:highlight w:val="green"/>
              </w:rPr>
              <w:t>≥</w:t>
            </w:r>
            <w:r>
              <w:rPr>
                <w:rFonts w:hint="eastAsia"/>
                <w:highlight w:val="green"/>
                <w:lang w:eastAsia="zh-CN"/>
              </w:rPr>
              <w:t>8</w:t>
            </w:r>
            <w:r>
              <w:rPr>
                <w:highlight w:val="green"/>
              </w:rPr>
              <w:t>5</w:t>
            </w:r>
            <w:r>
              <w:rPr>
                <w:rFonts w:hint="eastAsia"/>
                <w:highlight w:val="green"/>
                <w:lang w:eastAsia="zh-CN"/>
              </w:rPr>
              <w:t>%</w:t>
            </w:r>
          </w:p>
        </w:tc>
        <w:tc>
          <w:tcPr>
            <w:tcW w:w="1843" w:type="dxa"/>
            <w:vAlign w:val="center"/>
          </w:tcPr>
          <w:p>
            <w:pPr>
              <w:pStyle w:val="10"/>
              <w:rPr>
                <w:rFonts w:hint="default" w:eastAsia="方正书宋_GBK"/>
                <w:highlight w:val="green"/>
                <w:lang w:val="en-US" w:eastAsia="zh-CN"/>
              </w:rPr>
            </w:pPr>
            <w:r>
              <w:rPr>
                <w:rFonts w:hint="eastAsia"/>
                <w:highlight w:val="green"/>
                <w:lang w:val="en-US" w:eastAsia="zh-CN"/>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highlight w:val="green"/>
        </w:rPr>
      </w:pPr>
      <w:bookmarkStart w:id="47" w:name="_Toc_4_4_0000000048"/>
      <w:r>
        <w:rPr>
          <w:rFonts w:ascii="方正仿宋_GBK" w:hAnsi="方正仿宋_GBK" w:eastAsia="方正仿宋_GBK" w:cs="方正仿宋_GBK"/>
          <w:color w:val="000000"/>
          <w:sz w:val="28"/>
          <w:highlight w:val="green"/>
        </w:rPr>
        <w:t>45.提前下达2021年中央财政林业改革发展资金-天然林停伐管护补助-国有管护补助绩效目标表</w:t>
      </w:r>
      <w:bookmarkEnd w:id="4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13030321AE2P93AGSZ4CI</w:t>
            </w:r>
          </w:p>
        </w:tc>
        <w:tc>
          <w:tcPr>
            <w:tcW w:w="1587" w:type="dxa"/>
            <w:vAlign w:val="center"/>
          </w:tcPr>
          <w:p>
            <w:pPr>
              <w:pStyle w:val="11"/>
            </w:pPr>
            <w:r>
              <w:t>项目名称</w:t>
            </w:r>
          </w:p>
        </w:tc>
        <w:tc>
          <w:tcPr>
            <w:tcW w:w="4423" w:type="dxa"/>
            <w:gridSpan w:val="3"/>
            <w:vAlign w:val="center"/>
          </w:tcPr>
          <w:p>
            <w:pPr>
              <w:pStyle w:val="10"/>
            </w:pPr>
            <w:r>
              <w:t>提前下达2021年中央财政林业改革发展资金-天然林停伐管护补助-国有管护补助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1.54</w:t>
            </w:r>
          </w:p>
        </w:tc>
        <w:tc>
          <w:tcPr>
            <w:tcW w:w="1587" w:type="dxa"/>
            <w:vAlign w:val="center"/>
          </w:tcPr>
          <w:p>
            <w:pPr>
              <w:pStyle w:val="11"/>
            </w:pPr>
            <w:r>
              <w:t>其中：财政    资金</w:t>
            </w:r>
          </w:p>
        </w:tc>
        <w:tc>
          <w:tcPr>
            <w:tcW w:w="1304" w:type="dxa"/>
            <w:vAlign w:val="center"/>
          </w:tcPr>
          <w:p>
            <w:pPr>
              <w:pStyle w:val="10"/>
            </w:pPr>
            <w:r>
              <w:t>1.54</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加强森林资源管护，落实纳入森林资源管护补助的国有天然林管护和非国有天然林管护。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50%</w:t>
            </w:r>
          </w:p>
        </w:tc>
        <w:tc>
          <w:tcPr>
            <w:tcW w:w="1587" w:type="dxa"/>
            <w:vAlign w:val="center"/>
          </w:tcPr>
          <w:p>
            <w:pPr>
              <w:pStyle w:val="12"/>
            </w:pPr>
            <w:r>
              <w:t>100%</w:t>
            </w:r>
          </w:p>
        </w:tc>
        <w:tc>
          <w:tcPr>
            <w:tcW w:w="1304" w:type="dxa"/>
            <w:vAlign w:val="center"/>
          </w:tcPr>
          <w:p>
            <w:pPr>
              <w:pStyle w:val="12"/>
            </w:pPr>
            <w:r>
              <w:t>100%</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1.加强森林资源管护，落实纳入森林资源管护补助的国有天然林管护和非国有天然林管护。</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国有国家级公益林管护面积</w:t>
            </w:r>
          </w:p>
        </w:tc>
        <w:tc>
          <w:tcPr>
            <w:tcW w:w="2891" w:type="dxa"/>
            <w:vAlign w:val="center"/>
          </w:tcPr>
          <w:p>
            <w:pPr>
              <w:pStyle w:val="10"/>
            </w:pPr>
            <w:r>
              <w:t>国有国家级公益林管护面积</w:t>
            </w:r>
          </w:p>
        </w:tc>
        <w:tc>
          <w:tcPr>
            <w:tcW w:w="1276" w:type="dxa"/>
            <w:vAlign w:val="center"/>
          </w:tcPr>
          <w:p>
            <w:pPr>
              <w:pStyle w:val="10"/>
            </w:pPr>
            <w:r>
              <w:t>100亩</w:t>
            </w:r>
          </w:p>
        </w:tc>
        <w:tc>
          <w:tcPr>
            <w:tcW w:w="1843" w:type="dxa"/>
            <w:vAlign w:val="center"/>
          </w:tcPr>
          <w:p>
            <w:pPr>
              <w:pStyle w:val="10"/>
            </w:pPr>
            <w:r>
              <w:t>管护面积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管护公益林</w:t>
            </w:r>
          </w:p>
        </w:tc>
        <w:tc>
          <w:tcPr>
            <w:tcW w:w="2891" w:type="dxa"/>
            <w:vAlign w:val="center"/>
          </w:tcPr>
          <w:p>
            <w:pPr>
              <w:pStyle w:val="10"/>
            </w:pPr>
            <w:r>
              <w:t>提高公益林蓄积量</w:t>
            </w:r>
          </w:p>
        </w:tc>
        <w:tc>
          <w:tcPr>
            <w:tcW w:w="1276" w:type="dxa"/>
            <w:vAlign w:val="center"/>
          </w:tcPr>
          <w:p>
            <w:pPr>
              <w:pStyle w:val="10"/>
            </w:pPr>
            <w:r>
              <w:t>100立方米</w:t>
            </w:r>
          </w:p>
        </w:tc>
        <w:tc>
          <w:tcPr>
            <w:tcW w:w="1843" w:type="dxa"/>
            <w:vAlign w:val="center"/>
          </w:tcPr>
          <w:p>
            <w:pPr>
              <w:pStyle w:val="10"/>
            </w:pPr>
            <w:r>
              <w:t>公益林蓄积量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国家级公益林管护中央财政补助</w:t>
            </w:r>
          </w:p>
        </w:tc>
        <w:tc>
          <w:tcPr>
            <w:tcW w:w="2891" w:type="dxa"/>
            <w:vAlign w:val="center"/>
          </w:tcPr>
          <w:p>
            <w:pPr>
              <w:pStyle w:val="10"/>
            </w:pPr>
            <w:r>
              <w:t>国家级公益林管护中央财政补助</w:t>
            </w:r>
          </w:p>
        </w:tc>
        <w:tc>
          <w:tcPr>
            <w:tcW w:w="1276" w:type="dxa"/>
            <w:vAlign w:val="center"/>
          </w:tcPr>
          <w:p>
            <w:pPr>
              <w:pStyle w:val="10"/>
            </w:pPr>
            <w:r>
              <w:t>≤</w:t>
            </w:r>
            <w:r>
              <w:rPr>
                <w:rFonts w:hint="eastAsia"/>
                <w:lang w:eastAsia="zh-CN"/>
              </w:rPr>
              <w:t>1.54</w:t>
            </w:r>
            <w:r>
              <w:t>万元</w:t>
            </w:r>
          </w:p>
        </w:tc>
        <w:tc>
          <w:tcPr>
            <w:tcW w:w="1843" w:type="dxa"/>
            <w:vAlign w:val="center"/>
          </w:tcPr>
          <w:p>
            <w:pPr>
              <w:pStyle w:val="10"/>
            </w:pPr>
            <w:r>
              <w:t>管护补助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森林生态效益当期完成率</w:t>
            </w:r>
          </w:p>
        </w:tc>
        <w:tc>
          <w:tcPr>
            <w:tcW w:w="2891" w:type="dxa"/>
            <w:vAlign w:val="center"/>
          </w:tcPr>
          <w:p>
            <w:pPr>
              <w:pStyle w:val="10"/>
            </w:pPr>
            <w:r>
              <w:t>森林生态效益当期完成率</w:t>
            </w:r>
          </w:p>
        </w:tc>
        <w:tc>
          <w:tcPr>
            <w:tcW w:w="1276" w:type="dxa"/>
            <w:vAlign w:val="center"/>
          </w:tcPr>
          <w:p>
            <w:pPr>
              <w:pStyle w:val="10"/>
              <w:rPr>
                <w:highlight w:val="green"/>
              </w:rPr>
            </w:pPr>
            <w:r>
              <w:rPr>
                <w:highlight w:val="green"/>
              </w:rPr>
              <w:t>≥</w:t>
            </w:r>
            <w:r>
              <w:rPr>
                <w:rFonts w:hint="eastAsia"/>
                <w:highlight w:val="green"/>
                <w:lang w:eastAsia="zh-CN"/>
              </w:rPr>
              <w:t>85%</w:t>
            </w:r>
          </w:p>
        </w:tc>
        <w:tc>
          <w:tcPr>
            <w:tcW w:w="1843" w:type="dxa"/>
            <w:vAlign w:val="center"/>
          </w:tcPr>
          <w:p>
            <w:pPr>
              <w:pStyle w:val="10"/>
            </w:pPr>
            <w:r>
              <w:t>管护面积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社会效益指标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业务工作稳定性</w:t>
            </w:r>
          </w:p>
        </w:tc>
        <w:tc>
          <w:tcPr>
            <w:tcW w:w="2891" w:type="dxa"/>
            <w:vAlign w:val="center"/>
          </w:tcPr>
          <w:p>
            <w:pPr>
              <w:pStyle w:val="10"/>
              <w:rPr>
                <w:rFonts w:ascii="方正书宋_GBK" w:hAnsi="方正书宋_GBK" w:eastAsia="方正书宋_GBK" w:cs="方正书宋_GBK"/>
                <w:sz w:val="21"/>
                <w:szCs w:val="24"/>
                <w:lang w:val="en-US" w:eastAsia="uk-UA" w:bidi="ar-SA"/>
              </w:rPr>
            </w:pPr>
            <w:r>
              <w:rPr>
                <w:rFonts w:hint="eastAsia"/>
                <w:lang w:eastAsia="zh-CN"/>
              </w:rPr>
              <w:t>发放</w:t>
            </w:r>
            <w:r>
              <w:t>公益林管护人员工资</w:t>
            </w:r>
            <w:r>
              <w:rPr>
                <w:rFonts w:hint="eastAsia"/>
                <w:lang w:eastAsia="zh-CN"/>
              </w:rPr>
              <w:t>，保障工作稳定运行</w:t>
            </w:r>
          </w:p>
        </w:tc>
        <w:tc>
          <w:tcPr>
            <w:tcW w:w="1276" w:type="dxa"/>
            <w:vAlign w:val="center"/>
          </w:tcPr>
          <w:p>
            <w:pPr>
              <w:pStyle w:val="10"/>
              <w:rPr>
                <w:rFonts w:hint="eastAsia" w:ascii="方正书宋_GBK" w:hAnsi="方正书宋_GBK" w:eastAsia="方正书宋_GBK" w:cs="方正书宋_GBK"/>
                <w:sz w:val="21"/>
                <w:szCs w:val="24"/>
                <w:lang w:val="en-US" w:eastAsia="zh-CN" w:bidi="ar-SA"/>
              </w:rPr>
            </w:pPr>
            <w:r>
              <w:rPr>
                <w:rFonts w:hint="eastAsia"/>
                <w:lang w:eastAsia="zh-CN"/>
              </w:rPr>
              <w:t>保障</w:t>
            </w:r>
          </w:p>
        </w:tc>
        <w:tc>
          <w:tcPr>
            <w:tcW w:w="1843" w:type="dxa"/>
            <w:vAlign w:val="center"/>
          </w:tcPr>
          <w:p>
            <w:pPr>
              <w:pStyle w:val="10"/>
              <w:rPr>
                <w:rFonts w:ascii="方正书宋_GBK" w:hAnsi="方正书宋_GBK" w:eastAsia="方正书宋_GBK" w:cs="方正书宋_GBK"/>
                <w:sz w:val="21"/>
                <w:szCs w:val="24"/>
                <w:lang w:val="en-US" w:eastAsia="uk-UA" w:bidi="ar-SA"/>
              </w:rPr>
            </w:pPr>
            <w:r>
              <w:t>管护补助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国家级公益林管护员满意度</w:t>
            </w:r>
          </w:p>
        </w:tc>
        <w:tc>
          <w:tcPr>
            <w:tcW w:w="2891" w:type="dxa"/>
            <w:vAlign w:val="center"/>
          </w:tcPr>
          <w:p>
            <w:pPr>
              <w:pStyle w:val="10"/>
            </w:pPr>
            <w:r>
              <w:t>国家级公益林管护员满意度</w:t>
            </w:r>
          </w:p>
        </w:tc>
        <w:tc>
          <w:tcPr>
            <w:tcW w:w="1276" w:type="dxa"/>
            <w:vAlign w:val="center"/>
          </w:tcPr>
          <w:p>
            <w:pPr>
              <w:pStyle w:val="10"/>
              <w:rPr>
                <w:highlight w:val="green"/>
              </w:rPr>
            </w:pPr>
            <w:r>
              <w:rPr>
                <w:highlight w:val="green"/>
              </w:rPr>
              <w:t>≥95</w:t>
            </w:r>
            <w:r>
              <w:rPr>
                <w:rFonts w:hint="eastAsia"/>
                <w:highlight w:val="green"/>
                <w:lang w:eastAsia="zh-CN"/>
              </w:rPr>
              <w:t>%</w:t>
            </w:r>
          </w:p>
        </w:tc>
        <w:tc>
          <w:tcPr>
            <w:tcW w:w="1843" w:type="dxa"/>
            <w:vAlign w:val="center"/>
          </w:tcPr>
          <w:p>
            <w:pPr>
              <w:pStyle w:val="10"/>
              <w:rPr>
                <w:rFonts w:hint="default" w:eastAsia="方正书宋_GBK"/>
                <w:highlight w:val="green"/>
                <w:lang w:val="en-US" w:eastAsia="zh-CN"/>
              </w:rPr>
            </w:pPr>
            <w:r>
              <w:rPr>
                <w:rFonts w:hint="eastAsia"/>
                <w:highlight w:val="green"/>
                <w:lang w:val="en-US" w:eastAsia="zh-CN"/>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highlight w:val="green"/>
        </w:rPr>
      </w:pPr>
      <w:bookmarkStart w:id="48" w:name="_Toc_4_4_0000000049"/>
      <w:r>
        <w:rPr>
          <w:rFonts w:ascii="方正仿宋_GBK" w:hAnsi="方正仿宋_GBK" w:eastAsia="方正仿宋_GBK" w:cs="方正仿宋_GBK"/>
          <w:color w:val="000000"/>
          <w:sz w:val="28"/>
          <w:highlight w:val="green"/>
        </w:rPr>
        <w:t>46.提前下达2022年中央财政林业草原生态保护恢复资金-全面停止天然林商业性采伐绩效目标表</w:t>
      </w:r>
      <w:bookmarkEnd w:id="4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13030322P00430910016Q</w:t>
            </w:r>
          </w:p>
        </w:tc>
        <w:tc>
          <w:tcPr>
            <w:tcW w:w="1587" w:type="dxa"/>
            <w:vAlign w:val="center"/>
          </w:tcPr>
          <w:p>
            <w:pPr>
              <w:pStyle w:val="11"/>
            </w:pPr>
            <w:r>
              <w:t>项目名称</w:t>
            </w:r>
          </w:p>
        </w:tc>
        <w:tc>
          <w:tcPr>
            <w:tcW w:w="4423" w:type="dxa"/>
            <w:gridSpan w:val="3"/>
            <w:vAlign w:val="center"/>
          </w:tcPr>
          <w:p>
            <w:pPr>
              <w:pStyle w:val="10"/>
            </w:pPr>
            <w:r>
              <w:t>提前下达2022年中央财政林业草原生态保护恢复资金-全面停止天然林商业性采伐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51.89</w:t>
            </w:r>
          </w:p>
        </w:tc>
        <w:tc>
          <w:tcPr>
            <w:tcW w:w="1587" w:type="dxa"/>
            <w:vAlign w:val="center"/>
          </w:tcPr>
          <w:p>
            <w:pPr>
              <w:pStyle w:val="11"/>
            </w:pPr>
            <w:r>
              <w:t>其中：财政    资金</w:t>
            </w:r>
          </w:p>
        </w:tc>
        <w:tc>
          <w:tcPr>
            <w:tcW w:w="1304" w:type="dxa"/>
            <w:vAlign w:val="center"/>
          </w:tcPr>
          <w:p>
            <w:pPr>
              <w:pStyle w:val="10"/>
            </w:pPr>
            <w:r>
              <w:t>51.89</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林业草原生态保护恢复资金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85%</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1.依据检查验收结果发放农户补助</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天然林蓄积量</w:t>
            </w:r>
          </w:p>
        </w:tc>
        <w:tc>
          <w:tcPr>
            <w:tcW w:w="2891" w:type="dxa"/>
            <w:vAlign w:val="center"/>
          </w:tcPr>
          <w:p>
            <w:pPr>
              <w:pStyle w:val="10"/>
            </w:pPr>
            <w:r>
              <w:t>天然林蓄积量</w:t>
            </w:r>
          </w:p>
        </w:tc>
        <w:tc>
          <w:tcPr>
            <w:tcW w:w="1276" w:type="dxa"/>
            <w:vAlign w:val="center"/>
          </w:tcPr>
          <w:p>
            <w:pPr>
              <w:pStyle w:val="10"/>
            </w:pPr>
            <w:r>
              <w:t>≥62.15万立方米</w:t>
            </w:r>
          </w:p>
        </w:tc>
        <w:tc>
          <w:tcPr>
            <w:tcW w:w="1843" w:type="dxa"/>
            <w:vAlign w:val="center"/>
          </w:tcPr>
          <w:p>
            <w:pPr>
              <w:pStyle w:val="10"/>
            </w:pPr>
            <w:r>
              <w:t>秦财农【2021】615号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天然林资源森林蓄积量持续增长情况</w:t>
            </w:r>
          </w:p>
        </w:tc>
        <w:tc>
          <w:tcPr>
            <w:tcW w:w="2891" w:type="dxa"/>
            <w:vAlign w:val="center"/>
          </w:tcPr>
          <w:p>
            <w:pPr>
              <w:pStyle w:val="10"/>
            </w:pPr>
            <w:r>
              <w:t>天然林资源森林蓄积量持续增长情况</w:t>
            </w:r>
          </w:p>
        </w:tc>
        <w:tc>
          <w:tcPr>
            <w:tcW w:w="1276" w:type="dxa"/>
            <w:vAlign w:val="center"/>
          </w:tcPr>
          <w:p>
            <w:pPr>
              <w:pStyle w:val="10"/>
            </w:pPr>
            <w:r>
              <w:t>持续增长</w:t>
            </w:r>
          </w:p>
        </w:tc>
        <w:tc>
          <w:tcPr>
            <w:tcW w:w="1843" w:type="dxa"/>
            <w:vAlign w:val="center"/>
          </w:tcPr>
          <w:p>
            <w:pPr>
              <w:pStyle w:val="10"/>
            </w:pPr>
            <w:r>
              <w:t>秦财农【2021】615号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上一轮退耕还生态林苗木保存率</w:t>
            </w:r>
          </w:p>
        </w:tc>
        <w:tc>
          <w:tcPr>
            <w:tcW w:w="2891" w:type="dxa"/>
            <w:vAlign w:val="center"/>
          </w:tcPr>
          <w:p>
            <w:pPr>
              <w:pStyle w:val="10"/>
            </w:pPr>
            <w:r>
              <w:t>上一轮退耕还生态林农户苗木当期保存率</w:t>
            </w:r>
          </w:p>
        </w:tc>
        <w:tc>
          <w:tcPr>
            <w:tcW w:w="1276" w:type="dxa"/>
            <w:vAlign w:val="center"/>
          </w:tcPr>
          <w:p>
            <w:pPr>
              <w:pStyle w:val="10"/>
              <w:rPr>
                <w:highlight w:val="green"/>
              </w:rPr>
            </w:pPr>
            <w:r>
              <w:rPr>
                <w:highlight w:val="green"/>
              </w:rPr>
              <w:t>≥85%</w:t>
            </w:r>
          </w:p>
        </w:tc>
        <w:tc>
          <w:tcPr>
            <w:tcW w:w="1843" w:type="dxa"/>
            <w:vAlign w:val="center"/>
          </w:tcPr>
          <w:p>
            <w:pPr>
              <w:pStyle w:val="10"/>
            </w:pPr>
            <w:r>
              <w:t>秦财农【2021】615号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上一轮退耕还生态林中央财政补助</w:t>
            </w:r>
          </w:p>
        </w:tc>
        <w:tc>
          <w:tcPr>
            <w:tcW w:w="2891" w:type="dxa"/>
            <w:vAlign w:val="center"/>
          </w:tcPr>
          <w:p>
            <w:pPr>
              <w:pStyle w:val="10"/>
            </w:pPr>
            <w:r>
              <w:t>上一轮退耕还生态林中央财政补助</w:t>
            </w:r>
          </w:p>
        </w:tc>
        <w:tc>
          <w:tcPr>
            <w:tcW w:w="1276" w:type="dxa"/>
            <w:vAlign w:val="center"/>
          </w:tcPr>
          <w:p>
            <w:pPr>
              <w:pStyle w:val="10"/>
            </w:pPr>
            <w:r>
              <w:t>≤</w:t>
            </w:r>
            <w:r>
              <w:rPr>
                <w:rFonts w:hint="eastAsia"/>
                <w:lang w:eastAsia="zh-CN"/>
              </w:rPr>
              <w:t>51.89万元</w:t>
            </w:r>
          </w:p>
        </w:tc>
        <w:tc>
          <w:tcPr>
            <w:tcW w:w="1843" w:type="dxa"/>
            <w:vAlign w:val="center"/>
          </w:tcPr>
          <w:p>
            <w:pPr>
              <w:pStyle w:val="10"/>
            </w:pPr>
            <w:r>
              <w:t>秦财农【2021】615号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生态效益指标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促进生态林业与经济社会和谐发展</w:t>
            </w:r>
          </w:p>
        </w:tc>
        <w:tc>
          <w:tcPr>
            <w:tcW w:w="2891" w:type="dxa"/>
            <w:vAlign w:val="center"/>
          </w:tcPr>
          <w:p>
            <w:pPr>
              <w:pStyle w:val="10"/>
              <w:rPr>
                <w:rFonts w:ascii="方正书宋_GBK" w:hAnsi="方正书宋_GBK" w:eastAsia="方正书宋_GBK" w:cs="方正书宋_GBK"/>
                <w:sz w:val="21"/>
                <w:szCs w:val="24"/>
                <w:lang w:val="en-US" w:eastAsia="uk-UA" w:bidi="ar-SA"/>
              </w:rPr>
            </w:pPr>
            <w:r>
              <w:t>促进我区生态林业与经济社会和谐发展</w:t>
            </w:r>
          </w:p>
        </w:tc>
        <w:tc>
          <w:tcPr>
            <w:tcW w:w="1276" w:type="dxa"/>
            <w:vAlign w:val="center"/>
          </w:tcPr>
          <w:p>
            <w:pPr>
              <w:pStyle w:val="10"/>
              <w:rPr>
                <w:rFonts w:ascii="方正书宋_GBK" w:hAnsi="方正书宋_GBK" w:eastAsia="方正书宋_GBK" w:cs="方正书宋_GBK"/>
                <w:sz w:val="21"/>
                <w:szCs w:val="24"/>
                <w:lang w:val="en-US" w:eastAsia="uk-UA" w:bidi="ar-SA"/>
              </w:rPr>
            </w:pPr>
            <w:r>
              <w:t>促进</w:t>
            </w:r>
          </w:p>
        </w:tc>
        <w:tc>
          <w:tcPr>
            <w:tcW w:w="1843" w:type="dxa"/>
            <w:vAlign w:val="center"/>
          </w:tcPr>
          <w:p>
            <w:pPr>
              <w:pStyle w:val="10"/>
              <w:rPr>
                <w:rFonts w:ascii="方正书宋_GBK" w:hAnsi="方正书宋_GBK" w:eastAsia="方正书宋_GBK" w:cs="方正书宋_GBK"/>
                <w:sz w:val="21"/>
                <w:szCs w:val="24"/>
                <w:lang w:val="en-US" w:eastAsia="uk-UA" w:bidi="ar-SA"/>
              </w:rPr>
            </w:pPr>
            <w:r>
              <w:t>秦财农【2021】615号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群众满意度</w:t>
            </w:r>
          </w:p>
        </w:tc>
        <w:tc>
          <w:tcPr>
            <w:tcW w:w="1276" w:type="dxa"/>
            <w:vAlign w:val="center"/>
          </w:tcPr>
          <w:p>
            <w:pPr>
              <w:pStyle w:val="10"/>
              <w:rPr>
                <w:highlight w:val="green"/>
              </w:rPr>
            </w:pPr>
            <w:r>
              <w:rPr>
                <w:highlight w:val="green"/>
              </w:rPr>
              <w:t>≥80%</w:t>
            </w:r>
          </w:p>
        </w:tc>
        <w:tc>
          <w:tcPr>
            <w:tcW w:w="1843" w:type="dxa"/>
            <w:vAlign w:val="center"/>
          </w:tcPr>
          <w:p>
            <w:pPr>
              <w:pStyle w:val="10"/>
              <w:rPr>
                <w:rFonts w:hint="default" w:eastAsia="方正书宋_GBK"/>
                <w:highlight w:val="green"/>
                <w:lang w:val="en-US" w:eastAsia="zh-CN"/>
              </w:rPr>
            </w:pPr>
            <w:r>
              <w:rPr>
                <w:rFonts w:hint="eastAsia"/>
                <w:highlight w:val="green"/>
                <w:lang w:val="en-US" w:eastAsia="zh-CN"/>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highlight w:val="green"/>
        </w:rPr>
      </w:pPr>
      <w:bookmarkStart w:id="49" w:name="_Toc_4_4_0000000050"/>
      <w:r>
        <w:rPr>
          <w:rFonts w:ascii="方正仿宋_GBK" w:hAnsi="方正仿宋_GBK" w:eastAsia="方正仿宋_GBK" w:cs="方正仿宋_GBK"/>
          <w:color w:val="000000"/>
          <w:sz w:val="28"/>
          <w:highlight w:val="green"/>
        </w:rPr>
        <w:t>47.提前下达2022年中央财政林业改革发展资金-森林生态效益补偿补助-管护补助绩效目标表</w:t>
      </w:r>
      <w:bookmarkEnd w:id="4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13030322P00430910017C</w:t>
            </w:r>
          </w:p>
        </w:tc>
        <w:tc>
          <w:tcPr>
            <w:tcW w:w="1587" w:type="dxa"/>
            <w:vAlign w:val="center"/>
          </w:tcPr>
          <w:p>
            <w:pPr>
              <w:pStyle w:val="11"/>
            </w:pPr>
            <w:r>
              <w:t>项目名称</w:t>
            </w:r>
          </w:p>
        </w:tc>
        <w:tc>
          <w:tcPr>
            <w:tcW w:w="4423" w:type="dxa"/>
            <w:gridSpan w:val="3"/>
            <w:vAlign w:val="center"/>
          </w:tcPr>
          <w:p>
            <w:pPr>
              <w:pStyle w:val="10"/>
            </w:pPr>
            <w:r>
              <w:t>提前下达2022年中央财政林业改革发展资金-森林生态效益补偿补助-管护补助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31.79</w:t>
            </w:r>
          </w:p>
        </w:tc>
        <w:tc>
          <w:tcPr>
            <w:tcW w:w="1587" w:type="dxa"/>
            <w:vAlign w:val="center"/>
          </w:tcPr>
          <w:p>
            <w:pPr>
              <w:pStyle w:val="11"/>
            </w:pPr>
            <w:r>
              <w:t>其中：财政    资金</w:t>
            </w:r>
          </w:p>
        </w:tc>
        <w:tc>
          <w:tcPr>
            <w:tcW w:w="1304" w:type="dxa"/>
            <w:vAlign w:val="center"/>
          </w:tcPr>
          <w:p>
            <w:pPr>
              <w:pStyle w:val="10"/>
            </w:pPr>
            <w:r>
              <w:t>31.79</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林业改革发展资金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85%</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1.加强森林资源管护，落实纳入森林资源管护补助的国有天然林管护和非国有天然林管护。</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天然商品林管护面积（万亩）</w:t>
            </w:r>
          </w:p>
        </w:tc>
        <w:tc>
          <w:tcPr>
            <w:tcW w:w="2891" w:type="dxa"/>
            <w:vAlign w:val="center"/>
          </w:tcPr>
          <w:p>
            <w:pPr>
              <w:pStyle w:val="10"/>
            </w:pPr>
            <w:r>
              <w:t>天然商品林管护面积（万亩）</w:t>
            </w:r>
          </w:p>
        </w:tc>
        <w:tc>
          <w:tcPr>
            <w:tcW w:w="1276" w:type="dxa"/>
            <w:vAlign w:val="center"/>
          </w:tcPr>
          <w:p>
            <w:pPr>
              <w:pStyle w:val="10"/>
            </w:pPr>
            <w:r>
              <w:t>≥62.05万亩</w:t>
            </w:r>
          </w:p>
        </w:tc>
        <w:tc>
          <w:tcPr>
            <w:tcW w:w="1843" w:type="dxa"/>
            <w:vAlign w:val="center"/>
          </w:tcPr>
          <w:p>
            <w:pPr>
              <w:pStyle w:val="10"/>
            </w:pPr>
            <w: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主要林业有害生物成活率</w:t>
            </w:r>
          </w:p>
        </w:tc>
        <w:tc>
          <w:tcPr>
            <w:tcW w:w="2891" w:type="dxa"/>
            <w:vAlign w:val="center"/>
          </w:tcPr>
          <w:p>
            <w:pPr>
              <w:pStyle w:val="10"/>
            </w:pPr>
            <w:r>
              <w:t>主要林业有害生物成活率</w:t>
            </w:r>
          </w:p>
        </w:tc>
        <w:tc>
          <w:tcPr>
            <w:tcW w:w="1276" w:type="dxa"/>
            <w:vAlign w:val="center"/>
          </w:tcPr>
          <w:p>
            <w:pPr>
              <w:pStyle w:val="10"/>
              <w:rPr>
                <w:highlight w:val="green"/>
              </w:rPr>
            </w:pPr>
            <w:r>
              <w:rPr>
                <w:highlight w:val="green"/>
              </w:rPr>
              <w:t>≤1%</w:t>
            </w:r>
          </w:p>
        </w:tc>
        <w:tc>
          <w:tcPr>
            <w:tcW w:w="1843" w:type="dxa"/>
            <w:vAlign w:val="center"/>
          </w:tcPr>
          <w:p>
            <w:pPr>
              <w:pStyle w:val="10"/>
            </w:pPr>
            <w: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天然林和国家级公益林管护当期任务完成率</w:t>
            </w:r>
          </w:p>
        </w:tc>
        <w:tc>
          <w:tcPr>
            <w:tcW w:w="2891" w:type="dxa"/>
            <w:vAlign w:val="center"/>
          </w:tcPr>
          <w:p>
            <w:pPr>
              <w:pStyle w:val="10"/>
            </w:pPr>
            <w:r>
              <w:rPr>
                <w:rFonts w:hint="eastAsia"/>
                <w:lang w:eastAsia="zh-CN"/>
              </w:rPr>
              <w:t>年底前</w:t>
            </w:r>
            <w:r>
              <w:t>天然林和国家级公益林管护当期任务完成率</w:t>
            </w:r>
          </w:p>
        </w:tc>
        <w:tc>
          <w:tcPr>
            <w:tcW w:w="1276" w:type="dxa"/>
            <w:vAlign w:val="center"/>
          </w:tcPr>
          <w:p>
            <w:pPr>
              <w:pStyle w:val="10"/>
              <w:rPr>
                <w:highlight w:val="green"/>
              </w:rPr>
            </w:pPr>
            <w:r>
              <w:rPr>
                <w:highlight w:val="green"/>
              </w:rPr>
              <w:t>≥90%</w:t>
            </w:r>
          </w:p>
        </w:tc>
        <w:tc>
          <w:tcPr>
            <w:tcW w:w="1843" w:type="dxa"/>
            <w:vAlign w:val="center"/>
          </w:tcPr>
          <w:p>
            <w:pPr>
              <w:pStyle w:val="10"/>
            </w:pPr>
            <w: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国家级公益林管护成本</w:t>
            </w:r>
          </w:p>
        </w:tc>
        <w:tc>
          <w:tcPr>
            <w:tcW w:w="2891" w:type="dxa"/>
            <w:vAlign w:val="center"/>
          </w:tcPr>
          <w:p>
            <w:pPr>
              <w:pStyle w:val="10"/>
            </w:pPr>
            <w:r>
              <w:t>国家级公益林管护中央财政补助成本</w:t>
            </w:r>
          </w:p>
        </w:tc>
        <w:tc>
          <w:tcPr>
            <w:tcW w:w="1276" w:type="dxa"/>
            <w:vAlign w:val="center"/>
          </w:tcPr>
          <w:p>
            <w:pPr>
              <w:pStyle w:val="10"/>
            </w:pPr>
            <w:r>
              <w:t>≤31.79元</w:t>
            </w:r>
          </w:p>
        </w:tc>
        <w:tc>
          <w:tcPr>
            <w:tcW w:w="1843" w:type="dxa"/>
            <w:vAlign w:val="center"/>
          </w:tcPr>
          <w:p>
            <w:pPr>
              <w:pStyle w:val="10"/>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生态效益指标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促进生态林业与经济社会发展</w:t>
            </w:r>
          </w:p>
        </w:tc>
        <w:tc>
          <w:tcPr>
            <w:tcW w:w="2891" w:type="dxa"/>
            <w:vAlign w:val="center"/>
          </w:tcPr>
          <w:p>
            <w:pPr>
              <w:pStyle w:val="10"/>
              <w:rPr>
                <w:rFonts w:ascii="方正书宋_GBK" w:hAnsi="方正书宋_GBK" w:eastAsia="方正书宋_GBK" w:cs="方正书宋_GBK"/>
                <w:sz w:val="21"/>
                <w:szCs w:val="24"/>
                <w:lang w:val="en-US" w:eastAsia="uk-UA" w:bidi="ar-SA"/>
              </w:rPr>
            </w:pPr>
            <w:r>
              <w:t>促进我区生态林业与经济社会和谐发展</w:t>
            </w:r>
          </w:p>
        </w:tc>
        <w:tc>
          <w:tcPr>
            <w:tcW w:w="1276" w:type="dxa"/>
            <w:vAlign w:val="center"/>
          </w:tcPr>
          <w:p>
            <w:pPr>
              <w:pStyle w:val="10"/>
              <w:rPr>
                <w:rFonts w:ascii="方正书宋_GBK" w:hAnsi="方正书宋_GBK" w:eastAsia="方正书宋_GBK" w:cs="方正书宋_GBK"/>
                <w:sz w:val="21"/>
                <w:szCs w:val="24"/>
                <w:lang w:val="en-US" w:eastAsia="uk-UA" w:bidi="ar-SA"/>
              </w:rPr>
            </w:pPr>
            <w:r>
              <w:t>促进</w:t>
            </w:r>
          </w:p>
        </w:tc>
        <w:tc>
          <w:tcPr>
            <w:tcW w:w="1843" w:type="dxa"/>
            <w:vAlign w:val="center"/>
          </w:tcPr>
          <w:p>
            <w:pPr>
              <w:pStyle w:val="10"/>
              <w:rPr>
                <w:rFonts w:ascii="方正书宋_GBK" w:hAnsi="方正书宋_GBK" w:eastAsia="方正书宋_GBK" w:cs="方正书宋_GBK"/>
                <w:sz w:val="21"/>
                <w:szCs w:val="24"/>
                <w:lang w:val="en-US" w:eastAsia="uk-UA" w:bidi="ar-SA"/>
              </w:rPr>
            </w:pPr>
            <w: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rPr>
                <w:rFonts w:hint="eastAsia"/>
                <w:highlight w:val="green"/>
                <w:lang w:eastAsia="zh-CN"/>
              </w:rPr>
              <w:t>人民群众</w:t>
            </w:r>
            <w:r>
              <w:rPr>
                <w:highlight w:val="green"/>
              </w:rPr>
              <w:t>满意度</w:t>
            </w:r>
          </w:p>
        </w:tc>
        <w:tc>
          <w:tcPr>
            <w:tcW w:w="1276" w:type="dxa"/>
            <w:vAlign w:val="center"/>
          </w:tcPr>
          <w:p>
            <w:pPr>
              <w:pStyle w:val="10"/>
              <w:rPr>
                <w:highlight w:val="green"/>
              </w:rPr>
            </w:pPr>
            <w:r>
              <w:rPr>
                <w:highlight w:val="green"/>
              </w:rPr>
              <w:t>≥80%</w:t>
            </w:r>
          </w:p>
        </w:tc>
        <w:tc>
          <w:tcPr>
            <w:tcW w:w="1843" w:type="dxa"/>
            <w:vAlign w:val="center"/>
          </w:tcPr>
          <w:p>
            <w:pPr>
              <w:pStyle w:val="10"/>
              <w:rPr>
                <w:highlight w:val="green"/>
              </w:rPr>
            </w:pPr>
            <w:r>
              <w:rPr>
                <w:highlight w:val="green"/>
              </w:rP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highlight w:val="green"/>
        </w:rPr>
      </w:pPr>
      <w:bookmarkStart w:id="50" w:name="_Toc_4_4_0000000051"/>
      <w:r>
        <w:rPr>
          <w:rFonts w:ascii="方正仿宋_GBK" w:hAnsi="方正仿宋_GBK" w:eastAsia="方正仿宋_GBK" w:cs="方正仿宋_GBK"/>
          <w:color w:val="000000"/>
          <w:sz w:val="28"/>
          <w:highlight w:val="green"/>
        </w:rPr>
        <w:t>48.提前下达2022年中央财政林业改革发展资金-森林生态效益补偿补助-国有管护补助绩效目标表</w:t>
      </w:r>
      <w:bookmarkEnd w:id="5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pPr>
            <w:r>
              <w:t>324003区自然资源和规划部门山国营林场本级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13030322P004309100180</w:t>
            </w:r>
          </w:p>
        </w:tc>
        <w:tc>
          <w:tcPr>
            <w:tcW w:w="1587" w:type="dxa"/>
            <w:vAlign w:val="center"/>
          </w:tcPr>
          <w:p>
            <w:pPr>
              <w:pStyle w:val="11"/>
            </w:pPr>
            <w:r>
              <w:t>项目名称</w:t>
            </w:r>
          </w:p>
        </w:tc>
        <w:tc>
          <w:tcPr>
            <w:tcW w:w="4423" w:type="dxa"/>
            <w:gridSpan w:val="3"/>
            <w:vAlign w:val="center"/>
          </w:tcPr>
          <w:p>
            <w:pPr>
              <w:pStyle w:val="10"/>
            </w:pPr>
            <w:r>
              <w:t>提前下达2022年中央财政林业改革发展资金-森林生态效益补偿补助-国有管护补助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5.39</w:t>
            </w:r>
          </w:p>
        </w:tc>
        <w:tc>
          <w:tcPr>
            <w:tcW w:w="1587" w:type="dxa"/>
            <w:vAlign w:val="center"/>
          </w:tcPr>
          <w:p>
            <w:pPr>
              <w:pStyle w:val="11"/>
            </w:pPr>
            <w:r>
              <w:t>其中：财政    资金</w:t>
            </w:r>
          </w:p>
        </w:tc>
        <w:tc>
          <w:tcPr>
            <w:tcW w:w="1304" w:type="dxa"/>
            <w:vAlign w:val="center"/>
          </w:tcPr>
          <w:p>
            <w:pPr>
              <w:pStyle w:val="10"/>
            </w:pPr>
            <w:r>
              <w:t>5.39</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0"/>
            </w:pPr>
            <w:r>
              <w:t>支付天然林管护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9"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85%</w:t>
            </w:r>
          </w:p>
        </w:tc>
        <w:tc>
          <w:tcPr>
            <w:tcW w:w="3119"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8" w:type="dxa"/>
            <w:gridSpan w:val="6"/>
            <w:vAlign w:val="center"/>
          </w:tcPr>
          <w:p>
            <w:pPr>
              <w:pStyle w:val="10"/>
            </w:pPr>
            <w:r>
              <w:t>1.加强森林资源管护，落实纳入森林资源管护补助的国有天然林管护和非国有天然林管护。</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天然商品林管护面积（万亩）</w:t>
            </w:r>
          </w:p>
        </w:tc>
        <w:tc>
          <w:tcPr>
            <w:tcW w:w="2891" w:type="dxa"/>
            <w:vAlign w:val="center"/>
          </w:tcPr>
          <w:p>
            <w:pPr>
              <w:pStyle w:val="10"/>
            </w:pPr>
            <w:r>
              <w:t>天然商品林管护面积（万亩）</w:t>
            </w:r>
          </w:p>
        </w:tc>
        <w:tc>
          <w:tcPr>
            <w:tcW w:w="1276" w:type="dxa"/>
            <w:vAlign w:val="center"/>
          </w:tcPr>
          <w:p>
            <w:pPr>
              <w:pStyle w:val="10"/>
            </w:pPr>
            <w:r>
              <w:t>≥62.05万亩</w:t>
            </w:r>
          </w:p>
        </w:tc>
        <w:tc>
          <w:tcPr>
            <w:tcW w:w="1843" w:type="dxa"/>
            <w:vAlign w:val="center"/>
          </w:tcPr>
          <w:p>
            <w:pPr>
              <w:pStyle w:val="10"/>
            </w:pPr>
            <w: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主要林业有害生物成活率</w:t>
            </w:r>
          </w:p>
        </w:tc>
        <w:tc>
          <w:tcPr>
            <w:tcW w:w="2891" w:type="dxa"/>
            <w:vAlign w:val="center"/>
          </w:tcPr>
          <w:p>
            <w:pPr>
              <w:pStyle w:val="10"/>
            </w:pPr>
            <w:r>
              <w:t>主要林业有害生物成活率</w:t>
            </w:r>
          </w:p>
        </w:tc>
        <w:tc>
          <w:tcPr>
            <w:tcW w:w="1276" w:type="dxa"/>
            <w:vAlign w:val="center"/>
          </w:tcPr>
          <w:p>
            <w:pPr>
              <w:pStyle w:val="10"/>
              <w:rPr>
                <w:highlight w:val="green"/>
              </w:rPr>
            </w:pPr>
            <w:r>
              <w:rPr>
                <w:highlight w:val="green"/>
              </w:rPr>
              <w:t>≤1%</w:t>
            </w:r>
          </w:p>
        </w:tc>
        <w:tc>
          <w:tcPr>
            <w:tcW w:w="1843" w:type="dxa"/>
            <w:vAlign w:val="center"/>
          </w:tcPr>
          <w:p>
            <w:pPr>
              <w:pStyle w:val="10"/>
            </w:pPr>
            <w: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天然林和国家级公益林管护当期任务完成率</w:t>
            </w:r>
          </w:p>
        </w:tc>
        <w:tc>
          <w:tcPr>
            <w:tcW w:w="2891" w:type="dxa"/>
            <w:vAlign w:val="center"/>
          </w:tcPr>
          <w:p>
            <w:pPr>
              <w:pStyle w:val="10"/>
            </w:pPr>
            <w:r>
              <w:rPr>
                <w:rFonts w:hint="eastAsia"/>
                <w:lang w:eastAsia="zh-CN"/>
              </w:rPr>
              <w:t>年底前</w:t>
            </w:r>
            <w:r>
              <w:t>天然林和国家级公益林管护当期任务完成率</w:t>
            </w:r>
          </w:p>
        </w:tc>
        <w:tc>
          <w:tcPr>
            <w:tcW w:w="1276" w:type="dxa"/>
            <w:vAlign w:val="center"/>
          </w:tcPr>
          <w:p>
            <w:pPr>
              <w:pStyle w:val="10"/>
              <w:rPr>
                <w:highlight w:val="green"/>
              </w:rPr>
            </w:pPr>
            <w:r>
              <w:rPr>
                <w:highlight w:val="green"/>
              </w:rPr>
              <w:t>≥90%</w:t>
            </w:r>
          </w:p>
        </w:tc>
        <w:tc>
          <w:tcPr>
            <w:tcW w:w="1843" w:type="dxa"/>
            <w:vAlign w:val="center"/>
          </w:tcPr>
          <w:p>
            <w:pPr>
              <w:pStyle w:val="10"/>
            </w:pPr>
            <w: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国家级公益林管护成本</w:t>
            </w:r>
          </w:p>
        </w:tc>
        <w:tc>
          <w:tcPr>
            <w:tcW w:w="2891" w:type="dxa"/>
            <w:vAlign w:val="center"/>
          </w:tcPr>
          <w:p>
            <w:pPr>
              <w:pStyle w:val="10"/>
            </w:pPr>
            <w:r>
              <w:t>国家级公益林管护中央财政补助成本</w:t>
            </w:r>
          </w:p>
        </w:tc>
        <w:tc>
          <w:tcPr>
            <w:tcW w:w="1276" w:type="dxa"/>
            <w:vAlign w:val="center"/>
          </w:tcPr>
          <w:p>
            <w:pPr>
              <w:pStyle w:val="10"/>
            </w:pPr>
            <w:r>
              <w:t>≤</w:t>
            </w:r>
            <w:r>
              <w:rPr>
                <w:rFonts w:hint="eastAsia"/>
                <w:lang w:val="en-US" w:eastAsia="zh-CN"/>
              </w:rPr>
              <w:t>5.39</w:t>
            </w:r>
            <w:r>
              <w:t>元</w:t>
            </w:r>
          </w:p>
        </w:tc>
        <w:tc>
          <w:tcPr>
            <w:tcW w:w="1843" w:type="dxa"/>
            <w:vAlign w:val="center"/>
          </w:tcPr>
          <w:p>
            <w:pPr>
              <w:pStyle w:val="10"/>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rPr>
                <w:rFonts w:ascii="方正书宋_GBK" w:hAnsi="方正书宋_GBK" w:eastAsia="方正书宋_GBK" w:cs="方正书宋_GBK"/>
                <w:sz w:val="21"/>
                <w:szCs w:val="24"/>
                <w:lang w:val="en-US" w:eastAsia="uk-UA" w:bidi="ar-SA"/>
              </w:rPr>
            </w:pPr>
            <w:r>
              <w:t>生态效益指标</w:t>
            </w:r>
          </w:p>
        </w:tc>
        <w:tc>
          <w:tcPr>
            <w:tcW w:w="1332" w:type="dxa"/>
            <w:vAlign w:val="center"/>
          </w:tcPr>
          <w:p>
            <w:pPr>
              <w:pStyle w:val="10"/>
              <w:rPr>
                <w:rFonts w:ascii="方正书宋_GBK" w:hAnsi="方正书宋_GBK" w:eastAsia="方正书宋_GBK" w:cs="方正书宋_GBK"/>
                <w:sz w:val="21"/>
                <w:szCs w:val="24"/>
                <w:lang w:val="en-US" w:eastAsia="uk-UA" w:bidi="ar-SA"/>
              </w:rPr>
            </w:pPr>
            <w:r>
              <w:t>促进生态林业与经济社会发展</w:t>
            </w:r>
          </w:p>
        </w:tc>
        <w:tc>
          <w:tcPr>
            <w:tcW w:w="2891" w:type="dxa"/>
            <w:vAlign w:val="center"/>
          </w:tcPr>
          <w:p>
            <w:pPr>
              <w:pStyle w:val="10"/>
              <w:rPr>
                <w:rFonts w:ascii="方正书宋_GBK" w:hAnsi="方正书宋_GBK" w:eastAsia="方正书宋_GBK" w:cs="方正书宋_GBK"/>
                <w:sz w:val="21"/>
                <w:szCs w:val="24"/>
                <w:lang w:val="en-US" w:eastAsia="uk-UA" w:bidi="ar-SA"/>
              </w:rPr>
            </w:pPr>
            <w:r>
              <w:t>促进我区生态林业与经济社会和谐发展</w:t>
            </w:r>
          </w:p>
        </w:tc>
        <w:tc>
          <w:tcPr>
            <w:tcW w:w="1276" w:type="dxa"/>
            <w:vAlign w:val="center"/>
          </w:tcPr>
          <w:p>
            <w:pPr>
              <w:pStyle w:val="10"/>
              <w:rPr>
                <w:rFonts w:ascii="方正书宋_GBK" w:hAnsi="方正书宋_GBK" w:eastAsia="方正书宋_GBK" w:cs="方正书宋_GBK"/>
                <w:sz w:val="21"/>
                <w:szCs w:val="24"/>
                <w:lang w:val="en-US" w:eastAsia="uk-UA" w:bidi="ar-SA"/>
              </w:rPr>
            </w:pPr>
            <w:r>
              <w:t>促进</w:t>
            </w:r>
          </w:p>
        </w:tc>
        <w:tc>
          <w:tcPr>
            <w:tcW w:w="1843" w:type="dxa"/>
            <w:vAlign w:val="center"/>
          </w:tcPr>
          <w:p>
            <w:pPr>
              <w:pStyle w:val="10"/>
              <w:rPr>
                <w:rFonts w:ascii="方正书宋_GBK" w:hAnsi="方正书宋_GBK" w:eastAsia="方正书宋_GBK" w:cs="方正书宋_GBK"/>
                <w:sz w:val="21"/>
                <w:szCs w:val="24"/>
                <w:lang w:val="en-US" w:eastAsia="uk-UA" w:bidi="ar-SA"/>
              </w:rPr>
            </w:pPr>
            <w:r>
              <w:t>秦财农【2021】653号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rPr>
                <w:highlight w:val="green"/>
              </w:rPr>
            </w:pPr>
            <w:r>
              <w:rPr>
                <w:rFonts w:hint="eastAsia"/>
                <w:highlight w:val="green"/>
                <w:lang w:eastAsia="zh-CN"/>
              </w:rPr>
              <w:t>人民群众</w:t>
            </w:r>
            <w:r>
              <w:rPr>
                <w:highlight w:val="green"/>
              </w:rPr>
              <w:t>满意度</w:t>
            </w:r>
          </w:p>
        </w:tc>
        <w:tc>
          <w:tcPr>
            <w:tcW w:w="1276" w:type="dxa"/>
            <w:vAlign w:val="center"/>
          </w:tcPr>
          <w:p>
            <w:pPr>
              <w:pStyle w:val="10"/>
              <w:rPr>
                <w:highlight w:val="green"/>
              </w:rPr>
            </w:pPr>
            <w:r>
              <w:rPr>
                <w:highlight w:val="green"/>
              </w:rPr>
              <w:t>≥80%</w:t>
            </w:r>
          </w:p>
        </w:tc>
        <w:tc>
          <w:tcPr>
            <w:tcW w:w="1843" w:type="dxa"/>
            <w:vAlign w:val="center"/>
          </w:tcPr>
          <w:p>
            <w:pPr>
              <w:pStyle w:val="10"/>
              <w:rPr>
                <w:highlight w:val="green"/>
              </w:rPr>
            </w:pPr>
            <w:r>
              <w:rPr>
                <w:highlight w:val="green"/>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51" w:name="_Toc_4_4_0000000052"/>
      <w:r>
        <w:rPr>
          <w:rFonts w:ascii="方正仿宋_GBK" w:hAnsi="方正仿宋_GBK" w:eastAsia="方正仿宋_GBK" w:cs="方正仿宋_GBK"/>
          <w:color w:val="000000"/>
          <w:sz w:val="28"/>
          <w:highlight w:val="none"/>
        </w:rPr>
        <w:t>49.专项补助绩效目标表</w:t>
      </w:r>
      <w:bookmarkEnd w:id="51"/>
    </w:p>
    <w:p>
      <w:pPr>
        <w:outlineLvl w:val="3"/>
        <w:rPr>
          <w:rFonts w:ascii="宋体" w:cs="宋体"/>
          <w:sz w:val="21"/>
          <w:szCs w:val="21"/>
        </w:rPr>
      </w:pPr>
      <w:r>
        <w:rPr>
          <w:rFonts w:ascii="方正书宋_GBK" w:hAnsi="方正书宋_GBK" w:eastAsia="方正书宋_GBK" w:cs="方正书宋_GBK"/>
          <w:sz w:val="21"/>
          <w:szCs w:val="21"/>
          <w:lang w:eastAsia="zh-CN"/>
        </w:rPr>
        <w:t>3</w:t>
      </w:r>
      <w:r>
        <w:rPr>
          <w:rFonts w:ascii="宋体" w:hAnsi="宋体" w:cs="宋体"/>
          <w:sz w:val="21"/>
          <w:szCs w:val="21"/>
        </w:rPr>
        <w:t>24004</w:t>
      </w:r>
      <w:r>
        <w:rPr>
          <w:rFonts w:hint="eastAsia" w:ascii="宋体" w:hAnsi="宋体" w:cs="宋体"/>
          <w:sz w:val="21"/>
          <w:szCs w:val="21"/>
        </w:rPr>
        <w:t>秦皇岛市山海关区房屋征收中心</w:t>
      </w:r>
      <w:r>
        <w:rPr>
          <w:rFonts w:ascii="宋体" w:hAnsi="宋体" w:cs="宋体"/>
          <w:sz w:val="21"/>
          <w:szCs w:val="21"/>
        </w:rPr>
        <w:t xml:space="preserve">        </w:t>
      </w:r>
      <w:r>
        <w:rPr>
          <w:rFonts w:ascii="宋体" w:hAnsi="宋体" w:cs="宋体"/>
          <w:sz w:val="21"/>
          <w:szCs w:val="21"/>
          <w:lang w:eastAsia="zh-CN"/>
        </w:rPr>
        <w:t xml:space="preserve">                                   </w:t>
      </w:r>
      <w:r>
        <w:rPr>
          <w:rFonts w:hint="eastAsia" w:ascii="宋体" w:hAnsi="宋体" w:cs="宋体"/>
          <w:sz w:val="21"/>
          <w:szCs w:val="21"/>
        </w:rPr>
        <w:t>单位：万元</w:t>
      </w:r>
    </w:p>
    <w:tbl>
      <w:tblPr>
        <w:tblStyle w:val="2"/>
        <w:tblW w:w="0" w:type="auto"/>
        <w:jc w:val="center"/>
        <w:tblLayout w:type="fixed"/>
        <w:tblCellMar>
          <w:top w:w="0" w:type="dxa"/>
          <w:left w:w="108" w:type="dxa"/>
          <w:bottom w:w="0" w:type="dxa"/>
          <w:right w:w="108" w:type="dxa"/>
        </w:tblCellMar>
      </w:tblPr>
      <w:tblGrid>
        <w:gridCol w:w="1276"/>
        <w:gridCol w:w="1276"/>
        <w:gridCol w:w="1332"/>
        <w:gridCol w:w="1587"/>
        <w:gridCol w:w="1304"/>
        <w:gridCol w:w="1907"/>
        <w:gridCol w:w="1212"/>
      </w:tblGrid>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项目编码</w:t>
            </w:r>
          </w:p>
        </w:tc>
        <w:tc>
          <w:tcPr>
            <w:tcW w:w="2608" w:type="dxa"/>
            <w:gridSpan w:val="2"/>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ascii="宋体" w:hAnsi="宋体" w:cs="宋体"/>
                <w:sz w:val="18"/>
                <w:szCs w:val="18"/>
              </w:rPr>
              <w:t>13030322P004205100072</w:t>
            </w:r>
          </w:p>
        </w:tc>
        <w:tc>
          <w:tcPr>
            <w:tcW w:w="158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项目名称</w:t>
            </w:r>
          </w:p>
        </w:tc>
        <w:tc>
          <w:tcPr>
            <w:tcW w:w="4423" w:type="dxa"/>
            <w:gridSpan w:val="3"/>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专项补助</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预算规模及资金用途</w:t>
            </w:r>
          </w:p>
        </w:tc>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预算数</w:t>
            </w:r>
          </w:p>
        </w:tc>
        <w:tc>
          <w:tcPr>
            <w:tcW w:w="133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ascii="宋体" w:hAnsi="宋体" w:cs="宋体"/>
                <w:sz w:val="18"/>
                <w:szCs w:val="18"/>
              </w:rPr>
              <w:t>212.91</w:t>
            </w:r>
          </w:p>
        </w:tc>
        <w:tc>
          <w:tcPr>
            <w:tcW w:w="158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其中：财政</w:t>
            </w:r>
            <w:r>
              <w:rPr>
                <w:rFonts w:ascii="宋体" w:hAnsi="宋体" w:cs="宋体"/>
                <w:b/>
                <w:bCs/>
                <w:sz w:val="18"/>
                <w:szCs w:val="18"/>
              </w:rPr>
              <w:t xml:space="preserve">    </w:t>
            </w:r>
            <w:r>
              <w:rPr>
                <w:rFonts w:hint="eastAsia" w:ascii="宋体" w:hAnsi="宋体" w:cs="宋体"/>
                <w:b/>
                <w:bCs/>
                <w:sz w:val="18"/>
                <w:szCs w:val="18"/>
              </w:rPr>
              <w:t>资金</w:t>
            </w:r>
          </w:p>
        </w:tc>
        <w:tc>
          <w:tcPr>
            <w:tcW w:w="130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ascii="宋体" w:hAnsi="宋体" w:cs="宋体"/>
                <w:sz w:val="18"/>
                <w:szCs w:val="18"/>
              </w:rPr>
              <w:t>212.91</w:t>
            </w:r>
          </w:p>
        </w:tc>
        <w:tc>
          <w:tcPr>
            <w:tcW w:w="190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其他资金</w:t>
            </w:r>
          </w:p>
        </w:tc>
        <w:tc>
          <w:tcPr>
            <w:tcW w:w="121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ascii="宋体" w:hAnsi="宋体" w:cs="宋体"/>
                <w:sz w:val="18"/>
                <w:szCs w:val="18"/>
              </w:rP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cs="宋体"/>
                <w:color w:val="000000"/>
                <w:sz w:val="18"/>
                <w:szCs w:val="18"/>
              </w:rPr>
            </w:pPr>
          </w:p>
        </w:tc>
        <w:tc>
          <w:tcPr>
            <w:tcW w:w="8618" w:type="dxa"/>
            <w:gridSpan w:val="6"/>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职工工资和保险的支出</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spacing w:line="360" w:lineRule="auto"/>
              <w:ind w:firstLine="360" w:firstLineChars="200"/>
              <w:jc w:val="center"/>
              <w:rPr>
                <w:rFonts w:ascii="宋体" w:cs="宋体"/>
                <w:color w:val="000000"/>
                <w:sz w:val="18"/>
                <w:szCs w:val="18"/>
              </w:rPr>
            </w:pPr>
            <w:r>
              <w:rPr>
                <w:rFonts w:hint="eastAsia" w:ascii="宋体" w:hAnsi="宋体" w:cs="宋体"/>
                <w:b/>
                <w:bCs/>
                <w:sz w:val="18"/>
                <w:szCs w:val="18"/>
              </w:rPr>
              <w:t>资金支出计划（</w:t>
            </w:r>
            <w:r>
              <w:rPr>
                <w:rFonts w:ascii="宋体" w:hAnsi="宋体" w:cs="宋体"/>
                <w:b/>
                <w:bCs/>
                <w:sz w:val="18"/>
                <w:szCs w:val="18"/>
              </w:rPr>
              <w:t>%</w:t>
            </w:r>
            <w:r>
              <w:rPr>
                <w:rFonts w:hint="eastAsia" w:ascii="宋体" w:hAnsi="宋体" w:cs="宋体"/>
                <w:b/>
                <w:bCs/>
                <w:sz w:val="18"/>
                <w:szCs w:val="18"/>
              </w:rPr>
              <w:t>）</w:t>
            </w:r>
          </w:p>
        </w:tc>
        <w:tc>
          <w:tcPr>
            <w:tcW w:w="2608" w:type="dxa"/>
            <w:gridSpan w:val="2"/>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ascii="宋体" w:hAnsi="宋体" w:cs="宋体"/>
                <w:b/>
                <w:bCs/>
                <w:sz w:val="18"/>
                <w:szCs w:val="18"/>
              </w:rPr>
              <w:t>3</w:t>
            </w:r>
            <w:r>
              <w:rPr>
                <w:rFonts w:hint="eastAsia" w:ascii="宋体" w:hAnsi="宋体" w:cs="宋体"/>
                <w:b/>
                <w:bCs/>
                <w:sz w:val="18"/>
                <w:szCs w:val="18"/>
              </w:rPr>
              <w:t>月底</w:t>
            </w:r>
          </w:p>
        </w:tc>
        <w:tc>
          <w:tcPr>
            <w:tcW w:w="158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ascii="宋体" w:hAnsi="宋体" w:cs="宋体"/>
                <w:b/>
                <w:bCs/>
                <w:sz w:val="18"/>
                <w:szCs w:val="18"/>
              </w:rPr>
              <w:t>6</w:t>
            </w:r>
            <w:r>
              <w:rPr>
                <w:rFonts w:hint="eastAsia" w:ascii="宋体" w:hAnsi="宋体" w:cs="宋体"/>
                <w:b/>
                <w:bCs/>
                <w:sz w:val="18"/>
                <w:szCs w:val="18"/>
              </w:rPr>
              <w:t>月底</w:t>
            </w:r>
          </w:p>
        </w:tc>
        <w:tc>
          <w:tcPr>
            <w:tcW w:w="130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ascii="宋体" w:hAnsi="宋体" w:cs="宋体"/>
                <w:b/>
                <w:bCs/>
                <w:sz w:val="18"/>
                <w:szCs w:val="18"/>
              </w:rPr>
              <w:t>10</w:t>
            </w:r>
            <w:r>
              <w:rPr>
                <w:rFonts w:hint="eastAsia" w:ascii="宋体" w:hAnsi="宋体" w:cs="宋体"/>
                <w:b/>
                <w:bCs/>
                <w:sz w:val="18"/>
                <w:szCs w:val="18"/>
              </w:rPr>
              <w:t>月底</w:t>
            </w:r>
          </w:p>
        </w:tc>
        <w:tc>
          <w:tcPr>
            <w:tcW w:w="3119" w:type="dxa"/>
            <w:gridSpan w:val="2"/>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ascii="宋体" w:hAnsi="宋体" w:cs="宋体"/>
                <w:b/>
                <w:bCs/>
                <w:sz w:val="18"/>
                <w:szCs w:val="18"/>
              </w:rPr>
              <w:t>12</w:t>
            </w:r>
            <w:r>
              <w:rPr>
                <w:rFonts w:hint="eastAsia" w:ascii="宋体" w:hAnsi="宋体" w:cs="宋体"/>
                <w:b/>
                <w:bCs/>
                <w:sz w:val="18"/>
                <w:szCs w:val="18"/>
              </w:rPr>
              <w:t>月底</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cs="宋体"/>
                <w:color w:val="000000"/>
                <w:sz w:val="18"/>
                <w:szCs w:val="18"/>
              </w:rPr>
            </w:pPr>
          </w:p>
        </w:tc>
        <w:tc>
          <w:tcPr>
            <w:tcW w:w="2608" w:type="dxa"/>
            <w:gridSpan w:val="2"/>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ascii="宋体" w:hAnsi="宋体" w:cs="宋体"/>
                <w:sz w:val="18"/>
                <w:szCs w:val="18"/>
              </w:rPr>
              <w:t>20%</w:t>
            </w:r>
          </w:p>
        </w:tc>
        <w:tc>
          <w:tcPr>
            <w:tcW w:w="158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ascii="宋体" w:hAnsi="宋体" w:cs="宋体"/>
                <w:sz w:val="18"/>
                <w:szCs w:val="18"/>
              </w:rPr>
              <w:t>53%</w:t>
            </w:r>
          </w:p>
        </w:tc>
        <w:tc>
          <w:tcPr>
            <w:tcW w:w="130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ascii="宋体" w:hAnsi="宋体" w:cs="宋体"/>
                <w:sz w:val="18"/>
                <w:szCs w:val="18"/>
              </w:rPr>
              <w:t>75%</w:t>
            </w:r>
          </w:p>
        </w:tc>
        <w:tc>
          <w:tcPr>
            <w:tcW w:w="3119" w:type="dxa"/>
            <w:gridSpan w:val="2"/>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ascii="宋体" w:hAnsi="宋体" w:cs="宋体"/>
                <w:sz w:val="18"/>
                <w:szCs w:val="18"/>
              </w:rPr>
              <w:t>100%</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绩效目标</w:t>
            </w:r>
          </w:p>
        </w:tc>
        <w:tc>
          <w:tcPr>
            <w:tcW w:w="8618" w:type="dxa"/>
            <w:gridSpan w:val="6"/>
            <w:tcBorders>
              <w:top w:val="single" w:color="000000" w:sz="6" w:space="0"/>
              <w:left w:val="single" w:color="000000" w:sz="6" w:space="0"/>
              <w:bottom w:val="single" w:color="FFFFFF"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ascii="宋体" w:hAnsi="宋体" w:cs="宋体"/>
                <w:sz w:val="18"/>
                <w:szCs w:val="18"/>
                <w:lang w:eastAsia="zh-CN"/>
              </w:rPr>
              <w:t>1</w:t>
            </w:r>
            <w:r>
              <w:rPr>
                <w:rFonts w:hint="eastAsia" w:ascii="宋体" w:hAnsi="宋体" w:cs="宋体"/>
                <w:sz w:val="18"/>
                <w:szCs w:val="18"/>
                <w:lang w:eastAsia="zh-CN"/>
              </w:rPr>
              <w:t>、</w:t>
            </w:r>
            <w:r>
              <w:rPr>
                <w:rFonts w:hint="eastAsia" w:ascii="宋体" w:hAnsi="宋体" w:cs="宋体"/>
                <w:sz w:val="18"/>
                <w:szCs w:val="18"/>
              </w:rPr>
              <w:t>保障各项人员工资、保险等经费支出</w:t>
            </w:r>
          </w:p>
        </w:tc>
      </w:tr>
    </w:tbl>
    <w:p>
      <w:pPr>
        <w:spacing w:line="2" w:lineRule="exact"/>
        <w:jc w:val="center"/>
        <w:rPr>
          <w:rFonts w:ascii="宋体" w:cs="宋体"/>
          <w:color w:val="000000"/>
          <w:sz w:val="18"/>
          <w:szCs w:val="18"/>
        </w:rPr>
      </w:pPr>
      <w:r>
        <w:rPr>
          <w:rFonts w:ascii="宋体" w:hAnsi="宋体" w:cs="宋体"/>
          <w:color w:val="000000"/>
          <w:sz w:val="18"/>
          <w:szCs w:val="18"/>
        </w:rPr>
        <w:t xml:space="preserve"> </w:t>
      </w:r>
    </w:p>
    <w:tbl>
      <w:tblPr>
        <w:tblStyle w:val="2"/>
        <w:tblW w:w="0" w:type="auto"/>
        <w:jc w:val="center"/>
        <w:tblLayout w:type="fixed"/>
        <w:tblCellMar>
          <w:top w:w="0" w:type="dxa"/>
          <w:left w:w="108" w:type="dxa"/>
          <w:bottom w:w="0" w:type="dxa"/>
          <w:right w:w="108" w:type="dxa"/>
        </w:tblCellMar>
      </w:tblPr>
      <w:tblGrid>
        <w:gridCol w:w="1276"/>
        <w:gridCol w:w="1276"/>
        <w:gridCol w:w="1332"/>
        <w:gridCol w:w="2891"/>
        <w:gridCol w:w="1757"/>
        <w:gridCol w:w="1362"/>
      </w:tblGrid>
      <w:tr>
        <w:tblPrEx>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一级指标</w:t>
            </w:r>
          </w:p>
        </w:tc>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二级指标</w:t>
            </w:r>
          </w:p>
        </w:tc>
        <w:tc>
          <w:tcPr>
            <w:tcW w:w="133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三级指标</w:t>
            </w:r>
          </w:p>
        </w:tc>
        <w:tc>
          <w:tcPr>
            <w:tcW w:w="2891"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绩效指标描述</w:t>
            </w:r>
          </w:p>
        </w:tc>
        <w:tc>
          <w:tcPr>
            <w:tcW w:w="175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指标值</w:t>
            </w:r>
          </w:p>
        </w:tc>
        <w:tc>
          <w:tcPr>
            <w:tcW w:w="136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b/>
                <w:bCs/>
                <w:sz w:val="18"/>
                <w:szCs w:val="18"/>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18"/>
                <w:szCs w:val="18"/>
              </w:rPr>
            </w:pPr>
            <w:r>
              <w:rPr>
                <w:rFonts w:hint="eastAsia" w:ascii="宋体" w:hAnsi="宋体" w:cs="宋体"/>
                <w:sz w:val="18"/>
                <w:szCs w:val="18"/>
              </w:rPr>
              <w:t>产出指标</w:t>
            </w:r>
          </w:p>
        </w:tc>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数量指标</w:t>
            </w:r>
          </w:p>
        </w:tc>
        <w:tc>
          <w:tcPr>
            <w:tcW w:w="133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支付工资及保险人员数量</w:t>
            </w:r>
          </w:p>
        </w:tc>
        <w:tc>
          <w:tcPr>
            <w:tcW w:w="2891"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支付工资及保险人员数量</w:t>
            </w:r>
          </w:p>
        </w:tc>
        <w:tc>
          <w:tcPr>
            <w:tcW w:w="175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ascii="宋体" w:hAnsi="宋体" w:cs="宋体"/>
                <w:sz w:val="18"/>
                <w:szCs w:val="18"/>
              </w:rPr>
              <w:t>18</w:t>
            </w:r>
            <w:r>
              <w:rPr>
                <w:rFonts w:hint="eastAsia" w:ascii="宋体" w:hAnsi="宋体" w:cs="宋体"/>
                <w:sz w:val="18"/>
                <w:szCs w:val="18"/>
              </w:rPr>
              <w:t>人</w:t>
            </w:r>
          </w:p>
        </w:tc>
        <w:tc>
          <w:tcPr>
            <w:tcW w:w="136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color w:val="000000"/>
                <w:sz w:val="18"/>
                <w:szCs w:val="18"/>
                <w:highlight w:val="green"/>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cs="宋体"/>
                <w:color w:val="000000"/>
                <w:sz w:val="18"/>
                <w:szCs w:val="18"/>
              </w:rPr>
            </w:pPr>
          </w:p>
        </w:tc>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质量指标</w:t>
            </w:r>
          </w:p>
        </w:tc>
        <w:tc>
          <w:tcPr>
            <w:tcW w:w="133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工资及保险发放准确率</w:t>
            </w:r>
          </w:p>
        </w:tc>
        <w:tc>
          <w:tcPr>
            <w:tcW w:w="2891"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工资及保险发放准确率</w:t>
            </w:r>
          </w:p>
        </w:tc>
        <w:tc>
          <w:tcPr>
            <w:tcW w:w="175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ascii="宋体" w:hAnsi="宋体" w:cs="宋体"/>
                <w:sz w:val="18"/>
                <w:szCs w:val="18"/>
              </w:rPr>
              <w:t>18</w:t>
            </w:r>
            <w:r>
              <w:rPr>
                <w:rFonts w:hint="eastAsia" w:ascii="宋体" w:hAnsi="宋体" w:cs="宋体"/>
                <w:sz w:val="18"/>
                <w:szCs w:val="18"/>
              </w:rPr>
              <w:t>人</w:t>
            </w:r>
          </w:p>
        </w:tc>
        <w:tc>
          <w:tcPr>
            <w:tcW w:w="136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color w:val="000000"/>
                <w:sz w:val="18"/>
                <w:szCs w:val="18"/>
                <w:highlight w:val="green"/>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cs="宋体"/>
                <w:color w:val="000000"/>
                <w:sz w:val="18"/>
                <w:szCs w:val="18"/>
              </w:rPr>
            </w:pPr>
          </w:p>
        </w:tc>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时效指标</w:t>
            </w:r>
          </w:p>
        </w:tc>
        <w:tc>
          <w:tcPr>
            <w:tcW w:w="133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资金支付及时率</w:t>
            </w:r>
          </w:p>
        </w:tc>
        <w:tc>
          <w:tcPr>
            <w:tcW w:w="2891"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color w:val="000000"/>
                <w:sz w:val="18"/>
                <w:szCs w:val="18"/>
              </w:rPr>
              <w:t>资金支付及时率</w:t>
            </w:r>
          </w:p>
        </w:tc>
        <w:tc>
          <w:tcPr>
            <w:tcW w:w="175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highlight w:val="green"/>
              </w:rPr>
            </w:pPr>
            <w:r>
              <w:rPr>
                <w:rFonts w:hint="eastAsia" w:ascii="宋体" w:hAnsi="宋体" w:cs="宋体"/>
                <w:color w:val="000000"/>
                <w:sz w:val="18"/>
                <w:szCs w:val="18"/>
                <w:highlight w:val="green"/>
              </w:rPr>
              <w:t>每月</w:t>
            </w:r>
            <w:r>
              <w:rPr>
                <w:rFonts w:ascii="宋体" w:hAnsi="宋体" w:cs="宋体"/>
                <w:color w:val="000000"/>
                <w:sz w:val="18"/>
                <w:szCs w:val="18"/>
                <w:highlight w:val="green"/>
              </w:rPr>
              <w:t>30</w:t>
            </w:r>
            <w:r>
              <w:rPr>
                <w:rFonts w:hint="eastAsia" w:ascii="宋体" w:hAnsi="宋体" w:cs="宋体"/>
                <w:color w:val="000000"/>
                <w:sz w:val="18"/>
                <w:szCs w:val="18"/>
                <w:highlight w:val="green"/>
              </w:rPr>
              <w:t>日之前</w:t>
            </w:r>
          </w:p>
        </w:tc>
        <w:tc>
          <w:tcPr>
            <w:tcW w:w="136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highlight w:val="green"/>
              </w:rPr>
            </w:pPr>
            <w:r>
              <w:rPr>
                <w:rFonts w:hint="eastAsia" w:ascii="宋体" w:hAnsi="宋体" w:cs="宋体"/>
                <w:color w:val="000000"/>
                <w:sz w:val="18"/>
                <w:szCs w:val="18"/>
                <w:highlight w:val="green"/>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cs="宋体"/>
                <w:color w:val="000000"/>
                <w:sz w:val="18"/>
                <w:szCs w:val="18"/>
              </w:rPr>
            </w:pPr>
          </w:p>
        </w:tc>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成本指标</w:t>
            </w:r>
          </w:p>
        </w:tc>
        <w:tc>
          <w:tcPr>
            <w:tcW w:w="133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控制在预算资金内</w:t>
            </w:r>
          </w:p>
        </w:tc>
        <w:tc>
          <w:tcPr>
            <w:tcW w:w="2891"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rPr>
            </w:pPr>
            <w:r>
              <w:rPr>
                <w:rFonts w:hint="eastAsia" w:ascii="宋体" w:hAnsi="宋体" w:cs="宋体"/>
                <w:sz w:val="18"/>
                <w:szCs w:val="18"/>
              </w:rPr>
              <w:t>控制在预算资金内</w:t>
            </w:r>
          </w:p>
        </w:tc>
        <w:tc>
          <w:tcPr>
            <w:tcW w:w="175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highlight w:val="green"/>
              </w:rPr>
            </w:pPr>
            <w:r>
              <w:rPr>
                <w:rFonts w:hint="eastAsia" w:hAnsi="宋体" w:cs="宋体"/>
                <w:color w:val="000000"/>
                <w:sz w:val="18"/>
                <w:szCs w:val="18"/>
                <w:highlight w:val="green"/>
              </w:rPr>
              <w:t>≦</w:t>
            </w:r>
            <w:r>
              <w:rPr>
                <w:rFonts w:hAnsi="宋体" w:cs="宋体"/>
                <w:color w:val="000000"/>
                <w:sz w:val="18"/>
                <w:szCs w:val="18"/>
                <w:highlight w:val="green"/>
              </w:rPr>
              <w:t>212.91</w:t>
            </w:r>
            <w:r>
              <w:rPr>
                <w:rFonts w:hint="eastAsia" w:hAnsi="宋体" w:cs="宋体"/>
                <w:color w:val="000000"/>
                <w:sz w:val="18"/>
                <w:szCs w:val="18"/>
                <w:highlight w:val="green"/>
              </w:rPr>
              <w:t>万元</w:t>
            </w:r>
          </w:p>
        </w:tc>
        <w:tc>
          <w:tcPr>
            <w:tcW w:w="136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18"/>
                <w:szCs w:val="18"/>
                <w:highlight w:val="green"/>
              </w:rPr>
            </w:pPr>
            <w:r>
              <w:rPr>
                <w:rFonts w:hint="eastAsia" w:ascii="宋体" w:hAnsi="宋体" w:cs="宋体"/>
                <w:color w:val="000000"/>
                <w:sz w:val="18"/>
                <w:szCs w:val="18"/>
                <w:highlight w:val="green"/>
              </w:rPr>
              <w:t>预算数额</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cs="宋体"/>
                <w:color w:val="000000"/>
                <w:sz w:val="18"/>
                <w:szCs w:val="18"/>
                <w:lang w:eastAsia="zh-CN"/>
              </w:rPr>
            </w:pPr>
            <w:r>
              <w:rPr>
                <w:rFonts w:hint="eastAsia" w:ascii="宋体" w:cs="宋体"/>
                <w:color w:val="000000"/>
                <w:sz w:val="18"/>
                <w:szCs w:val="18"/>
                <w:lang w:eastAsia="zh-CN"/>
              </w:rPr>
              <w:t>效益指标</w:t>
            </w:r>
          </w:p>
        </w:tc>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hint="eastAsia" w:ascii="宋体" w:hAnsi="宋体" w:cs="宋体"/>
                <w:sz w:val="18"/>
                <w:szCs w:val="18"/>
              </w:rPr>
            </w:pPr>
            <w:r>
              <w:rPr>
                <w:rFonts w:hint="eastAsia" w:ascii="宋体" w:hAnsi="宋体" w:cs="宋体"/>
                <w:sz w:val="18"/>
                <w:szCs w:val="18"/>
              </w:rPr>
              <w:t>社会效益指标</w:t>
            </w:r>
          </w:p>
        </w:tc>
        <w:tc>
          <w:tcPr>
            <w:tcW w:w="133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hint="eastAsia" w:ascii="宋体" w:hAnsi="宋体" w:cs="宋体"/>
                <w:sz w:val="18"/>
                <w:szCs w:val="18"/>
              </w:rPr>
            </w:pPr>
            <w:r>
              <w:rPr>
                <w:rFonts w:hint="eastAsia" w:ascii="宋体" w:hAnsi="宋体" w:cs="宋体"/>
                <w:sz w:val="18"/>
                <w:szCs w:val="18"/>
              </w:rPr>
              <w:t>业务工作稳定性</w:t>
            </w:r>
          </w:p>
        </w:tc>
        <w:tc>
          <w:tcPr>
            <w:tcW w:w="2891"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hint="eastAsia" w:ascii="宋体" w:hAnsi="宋体" w:cs="宋体"/>
                <w:sz w:val="18"/>
                <w:szCs w:val="18"/>
              </w:rPr>
            </w:pPr>
            <w:r>
              <w:rPr>
                <w:rFonts w:hint="eastAsia" w:ascii="宋体" w:hAnsi="宋体" w:cs="宋体"/>
                <w:sz w:val="18"/>
                <w:szCs w:val="18"/>
              </w:rPr>
              <w:t>通过日常工作稳定运转</w:t>
            </w:r>
          </w:p>
        </w:tc>
        <w:tc>
          <w:tcPr>
            <w:tcW w:w="175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hint="eastAsia" w:ascii="宋体" w:hAnsi="宋体" w:cs="宋体"/>
                <w:sz w:val="18"/>
                <w:szCs w:val="18"/>
              </w:rPr>
            </w:pPr>
            <w:r>
              <w:rPr>
                <w:rFonts w:hint="eastAsia" w:ascii="宋体" w:hAnsi="宋体" w:cs="宋体"/>
                <w:sz w:val="18"/>
                <w:szCs w:val="18"/>
                <w:highlight w:val="green"/>
              </w:rPr>
              <w:t>到岗工作情况</w:t>
            </w:r>
          </w:p>
        </w:tc>
        <w:tc>
          <w:tcPr>
            <w:tcW w:w="136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hint="eastAsia" w:ascii="宋体" w:hAnsi="宋体" w:cs="宋体"/>
                <w:color w:val="000000"/>
                <w:sz w:val="18"/>
                <w:szCs w:val="18"/>
              </w:rPr>
            </w:pPr>
            <w:r>
              <w:rPr>
                <w:rFonts w:hint="eastAsia" w:ascii="宋体" w:hAnsi="宋体" w:cs="宋体"/>
                <w:color w:val="000000"/>
                <w:sz w:val="18"/>
                <w:szCs w:val="18"/>
                <w:highlight w:val="green"/>
              </w:rPr>
              <w:t>到岗情况表</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宋体" w:cs="宋体"/>
                <w:color w:val="000000"/>
                <w:sz w:val="21"/>
                <w:szCs w:val="21"/>
              </w:rPr>
            </w:pPr>
            <w:r>
              <w:rPr>
                <w:rFonts w:hint="eastAsia" w:ascii="宋体" w:hAnsi="宋体" w:cs="宋体"/>
                <w:sz w:val="21"/>
                <w:szCs w:val="21"/>
              </w:rPr>
              <w:t>满意度指标</w:t>
            </w:r>
          </w:p>
        </w:tc>
        <w:tc>
          <w:tcPr>
            <w:tcW w:w="12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21"/>
                <w:szCs w:val="21"/>
              </w:rPr>
            </w:pPr>
            <w:r>
              <w:rPr>
                <w:rFonts w:hint="eastAsia" w:ascii="宋体" w:hAnsi="宋体" w:cs="宋体"/>
                <w:sz w:val="21"/>
                <w:szCs w:val="21"/>
              </w:rPr>
              <w:t>服务对象满意度指标</w:t>
            </w:r>
          </w:p>
        </w:tc>
        <w:tc>
          <w:tcPr>
            <w:tcW w:w="133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21"/>
                <w:szCs w:val="21"/>
              </w:rPr>
            </w:pPr>
            <w:r>
              <w:rPr>
                <w:rFonts w:hint="eastAsia" w:ascii="宋体" w:hAnsi="宋体" w:cs="宋体"/>
                <w:sz w:val="21"/>
                <w:szCs w:val="21"/>
              </w:rPr>
              <w:t>职工满意度</w:t>
            </w:r>
          </w:p>
        </w:tc>
        <w:tc>
          <w:tcPr>
            <w:tcW w:w="2891"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21"/>
                <w:szCs w:val="21"/>
              </w:rPr>
            </w:pPr>
            <w:r>
              <w:rPr>
                <w:rFonts w:hint="eastAsia" w:ascii="宋体" w:hAnsi="宋体" w:cs="宋体"/>
                <w:sz w:val="21"/>
                <w:szCs w:val="21"/>
              </w:rPr>
              <w:t>满意度人员占总职工人数</w:t>
            </w:r>
          </w:p>
        </w:tc>
        <w:tc>
          <w:tcPr>
            <w:tcW w:w="175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21"/>
                <w:szCs w:val="21"/>
              </w:rPr>
            </w:pPr>
            <w:r>
              <w:rPr>
                <w:rFonts w:hint="eastAsia" w:ascii="宋体" w:hAnsi="宋体" w:cs="宋体"/>
                <w:sz w:val="21"/>
                <w:szCs w:val="21"/>
              </w:rPr>
              <w:t>≥</w:t>
            </w:r>
            <w:r>
              <w:rPr>
                <w:rFonts w:ascii="宋体" w:hAnsi="宋体" w:cs="宋体"/>
                <w:sz w:val="21"/>
                <w:szCs w:val="21"/>
              </w:rPr>
              <w:t>95%</w:t>
            </w:r>
          </w:p>
        </w:tc>
        <w:tc>
          <w:tcPr>
            <w:tcW w:w="136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rPr>
                <w:rFonts w:ascii="宋体" w:cs="宋体"/>
                <w:color w:val="000000"/>
                <w:sz w:val="21"/>
                <w:szCs w:val="21"/>
              </w:rPr>
            </w:pPr>
            <w:r>
              <w:rPr>
                <w:rFonts w:hint="eastAsia" w:ascii="宋体" w:hAnsi="宋体" w:cs="宋体"/>
                <w:color w:val="000000"/>
                <w:sz w:val="21"/>
                <w:szCs w:val="21"/>
                <w:highlight w:val="green"/>
              </w:rPr>
              <w:t>问卷调查</w:t>
            </w:r>
          </w:p>
        </w:tc>
      </w:tr>
    </w:tbl>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52" w:name="_Toc_4_4_0000000053"/>
      <w:r>
        <w:rPr>
          <w:rFonts w:ascii="方正仿宋_GBK" w:hAnsi="方正仿宋_GBK" w:eastAsia="方正仿宋_GBK" w:cs="方正仿宋_GBK"/>
          <w:color w:val="000000"/>
          <w:sz w:val="28"/>
          <w:highlight w:val="none"/>
        </w:rPr>
        <w:t>50.木材检查站补助经费绩效目标表</w:t>
      </w:r>
      <w:bookmarkEnd w:id="5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324005河北省秦皇岛市山海关区木材检查站（秦皇岛市山海关区森林病虫害防治检疫站）</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13030322P00425410002E</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木材检查站补助经费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193.65</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193.65</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用于此项目的正常支出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1.保证木材检查站补助经费的正确使用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保障人数</w:t>
            </w:r>
          </w:p>
        </w:tc>
        <w:tc>
          <w:tcPr>
            <w:tcW w:w="2891" w:type="dxa"/>
            <w:vAlign w:val="center"/>
          </w:tcPr>
          <w:p>
            <w:pPr>
              <w:pStyle w:val="10"/>
              <w:rPr>
                <w:highlight w:val="none"/>
              </w:rPr>
            </w:pPr>
            <w:r>
              <w:rPr>
                <w:highlight w:val="none"/>
              </w:rPr>
              <w:t>检查站工作人员发放工资数量</w:t>
            </w:r>
          </w:p>
        </w:tc>
        <w:tc>
          <w:tcPr>
            <w:tcW w:w="1276" w:type="dxa"/>
            <w:vAlign w:val="center"/>
          </w:tcPr>
          <w:p>
            <w:pPr>
              <w:pStyle w:val="10"/>
              <w:rPr>
                <w:highlight w:val="none"/>
              </w:rPr>
            </w:pPr>
            <w:r>
              <w:rPr>
                <w:highlight w:val="none"/>
              </w:rPr>
              <w:t>≤193.65万元</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工资福利发放的精确性</w:t>
            </w:r>
          </w:p>
        </w:tc>
        <w:tc>
          <w:tcPr>
            <w:tcW w:w="2891" w:type="dxa"/>
            <w:vAlign w:val="center"/>
          </w:tcPr>
          <w:p>
            <w:pPr>
              <w:pStyle w:val="10"/>
              <w:rPr>
                <w:highlight w:val="none"/>
              </w:rPr>
            </w:pPr>
            <w:r>
              <w:rPr>
                <w:highlight w:val="none"/>
              </w:rPr>
              <w:t>工资福利等发放人员范围的精确性和发放数据的准确性</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社会保障缴纳的准确性</w:t>
            </w:r>
          </w:p>
        </w:tc>
        <w:tc>
          <w:tcPr>
            <w:tcW w:w="2891" w:type="dxa"/>
            <w:vAlign w:val="center"/>
          </w:tcPr>
          <w:p>
            <w:pPr>
              <w:pStyle w:val="10"/>
              <w:rPr>
                <w:highlight w:val="none"/>
              </w:rPr>
            </w:pPr>
            <w:r>
              <w:rPr>
                <w:highlight w:val="none"/>
              </w:rPr>
              <w:t>社会保障缴纳数据的准确性</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社会保障缴纳的及时性</w:t>
            </w:r>
          </w:p>
        </w:tc>
        <w:tc>
          <w:tcPr>
            <w:tcW w:w="2891" w:type="dxa"/>
            <w:vAlign w:val="center"/>
          </w:tcPr>
          <w:p>
            <w:pPr>
              <w:pStyle w:val="10"/>
              <w:rPr>
                <w:highlight w:val="none"/>
              </w:rPr>
            </w:pPr>
            <w:r>
              <w:rPr>
                <w:highlight w:val="none"/>
              </w:rPr>
              <w:t>社会保障缴纳的时效情况</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工资（福利）发放及时性</w:t>
            </w:r>
          </w:p>
        </w:tc>
        <w:tc>
          <w:tcPr>
            <w:tcW w:w="2891" w:type="dxa"/>
            <w:vAlign w:val="center"/>
          </w:tcPr>
          <w:p>
            <w:pPr>
              <w:pStyle w:val="10"/>
              <w:rPr>
                <w:highlight w:val="none"/>
              </w:rPr>
            </w:pPr>
            <w:r>
              <w:rPr>
                <w:highlight w:val="none"/>
              </w:rPr>
              <w:t>工资（福利）发放的时效情况</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年度支出金额</w:t>
            </w:r>
          </w:p>
        </w:tc>
        <w:tc>
          <w:tcPr>
            <w:tcW w:w="2891" w:type="dxa"/>
            <w:vAlign w:val="center"/>
          </w:tcPr>
          <w:p>
            <w:pPr>
              <w:pStyle w:val="10"/>
              <w:rPr>
                <w:highlight w:val="none"/>
              </w:rPr>
            </w:pPr>
            <w:r>
              <w:rPr>
                <w:highlight w:val="none"/>
              </w:rPr>
              <w:t>支出金控制在预算额度内</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保持人员稳定</w:t>
            </w:r>
          </w:p>
        </w:tc>
        <w:tc>
          <w:tcPr>
            <w:tcW w:w="2891" w:type="dxa"/>
            <w:vAlign w:val="center"/>
          </w:tcPr>
          <w:p>
            <w:pPr>
              <w:pStyle w:val="10"/>
              <w:rPr>
                <w:highlight w:val="none"/>
              </w:rPr>
            </w:pPr>
            <w:r>
              <w:rPr>
                <w:highlight w:val="none"/>
              </w:rPr>
              <w:t>通过按时按标准发放工资福利等，增强干职工的归属感，保持干部队伍稳定，保障办公正常运转</w:t>
            </w:r>
          </w:p>
        </w:tc>
        <w:tc>
          <w:tcPr>
            <w:tcW w:w="1276" w:type="dxa"/>
            <w:vAlign w:val="center"/>
          </w:tcPr>
          <w:p>
            <w:pPr>
              <w:pStyle w:val="10"/>
              <w:rPr>
                <w:highlight w:val="none"/>
              </w:rPr>
            </w:pPr>
            <w:r>
              <w:rPr>
                <w:highlight w:val="none"/>
              </w:rPr>
              <w:t>≥99%</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职工满意度</w:t>
            </w:r>
          </w:p>
        </w:tc>
        <w:tc>
          <w:tcPr>
            <w:tcW w:w="2891" w:type="dxa"/>
            <w:vAlign w:val="center"/>
          </w:tcPr>
          <w:p>
            <w:pPr>
              <w:pStyle w:val="10"/>
              <w:rPr>
                <w:highlight w:val="none"/>
              </w:rPr>
            </w:pPr>
            <w:r>
              <w:rPr>
                <w:highlight w:val="none"/>
              </w:rPr>
              <w:t>满意度人员占总职工人数</w:t>
            </w:r>
          </w:p>
        </w:tc>
        <w:tc>
          <w:tcPr>
            <w:tcW w:w="1276" w:type="dxa"/>
            <w:vAlign w:val="center"/>
          </w:tcPr>
          <w:p>
            <w:pPr>
              <w:pStyle w:val="10"/>
              <w:rPr>
                <w:highlight w:val="none"/>
              </w:rPr>
            </w:pPr>
            <w:r>
              <w:rPr>
                <w:highlight w:val="none"/>
              </w:rPr>
              <w:t>≥95%</w:t>
            </w:r>
          </w:p>
        </w:tc>
        <w:tc>
          <w:tcPr>
            <w:tcW w:w="1843" w:type="dxa"/>
            <w:vAlign w:val="center"/>
          </w:tcPr>
          <w:p>
            <w:pPr>
              <w:pStyle w:val="10"/>
              <w:rPr>
                <w:rFonts w:hint="eastAsia" w:eastAsia="方正书宋_GBK"/>
                <w:highlight w:val="none"/>
                <w:lang w:eastAsia="zh-CN"/>
              </w:rPr>
            </w:pPr>
            <w:r>
              <w:rPr>
                <w:rFonts w:hint="eastAsia"/>
                <w:highlight w:val="green"/>
                <w:lang w:eastAsia="zh-CN"/>
              </w:rPr>
              <w:t>问卷调查</w:t>
            </w:r>
          </w:p>
        </w:tc>
      </w:tr>
    </w:tbl>
    <w:p>
      <w:pPr>
        <w:rPr>
          <w:highlight w:val="none"/>
        </w:rPr>
        <w:sectPr>
          <w:pgSz w:w="11900" w:h="16840"/>
          <w:pgMar w:top="1984" w:right="1304" w:bottom="1134" w:left="1304" w:header="720" w:footer="720" w:gutter="0"/>
          <w:cols w:space="720" w:num="1"/>
        </w:sectPr>
      </w:pPr>
    </w:p>
    <w:p>
      <w:pPr>
        <w:jc w:val="center"/>
        <w:rPr>
          <w:highlight w:val="none"/>
        </w:rPr>
      </w:pPr>
      <w:r>
        <w:rPr>
          <w:rFonts w:ascii="方正仿宋_GBK" w:hAnsi="方正仿宋_GBK" w:eastAsia="方正仿宋_GBK" w:cs="方正仿宋_GBK"/>
          <w:color w:val="000000"/>
          <w:sz w:val="28"/>
          <w:highlight w:val="none"/>
        </w:rPr>
        <w:t xml:space="preserve"> </w:t>
      </w:r>
    </w:p>
    <w:p>
      <w:pPr>
        <w:ind w:firstLine="560"/>
        <w:outlineLvl w:val="3"/>
        <w:rPr>
          <w:highlight w:val="none"/>
        </w:rPr>
      </w:pPr>
      <w:bookmarkStart w:id="53" w:name="_Toc_4_4_0000000054"/>
      <w:r>
        <w:rPr>
          <w:rFonts w:ascii="方正仿宋_GBK" w:hAnsi="方正仿宋_GBK" w:eastAsia="方正仿宋_GBK" w:cs="方正仿宋_GBK"/>
          <w:color w:val="000000"/>
          <w:sz w:val="28"/>
          <w:highlight w:val="none"/>
        </w:rPr>
        <w:t>51.专项补助绩效目标表</w:t>
      </w:r>
      <w:bookmarkEnd w:id="5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rPr>
                <w:highlight w:val="none"/>
              </w:rPr>
            </w:pPr>
            <w:r>
              <w:rPr>
                <w:highlight w:val="none"/>
              </w:rPr>
              <w:t>324006秦皇岛市山海关区规划信息中心</w:t>
            </w:r>
          </w:p>
        </w:tc>
        <w:tc>
          <w:tcPr>
            <w:tcW w:w="1843" w:type="dxa"/>
            <w:tcBorders>
              <w:top w:val="single" w:color="FFFFFF" w:sz="6" w:space="0"/>
              <w:left w:val="single" w:color="FFFFFF" w:sz="6" w:space="0"/>
              <w:right w:val="single" w:color="FFFFFF" w:sz="6" w:space="0"/>
            </w:tcBorders>
            <w:vAlign w:val="center"/>
          </w:tcPr>
          <w:p>
            <w:pPr>
              <w:pStyle w:val="8"/>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项目编码</w:t>
            </w:r>
          </w:p>
        </w:tc>
        <w:tc>
          <w:tcPr>
            <w:tcW w:w="2608" w:type="dxa"/>
            <w:gridSpan w:val="2"/>
            <w:vAlign w:val="center"/>
          </w:tcPr>
          <w:p>
            <w:pPr>
              <w:pStyle w:val="10"/>
              <w:rPr>
                <w:highlight w:val="none"/>
              </w:rPr>
            </w:pPr>
            <w:r>
              <w:rPr>
                <w:highlight w:val="none"/>
              </w:rPr>
              <w:t>13030322P00420510006E</w:t>
            </w:r>
          </w:p>
        </w:tc>
        <w:tc>
          <w:tcPr>
            <w:tcW w:w="1587" w:type="dxa"/>
            <w:vAlign w:val="center"/>
          </w:tcPr>
          <w:p>
            <w:pPr>
              <w:pStyle w:val="11"/>
              <w:rPr>
                <w:highlight w:val="none"/>
              </w:rPr>
            </w:pPr>
            <w:r>
              <w:rPr>
                <w:highlight w:val="none"/>
              </w:rPr>
              <w:t>项目名称</w:t>
            </w:r>
          </w:p>
        </w:tc>
        <w:tc>
          <w:tcPr>
            <w:tcW w:w="4422" w:type="dxa"/>
            <w:gridSpan w:val="3"/>
            <w:vAlign w:val="center"/>
          </w:tcPr>
          <w:p>
            <w:pPr>
              <w:pStyle w:val="10"/>
              <w:rPr>
                <w:highlight w:val="none"/>
              </w:rPr>
            </w:pPr>
            <w:r>
              <w:rPr>
                <w:highlight w:val="none"/>
              </w:rP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预算规模及资金用途</w:t>
            </w:r>
          </w:p>
        </w:tc>
        <w:tc>
          <w:tcPr>
            <w:tcW w:w="1276" w:type="dxa"/>
            <w:vAlign w:val="center"/>
          </w:tcPr>
          <w:p>
            <w:pPr>
              <w:pStyle w:val="11"/>
              <w:rPr>
                <w:highlight w:val="none"/>
              </w:rPr>
            </w:pPr>
            <w:r>
              <w:rPr>
                <w:highlight w:val="none"/>
              </w:rPr>
              <w:t>预算数</w:t>
            </w:r>
          </w:p>
        </w:tc>
        <w:tc>
          <w:tcPr>
            <w:tcW w:w="1332" w:type="dxa"/>
            <w:vAlign w:val="center"/>
          </w:tcPr>
          <w:p>
            <w:pPr>
              <w:pStyle w:val="10"/>
              <w:rPr>
                <w:highlight w:val="none"/>
              </w:rPr>
            </w:pPr>
            <w:r>
              <w:rPr>
                <w:highlight w:val="none"/>
              </w:rPr>
              <w:t>61.82</w:t>
            </w:r>
          </w:p>
        </w:tc>
        <w:tc>
          <w:tcPr>
            <w:tcW w:w="1587" w:type="dxa"/>
            <w:vAlign w:val="center"/>
          </w:tcPr>
          <w:p>
            <w:pPr>
              <w:pStyle w:val="11"/>
              <w:rPr>
                <w:highlight w:val="none"/>
              </w:rPr>
            </w:pPr>
            <w:r>
              <w:rPr>
                <w:highlight w:val="none"/>
              </w:rPr>
              <w:t>其中：财政    资金</w:t>
            </w:r>
          </w:p>
        </w:tc>
        <w:tc>
          <w:tcPr>
            <w:tcW w:w="1304" w:type="dxa"/>
            <w:vAlign w:val="center"/>
          </w:tcPr>
          <w:p>
            <w:pPr>
              <w:pStyle w:val="10"/>
              <w:rPr>
                <w:highlight w:val="none"/>
              </w:rPr>
            </w:pPr>
            <w:r>
              <w:rPr>
                <w:highlight w:val="none"/>
              </w:rPr>
              <w:t>61.82</w:t>
            </w:r>
          </w:p>
        </w:tc>
        <w:tc>
          <w:tcPr>
            <w:tcW w:w="1276" w:type="dxa"/>
            <w:vAlign w:val="center"/>
          </w:tcPr>
          <w:p>
            <w:pPr>
              <w:pStyle w:val="11"/>
              <w:rPr>
                <w:highlight w:val="none"/>
              </w:rPr>
            </w:pPr>
            <w:r>
              <w:rPr>
                <w:highlight w:val="none"/>
              </w:rPr>
              <w:t>其他资金</w:t>
            </w:r>
          </w:p>
        </w:tc>
        <w:tc>
          <w:tcPr>
            <w:tcW w:w="1843" w:type="dxa"/>
            <w:vAlign w:val="center"/>
          </w:tcPr>
          <w:p>
            <w:pPr>
              <w:pStyle w:val="10"/>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0"/>
              <w:rPr>
                <w:highlight w:val="none"/>
              </w:rPr>
            </w:pPr>
            <w:r>
              <w:rPr>
                <w:highlight w:val="none"/>
              </w:rPr>
              <w:t>用于此款项的正常支出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rPr>
                <w:highlight w:val="none"/>
              </w:rPr>
            </w:pPr>
            <w:r>
              <w:rPr>
                <w:highlight w:val="none"/>
              </w:rPr>
              <w:t>资金支出计划（%）</w:t>
            </w:r>
          </w:p>
        </w:tc>
        <w:tc>
          <w:tcPr>
            <w:tcW w:w="2608" w:type="dxa"/>
            <w:gridSpan w:val="2"/>
            <w:vAlign w:val="center"/>
          </w:tcPr>
          <w:p>
            <w:pPr>
              <w:pStyle w:val="11"/>
              <w:rPr>
                <w:highlight w:val="none"/>
              </w:rPr>
            </w:pPr>
            <w:r>
              <w:rPr>
                <w:highlight w:val="none"/>
              </w:rPr>
              <w:t>3月底</w:t>
            </w:r>
          </w:p>
        </w:tc>
        <w:tc>
          <w:tcPr>
            <w:tcW w:w="1587" w:type="dxa"/>
            <w:vAlign w:val="center"/>
          </w:tcPr>
          <w:p>
            <w:pPr>
              <w:pStyle w:val="11"/>
              <w:rPr>
                <w:highlight w:val="none"/>
              </w:rPr>
            </w:pPr>
            <w:r>
              <w:rPr>
                <w:highlight w:val="none"/>
              </w:rPr>
              <w:t>6月底</w:t>
            </w:r>
          </w:p>
        </w:tc>
        <w:tc>
          <w:tcPr>
            <w:tcW w:w="1304" w:type="dxa"/>
            <w:vAlign w:val="center"/>
          </w:tcPr>
          <w:p>
            <w:pPr>
              <w:pStyle w:val="11"/>
              <w:rPr>
                <w:highlight w:val="none"/>
              </w:rPr>
            </w:pPr>
            <w:r>
              <w:rPr>
                <w:highlight w:val="none"/>
              </w:rPr>
              <w:t>10月底</w:t>
            </w:r>
          </w:p>
        </w:tc>
        <w:tc>
          <w:tcPr>
            <w:tcW w:w="3118" w:type="dxa"/>
            <w:gridSpan w:val="2"/>
            <w:vAlign w:val="center"/>
          </w:tcPr>
          <w:p>
            <w:pPr>
              <w:pStyle w:val="11"/>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12"/>
              <w:rPr>
                <w:highlight w:val="none"/>
              </w:rPr>
            </w:pPr>
            <w:r>
              <w:rPr>
                <w:highlight w:val="none"/>
              </w:rPr>
              <w:t>25%</w:t>
            </w:r>
          </w:p>
        </w:tc>
        <w:tc>
          <w:tcPr>
            <w:tcW w:w="1587" w:type="dxa"/>
            <w:vAlign w:val="center"/>
          </w:tcPr>
          <w:p>
            <w:pPr>
              <w:pStyle w:val="12"/>
              <w:rPr>
                <w:highlight w:val="none"/>
              </w:rPr>
            </w:pPr>
            <w:r>
              <w:rPr>
                <w:highlight w:val="none"/>
              </w:rPr>
              <w:t>50%</w:t>
            </w:r>
          </w:p>
        </w:tc>
        <w:tc>
          <w:tcPr>
            <w:tcW w:w="1304" w:type="dxa"/>
            <w:vAlign w:val="center"/>
          </w:tcPr>
          <w:p>
            <w:pPr>
              <w:pStyle w:val="12"/>
              <w:rPr>
                <w:highlight w:val="none"/>
              </w:rPr>
            </w:pPr>
            <w:r>
              <w:rPr>
                <w:highlight w:val="none"/>
              </w:rPr>
              <w:t>75%</w:t>
            </w:r>
          </w:p>
        </w:tc>
        <w:tc>
          <w:tcPr>
            <w:tcW w:w="3118" w:type="dxa"/>
            <w:gridSpan w:val="2"/>
            <w:vAlign w:val="center"/>
          </w:tcPr>
          <w:p>
            <w:pPr>
              <w:pStyle w:val="12"/>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rPr>
                <w:highlight w:val="none"/>
              </w:rPr>
            </w:pPr>
            <w:r>
              <w:rPr>
                <w:highlight w:val="none"/>
              </w:rPr>
              <w:t>绩效目标</w:t>
            </w:r>
          </w:p>
        </w:tc>
        <w:tc>
          <w:tcPr>
            <w:tcW w:w="8617" w:type="dxa"/>
            <w:gridSpan w:val="6"/>
            <w:vAlign w:val="center"/>
          </w:tcPr>
          <w:p>
            <w:pPr>
              <w:pStyle w:val="10"/>
              <w:rPr>
                <w:highlight w:val="none"/>
              </w:rPr>
            </w:pPr>
            <w:r>
              <w:rPr>
                <w:highlight w:val="none"/>
              </w:rPr>
              <w:t>1.保证专项补助的正确使用</w:t>
            </w:r>
          </w:p>
        </w:tc>
      </w:tr>
    </w:tbl>
    <w:p>
      <w:pPr>
        <w:spacing w:line="2" w:lineRule="exact"/>
        <w:jc w:val="center"/>
        <w:rPr>
          <w:highlight w:val="none"/>
        </w:rPr>
      </w:pPr>
      <w:r>
        <w:rPr>
          <w:rFonts w:ascii="方正书宋_GBK" w:hAnsi="方正书宋_GBK" w:eastAsia="方正书宋_GBK" w:cs="方正书宋_GBK"/>
          <w:color w:val="000000"/>
          <w:sz w:val="21"/>
          <w:highlight w:val="none"/>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rPr>
                <w:highlight w:val="none"/>
              </w:rPr>
            </w:pPr>
            <w:r>
              <w:rPr>
                <w:highlight w:val="none"/>
              </w:rPr>
              <w:t>一级指标</w:t>
            </w:r>
          </w:p>
        </w:tc>
        <w:tc>
          <w:tcPr>
            <w:tcW w:w="1276" w:type="dxa"/>
            <w:vAlign w:val="center"/>
          </w:tcPr>
          <w:p>
            <w:pPr>
              <w:pStyle w:val="11"/>
              <w:rPr>
                <w:highlight w:val="none"/>
              </w:rPr>
            </w:pPr>
            <w:r>
              <w:rPr>
                <w:highlight w:val="none"/>
              </w:rPr>
              <w:t>二级指标</w:t>
            </w:r>
          </w:p>
        </w:tc>
        <w:tc>
          <w:tcPr>
            <w:tcW w:w="1332" w:type="dxa"/>
            <w:vAlign w:val="center"/>
          </w:tcPr>
          <w:p>
            <w:pPr>
              <w:pStyle w:val="11"/>
              <w:rPr>
                <w:highlight w:val="none"/>
              </w:rPr>
            </w:pPr>
            <w:r>
              <w:rPr>
                <w:highlight w:val="none"/>
              </w:rPr>
              <w:t>三级指标</w:t>
            </w:r>
          </w:p>
        </w:tc>
        <w:tc>
          <w:tcPr>
            <w:tcW w:w="2891" w:type="dxa"/>
            <w:vAlign w:val="center"/>
          </w:tcPr>
          <w:p>
            <w:pPr>
              <w:pStyle w:val="11"/>
              <w:rPr>
                <w:highlight w:val="none"/>
              </w:rPr>
            </w:pPr>
            <w:r>
              <w:rPr>
                <w:highlight w:val="none"/>
              </w:rPr>
              <w:t>绩效指标描述</w:t>
            </w:r>
          </w:p>
        </w:tc>
        <w:tc>
          <w:tcPr>
            <w:tcW w:w="1276" w:type="dxa"/>
            <w:vAlign w:val="center"/>
          </w:tcPr>
          <w:p>
            <w:pPr>
              <w:pStyle w:val="11"/>
              <w:rPr>
                <w:highlight w:val="none"/>
              </w:rPr>
            </w:pPr>
            <w:r>
              <w:rPr>
                <w:highlight w:val="none"/>
              </w:rPr>
              <w:t>指标值</w:t>
            </w:r>
          </w:p>
        </w:tc>
        <w:tc>
          <w:tcPr>
            <w:tcW w:w="1843" w:type="dxa"/>
            <w:vAlign w:val="center"/>
          </w:tcPr>
          <w:p>
            <w:pPr>
              <w:pStyle w:val="11"/>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highlight w:val="none"/>
              </w:rPr>
            </w:pPr>
            <w:r>
              <w:rPr>
                <w:highlight w:val="none"/>
              </w:rPr>
              <w:t>产出指标</w:t>
            </w:r>
          </w:p>
        </w:tc>
        <w:tc>
          <w:tcPr>
            <w:tcW w:w="1276" w:type="dxa"/>
            <w:vAlign w:val="center"/>
          </w:tcPr>
          <w:p>
            <w:pPr>
              <w:pStyle w:val="10"/>
              <w:rPr>
                <w:highlight w:val="none"/>
              </w:rPr>
            </w:pPr>
            <w:r>
              <w:rPr>
                <w:highlight w:val="none"/>
              </w:rPr>
              <w:t>数量指标</w:t>
            </w:r>
          </w:p>
        </w:tc>
        <w:tc>
          <w:tcPr>
            <w:tcW w:w="1332" w:type="dxa"/>
            <w:vAlign w:val="center"/>
          </w:tcPr>
          <w:p>
            <w:pPr>
              <w:pStyle w:val="10"/>
              <w:rPr>
                <w:highlight w:val="none"/>
              </w:rPr>
            </w:pPr>
            <w:r>
              <w:rPr>
                <w:highlight w:val="none"/>
              </w:rPr>
              <w:t>发放工资人数</w:t>
            </w:r>
          </w:p>
        </w:tc>
        <w:tc>
          <w:tcPr>
            <w:tcW w:w="2891" w:type="dxa"/>
            <w:vAlign w:val="center"/>
          </w:tcPr>
          <w:p>
            <w:pPr>
              <w:pStyle w:val="10"/>
              <w:rPr>
                <w:highlight w:val="none"/>
              </w:rPr>
            </w:pPr>
            <w:r>
              <w:rPr>
                <w:highlight w:val="none"/>
              </w:rPr>
              <w:t>发放工资人数</w:t>
            </w:r>
          </w:p>
        </w:tc>
        <w:tc>
          <w:tcPr>
            <w:tcW w:w="1276" w:type="dxa"/>
            <w:vAlign w:val="center"/>
          </w:tcPr>
          <w:p>
            <w:pPr>
              <w:pStyle w:val="10"/>
              <w:rPr>
                <w:highlight w:val="none"/>
              </w:rPr>
            </w:pPr>
            <w:r>
              <w:rPr>
                <w:highlight w:val="none"/>
              </w:rPr>
              <w:t>≥6人</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上班出勤情率</w:t>
            </w:r>
          </w:p>
        </w:tc>
        <w:tc>
          <w:tcPr>
            <w:tcW w:w="2891" w:type="dxa"/>
            <w:vAlign w:val="center"/>
          </w:tcPr>
          <w:p>
            <w:pPr>
              <w:pStyle w:val="10"/>
              <w:rPr>
                <w:highlight w:val="none"/>
              </w:rPr>
            </w:pPr>
            <w:r>
              <w:rPr>
                <w:highlight w:val="none"/>
              </w:rPr>
              <w:t>具体出勤情况</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质量指标</w:t>
            </w:r>
          </w:p>
        </w:tc>
        <w:tc>
          <w:tcPr>
            <w:tcW w:w="1332" w:type="dxa"/>
            <w:vAlign w:val="center"/>
          </w:tcPr>
          <w:p>
            <w:pPr>
              <w:pStyle w:val="10"/>
              <w:rPr>
                <w:highlight w:val="none"/>
              </w:rPr>
            </w:pPr>
            <w:r>
              <w:rPr>
                <w:highlight w:val="none"/>
              </w:rPr>
              <w:t>工作人员专业胜任能力</w:t>
            </w:r>
          </w:p>
        </w:tc>
        <w:tc>
          <w:tcPr>
            <w:tcW w:w="2891" w:type="dxa"/>
            <w:vAlign w:val="center"/>
          </w:tcPr>
          <w:p>
            <w:pPr>
              <w:pStyle w:val="10"/>
              <w:rPr>
                <w:highlight w:val="none"/>
              </w:rPr>
            </w:pPr>
            <w:r>
              <w:rPr>
                <w:highlight w:val="none"/>
              </w:rPr>
              <w:t>工作人员专业胜任能力</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时效指标</w:t>
            </w:r>
          </w:p>
        </w:tc>
        <w:tc>
          <w:tcPr>
            <w:tcW w:w="1332" w:type="dxa"/>
            <w:vAlign w:val="center"/>
          </w:tcPr>
          <w:p>
            <w:pPr>
              <w:pStyle w:val="10"/>
              <w:rPr>
                <w:highlight w:val="none"/>
              </w:rPr>
            </w:pPr>
            <w:r>
              <w:rPr>
                <w:highlight w:val="none"/>
              </w:rPr>
              <w:t>工资发放及时性</w:t>
            </w:r>
          </w:p>
        </w:tc>
        <w:tc>
          <w:tcPr>
            <w:tcW w:w="2891" w:type="dxa"/>
            <w:vAlign w:val="center"/>
          </w:tcPr>
          <w:p>
            <w:pPr>
              <w:pStyle w:val="10"/>
              <w:rPr>
                <w:highlight w:val="none"/>
              </w:rPr>
            </w:pPr>
            <w:r>
              <w:rPr>
                <w:highlight w:val="none"/>
              </w:rPr>
              <w:t>社会保障缴纳的时效情况</w:t>
            </w:r>
          </w:p>
        </w:tc>
        <w:tc>
          <w:tcPr>
            <w:tcW w:w="1276" w:type="dxa"/>
            <w:vAlign w:val="center"/>
          </w:tcPr>
          <w:p>
            <w:pPr>
              <w:pStyle w:val="10"/>
              <w:rPr>
                <w:highlight w:val="none"/>
              </w:rPr>
            </w:pPr>
            <w:r>
              <w:rPr>
                <w:highlight w:val="none"/>
              </w:rPr>
              <w:t>100%</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0"/>
              <w:rPr>
                <w:highlight w:val="none"/>
              </w:rPr>
            </w:pPr>
            <w:r>
              <w:rPr>
                <w:highlight w:val="none"/>
              </w:rPr>
              <w:t>成本指标</w:t>
            </w:r>
          </w:p>
        </w:tc>
        <w:tc>
          <w:tcPr>
            <w:tcW w:w="1332" w:type="dxa"/>
            <w:vAlign w:val="center"/>
          </w:tcPr>
          <w:p>
            <w:pPr>
              <w:pStyle w:val="10"/>
              <w:rPr>
                <w:highlight w:val="none"/>
              </w:rPr>
            </w:pPr>
            <w:r>
              <w:rPr>
                <w:highlight w:val="none"/>
              </w:rPr>
              <w:t>发放工资数额</w:t>
            </w:r>
          </w:p>
        </w:tc>
        <w:tc>
          <w:tcPr>
            <w:tcW w:w="2891" w:type="dxa"/>
            <w:vAlign w:val="center"/>
          </w:tcPr>
          <w:p>
            <w:pPr>
              <w:pStyle w:val="10"/>
              <w:rPr>
                <w:highlight w:val="none"/>
              </w:rPr>
            </w:pPr>
            <w:r>
              <w:rPr>
                <w:highlight w:val="none"/>
              </w:rPr>
              <w:t>按预算额度发放工资</w:t>
            </w:r>
          </w:p>
        </w:tc>
        <w:tc>
          <w:tcPr>
            <w:tcW w:w="1276" w:type="dxa"/>
            <w:vAlign w:val="center"/>
          </w:tcPr>
          <w:p>
            <w:pPr>
              <w:pStyle w:val="10"/>
              <w:rPr>
                <w:highlight w:val="none"/>
              </w:rPr>
            </w:pPr>
            <w:r>
              <w:rPr>
                <w:highlight w:val="none"/>
              </w:rPr>
              <w:t>≤61.82万元</w:t>
            </w:r>
          </w:p>
        </w:tc>
        <w:tc>
          <w:tcPr>
            <w:tcW w:w="1843" w:type="dxa"/>
            <w:vAlign w:val="center"/>
          </w:tcPr>
          <w:p>
            <w:pPr>
              <w:pStyle w:val="10"/>
              <w:rPr>
                <w:highlight w:val="none"/>
              </w:rPr>
            </w:pPr>
            <w:r>
              <w:rPr>
                <w:highlight w:val="none"/>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效益指标</w:t>
            </w:r>
          </w:p>
        </w:tc>
        <w:tc>
          <w:tcPr>
            <w:tcW w:w="1276" w:type="dxa"/>
            <w:vAlign w:val="center"/>
          </w:tcPr>
          <w:p>
            <w:pPr>
              <w:pStyle w:val="10"/>
              <w:rPr>
                <w:highlight w:val="none"/>
              </w:rPr>
            </w:pPr>
            <w:r>
              <w:rPr>
                <w:highlight w:val="none"/>
              </w:rPr>
              <w:t>社会效益指标</w:t>
            </w:r>
          </w:p>
        </w:tc>
        <w:tc>
          <w:tcPr>
            <w:tcW w:w="1332" w:type="dxa"/>
            <w:vAlign w:val="center"/>
          </w:tcPr>
          <w:p>
            <w:pPr>
              <w:pStyle w:val="10"/>
              <w:rPr>
                <w:highlight w:val="none"/>
              </w:rPr>
            </w:pPr>
            <w:r>
              <w:rPr>
                <w:highlight w:val="none"/>
              </w:rPr>
              <w:t>加强工作人员归属感</w:t>
            </w:r>
          </w:p>
        </w:tc>
        <w:tc>
          <w:tcPr>
            <w:tcW w:w="2891" w:type="dxa"/>
            <w:vAlign w:val="center"/>
          </w:tcPr>
          <w:p>
            <w:pPr>
              <w:pStyle w:val="10"/>
              <w:rPr>
                <w:highlight w:val="none"/>
              </w:rPr>
            </w:pPr>
            <w:r>
              <w:rPr>
                <w:highlight w:val="none"/>
              </w:rPr>
              <w:t>通过按时按标准发放工资福利等，进一步增强干部职工的归属感，保持干部队伍稳定，保障办公正常运转</w:t>
            </w:r>
          </w:p>
        </w:tc>
        <w:tc>
          <w:tcPr>
            <w:tcW w:w="1276" w:type="dxa"/>
            <w:vAlign w:val="center"/>
          </w:tcPr>
          <w:p>
            <w:pPr>
              <w:pStyle w:val="10"/>
              <w:rPr>
                <w:highlight w:val="none"/>
              </w:rPr>
            </w:pPr>
            <w:r>
              <w:rPr>
                <w:highlight w:val="none"/>
              </w:rPr>
              <w:t>≥95%</w:t>
            </w:r>
          </w:p>
        </w:tc>
        <w:tc>
          <w:tcPr>
            <w:tcW w:w="1843" w:type="dxa"/>
            <w:vAlign w:val="center"/>
          </w:tcPr>
          <w:p>
            <w:pPr>
              <w:pStyle w:val="10"/>
              <w:rPr>
                <w:highlight w:val="none"/>
              </w:rPr>
            </w:pPr>
            <w:r>
              <w:rPr>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highlight w:val="none"/>
              </w:rPr>
            </w:pPr>
            <w:r>
              <w:rPr>
                <w:highlight w:val="none"/>
              </w:rPr>
              <w:t>满意度指标</w:t>
            </w:r>
          </w:p>
        </w:tc>
        <w:tc>
          <w:tcPr>
            <w:tcW w:w="1276" w:type="dxa"/>
            <w:vAlign w:val="center"/>
          </w:tcPr>
          <w:p>
            <w:pPr>
              <w:pStyle w:val="10"/>
              <w:rPr>
                <w:highlight w:val="none"/>
              </w:rPr>
            </w:pPr>
            <w:r>
              <w:rPr>
                <w:highlight w:val="none"/>
              </w:rPr>
              <w:t>服务对象满意度指标</w:t>
            </w:r>
          </w:p>
        </w:tc>
        <w:tc>
          <w:tcPr>
            <w:tcW w:w="1332" w:type="dxa"/>
            <w:vAlign w:val="center"/>
          </w:tcPr>
          <w:p>
            <w:pPr>
              <w:pStyle w:val="10"/>
              <w:rPr>
                <w:highlight w:val="none"/>
              </w:rPr>
            </w:pPr>
            <w:r>
              <w:rPr>
                <w:highlight w:val="none"/>
              </w:rPr>
              <w:t>服务对象满意度</w:t>
            </w:r>
          </w:p>
        </w:tc>
        <w:tc>
          <w:tcPr>
            <w:tcW w:w="2891" w:type="dxa"/>
            <w:vAlign w:val="center"/>
          </w:tcPr>
          <w:p>
            <w:pPr>
              <w:pStyle w:val="10"/>
              <w:rPr>
                <w:highlight w:val="none"/>
              </w:rPr>
            </w:pPr>
            <w:r>
              <w:rPr>
                <w:highlight w:val="none"/>
              </w:rPr>
              <w:t>服务对象满意度</w:t>
            </w:r>
          </w:p>
        </w:tc>
        <w:tc>
          <w:tcPr>
            <w:tcW w:w="1276" w:type="dxa"/>
            <w:vAlign w:val="center"/>
          </w:tcPr>
          <w:p>
            <w:pPr>
              <w:pStyle w:val="10"/>
              <w:rPr>
                <w:highlight w:val="none"/>
              </w:rPr>
            </w:pPr>
            <w:r>
              <w:rPr>
                <w:highlight w:val="none"/>
              </w:rPr>
              <w:t>≥</w:t>
            </w:r>
            <w:r>
              <w:rPr>
                <w:rFonts w:hint="eastAsia"/>
                <w:highlight w:val="none"/>
                <w:lang w:val="en-US" w:eastAsia="zh-CN"/>
              </w:rPr>
              <w:t>9</w:t>
            </w:r>
            <w:r>
              <w:rPr>
                <w:highlight w:val="none"/>
              </w:rPr>
              <w:t>0%</w:t>
            </w:r>
          </w:p>
        </w:tc>
        <w:tc>
          <w:tcPr>
            <w:tcW w:w="1843" w:type="dxa"/>
            <w:vAlign w:val="center"/>
          </w:tcPr>
          <w:p>
            <w:pPr>
              <w:pStyle w:val="10"/>
              <w:rPr>
                <w:highlight w:val="none"/>
              </w:rPr>
            </w:pPr>
            <w:r>
              <w:rPr>
                <w:highlight w:val="none"/>
              </w:rPr>
              <w:t>问卷调查</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黑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74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GE0MWY2ZmY5Y2Y0ZDgwYmE1Njc2NzY0ZTBlNDFiZGUifQ=="/>
  </w:docVars>
  <w:rsids>
    <w:rsidRoot w:val="007557B3"/>
    <w:rsid w:val="00076164"/>
    <w:rsid w:val="007557B3"/>
    <w:rsid w:val="0083588D"/>
    <w:rsid w:val="14AD76C7"/>
    <w:rsid w:val="18B13E26"/>
    <w:rsid w:val="1F02179E"/>
    <w:rsid w:val="2A162DD5"/>
    <w:rsid w:val="40ED2F4F"/>
    <w:rsid w:val="431B5667"/>
    <w:rsid w:val="4CD205E9"/>
    <w:rsid w:val="4EB52ED9"/>
    <w:rsid w:val="59E81920"/>
    <w:rsid w:val="5A105483"/>
    <w:rsid w:val="5FC51F21"/>
    <w:rsid w:val="60542DA4"/>
    <w:rsid w:val="612547AB"/>
    <w:rsid w:val="643077A4"/>
    <w:rsid w:val="65444F9C"/>
    <w:rsid w:val="65975DB6"/>
    <w:rsid w:val="67187367"/>
    <w:rsid w:val="6E76326B"/>
    <w:rsid w:val="7395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插入文本样式-插入总体目标文件"/>
    <w:basedOn w:val="1"/>
    <w:autoRedefine/>
    <w:qFormat/>
    <w:uiPriority w:val="0"/>
    <w:pPr>
      <w:spacing w:line="500" w:lineRule="exact"/>
      <w:ind w:firstLine="560"/>
    </w:pPr>
    <w:rPr>
      <w:rFonts w:eastAsia="方正仿宋_GBK"/>
      <w:sz w:val="28"/>
    </w:rPr>
  </w:style>
  <w:style w:type="paragraph" w:customStyle="1" w:styleId="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9">
    <w:name w:val="单元格样式5"/>
    <w:basedOn w:val="1"/>
    <w:autoRedefine/>
    <w:qFormat/>
    <w:uiPriority w:val="0"/>
    <w:rPr>
      <w:rFonts w:ascii="方正书宋_GBK" w:hAnsi="方正书宋_GBK" w:eastAsia="方正书宋_GBK" w:cs="方正书宋_GBK"/>
      <w:b/>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2">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3">
    <w:name w:val="TOC 2"/>
    <w:basedOn w:val="1"/>
    <w:autoRedefine/>
    <w:qFormat/>
    <w:uiPriority w:val="0"/>
    <w:pPr>
      <w:ind w:left="240"/>
    </w:pPr>
  </w:style>
  <w:style w:type="paragraph" w:customStyle="1" w:styleId="14">
    <w:name w:val="TOC 4"/>
    <w:basedOn w:val="1"/>
    <w:autoRedefine/>
    <w:qFormat/>
    <w:uiPriority w:val="0"/>
    <w:pPr>
      <w:ind w:left="720"/>
    </w:pPr>
  </w:style>
  <w:style w:type="paragraph" w:customStyle="1" w:styleId="15">
    <w:name w:val="TOC 1"/>
    <w:basedOn w:val="1"/>
    <w:autoRedefine/>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2" Type="http://schemas.openxmlformats.org/officeDocument/2006/relationships/fontTable" Target="fontTable.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2022-01-18T15:55:30Z</dcterms:created>
  <dcterms:modified xsi:type="dcterms:W3CDTF">2022-01-18T07:55:30Z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2022-01-18T15:55:43Z</dcterms:created>
  <dcterms:modified xsi:type="dcterms:W3CDTF">2022-01-18T07:55:43Z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2022-01-18T15:55:31Z</dcterms:created>
  <dcterms:modified xsi:type="dcterms:W3CDTF">2022-01-18T07:55:31Z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2022-01-18T15:55:38Z</dcterms:created>
  <dcterms:modified xsi:type="dcterms:W3CDTF">2022-01-18T07:55:38Z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2022-01-18T15:55:33Z</dcterms:created>
  <dcterms:modified xsi:type="dcterms:W3CDTF">2022-01-18T07:55:33Z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2022-01-18T15:55:33Z</dcterms:created>
  <dcterms:modified xsi:type="dcterms:W3CDTF">2022-01-18T07:55:33Z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2022-01-18T15:55:33Z</dcterms:created>
  <dcterms:modified xsi:type="dcterms:W3CDTF">2022-01-18T07:55:33Z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2022-01-18T15:55:34Z</dcterms:created>
  <dcterms:modified xsi:type="dcterms:W3CDTF">2022-01-18T07:55:34Z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2022-01-18T15:55:35Z</dcterms:created>
  <dcterms:modified xsi:type="dcterms:W3CDTF">2022-01-18T07:55:35Z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2022-01-18T15:55:35Z</dcterms:created>
  <dcterms:modified xsi:type="dcterms:W3CDTF">2022-01-18T07:55:35Z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2022-01-18T15:55:38Z</dcterms:created>
  <dcterms:modified xsi:type="dcterms:W3CDTF">2022-01-18T07:55:38Z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2022-01-18T15:55:35Z</dcterms:created>
  <dcterms:modified xsi:type="dcterms:W3CDTF">2022-01-18T07:55:35Z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2022-01-18T15:55:39Z</dcterms:created>
  <dcterms:modified xsi:type="dcterms:W3CDTF">2022-01-18T07:55:39Z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2022-01-18T15:55:38Z</dcterms:created>
  <dcterms:modified xsi:type="dcterms:W3CDTF">2022-01-18T07:55:38Z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2022-01-18T15:55:36Z</dcterms:created>
  <dcterms:modified xsi:type="dcterms:W3CDTF">2022-01-18T07:55:36Z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2022-01-18T15:55:40Z</dcterms:created>
  <dcterms:modified xsi:type="dcterms:W3CDTF">2022-01-18T07:55:40Z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2022-01-18T15:55:39Z</dcterms:created>
  <dcterms:modified xsi:type="dcterms:W3CDTF">2022-01-18T07:55:39Z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2022-01-18T15:55:40Z</dcterms:created>
  <dcterms:modified xsi:type="dcterms:W3CDTF">2022-01-18T07:55:40Z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2022-01-18T15:55:37Z</dcterms:created>
  <dcterms:modified xsi:type="dcterms:W3CDTF">2022-01-18T07:55:37Z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2022-01-18T15:55:41Z</dcterms:created>
  <dcterms:modified xsi:type="dcterms:W3CDTF">2022-01-18T07:55:41Z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2022-01-18T15:55:31Z</dcterms:created>
  <dcterms:modified xsi:type="dcterms:W3CDTF">2022-01-18T07:55:31Z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2022-01-18T15:55:38Z</dcterms:created>
  <dcterms:modified xsi:type="dcterms:W3CDTF">2022-01-18T07:55:38Z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2022-01-18T15:55:30Z</dcterms:created>
  <dcterms:modified xsi:type="dcterms:W3CDTF">2022-01-18T07:55:30Z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2022-01-18T15:55:41Z</dcterms:created>
  <dcterms:modified xsi:type="dcterms:W3CDTF">2022-01-18T07:55:41Z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2022-01-18T15:55:32Z</dcterms:created>
  <dcterms:modified xsi:type="dcterms:W3CDTF">2022-01-18T07:55:32Z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2022-01-18T15:55:33Z</dcterms:created>
  <dcterms:modified xsi:type="dcterms:W3CDTF">2022-01-18T07:55:33Z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2022-01-18T15:55:34Z</dcterms:created>
  <dcterms:modified xsi:type="dcterms:W3CDTF">2022-01-18T07:55:33Z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2022-01-18T15:55:36Z</dcterms:created>
  <dcterms:modified xsi:type="dcterms:W3CDTF">2022-01-18T07:55:36Z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2022-01-18T15:55:36Z</dcterms:created>
  <dcterms:modified xsi:type="dcterms:W3CDTF">2022-01-18T07:55:36Z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2022-01-18T15:55:31Z</dcterms:created>
  <dcterms:modified xsi:type="dcterms:W3CDTF">2022-01-18T07:55:31Z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2022-01-18T15:55:32Z</dcterms:created>
  <dcterms:modified xsi:type="dcterms:W3CDTF">2022-01-18T07:55:32Z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2022-01-18T15:55:37Z</dcterms:created>
  <dcterms:modified xsi:type="dcterms:W3CDTF">2022-01-18T07:55:37Z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2022-01-18T15:55:34Z</dcterms:created>
  <dcterms:modified xsi:type="dcterms:W3CDTF">2022-01-18T07:55:34Z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2022-01-18T15:55:38Z</dcterms:created>
  <dcterms:modified xsi:type="dcterms:W3CDTF">2022-01-18T07:55:38Z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2022-01-18T15:55:39Z</dcterms:created>
  <dcterms:modified xsi:type="dcterms:W3CDTF">2022-01-18T07:55:39Z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2022-01-18T15:55:37Z</dcterms:created>
  <dcterms:modified xsi:type="dcterms:W3CDTF">2022-01-18T07:55:37Z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2022-01-18T15:55:31Z</dcterms:created>
  <dcterms:modified xsi:type="dcterms:W3CDTF">2022-01-18T07:55:31Z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2022-01-18T15:55:40Z</dcterms:created>
  <dcterms:modified xsi:type="dcterms:W3CDTF">2022-01-18T07:55:40Z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2022-01-18T15:55:30Z</dcterms:created>
  <dcterms:modified xsi:type="dcterms:W3CDTF">2022-01-18T07:55:30Z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2022-01-18T15:55:41Z</dcterms:created>
  <dcterms:modified xsi:type="dcterms:W3CDTF">2022-01-18T07:55:41Z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2022-01-18T15:55:32Z</dcterms:created>
  <dcterms:modified xsi:type="dcterms:W3CDTF">2022-01-18T07:55:31Z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2022-01-18T15:55:32Z</dcterms:created>
  <dcterms:modified xsi:type="dcterms:W3CDTF">2022-01-18T07:55:32Z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2022-01-18T15:55:32Z</dcterms:created>
  <dcterms:modified xsi:type="dcterms:W3CDTF">2022-01-18T07:55:32Z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2022-01-18T15:55:34Z</dcterms:created>
  <dcterms:modified xsi:type="dcterms:W3CDTF">2022-01-18T07:55:34Z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2022-01-18T15:55:35Z</dcterms:created>
  <dcterms:modified xsi:type="dcterms:W3CDTF">2022-01-18T07:55:35Z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2022-01-18T15:55:37Z</dcterms:created>
  <dcterms:modified xsi:type="dcterms:W3CDTF">2022-01-18T07:55:37Z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2022-01-18T15:55:36Z</dcterms:created>
  <dcterms:modified xsi:type="dcterms:W3CDTF">2022-01-18T07:55:36Z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2022-01-18T15:55:34Z</dcterms:created>
  <dcterms:modified xsi:type="dcterms:W3CDTF">2022-01-18T07:55:34Z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2022-01-18T15:55:40Z</dcterms:created>
  <dcterms:modified xsi:type="dcterms:W3CDTF">2022-01-18T07:55:40Z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2022-01-18T15:55:39Z</dcterms:created>
  <dcterms:modified xsi:type="dcterms:W3CDTF">2022-01-18T07:55:39Z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2022-01-18T15:55:41Z</dcterms:created>
  <dcterms:modified xsi:type="dcterms:W3CDTF">2022-01-18T07:55:41Z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2022-01-18T15:55:36Z</dcterms:created>
  <dcterms:modified xsi:type="dcterms:W3CDTF">2022-01-18T07:55:36Z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2022-01-18T15:55:41Z</dcterms:created>
  <dcterms:modified xsi:type="dcterms:W3CDTF">2022-01-18T07:55:41Z</dcterms:modified>
</cp:coreProperties>
</file>

<file path=customXml/itemProps1.xml><?xml version="1.0" encoding="utf-8"?>
<ds:datastoreItem xmlns:ds="http://schemas.openxmlformats.org/officeDocument/2006/customXml" ds:itemID="{62406E7A-1A81-4778-9EBF-9E43FF374E5A}">
  <ds:schemaRefs/>
</ds:datastoreItem>
</file>

<file path=customXml/itemProps10.xml><?xml version="1.0" encoding="utf-8"?>
<ds:datastoreItem xmlns:ds="http://schemas.openxmlformats.org/officeDocument/2006/customXml" ds:itemID="{2C32DE3A-ACF1-4275-8455-0DA459C2F739}">
  <ds:schemaRefs/>
</ds:datastoreItem>
</file>

<file path=customXml/itemProps100.xml><?xml version="1.0" encoding="utf-8"?>
<ds:datastoreItem xmlns:ds="http://schemas.openxmlformats.org/officeDocument/2006/customXml" ds:itemID="{2C3B6165-2C40-433C-B8F5-4E7B18C5D240}">
  <ds:schemaRefs/>
</ds:datastoreItem>
</file>

<file path=customXml/itemProps101.xml><?xml version="1.0" encoding="utf-8"?>
<ds:datastoreItem xmlns:ds="http://schemas.openxmlformats.org/officeDocument/2006/customXml" ds:itemID="{EF1B4A18-2620-49CD-A04F-AABB98259EC7}">
  <ds:schemaRefs/>
</ds:datastoreItem>
</file>

<file path=customXml/itemProps102.xml><?xml version="1.0" encoding="utf-8"?>
<ds:datastoreItem xmlns:ds="http://schemas.openxmlformats.org/officeDocument/2006/customXml" ds:itemID="{88DD658D-CE5D-43A3-9FDD-F3EF1DE8565A}">
  <ds:schemaRefs/>
</ds:datastoreItem>
</file>

<file path=customXml/itemProps103.xml><?xml version="1.0" encoding="utf-8"?>
<ds:datastoreItem xmlns:ds="http://schemas.openxmlformats.org/officeDocument/2006/customXml" ds:itemID="{FE433818-AB98-4315-B279-F3B08472239F}">
  <ds:schemaRefs/>
</ds:datastoreItem>
</file>

<file path=customXml/itemProps104.xml><?xml version="1.0" encoding="utf-8"?>
<ds:datastoreItem xmlns:ds="http://schemas.openxmlformats.org/officeDocument/2006/customXml" ds:itemID="{3E547CB8-4142-42D9-97C0-0057DDB3FD18}">
  <ds:schemaRefs/>
</ds:datastoreItem>
</file>

<file path=customXml/itemProps105.xml><?xml version="1.0" encoding="utf-8"?>
<ds:datastoreItem xmlns:ds="http://schemas.openxmlformats.org/officeDocument/2006/customXml" ds:itemID="{B7FA8794-DC6D-4B3D-B7EB-898DFFE4A5D6}">
  <ds:schemaRefs/>
</ds:datastoreItem>
</file>

<file path=customXml/itemProps106.xml><?xml version="1.0" encoding="utf-8"?>
<ds:datastoreItem xmlns:ds="http://schemas.openxmlformats.org/officeDocument/2006/customXml" ds:itemID="{DB59A48A-E219-4935-A0F2-61F06AA087F8}">
  <ds:schemaRefs/>
</ds:datastoreItem>
</file>

<file path=customXml/itemProps11.xml><?xml version="1.0" encoding="utf-8"?>
<ds:datastoreItem xmlns:ds="http://schemas.openxmlformats.org/officeDocument/2006/customXml" ds:itemID="{869EB91D-BC21-45E9-81B7-1C3AC8752B1E}">
  <ds:schemaRefs/>
</ds:datastoreItem>
</file>

<file path=customXml/itemProps12.xml><?xml version="1.0" encoding="utf-8"?>
<ds:datastoreItem xmlns:ds="http://schemas.openxmlformats.org/officeDocument/2006/customXml" ds:itemID="{F8D40830-F9E0-48B6-A0B8-76686B562554}">
  <ds:schemaRefs/>
</ds:datastoreItem>
</file>

<file path=customXml/itemProps13.xml><?xml version="1.0" encoding="utf-8"?>
<ds:datastoreItem xmlns:ds="http://schemas.openxmlformats.org/officeDocument/2006/customXml" ds:itemID="{86F41867-0837-4FD4-9972-ED3351DD1754}">
  <ds:schemaRefs/>
</ds:datastoreItem>
</file>

<file path=customXml/itemProps14.xml><?xml version="1.0" encoding="utf-8"?>
<ds:datastoreItem xmlns:ds="http://schemas.openxmlformats.org/officeDocument/2006/customXml" ds:itemID="{A8E11854-BED3-4C0B-9F93-1E35AADA4E84}">
  <ds:schemaRefs/>
</ds:datastoreItem>
</file>

<file path=customXml/itemProps15.xml><?xml version="1.0" encoding="utf-8"?>
<ds:datastoreItem xmlns:ds="http://schemas.openxmlformats.org/officeDocument/2006/customXml" ds:itemID="{D8E37B3F-2CD9-4191-BD2B-FE8CD3ED6297}">
  <ds:schemaRefs/>
</ds:datastoreItem>
</file>

<file path=customXml/itemProps16.xml><?xml version="1.0" encoding="utf-8"?>
<ds:datastoreItem xmlns:ds="http://schemas.openxmlformats.org/officeDocument/2006/customXml" ds:itemID="{0E5F52EA-612E-4409-8BA6-D2B292896015}">
  <ds:schemaRefs/>
</ds:datastoreItem>
</file>

<file path=customXml/itemProps17.xml><?xml version="1.0" encoding="utf-8"?>
<ds:datastoreItem xmlns:ds="http://schemas.openxmlformats.org/officeDocument/2006/customXml" ds:itemID="{06E80CE8-AC51-4EAC-AC19-EBD27257457A}">
  <ds:schemaRefs/>
</ds:datastoreItem>
</file>

<file path=customXml/itemProps18.xml><?xml version="1.0" encoding="utf-8"?>
<ds:datastoreItem xmlns:ds="http://schemas.openxmlformats.org/officeDocument/2006/customXml" ds:itemID="{8AECA689-01B8-4720-BEBB-9AD402724EE1}">
  <ds:schemaRefs/>
</ds:datastoreItem>
</file>

<file path=customXml/itemProps19.xml><?xml version="1.0" encoding="utf-8"?>
<ds:datastoreItem xmlns:ds="http://schemas.openxmlformats.org/officeDocument/2006/customXml" ds:itemID="{F36DFCB1-0E6D-4708-9EA1-19FE1390F61C}">
  <ds:schemaRefs/>
</ds:datastoreItem>
</file>

<file path=customXml/itemProps2.xml><?xml version="1.0" encoding="utf-8"?>
<ds:datastoreItem xmlns:ds="http://schemas.openxmlformats.org/officeDocument/2006/customXml" ds:itemID="{6FF840A3-44B8-4E67-86B2-ACE64E16BAB2}">
  <ds:schemaRefs/>
</ds:datastoreItem>
</file>

<file path=customXml/itemProps20.xml><?xml version="1.0" encoding="utf-8"?>
<ds:datastoreItem xmlns:ds="http://schemas.openxmlformats.org/officeDocument/2006/customXml" ds:itemID="{BBD00304-2BEE-43D4-945F-5A42A86847D4}">
  <ds:schemaRefs/>
</ds:datastoreItem>
</file>

<file path=customXml/itemProps21.xml><?xml version="1.0" encoding="utf-8"?>
<ds:datastoreItem xmlns:ds="http://schemas.openxmlformats.org/officeDocument/2006/customXml" ds:itemID="{5F982EC3-3E24-47DB-9A51-EE61A20A15BF}">
  <ds:schemaRefs/>
</ds:datastoreItem>
</file>

<file path=customXml/itemProps22.xml><?xml version="1.0" encoding="utf-8"?>
<ds:datastoreItem xmlns:ds="http://schemas.openxmlformats.org/officeDocument/2006/customXml" ds:itemID="{A4389C7A-CFE3-4BCF-93CD-0DF9C23CFB42}">
  <ds:schemaRefs/>
</ds:datastoreItem>
</file>

<file path=customXml/itemProps23.xml><?xml version="1.0" encoding="utf-8"?>
<ds:datastoreItem xmlns:ds="http://schemas.openxmlformats.org/officeDocument/2006/customXml" ds:itemID="{7886CF13-62F4-4D71-B4B6-581554D54D28}">
  <ds:schemaRefs/>
</ds:datastoreItem>
</file>

<file path=customXml/itemProps24.xml><?xml version="1.0" encoding="utf-8"?>
<ds:datastoreItem xmlns:ds="http://schemas.openxmlformats.org/officeDocument/2006/customXml" ds:itemID="{8635E208-9AB9-4516-B705-AE6084F2F341}">
  <ds:schemaRefs/>
</ds:datastoreItem>
</file>

<file path=customXml/itemProps25.xml><?xml version="1.0" encoding="utf-8"?>
<ds:datastoreItem xmlns:ds="http://schemas.openxmlformats.org/officeDocument/2006/customXml" ds:itemID="{38D489CB-244D-47EC-BBE8-FCD9AD42D1BC}">
  <ds:schemaRefs/>
</ds:datastoreItem>
</file>

<file path=customXml/itemProps26.xml><?xml version="1.0" encoding="utf-8"?>
<ds:datastoreItem xmlns:ds="http://schemas.openxmlformats.org/officeDocument/2006/customXml" ds:itemID="{421467B1-5170-46C0-901F-34E8D27E74D5}">
  <ds:schemaRefs/>
</ds:datastoreItem>
</file>

<file path=customXml/itemProps27.xml><?xml version="1.0" encoding="utf-8"?>
<ds:datastoreItem xmlns:ds="http://schemas.openxmlformats.org/officeDocument/2006/customXml" ds:itemID="{7E8BC6C5-5F65-4560-BFE9-C652223BD99B}">
  <ds:schemaRefs/>
</ds:datastoreItem>
</file>

<file path=customXml/itemProps28.xml><?xml version="1.0" encoding="utf-8"?>
<ds:datastoreItem xmlns:ds="http://schemas.openxmlformats.org/officeDocument/2006/customXml" ds:itemID="{A4F3EC97-802A-4441-A2AA-9601FEB39A94}">
  <ds:schemaRefs/>
</ds:datastoreItem>
</file>

<file path=customXml/itemProps29.xml><?xml version="1.0" encoding="utf-8"?>
<ds:datastoreItem xmlns:ds="http://schemas.openxmlformats.org/officeDocument/2006/customXml" ds:itemID="{9959018C-55C9-4C7F-88E3-E89E2B71065E}">
  <ds:schemaRefs/>
</ds:datastoreItem>
</file>

<file path=customXml/itemProps3.xml><?xml version="1.0" encoding="utf-8"?>
<ds:datastoreItem xmlns:ds="http://schemas.openxmlformats.org/officeDocument/2006/customXml" ds:itemID="{B18244DE-BAB4-43C9-8D44-1F8B7AE810E0}">
  <ds:schemaRefs/>
</ds:datastoreItem>
</file>

<file path=customXml/itemProps30.xml><?xml version="1.0" encoding="utf-8"?>
<ds:datastoreItem xmlns:ds="http://schemas.openxmlformats.org/officeDocument/2006/customXml" ds:itemID="{370F8486-CCEF-4983-8FD6-4EC930DCCC09}">
  <ds:schemaRefs/>
</ds:datastoreItem>
</file>

<file path=customXml/itemProps31.xml><?xml version="1.0" encoding="utf-8"?>
<ds:datastoreItem xmlns:ds="http://schemas.openxmlformats.org/officeDocument/2006/customXml" ds:itemID="{AD635899-FBEE-4117-ADDE-1159F13AEBF4}">
  <ds:schemaRefs/>
</ds:datastoreItem>
</file>

<file path=customXml/itemProps32.xml><?xml version="1.0" encoding="utf-8"?>
<ds:datastoreItem xmlns:ds="http://schemas.openxmlformats.org/officeDocument/2006/customXml" ds:itemID="{F25FF508-B6F5-4C78-87B9-BDA92C58DF8C}">
  <ds:schemaRefs/>
</ds:datastoreItem>
</file>

<file path=customXml/itemProps33.xml><?xml version="1.0" encoding="utf-8"?>
<ds:datastoreItem xmlns:ds="http://schemas.openxmlformats.org/officeDocument/2006/customXml" ds:itemID="{79198C69-57EB-43DA-B71B-19720E986B26}">
  <ds:schemaRefs/>
</ds:datastoreItem>
</file>

<file path=customXml/itemProps34.xml><?xml version="1.0" encoding="utf-8"?>
<ds:datastoreItem xmlns:ds="http://schemas.openxmlformats.org/officeDocument/2006/customXml" ds:itemID="{D4B3E190-F814-4B93-B612-F36657547DDF}">
  <ds:schemaRefs/>
</ds:datastoreItem>
</file>

<file path=customXml/itemProps35.xml><?xml version="1.0" encoding="utf-8"?>
<ds:datastoreItem xmlns:ds="http://schemas.openxmlformats.org/officeDocument/2006/customXml" ds:itemID="{D0EE51EE-CC7B-4146-8588-CE4273217DC3}">
  <ds:schemaRefs/>
</ds:datastoreItem>
</file>

<file path=customXml/itemProps36.xml><?xml version="1.0" encoding="utf-8"?>
<ds:datastoreItem xmlns:ds="http://schemas.openxmlformats.org/officeDocument/2006/customXml" ds:itemID="{2908B1E3-8081-42E2-A625-484D5BC2A209}">
  <ds:schemaRefs/>
</ds:datastoreItem>
</file>

<file path=customXml/itemProps37.xml><?xml version="1.0" encoding="utf-8"?>
<ds:datastoreItem xmlns:ds="http://schemas.openxmlformats.org/officeDocument/2006/customXml" ds:itemID="{99A0931E-01D5-4589-9EDC-20954951946D}">
  <ds:schemaRefs/>
</ds:datastoreItem>
</file>

<file path=customXml/itemProps38.xml><?xml version="1.0" encoding="utf-8"?>
<ds:datastoreItem xmlns:ds="http://schemas.openxmlformats.org/officeDocument/2006/customXml" ds:itemID="{690065FA-F6F5-41B1-BBAC-E3631D6F8935}">
  <ds:schemaRefs/>
</ds:datastoreItem>
</file>

<file path=customXml/itemProps39.xml><?xml version="1.0" encoding="utf-8"?>
<ds:datastoreItem xmlns:ds="http://schemas.openxmlformats.org/officeDocument/2006/customXml" ds:itemID="{BFB13BDB-663D-4DF7-ACA0-4D611242FF8E}">
  <ds:schemaRefs/>
</ds:datastoreItem>
</file>

<file path=customXml/itemProps4.xml><?xml version="1.0" encoding="utf-8"?>
<ds:datastoreItem xmlns:ds="http://schemas.openxmlformats.org/officeDocument/2006/customXml" ds:itemID="{DB7165DE-BD4C-4362-B0D0-DA265352F729}">
  <ds:schemaRefs/>
</ds:datastoreItem>
</file>

<file path=customXml/itemProps40.xml><?xml version="1.0" encoding="utf-8"?>
<ds:datastoreItem xmlns:ds="http://schemas.openxmlformats.org/officeDocument/2006/customXml" ds:itemID="{C29F24DF-38FE-4599-BC2B-31157AD82423}">
  <ds:schemaRefs/>
</ds:datastoreItem>
</file>

<file path=customXml/itemProps41.xml><?xml version="1.0" encoding="utf-8"?>
<ds:datastoreItem xmlns:ds="http://schemas.openxmlformats.org/officeDocument/2006/customXml" ds:itemID="{72601062-A6F2-4677-B041-88D426E30FCC}">
  <ds:schemaRefs/>
</ds:datastoreItem>
</file>

<file path=customXml/itemProps42.xml><?xml version="1.0" encoding="utf-8"?>
<ds:datastoreItem xmlns:ds="http://schemas.openxmlformats.org/officeDocument/2006/customXml" ds:itemID="{5EFFAFD2-4A36-45FF-A90A-E4BBC603A517}">
  <ds:schemaRefs/>
</ds:datastoreItem>
</file>

<file path=customXml/itemProps43.xml><?xml version="1.0" encoding="utf-8"?>
<ds:datastoreItem xmlns:ds="http://schemas.openxmlformats.org/officeDocument/2006/customXml" ds:itemID="{3C2A60DA-8266-4844-B9C8-2485C7CC0AF6}">
  <ds:schemaRefs/>
</ds:datastoreItem>
</file>

<file path=customXml/itemProps44.xml><?xml version="1.0" encoding="utf-8"?>
<ds:datastoreItem xmlns:ds="http://schemas.openxmlformats.org/officeDocument/2006/customXml" ds:itemID="{25C0CC94-AF16-4F2B-B71C-D0634CC25897}">
  <ds:schemaRefs/>
</ds:datastoreItem>
</file>

<file path=customXml/itemProps45.xml><?xml version="1.0" encoding="utf-8"?>
<ds:datastoreItem xmlns:ds="http://schemas.openxmlformats.org/officeDocument/2006/customXml" ds:itemID="{BB632FC8-EDAD-4990-8A07-01E5C1583D3F}">
  <ds:schemaRefs/>
</ds:datastoreItem>
</file>

<file path=customXml/itemProps46.xml><?xml version="1.0" encoding="utf-8"?>
<ds:datastoreItem xmlns:ds="http://schemas.openxmlformats.org/officeDocument/2006/customXml" ds:itemID="{C9550E36-61C1-4769-80EE-3C52F9807264}">
  <ds:schemaRefs/>
</ds:datastoreItem>
</file>

<file path=customXml/itemProps47.xml><?xml version="1.0" encoding="utf-8"?>
<ds:datastoreItem xmlns:ds="http://schemas.openxmlformats.org/officeDocument/2006/customXml" ds:itemID="{099C20BD-7ECD-40D4-A8C1-6C2C8475914D}">
  <ds:schemaRefs/>
</ds:datastoreItem>
</file>

<file path=customXml/itemProps48.xml><?xml version="1.0" encoding="utf-8"?>
<ds:datastoreItem xmlns:ds="http://schemas.openxmlformats.org/officeDocument/2006/customXml" ds:itemID="{F7876300-4674-4D73-A198-5A59FC9B5FAF}">
  <ds:schemaRefs/>
</ds:datastoreItem>
</file>

<file path=customXml/itemProps49.xml><?xml version="1.0" encoding="utf-8"?>
<ds:datastoreItem xmlns:ds="http://schemas.openxmlformats.org/officeDocument/2006/customXml" ds:itemID="{9DEE414B-30C9-4F81-90A8-CB20AA44C24B}">
  <ds:schemaRefs/>
</ds:datastoreItem>
</file>

<file path=customXml/itemProps5.xml><?xml version="1.0" encoding="utf-8"?>
<ds:datastoreItem xmlns:ds="http://schemas.openxmlformats.org/officeDocument/2006/customXml" ds:itemID="{34E7FA5A-AD16-44B2-98D2-D6FEBBF93E93}">
  <ds:schemaRefs/>
</ds:datastoreItem>
</file>

<file path=customXml/itemProps50.xml><?xml version="1.0" encoding="utf-8"?>
<ds:datastoreItem xmlns:ds="http://schemas.openxmlformats.org/officeDocument/2006/customXml" ds:itemID="{8A70685B-0327-4999-A00E-63454D15BD91}">
  <ds:schemaRefs/>
</ds:datastoreItem>
</file>

<file path=customXml/itemProps51.xml><?xml version="1.0" encoding="utf-8"?>
<ds:datastoreItem xmlns:ds="http://schemas.openxmlformats.org/officeDocument/2006/customXml" ds:itemID="{3C773843-30DB-4A08-B2A5-2DF8847D5DB5}">
  <ds:schemaRefs/>
</ds:datastoreItem>
</file>

<file path=customXml/itemProps52.xml><?xml version="1.0" encoding="utf-8"?>
<ds:datastoreItem xmlns:ds="http://schemas.openxmlformats.org/officeDocument/2006/customXml" ds:itemID="{0755B728-E294-4977-BE11-B2391D852057}">
  <ds:schemaRefs/>
</ds:datastoreItem>
</file>

<file path=customXml/itemProps53.xml><?xml version="1.0" encoding="utf-8"?>
<ds:datastoreItem xmlns:ds="http://schemas.openxmlformats.org/officeDocument/2006/customXml" ds:itemID="{CA6603F7-FD32-4E76-B137-30EEE0AC8CEB}">
  <ds:schemaRefs/>
</ds:datastoreItem>
</file>

<file path=customXml/itemProps54.xml><?xml version="1.0" encoding="utf-8"?>
<ds:datastoreItem xmlns:ds="http://schemas.openxmlformats.org/officeDocument/2006/customXml" ds:itemID="{824A983E-5161-403B-9CED-0BE475AD2DFD}">
  <ds:schemaRefs/>
</ds:datastoreItem>
</file>

<file path=customXml/itemProps55.xml><?xml version="1.0" encoding="utf-8"?>
<ds:datastoreItem xmlns:ds="http://schemas.openxmlformats.org/officeDocument/2006/customXml" ds:itemID="{3075873C-E698-4847-91B1-871C66750033}">
  <ds:schemaRefs/>
</ds:datastoreItem>
</file>

<file path=customXml/itemProps56.xml><?xml version="1.0" encoding="utf-8"?>
<ds:datastoreItem xmlns:ds="http://schemas.openxmlformats.org/officeDocument/2006/customXml" ds:itemID="{6B4A7464-C541-4DA8-9065-A30FD2C3101A}">
  <ds:schemaRefs/>
</ds:datastoreItem>
</file>

<file path=customXml/itemProps57.xml><?xml version="1.0" encoding="utf-8"?>
<ds:datastoreItem xmlns:ds="http://schemas.openxmlformats.org/officeDocument/2006/customXml" ds:itemID="{5A85413A-3C38-4D2A-871F-DFA1A17AFC46}">
  <ds:schemaRefs/>
</ds:datastoreItem>
</file>

<file path=customXml/itemProps58.xml><?xml version="1.0" encoding="utf-8"?>
<ds:datastoreItem xmlns:ds="http://schemas.openxmlformats.org/officeDocument/2006/customXml" ds:itemID="{DB40300E-8B1A-416A-899F-4BA67EA5DAC4}">
  <ds:schemaRefs/>
</ds:datastoreItem>
</file>

<file path=customXml/itemProps59.xml><?xml version="1.0" encoding="utf-8"?>
<ds:datastoreItem xmlns:ds="http://schemas.openxmlformats.org/officeDocument/2006/customXml" ds:itemID="{732AEE6D-F2A8-4783-9FF7-7898570EF614}">
  <ds:schemaRefs/>
</ds:datastoreItem>
</file>

<file path=customXml/itemProps6.xml><?xml version="1.0" encoding="utf-8"?>
<ds:datastoreItem xmlns:ds="http://schemas.openxmlformats.org/officeDocument/2006/customXml" ds:itemID="{EB73D5C7-22BC-491D-9808-DE5292EB9406}">
  <ds:schemaRefs/>
</ds:datastoreItem>
</file>

<file path=customXml/itemProps60.xml><?xml version="1.0" encoding="utf-8"?>
<ds:datastoreItem xmlns:ds="http://schemas.openxmlformats.org/officeDocument/2006/customXml" ds:itemID="{BA502CDE-7687-4DF4-BA1A-FB9E4E735DE6}">
  <ds:schemaRefs/>
</ds:datastoreItem>
</file>

<file path=customXml/itemProps61.xml><?xml version="1.0" encoding="utf-8"?>
<ds:datastoreItem xmlns:ds="http://schemas.openxmlformats.org/officeDocument/2006/customXml" ds:itemID="{7E208A1A-A326-4761-B79B-C06FE1ACD0E9}">
  <ds:schemaRefs/>
</ds:datastoreItem>
</file>

<file path=customXml/itemProps62.xml><?xml version="1.0" encoding="utf-8"?>
<ds:datastoreItem xmlns:ds="http://schemas.openxmlformats.org/officeDocument/2006/customXml" ds:itemID="{EE4A50C2-8793-4C9F-BDBD-A71A3182A27A}">
  <ds:schemaRefs/>
</ds:datastoreItem>
</file>

<file path=customXml/itemProps63.xml><?xml version="1.0" encoding="utf-8"?>
<ds:datastoreItem xmlns:ds="http://schemas.openxmlformats.org/officeDocument/2006/customXml" ds:itemID="{49528035-6F2D-4A08-9D56-D69902C19625}">
  <ds:schemaRefs/>
</ds:datastoreItem>
</file>

<file path=customXml/itemProps64.xml><?xml version="1.0" encoding="utf-8"?>
<ds:datastoreItem xmlns:ds="http://schemas.openxmlformats.org/officeDocument/2006/customXml" ds:itemID="{55D7CD0A-ABF1-4658-B507-1764BF6FC5AC}">
  <ds:schemaRefs/>
</ds:datastoreItem>
</file>

<file path=customXml/itemProps65.xml><?xml version="1.0" encoding="utf-8"?>
<ds:datastoreItem xmlns:ds="http://schemas.openxmlformats.org/officeDocument/2006/customXml" ds:itemID="{786CEB19-CAA6-40FB-BB25-8B44FA5EFC94}">
  <ds:schemaRefs/>
</ds:datastoreItem>
</file>

<file path=customXml/itemProps66.xml><?xml version="1.0" encoding="utf-8"?>
<ds:datastoreItem xmlns:ds="http://schemas.openxmlformats.org/officeDocument/2006/customXml" ds:itemID="{B60F775F-F966-4EA4-8279-934D3A7AA33B}">
  <ds:schemaRefs/>
</ds:datastoreItem>
</file>

<file path=customXml/itemProps67.xml><?xml version="1.0" encoding="utf-8"?>
<ds:datastoreItem xmlns:ds="http://schemas.openxmlformats.org/officeDocument/2006/customXml" ds:itemID="{1CC40CA1-0AF6-4BD6-8880-765A4B243D00}">
  <ds:schemaRefs/>
</ds:datastoreItem>
</file>

<file path=customXml/itemProps68.xml><?xml version="1.0" encoding="utf-8"?>
<ds:datastoreItem xmlns:ds="http://schemas.openxmlformats.org/officeDocument/2006/customXml" ds:itemID="{D50E6AF9-A844-4515-B7C6-9180855F894A}">
  <ds:schemaRefs/>
</ds:datastoreItem>
</file>

<file path=customXml/itemProps69.xml><?xml version="1.0" encoding="utf-8"?>
<ds:datastoreItem xmlns:ds="http://schemas.openxmlformats.org/officeDocument/2006/customXml" ds:itemID="{2D7CA212-6060-47ED-83BE-C484E0CE5F83}">
  <ds:schemaRefs/>
</ds:datastoreItem>
</file>

<file path=customXml/itemProps7.xml><?xml version="1.0" encoding="utf-8"?>
<ds:datastoreItem xmlns:ds="http://schemas.openxmlformats.org/officeDocument/2006/customXml" ds:itemID="{1B09EF6D-7766-4D5B-AB19-26389CB96A0A}">
  <ds:schemaRefs/>
</ds:datastoreItem>
</file>

<file path=customXml/itemProps70.xml><?xml version="1.0" encoding="utf-8"?>
<ds:datastoreItem xmlns:ds="http://schemas.openxmlformats.org/officeDocument/2006/customXml" ds:itemID="{1458E425-2B6D-49EE-88B6-B89D0C8078E3}">
  <ds:schemaRefs/>
</ds:datastoreItem>
</file>

<file path=customXml/itemProps71.xml><?xml version="1.0" encoding="utf-8"?>
<ds:datastoreItem xmlns:ds="http://schemas.openxmlformats.org/officeDocument/2006/customXml" ds:itemID="{50741A37-9A95-40EE-96AB-C19A23A8DDFF}">
  <ds:schemaRefs/>
</ds:datastoreItem>
</file>

<file path=customXml/itemProps72.xml><?xml version="1.0" encoding="utf-8"?>
<ds:datastoreItem xmlns:ds="http://schemas.openxmlformats.org/officeDocument/2006/customXml" ds:itemID="{0CAC75A4-8ED5-45B2-9D84-8AF1DACA7190}">
  <ds:schemaRefs/>
</ds:datastoreItem>
</file>

<file path=customXml/itemProps73.xml><?xml version="1.0" encoding="utf-8"?>
<ds:datastoreItem xmlns:ds="http://schemas.openxmlformats.org/officeDocument/2006/customXml" ds:itemID="{3A5D5FA8-DB13-4727-B738-EE2A0F96936D}">
  <ds:schemaRefs/>
</ds:datastoreItem>
</file>

<file path=customXml/itemProps74.xml><?xml version="1.0" encoding="utf-8"?>
<ds:datastoreItem xmlns:ds="http://schemas.openxmlformats.org/officeDocument/2006/customXml" ds:itemID="{80EF00DE-CB5F-4668-AA9F-D8FF38EF4A5F}">
  <ds:schemaRefs/>
</ds:datastoreItem>
</file>

<file path=customXml/itemProps75.xml><?xml version="1.0" encoding="utf-8"?>
<ds:datastoreItem xmlns:ds="http://schemas.openxmlformats.org/officeDocument/2006/customXml" ds:itemID="{7759966E-DA72-4A00-B078-297FE32F5EED}">
  <ds:schemaRefs/>
</ds:datastoreItem>
</file>

<file path=customXml/itemProps76.xml><?xml version="1.0" encoding="utf-8"?>
<ds:datastoreItem xmlns:ds="http://schemas.openxmlformats.org/officeDocument/2006/customXml" ds:itemID="{E06EF085-A191-4280-BCB9-F59BD9F1C883}">
  <ds:schemaRefs/>
</ds:datastoreItem>
</file>

<file path=customXml/itemProps77.xml><?xml version="1.0" encoding="utf-8"?>
<ds:datastoreItem xmlns:ds="http://schemas.openxmlformats.org/officeDocument/2006/customXml" ds:itemID="{13CEA055-3876-44CB-9C81-F669FA48635A}">
  <ds:schemaRefs/>
</ds:datastoreItem>
</file>

<file path=customXml/itemProps78.xml><?xml version="1.0" encoding="utf-8"?>
<ds:datastoreItem xmlns:ds="http://schemas.openxmlformats.org/officeDocument/2006/customXml" ds:itemID="{6789425C-436D-4858-A667-3FBFC54DBA65}">
  <ds:schemaRefs/>
</ds:datastoreItem>
</file>

<file path=customXml/itemProps79.xml><?xml version="1.0" encoding="utf-8"?>
<ds:datastoreItem xmlns:ds="http://schemas.openxmlformats.org/officeDocument/2006/customXml" ds:itemID="{91FB8C15-9F71-48EC-8E1C-CEBC2AD85F8D}">
  <ds:schemaRefs/>
</ds:datastoreItem>
</file>

<file path=customXml/itemProps8.xml><?xml version="1.0" encoding="utf-8"?>
<ds:datastoreItem xmlns:ds="http://schemas.openxmlformats.org/officeDocument/2006/customXml" ds:itemID="{7EF4ED6A-9BAF-4CE9-9203-4344180709AE}">
  <ds:schemaRefs/>
</ds:datastoreItem>
</file>

<file path=customXml/itemProps80.xml><?xml version="1.0" encoding="utf-8"?>
<ds:datastoreItem xmlns:ds="http://schemas.openxmlformats.org/officeDocument/2006/customXml" ds:itemID="{B15215B9-1E3D-4B7F-97F3-CB94AF90DE67}">
  <ds:schemaRefs/>
</ds:datastoreItem>
</file>

<file path=customXml/itemProps81.xml><?xml version="1.0" encoding="utf-8"?>
<ds:datastoreItem xmlns:ds="http://schemas.openxmlformats.org/officeDocument/2006/customXml" ds:itemID="{C9143797-F957-4A03-9102-E315B732EC48}">
  <ds:schemaRefs/>
</ds:datastoreItem>
</file>

<file path=customXml/itemProps82.xml><?xml version="1.0" encoding="utf-8"?>
<ds:datastoreItem xmlns:ds="http://schemas.openxmlformats.org/officeDocument/2006/customXml" ds:itemID="{7D69B775-69C4-419F-A7A7-E67C270C0584}">
  <ds:schemaRefs/>
</ds:datastoreItem>
</file>

<file path=customXml/itemProps83.xml><?xml version="1.0" encoding="utf-8"?>
<ds:datastoreItem xmlns:ds="http://schemas.openxmlformats.org/officeDocument/2006/customXml" ds:itemID="{9EFC6F14-5876-41DE-A01E-44E6A80E3CC1}">
  <ds:schemaRefs/>
</ds:datastoreItem>
</file>

<file path=customXml/itemProps84.xml><?xml version="1.0" encoding="utf-8"?>
<ds:datastoreItem xmlns:ds="http://schemas.openxmlformats.org/officeDocument/2006/customXml" ds:itemID="{C7CEF078-D73F-47CE-BFF4-64E3F5903FC3}">
  <ds:schemaRefs/>
</ds:datastoreItem>
</file>

<file path=customXml/itemProps85.xml><?xml version="1.0" encoding="utf-8"?>
<ds:datastoreItem xmlns:ds="http://schemas.openxmlformats.org/officeDocument/2006/customXml" ds:itemID="{10DDBE0E-2F0C-400A-9AF3-6D7FAAE99A99}">
  <ds:schemaRefs/>
</ds:datastoreItem>
</file>

<file path=customXml/itemProps86.xml><?xml version="1.0" encoding="utf-8"?>
<ds:datastoreItem xmlns:ds="http://schemas.openxmlformats.org/officeDocument/2006/customXml" ds:itemID="{81AD22F2-5338-4883-979B-8C837A20C29B}">
  <ds:schemaRefs/>
</ds:datastoreItem>
</file>

<file path=customXml/itemProps87.xml><?xml version="1.0" encoding="utf-8"?>
<ds:datastoreItem xmlns:ds="http://schemas.openxmlformats.org/officeDocument/2006/customXml" ds:itemID="{80F4EEFE-00E0-456C-80DA-B717153B9E24}">
  <ds:schemaRefs/>
</ds:datastoreItem>
</file>

<file path=customXml/itemProps88.xml><?xml version="1.0" encoding="utf-8"?>
<ds:datastoreItem xmlns:ds="http://schemas.openxmlformats.org/officeDocument/2006/customXml" ds:itemID="{6FFBE9FE-B84C-4730-8029-8F5865C61F7A}">
  <ds:schemaRefs/>
</ds:datastoreItem>
</file>

<file path=customXml/itemProps89.xml><?xml version="1.0" encoding="utf-8"?>
<ds:datastoreItem xmlns:ds="http://schemas.openxmlformats.org/officeDocument/2006/customXml" ds:itemID="{F045EC43-D97F-4E4D-9125-95ED5600F13E}">
  <ds:schemaRefs/>
</ds:datastoreItem>
</file>

<file path=customXml/itemProps9.xml><?xml version="1.0" encoding="utf-8"?>
<ds:datastoreItem xmlns:ds="http://schemas.openxmlformats.org/officeDocument/2006/customXml" ds:itemID="{7B6BEE75-0320-401C-8F6D-E7D5C97EF622}">
  <ds:schemaRefs/>
</ds:datastoreItem>
</file>

<file path=customXml/itemProps90.xml><?xml version="1.0" encoding="utf-8"?>
<ds:datastoreItem xmlns:ds="http://schemas.openxmlformats.org/officeDocument/2006/customXml" ds:itemID="{BC55AE2B-6A8C-4B84-BECF-54B846E1FC2E}">
  <ds:schemaRefs/>
</ds:datastoreItem>
</file>

<file path=customXml/itemProps91.xml><?xml version="1.0" encoding="utf-8"?>
<ds:datastoreItem xmlns:ds="http://schemas.openxmlformats.org/officeDocument/2006/customXml" ds:itemID="{6DC86C63-93C1-4ECB-BDAF-0D80CA2BDC75}">
  <ds:schemaRefs/>
</ds:datastoreItem>
</file>

<file path=customXml/itemProps92.xml><?xml version="1.0" encoding="utf-8"?>
<ds:datastoreItem xmlns:ds="http://schemas.openxmlformats.org/officeDocument/2006/customXml" ds:itemID="{2D97FC32-6BD8-4B72-9922-FA2931726D79}">
  <ds:schemaRefs/>
</ds:datastoreItem>
</file>

<file path=customXml/itemProps93.xml><?xml version="1.0" encoding="utf-8"?>
<ds:datastoreItem xmlns:ds="http://schemas.openxmlformats.org/officeDocument/2006/customXml" ds:itemID="{7C38C5C1-768D-4887-97AC-7DBD48C84CE7}">
  <ds:schemaRefs/>
</ds:datastoreItem>
</file>

<file path=customXml/itemProps94.xml><?xml version="1.0" encoding="utf-8"?>
<ds:datastoreItem xmlns:ds="http://schemas.openxmlformats.org/officeDocument/2006/customXml" ds:itemID="{155F0743-A705-4374-B06D-34C5295A170B}">
  <ds:schemaRefs/>
</ds:datastoreItem>
</file>

<file path=customXml/itemProps95.xml><?xml version="1.0" encoding="utf-8"?>
<ds:datastoreItem xmlns:ds="http://schemas.openxmlformats.org/officeDocument/2006/customXml" ds:itemID="{A88674A7-0DE6-4442-8362-4DACE3D5C06A}">
  <ds:schemaRefs/>
</ds:datastoreItem>
</file>

<file path=customXml/itemProps96.xml><?xml version="1.0" encoding="utf-8"?>
<ds:datastoreItem xmlns:ds="http://schemas.openxmlformats.org/officeDocument/2006/customXml" ds:itemID="{B1F5635B-3B1D-4795-AE25-BB97DB7B4BDE}">
  <ds:schemaRefs/>
</ds:datastoreItem>
</file>

<file path=customXml/itemProps97.xml><?xml version="1.0" encoding="utf-8"?>
<ds:datastoreItem xmlns:ds="http://schemas.openxmlformats.org/officeDocument/2006/customXml" ds:itemID="{69E87FD2-A50C-4E3B-91DD-8E3B8DD7166E}">
  <ds:schemaRefs/>
</ds:datastoreItem>
</file>

<file path=customXml/itemProps98.xml><?xml version="1.0" encoding="utf-8"?>
<ds:datastoreItem xmlns:ds="http://schemas.openxmlformats.org/officeDocument/2006/customXml" ds:itemID="{103BD3F8-DF46-4021-8D10-9A60BFD202F0}">
  <ds:schemaRefs/>
</ds:datastoreItem>
</file>

<file path=customXml/itemProps99.xml><?xml version="1.0" encoding="utf-8"?>
<ds:datastoreItem xmlns:ds="http://schemas.openxmlformats.org/officeDocument/2006/customXml" ds:itemID="{96619807-D700-445E-909F-186CF5792E37}">
  <ds:schemaRefs/>
</ds:datastoreItem>
</file>

<file path=docProps/app.xml><?xml version="1.0" encoding="utf-8"?>
<Properties xmlns="http://schemas.openxmlformats.org/officeDocument/2006/extended-properties" xmlns:vt="http://schemas.openxmlformats.org/officeDocument/2006/docPropsVTypes">
  <Template>Normal</Template>
  <Pages>74</Pages>
  <Words>32710</Words>
  <Characters>38102</Characters>
  <Lines>378</Lines>
  <Paragraphs>106</Paragraphs>
  <TotalTime>6</TotalTime>
  <ScaleCrop>false</ScaleCrop>
  <LinksUpToDate>false</LinksUpToDate>
  <CharactersWithSpaces>38882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2022-02-16T01:34:00Z</dcterms:created>
  <dc:creator>Administrator</dc:creator>
  <cp:lastModifiedBy>凤凰</cp:lastModifiedBy>
  <dcterms:modified xsi:type="dcterms:W3CDTF">2024-04-15T06:28:29Z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1A2E30B54B7F481D88164E84787E710D</vt:lpwstr>
  </property>
</Properties>
</file>