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p>
    <w:p>
      <w:pPr>
        <w:jc w:val="center"/>
      </w:pPr>
    </w:p>
    <w:p>
      <w:pPr>
        <w:jc w:val="center"/>
        <w:outlineLvl w:val="0"/>
        <w:rPr>
          <w:rFonts w:hint="eastAsia" w:ascii="黑体" w:hAnsi="黑体" w:eastAsia="黑体" w:cs="黑体"/>
          <w:b/>
          <w:color w:val="000000"/>
          <w:sz w:val="44"/>
          <w:lang w:eastAsia="zh-CN"/>
        </w:rPr>
      </w:pPr>
      <w:r>
        <w:rPr>
          <w:rFonts w:hint="eastAsia" w:ascii="黑体" w:hAnsi="黑体" w:eastAsia="黑体" w:cs="黑体"/>
          <w:b/>
          <w:color w:val="auto"/>
          <w:sz w:val="44"/>
          <w:lang w:eastAsia="zh-CN"/>
        </w:rPr>
        <w:t>档案馆秦皇岛市山海关区</w:t>
      </w:r>
      <w:bookmarkStart w:id="1" w:name="_GoBack"/>
      <w:r>
        <w:rPr>
          <w:rFonts w:hint="eastAsia" w:ascii="黑体" w:hAnsi="黑体" w:eastAsia="黑体" w:cs="黑体"/>
          <w:b/>
          <w:color w:val="auto"/>
          <w:sz w:val="44"/>
          <w:lang w:eastAsia="zh-CN"/>
        </w:rPr>
        <w:t>档案馆本级</w:t>
      </w:r>
      <w:r>
        <w:rPr>
          <w:rFonts w:hint="eastAsia" w:ascii="黑体" w:hAnsi="黑体" w:eastAsia="黑体" w:cs="黑体"/>
          <w:b/>
          <w:color w:val="000000"/>
          <w:sz w:val="44"/>
        </w:rPr>
        <w:t>2023年单位预算信息公开</w:t>
      </w:r>
      <w:bookmarkEnd w:id="1"/>
      <w:r>
        <w:rPr>
          <w:rFonts w:hint="eastAsia" w:ascii="黑体" w:hAnsi="黑体" w:eastAsia="黑体" w:cs="黑体"/>
          <w:b/>
          <w:color w:val="000000"/>
          <w:sz w:val="44"/>
          <w:lang w:eastAsia="zh-CN"/>
        </w:rPr>
        <w:t>目录</w:t>
      </w:r>
    </w:p>
    <w:p>
      <w:pPr>
        <w:pStyle w:val="4"/>
        <w:tabs>
          <w:tab w:val="right" w:leader="dot" w:pos="14562"/>
        </w:tabs>
        <w:ind w:left="0" w:leftChars="0" w:firstLine="0" w:firstLineChars="0"/>
        <w:rPr>
          <w:color w:val="auto"/>
        </w:rPr>
      </w:pPr>
      <w:r>
        <w:fldChar w:fldCharType="begin"/>
      </w:r>
      <w:r>
        <w:instrText xml:space="preserve">TOC \o "4-4" \h \z \u</w:instrText>
      </w:r>
      <w:r>
        <w:fldChar w:fldCharType="separate"/>
      </w:r>
    </w:p>
    <w:p/>
    <w:p>
      <w:pPr>
        <w:pStyle w:val="4"/>
        <w:tabs>
          <w:tab w:val="right" w:leader="dot" w:pos="14562"/>
        </w:tabs>
        <w:rPr>
          <w:color w:val="auto"/>
        </w:rPr>
      </w:pPr>
      <w:r>
        <w:rPr>
          <w:color w:val="auto"/>
        </w:rPr>
        <w:fldChar w:fldCharType="begin"/>
      </w:r>
      <w:r>
        <w:rPr>
          <w:color w:val="auto"/>
        </w:rPr>
        <w:instrText xml:space="preserve">TOC \o "4-4" \h \z \u</w:instrText>
      </w:r>
      <w:r>
        <w:rPr>
          <w:color w:val="auto"/>
        </w:rPr>
        <w:fldChar w:fldCharType="separate"/>
      </w:r>
      <w:r>
        <w:rPr>
          <w:color w:val="auto"/>
        </w:rPr>
        <w:fldChar w:fldCharType="begin"/>
      </w:r>
      <w:r>
        <w:rPr>
          <w:color w:val="auto"/>
        </w:rPr>
        <w:instrText xml:space="preserve"> HYPERLINK \l "_Toc_4_4_0000000019" </w:instrText>
      </w:r>
      <w:r>
        <w:rPr>
          <w:color w:val="auto"/>
        </w:rPr>
        <w:fldChar w:fldCharType="separate"/>
      </w:r>
      <w:r>
        <w:rPr>
          <w:color w:val="auto"/>
        </w:rPr>
        <w:t>一、</w:t>
      </w:r>
      <w:r>
        <w:rPr>
          <w:rFonts w:hint="eastAsia" w:ascii="仿宋_GB2312" w:hAnsi="黑体" w:eastAsia="仿宋_GB2312" w:cs="黑体"/>
          <w:b/>
          <w:color w:val="auto"/>
          <w:sz w:val="32"/>
        </w:rPr>
        <w:t>202</w:t>
      </w:r>
      <w:r>
        <w:rPr>
          <w:rFonts w:hint="eastAsia" w:ascii="仿宋_GB2312" w:hAnsi="黑体" w:eastAsia="仿宋_GB2312" w:cs="黑体"/>
          <w:b/>
          <w:color w:val="auto"/>
          <w:sz w:val="32"/>
          <w:lang w:val="en-US" w:eastAsia="zh-CN"/>
        </w:rPr>
        <w:t>3</w:t>
      </w:r>
      <w:r>
        <w:rPr>
          <w:rFonts w:hint="eastAsia" w:ascii="仿宋_GB2312" w:hAnsi="黑体" w:eastAsia="仿宋_GB2312" w:cs="黑体"/>
          <w:b/>
          <w:color w:val="auto"/>
          <w:sz w:val="32"/>
        </w:rPr>
        <w:t>年</w:t>
      </w:r>
      <w:r>
        <w:rPr>
          <w:rFonts w:hint="eastAsia" w:ascii="仿宋_GB2312" w:hAnsi="黑体" w:eastAsia="仿宋_GB2312" w:cs="黑体"/>
          <w:b/>
          <w:color w:val="auto"/>
          <w:sz w:val="32"/>
          <w:lang w:eastAsia="zh-CN"/>
        </w:rPr>
        <w:t>单位</w:t>
      </w:r>
      <w:r>
        <w:rPr>
          <w:rFonts w:hint="eastAsia" w:ascii="仿宋_GB2312" w:hAnsi="黑体" w:eastAsia="仿宋_GB2312" w:cs="黑体"/>
          <w:b/>
          <w:color w:val="auto"/>
          <w:sz w:val="32"/>
        </w:rPr>
        <w:t>预算公开表格</w:t>
      </w:r>
      <w:r>
        <w:rPr>
          <w:color w:val="auto"/>
        </w:rPr>
        <w:tab/>
      </w:r>
      <w:r>
        <w:rPr>
          <w:color w:val="auto"/>
        </w:rPr>
        <w:fldChar w:fldCharType="begin"/>
      </w:r>
      <w:r>
        <w:rPr>
          <w:color w:val="auto"/>
        </w:rPr>
        <w:instrText xml:space="preserve">PAGEREF _Toc_4_4_0000000019 \h</w:instrText>
      </w:r>
      <w:r>
        <w:rPr>
          <w:color w:val="auto"/>
        </w:rPr>
        <w:fldChar w:fldCharType="separate"/>
      </w:r>
      <w:r>
        <w:rPr>
          <w:color w:val="auto"/>
        </w:rPr>
        <w:t>1</w:t>
      </w:r>
      <w:r>
        <w:rPr>
          <w:color w:val="auto"/>
        </w:rPr>
        <w:fldChar w:fldCharType="end"/>
      </w:r>
      <w:r>
        <w:rPr>
          <w:color w:val="auto"/>
        </w:rPr>
        <w:fldChar w:fldCharType="end"/>
      </w:r>
    </w:p>
    <w:p/>
    <w:p>
      <w:pPr>
        <w:pStyle w:val="4"/>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"_Toc_4_4_0000000020" </w:instrText>
      </w:r>
      <w:r>
        <w:rPr>
          <w:color w:val="auto"/>
        </w:rPr>
        <w:fldChar w:fldCharType="separate"/>
      </w:r>
      <w:r>
        <w:rPr>
          <w:color w:val="auto"/>
        </w:rPr>
        <w:t>二、</w:t>
      </w:r>
      <w:r>
        <w:rPr>
          <w:rFonts w:hint="eastAsia" w:ascii="仿宋_GB2312" w:hAnsi="黑体" w:eastAsia="仿宋_GB2312" w:cs="黑体"/>
          <w:b/>
          <w:color w:val="auto"/>
          <w:sz w:val="32"/>
        </w:rPr>
        <w:t>202</w:t>
      </w:r>
      <w:r>
        <w:rPr>
          <w:rFonts w:hint="eastAsia" w:ascii="仿宋_GB2312" w:hAnsi="黑体" w:eastAsia="仿宋_GB2312" w:cs="黑体"/>
          <w:b/>
          <w:color w:val="auto"/>
          <w:sz w:val="32"/>
          <w:lang w:val="en-US" w:eastAsia="zh-CN"/>
        </w:rPr>
        <w:t>3</w:t>
      </w:r>
      <w:r>
        <w:rPr>
          <w:rFonts w:hint="eastAsia" w:ascii="仿宋_GB2312" w:hAnsi="黑体" w:eastAsia="仿宋_GB2312" w:cs="黑体"/>
          <w:b/>
          <w:color w:val="auto"/>
          <w:sz w:val="32"/>
        </w:rPr>
        <w:t>年</w:t>
      </w:r>
      <w:r>
        <w:rPr>
          <w:rFonts w:hint="eastAsia" w:ascii="仿宋_GB2312" w:hAnsi="黑体" w:eastAsia="仿宋_GB2312" w:cs="黑体"/>
          <w:b/>
          <w:color w:val="auto"/>
          <w:sz w:val="32"/>
          <w:lang w:eastAsia="zh-CN"/>
        </w:rPr>
        <w:t>单位</w:t>
      </w:r>
      <w:r>
        <w:rPr>
          <w:rFonts w:hint="eastAsia" w:ascii="仿宋_GB2312" w:hAnsi="黑体" w:eastAsia="仿宋_GB2312" w:cs="黑体"/>
          <w:b/>
          <w:color w:val="auto"/>
          <w:sz w:val="32"/>
        </w:rPr>
        <w:t>预算公开说明</w:t>
      </w:r>
      <w:r>
        <w:rPr>
          <w:color w:val="auto"/>
        </w:rPr>
        <w:tab/>
      </w:r>
      <w:r>
        <w:rPr>
          <w:rFonts w:hint="eastAsia"/>
          <w:color w:val="auto"/>
          <w:lang w:val="en-US" w:eastAsia="zh-CN"/>
        </w:rPr>
        <w:t>1</w:t>
      </w:r>
      <w:r>
        <w:rPr>
          <w:color w:val="auto"/>
        </w:rPr>
        <w:fldChar w:fldCharType="end"/>
      </w:r>
      <w:r>
        <w:rPr>
          <w:rFonts w:hint="eastAsia"/>
          <w:color w:val="auto"/>
          <w:lang w:val="en-US" w:eastAsia="zh-CN"/>
        </w:rPr>
        <w:t>5</w:t>
      </w:r>
    </w:p>
    <w:p>
      <w:pPr>
        <w:jc w:val="center"/>
        <w:outlineLvl w:val="3"/>
        <w:rPr>
          <w:color w:val="auto"/>
        </w:rPr>
      </w:pPr>
      <w:r>
        <w:rPr>
          <w:color w:val="auto"/>
        </w:rPr>
        <w:fldChar w:fldCharType="end"/>
      </w:r>
    </w:p>
    <w:p>
      <w:pPr>
        <w:jc w:val="center"/>
        <w:outlineLvl w:val="3"/>
      </w:pPr>
    </w:p>
    <w:p>
      <w:pPr>
        <w:pStyle w:val="33"/>
        <w:tabs>
          <w:tab w:val="right" w:leader="dot" w:pos="14562"/>
        </w:tabs>
      </w:pPr>
    </w:p>
    <w:p>
      <w:pPr>
        <w:jc w:val="center"/>
        <w:outlineLvl w:val="0"/>
        <w:sectPr>
          <w:footerReference r:id="rId3" w:type="default"/>
          <w:footerReference r:id="rId4" w:type="even"/>
          <w:pgSz w:w="16840" w:h="11900" w:orient="landscape"/>
          <w:pgMar w:top="1361" w:right="1020" w:bottom="1134" w:left="1020" w:header="720" w:footer="720" w:gutter="0"/>
          <w:cols w:space="720" w:num="1"/>
        </w:sectPr>
      </w:pPr>
      <w:r>
        <w:fldChar w:fldCharType="end"/>
      </w:r>
    </w:p>
    <w:p>
      <w:pPr>
        <w:jc w:val="center"/>
        <w:outlineLvl w:val="3"/>
      </w:pPr>
      <w:bookmarkStart w:id="0" w:name="_Toc_4_4_0000000019"/>
      <w:r>
        <w:rPr>
          <w:rFonts w:ascii="方正小标宋_GBK" w:hAnsi="方正小标宋_GBK" w:eastAsia="方正小标宋_GBK" w:cs="方正小标宋_GBK"/>
          <w:color w:val="000000"/>
          <w:sz w:val="44"/>
        </w:rPr>
        <w:t>一、档案馆秦皇岛市山海关区档案馆本级收支预算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241001档案馆秦皇岛市山海关区档案馆本级</w:t>
            </w:r>
          </w:p>
        </w:tc>
        <w:tc>
          <w:tcPr>
            <w:tcW w:w="2126" w:type="dxa"/>
            <w:tcBorders>
              <w:top w:val="single" w:color="FFFFFF" w:sz="6" w:space="0"/>
              <w:left w:val="single" w:color="FFFFFF" w:sz="6" w:space="0"/>
              <w:right w:val="single" w:color="FFFFFF" w:sz="6" w:space="0"/>
            </w:tcBorders>
            <w:vAlign w:val="center"/>
          </w:tcPr>
          <w:p>
            <w:pPr>
              <w:pStyle w:val="9"/>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105.68</w:t>
            </w:r>
          </w:p>
        </w:tc>
        <w:tc>
          <w:tcPr>
            <w:tcW w:w="4535" w:type="dxa"/>
            <w:vAlign w:val="center"/>
          </w:tcPr>
          <w:p>
            <w:pPr>
              <w:pStyle w:val="13"/>
            </w:pPr>
            <w:r>
              <w:t>一、一般公共服务支出</w:t>
            </w:r>
          </w:p>
        </w:tc>
        <w:tc>
          <w:tcPr>
            <w:tcW w:w="2126" w:type="dxa"/>
            <w:vAlign w:val="center"/>
          </w:tcPr>
          <w:p>
            <w:pPr>
              <w:pStyle w:val="12"/>
            </w:pPr>
            <w:r>
              <w:t>77.92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五、事业收入</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r>
              <w:t>六、事业单位经营收入</w:t>
            </w: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r>
              <w:t>七、上级补助收入</w:t>
            </w: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r>
              <w:t>八、附属单位上缴收入</w:t>
            </w: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12.79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r>
              <w:t>九、其他收入</w:t>
            </w: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8.56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三十一、人行科目</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105.68</w:t>
            </w:r>
          </w:p>
        </w:tc>
        <w:tc>
          <w:tcPr>
            <w:tcW w:w="4535" w:type="dxa"/>
            <w:vAlign w:val="center"/>
          </w:tcPr>
          <w:p>
            <w:pPr>
              <w:pStyle w:val="15"/>
            </w:pPr>
            <w:r>
              <w:t>本年支出合计</w:t>
            </w:r>
          </w:p>
        </w:tc>
        <w:tc>
          <w:tcPr>
            <w:tcW w:w="2126" w:type="dxa"/>
            <w:vAlign w:val="center"/>
          </w:tcPr>
          <w:p>
            <w:pPr>
              <w:pStyle w:val="16"/>
            </w:pPr>
            <w:r>
              <w:t>105.68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105.68</w:t>
            </w:r>
          </w:p>
        </w:tc>
        <w:tc>
          <w:tcPr>
            <w:tcW w:w="4535" w:type="dxa"/>
            <w:vAlign w:val="center"/>
          </w:tcPr>
          <w:p>
            <w:pPr>
              <w:pStyle w:val="15"/>
            </w:pPr>
            <w:r>
              <w:t>支出总计</w:t>
            </w:r>
          </w:p>
        </w:tc>
        <w:tc>
          <w:tcPr>
            <w:tcW w:w="2126" w:type="dxa"/>
            <w:vAlign w:val="center"/>
          </w:tcPr>
          <w:p>
            <w:pPr>
              <w:pStyle w:val="16"/>
            </w:pPr>
            <w:r>
              <w:t>105.68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241001档案馆秦皇岛市山海关区档案馆本级</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105.68</w:t>
            </w:r>
          </w:p>
        </w:tc>
        <w:tc>
          <w:tcPr>
            <w:tcW w:w="1134" w:type="dxa"/>
            <w:vAlign w:val="center"/>
          </w:tcPr>
          <w:p>
            <w:pPr>
              <w:pStyle w:val="16"/>
            </w:pPr>
            <w:r>
              <w:t>105.68</w:t>
            </w:r>
          </w:p>
        </w:tc>
        <w:tc>
          <w:tcPr>
            <w:tcW w:w="1134" w:type="dxa"/>
            <w:vAlign w:val="center"/>
          </w:tcPr>
          <w:p>
            <w:pPr>
              <w:pStyle w:val="16"/>
            </w:pPr>
            <w:r>
              <w:t>105.68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201</w:t>
            </w:r>
          </w:p>
        </w:tc>
        <w:tc>
          <w:tcPr>
            <w:tcW w:w="1559" w:type="dxa"/>
            <w:vAlign w:val="center"/>
          </w:tcPr>
          <w:p>
            <w:pPr>
              <w:pStyle w:val="13"/>
            </w:pPr>
            <w:r>
              <w:t>一般公共服务支出</w:t>
            </w:r>
          </w:p>
        </w:tc>
        <w:tc>
          <w:tcPr>
            <w:tcW w:w="1134" w:type="dxa"/>
            <w:vAlign w:val="center"/>
          </w:tcPr>
          <w:p>
            <w:pPr>
              <w:pStyle w:val="12"/>
            </w:pPr>
            <w:r>
              <w:t>77.92</w:t>
            </w:r>
          </w:p>
        </w:tc>
        <w:tc>
          <w:tcPr>
            <w:tcW w:w="1134" w:type="dxa"/>
            <w:vAlign w:val="center"/>
          </w:tcPr>
          <w:p>
            <w:pPr>
              <w:pStyle w:val="12"/>
            </w:pPr>
            <w:r>
              <w:t>77.92</w:t>
            </w:r>
          </w:p>
        </w:tc>
        <w:tc>
          <w:tcPr>
            <w:tcW w:w="1134" w:type="dxa"/>
            <w:vAlign w:val="center"/>
          </w:tcPr>
          <w:p>
            <w:pPr>
              <w:pStyle w:val="12"/>
            </w:pPr>
            <w:r>
              <w:t>77.92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20126</w:t>
            </w:r>
          </w:p>
        </w:tc>
        <w:tc>
          <w:tcPr>
            <w:tcW w:w="1559" w:type="dxa"/>
            <w:vAlign w:val="center"/>
          </w:tcPr>
          <w:p>
            <w:pPr>
              <w:pStyle w:val="13"/>
            </w:pPr>
            <w:r>
              <w:t>档案事务</w:t>
            </w:r>
          </w:p>
        </w:tc>
        <w:tc>
          <w:tcPr>
            <w:tcW w:w="1134" w:type="dxa"/>
            <w:vAlign w:val="center"/>
          </w:tcPr>
          <w:p>
            <w:pPr>
              <w:pStyle w:val="12"/>
            </w:pPr>
            <w:r>
              <w:t>77.92</w:t>
            </w:r>
          </w:p>
        </w:tc>
        <w:tc>
          <w:tcPr>
            <w:tcW w:w="1134" w:type="dxa"/>
            <w:vAlign w:val="center"/>
          </w:tcPr>
          <w:p>
            <w:pPr>
              <w:pStyle w:val="12"/>
            </w:pPr>
            <w:r>
              <w:t>77.92</w:t>
            </w:r>
          </w:p>
        </w:tc>
        <w:tc>
          <w:tcPr>
            <w:tcW w:w="1134" w:type="dxa"/>
            <w:vAlign w:val="center"/>
          </w:tcPr>
          <w:p>
            <w:pPr>
              <w:pStyle w:val="12"/>
            </w:pPr>
            <w:r>
              <w:t>77.92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2012601</w:t>
            </w:r>
          </w:p>
        </w:tc>
        <w:tc>
          <w:tcPr>
            <w:tcW w:w="1559" w:type="dxa"/>
            <w:vAlign w:val="center"/>
          </w:tcPr>
          <w:p>
            <w:pPr>
              <w:pStyle w:val="13"/>
            </w:pPr>
            <w:r>
              <w:t>行政运行</w:t>
            </w:r>
          </w:p>
        </w:tc>
        <w:tc>
          <w:tcPr>
            <w:tcW w:w="1134" w:type="dxa"/>
            <w:vAlign w:val="center"/>
          </w:tcPr>
          <w:p>
            <w:pPr>
              <w:pStyle w:val="12"/>
            </w:pPr>
            <w:r>
              <w:t>61.92</w:t>
            </w:r>
          </w:p>
        </w:tc>
        <w:tc>
          <w:tcPr>
            <w:tcW w:w="1134" w:type="dxa"/>
            <w:vAlign w:val="center"/>
          </w:tcPr>
          <w:p>
            <w:pPr>
              <w:pStyle w:val="12"/>
            </w:pPr>
            <w:r>
              <w:t>61.92</w:t>
            </w:r>
          </w:p>
        </w:tc>
        <w:tc>
          <w:tcPr>
            <w:tcW w:w="1134" w:type="dxa"/>
            <w:vAlign w:val="center"/>
          </w:tcPr>
          <w:p>
            <w:pPr>
              <w:pStyle w:val="12"/>
            </w:pPr>
            <w:r>
              <w:t>61.92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2012604</w:t>
            </w:r>
          </w:p>
        </w:tc>
        <w:tc>
          <w:tcPr>
            <w:tcW w:w="1559" w:type="dxa"/>
            <w:vAlign w:val="center"/>
          </w:tcPr>
          <w:p>
            <w:pPr>
              <w:pStyle w:val="13"/>
            </w:pPr>
            <w:r>
              <w:t>档案馆</w:t>
            </w:r>
          </w:p>
        </w:tc>
        <w:tc>
          <w:tcPr>
            <w:tcW w:w="1134" w:type="dxa"/>
            <w:vAlign w:val="center"/>
          </w:tcPr>
          <w:p>
            <w:pPr>
              <w:pStyle w:val="12"/>
            </w:pPr>
            <w:r>
              <w:t>5.00</w:t>
            </w:r>
          </w:p>
        </w:tc>
        <w:tc>
          <w:tcPr>
            <w:tcW w:w="1134" w:type="dxa"/>
            <w:vAlign w:val="center"/>
          </w:tcPr>
          <w:p>
            <w:pPr>
              <w:pStyle w:val="12"/>
            </w:pPr>
            <w:r>
              <w:t>5.00</w:t>
            </w:r>
          </w:p>
        </w:tc>
        <w:tc>
          <w:tcPr>
            <w:tcW w:w="1134" w:type="dxa"/>
            <w:vAlign w:val="center"/>
          </w:tcPr>
          <w:p>
            <w:pPr>
              <w:pStyle w:val="12"/>
            </w:pPr>
            <w:r>
              <w:t>5.00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2012699</w:t>
            </w:r>
          </w:p>
        </w:tc>
        <w:tc>
          <w:tcPr>
            <w:tcW w:w="1559" w:type="dxa"/>
            <w:vAlign w:val="center"/>
          </w:tcPr>
          <w:p>
            <w:pPr>
              <w:pStyle w:val="13"/>
            </w:pPr>
            <w:r>
              <w:t>其他档案事务支出</w:t>
            </w:r>
          </w:p>
        </w:tc>
        <w:tc>
          <w:tcPr>
            <w:tcW w:w="1134" w:type="dxa"/>
            <w:vAlign w:val="center"/>
          </w:tcPr>
          <w:p>
            <w:pPr>
              <w:pStyle w:val="12"/>
            </w:pPr>
            <w:r>
              <w:t>11.00</w:t>
            </w:r>
          </w:p>
        </w:tc>
        <w:tc>
          <w:tcPr>
            <w:tcW w:w="1134" w:type="dxa"/>
            <w:vAlign w:val="center"/>
          </w:tcPr>
          <w:p>
            <w:pPr>
              <w:pStyle w:val="12"/>
            </w:pPr>
            <w:r>
              <w:t>11.00</w:t>
            </w:r>
          </w:p>
        </w:tc>
        <w:tc>
          <w:tcPr>
            <w:tcW w:w="1134" w:type="dxa"/>
            <w:vAlign w:val="center"/>
          </w:tcPr>
          <w:p>
            <w:pPr>
              <w:pStyle w:val="12"/>
            </w:pPr>
            <w:r>
              <w:t>11.00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12.79</w:t>
            </w:r>
          </w:p>
        </w:tc>
        <w:tc>
          <w:tcPr>
            <w:tcW w:w="1134" w:type="dxa"/>
            <w:vAlign w:val="center"/>
          </w:tcPr>
          <w:p>
            <w:pPr>
              <w:pStyle w:val="12"/>
            </w:pPr>
            <w:r>
              <w:t>12.79</w:t>
            </w:r>
          </w:p>
        </w:tc>
        <w:tc>
          <w:tcPr>
            <w:tcW w:w="1134" w:type="dxa"/>
            <w:vAlign w:val="center"/>
          </w:tcPr>
          <w:p>
            <w:pPr>
              <w:pStyle w:val="12"/>
            </w:pPr>
            <w:r>
              <w:t>12.79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2"/>
            </w:pPr>
            <w:r>
              <w:t>12.79</w:t>
            </w:r>
          </w:p>
        </w:tc>
        <w:tc>
          <w:tcPr>
            <w:tcW w:w="1134" w:type="dxa"/>
            <w:vAlign w:val="center"/>
          </w:tcPr>
          <w:p>
            <w:pPr>
              <w:pStyle w:val="12"/>
            </w:pPr>
            <w:r>
              <w:t>12.79</w:t>
            </w:r>
          </w:p>
        </w:tc>
        <w:tc>
          <w:tcPr>
            <w:tcW w:w="1134" w:type="dxa"/>
            <w:vAlign w:val="center"/>
          </w:tcPr>
          <w:p>
            <w:pPr>
              <w:pStyle w:val="12"/>
            </w:pPr>
            <w:r>
              <w:t>12.79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2080502</w:t>
            </w:r>
          </w:p>
        </w:tc>
        <w:tc>
          <w:tcPr>
            <w:tcW w:w="1559" w:type="dxa"/>
            <w:vAlign w:val="center"/>
          </w:tcPr>
          <w:p>
            <w:pPr>
              <w:pStyle w:val="13"/>
            </w:pPr>
            <w:r>
              <w:t>事业单位离退休</w:t>
            </w:r>
          </w:p>
        </w:tc>
        <w:tc>
          <w:tcPr>
            <w:tcW w:w="1134" w:type="dxa"/>
            <w:vAlign w:val="center"/>
          </w:tcPr>
          <w:p>
            <w:pPr>
              <w:pStyle w:val="12"/>
            </w:pPr>
            <w:r>
              <w:t>4.43</w:t>
            </w:r>
          </w:p>
        </w:tc>
        <w:tc>
          <w:tcPr>
            <w:tcW w:w="1134" w:type="dxa"/>
            <w:vAlign w:val="center"/>
          </w:tcPr>
          <w:p>
            <w:pPr>
              <w:pStyle w:val="12"/>
            </w:pPr>
            <w:r>
              <w:t>4.43</w:t>
            </w:r>
          </w:p>
        </w:tc>
        <w:tc>
          <w:tcPr>
            <w:tcW w:w="1134" w:type="dxa"/>
            <w:vAlign w:val="center"/>
          </w:tcPr>
          <w:p>
            <w:pPr>
              <w:pStyle w:val="12"/>
            </w:pPr>
            <w:r>
              <w:t>4.43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2"/>
            </w:pPr>
            <w:r>
              <w:t>8.37</w:t>
            </w:r>
          </w:p>
        </w:tc>
        <w:tc>
          <w:tcPr>
            <w:tcW w:w="1134" w:type="dxa"/>
            <w:vAlign w:val="center"/>
          </w:tcPr>
          <w:p>
            <w:pPr>
              <w:pStyle w:val="12"/>
            </w:pPr>
            <w:r>
              <w:t>8.37</w:t>
            </w:r>
          </w:p>
        </w:tc>
        <w:tc>
          <w:tcPr>
            <w:tcW w:w="1134" w:type="dxa"/>
            <w:vAlign w:val="center"/>
          </w:tcPr>
          <w:p>
            <w:pPr>
              <w:pStyle w:val="12"/>
            </w:pPr>
            <w:r>
              <w:t>8.37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8.56</w:t>
            </w:r>
          </w:p>
        </w:tc>
        <w:tc>
          <w:tcPr>
            <w:tcW w:w="1134" w:type="dxa"/>
            <w:vAlign w:val="center"/>
          </w:tcPr>
          <w:p>
            <w:pPr>
              <w:pStyle w:val="12"/>
            </w:pPr>
            <w:r>
              <w:t>8.56</w:t>
            </w:r>
          </w:p>
        </w:tc>
        <w:tc>
          <w:tcPr>
            <w:tcW w:w="1134" w:type="dxa"/>
            <w:vAlign w:val="center"/>
          </w:tcPr>
          <w:p>
            <w:pPr>
              <w:pStyle w:val="12"/>
            </w:pPr>
            <w:r>
              <w:t>8.56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21011</w:t>
            </w:r>
          </w:p>
        </w:tc>
        <w:tc>
          <w:tcPr>
            <w:tcW w:w="1559" w:type="dxa"/>
            <w:vAlign w:val="center"/>
          </w:tcPr>
          <w:p>
            <w:pPr>
              <w:pStyle w:val="13"/>
            </w:pPr>
            <w:r>
              <w:t>行政事业单位医疗</w:t>
            </w:r>
          </w:p>
        </w:tc>
        <w:tc>
          <w:tcPr>
            <w:tcW w:w="1134" w:type="dxa"/>
            <w:vAlign w:val="center"/>
          </w:tcPr>
          <w:p>
            <w:pPr>
              <w:pStyle w:val="12"/>
            </w:pPr>
            <w:r>
              <w:t>8.56</w:t>
            </w:r>
          </w:p>
        </w:tc>
        <w:tc>
          <w:tcPr>
            <w:tcW w:w="1134" w:type="dxa"/>
            <w:vAlign w:val="center"/>
          </w:tcPr>
          <w:p>
            <w:pPr>
              <w:pStyle w:val="12"/>
            </w:pPr>
            <w:r>
              <w:t>8.56</w:t>
            </w:r>
          </w:p>
        </w:tc>
        <w:tc>
          <w:tcPr>
            <w:tcW w:w="1134" w:type="dxa"/>
            <w:vAlign w:val="center"/>
          </w:tcPr>
          <w:p>
            <w:pPr>
              <w:pStyle w:val="12"/>
            </w:pPr>
            <w:r>
              <w:t>8.56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2101102</w:t>
            </w:r>
          </w:p>
        </w:tc>
        <w:tc>
          <w:tcPr>
            <w:tcW w:w="1559" w:type="dxa"/>
            <w:vAlign w:val="center"/>
          </w:tcPr>
          <w:p>
            <w:pPr>
              <w:pStyle w:val="13"/>
            </w:pPr>
            <w:r>
              <w:t>事业单位医疗</w:t>
            </w:r>
          </w:p>
        </w:tc>
        <w:tc>
          <w:tcPr>
            <w:tcW w:w="1134" w:type="dxa"/>
            <w:vAlign w:val="center"/>
          </w:tcPr>
          <w:p>
            <w:pPr>
              <w:pStyle w:val="12"/>
            </w:pPr>
            <w:r>
              <w:t>3.32</w:t>
            </w:r>
          </w:p>
        </w:tc>
        <w:tc>
          <w:tcPr>
            <w:tcW w:w="1134" w:type="dxa"/>
            <w:vAlign w:val="center"/>
          </w:tcPr>
          <w:p>
            <w:pPr>
              <w:pStyle w:val="12"/>
            </w:pPr>
            <w:r>
              <w:t>3.32</w:t>
            </w:r>
          </w:p>
        </w:tc>
        <w:tc>
          <w:tcPr>
            <w:tcW w:w="1134" w:type="dxa"/>
            <w:vAlign w:val="center"/>
          </w:tcPr>
          <w:p>
            <w:pPr>
              <w:pStyle w:val="12"/>
            </w:pPr>
            <w:r>
              <w:t>3.32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2101103</w:t>
            </w:r>
          </w:p>
        </w:tc>
        <w:tc>
          <w:tcPr>
            <w:tcW w:w="1559" w:type="dxa"/>
            <w:vAlign w:val="center"/>
          </w:tcPr>
          <w:p>
            <w:pPr>
              <w:pStyle w:val="13"/>
            </w:pPr>
            <w:r>
              <w:t>公务员医疗补助</w:t>
            </w:r>
          </w:p>
        </w:tc>
        <w:tc>
          <w:tcPr>
            <w:tcW w:w="1134" w:type="dxa"/>
            <w:vAlign w:val="center"/>
          </w:tcPr>
          <w:p>
            <w:pPr>
              <w:pStyle w:val="12"/>
            </w:pPr>
            <w:r>
              <w:t>5.24</w:t>
            </w:r>
          </w:p>
        </w:tc>
        <w:tc>
          <w:tcPr>
            <w:tcW w:w="1134" w:type="dxa"/>
            <w:vAlign w:val="center"/>
          </w:tcPr>
          <w:p>
            <w:pPr>
              <w:pStyle w:val="12"/>
            </w:pPr>
            <w:r>
              <w:t>5.24</w:t>
            </w:r>
          </w:p>
        </w:tc>
        <w:tc>
          <w:tcPr>
            <w:tcW w:w="1134" w:type="dxa"/>
            <w:vAlign w:val="center"/>
          </w:tcPr>
          <w:p>
            <w:pPr>
              <w:pStyle w:val="12"/>
            </w:pPr>
            <w:r>
              <w:t>5.24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15</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6.40</w:t>
            </w:r>
          </w:p>
        </w:tc>
        <w:tc>
          <w:tcPr>
            <w:tcW w:w="1134" w:type="dxa"/>
            <w:vAlign w:val="center"/>
          </w:tcPr>
          <w:p>
            <w:pPr>
              <w:pStyle w:val="12"/>
            </w:pPr>
            <w:r>
              <w:t>6.40</w:t>
            </w:r>
          </w:p>
        </w:tc>
        <w:tc>
          <w:tcPr>
            <w:tcW w:w="1134" w:type="dxa"/>
            <w:vAlign w:val="center"/>
          </w:tcPr>
          <w:p>
            <w:pPr>
              <w:pStyle w:val="12"/>
            </w:pPr>
            <w:r>
              <w:t>6.40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16</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6.40</w:t>
            </w:r>
          </w:p>
        </w:tc>
        <w:tc>
          <w:tcPr>
            <w:tcW w:w="1134" w:type="dxa"/>
            <w:vAlign w:val="center"/>
          </w:tcPr>
          <w:p>
            <w:pPr>
              <w:pStyle w:val="12"/>
            </w:pPr>
            <w:r>
              <w:t>6.40</w:t>
            </w:r>
          </w:p>
        </w:tc>
        <w:tc>
          <w:tcPr>
            <w:tcW w:w="1134" w:type="dxa"/>
            <w:vAlign w:val="center"/>
          </w:tcPr>
          <w:p>
            <w:pPr>
              <w:pStyle w:val="12"/>
            </w:pPr>
            <w:r>
              <w:t>6.40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17</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6.40</w:t>
            </w:r>
          </w:p>
        </w:tc>
        <w:tc>
          <w:tcPr>
            <w:tcW w:w="1134" w:type="dxa"/>
            <w:vAlign w:val="center"/>
          </w:tcPr>
          <w:p>
            <w:pPr>
              <w:pStyle w:val="12"/>
            </w:pPr>
            <w:r>
              <w:t>6.40</w:t>
            </w:r>
          </w:p>
        </w:tc>
        <w:tc>
          <w:tcPr>
            <w:tcW w:w="1134" w:type="dxa"/>
            <w:vAlign w:val="center"/>
          </w:tcPr>
          <w:p>
            <w:pPr>
              <w:pStyle w:val="12"/>
            </w:pPr>
            <w:r>
              <w:t>6.40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241001档案馆秦皇岛市山海关区档案馆本级</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105.68</w:t>
            </w:r>
          </w:p>
        </w:tc>
        <w:tc>
          <w:tcPr>
            <w:tcW w:w="1361" w:type="dxa"/>
            <w:vAlign w:val="center"/>
          </w:tcPr>
          <w:p>
            <w:pPr>
              <w:pStyle w:val="16"/>
            </w:pPr>
            <w:r>
              <w:t>89.68</w:t>
            </w:r>
          </w:p>
        </w:tc>
        <w:tc>
          <w:tcPr>
            <w:tcW w:w="1361" w:type="dxa"/>
            <w:vAlign w:val="center"/>
          </w:tcPr>
          <w:p>
            <w:pPr>
              <w:pStyle w:val="16"/>
            </w:pPr>
            <w:r>
              <w:t>16.00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201</w:t>
            </w:r>
          </w:p>
        </w:tc>
        <w:tc>
          <w:tcPr>
            <w:tcW w:w="4535" w:type="dxa"/>
            <w:vAlign w:val="center"/>
          </w:tcPr>
          <w:p>
            <w:pPr>
              <w:pStyle w:val="13"/>
            </w:pPr>
            <w:r>
              <w:t>一般公共服务支出</w:t>
            </w:r>
          </w:p>
        </w:tc>
        <w:tc>
          <w:tcPr>
            <w:tcW w:w="1361" w:type="dxa"/>
            <w:vAlign w:val="center"/>
          </w:tcPr>
          <w:p>
            <w:pPr>
              <w:pStyle w:val="12"/>
            </w:pPr>
            <w:r>
              <w:t>77.92</w:t>
            </w:r>
          </w:p>
        </w:tc>
        <w:tc>
          <w:tcPr>
            <w:tcW w:w="1361" w:type="dxa"/>
            <w:vAlign w:val="center"/>
          </w:tcPr>
          <w:p>
            <w:pPr>
              <w:pStyle w:val="12"/>
            </w:pPr>
            <w:r>
              <w:t>61.92</w:t>
            </w:r>
          </w:p>
        </w:tc>
        <w:tc>
          <w:tcPr>
            <w:tcW w:w="1361" w:type="dxa"/>
            <w:vAlign w:val="center"/>
          </w:tcPr>
          <w:p>
            <w:pPr>
              <w:pStyle w:val="12"/>
            </w:pPr>
            <w:r>
              <w:t>16.00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20126</w:t>
            </w:r>
          </w:p>
        </w:tc>
        <w:tc>
          <w:tcPr>
            <w:tcW w:w="4535" w:type="dxa"/>
            <w:vAlign w:val="center"/>
          </w:tcPr>
          <w:p>
            <w:pPr>
              <w:pStyle w:val="13"/>
            </w:pPr>
            <w:r>
              <w:t>档案事务</w:t>
            </w:r>
          </w:p>
        </w:tc>
        <w:tc>
          <w:tcPr>
            <w:tcW w:w="1361" w:type="dxa"/>
            <w:vAlign w:val="center"/>
          </w:tcPr>
          <w:p>
            <w:pPr>
              <w:pStyle w:val="12"/>
            </w:pPr>
            <w:r>
              <w:t>77.92</w:t>
            </w:r>
          </w:p>
        </w:tc>
        <w:tc>
          <w:tcPr>
            <w:tcW w:w="1361" w:type="dxa"/>
            <w:vAlign w:val="center"/>
          </w:tcPr>
          <w:p>
            <w:pPr>
              <w:pStyle w:val="12"/>
            </w:pPr>
            <w:r>
              <w:t>61.92</w:t>
            </w:r>
          </w:p>
        </w:tc>
        <w:tc>
          <w:tcPr>
            <w:tcW w:w="1361" w:type="dxa"/>
            <w:vAlign w:val="center"/>
          </w:tcPr>
          <w:p>
            <w:pPr>
              <w:pStyle w:val="12"/>
            </w:pPr>
            <w:r>
              <w:t>16.00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2012601</w:t>
            </w:r>
          </w:p>
        </w:tc>
        <w:tc>
          <w:tcPr>
            <w:tcW w:w="4535" w:type="dxa"/>
            <w:vAlign w:val="center"/>
          </w:tcPr>
          <w:p>
            <w:pPr>
              <w:pStyle w:val="13"/>
            </w:pPr>
            <w:r>
              <w:t>行政运行</w:t>
            </w:r>
          </w:p>
        </w:tc>
        <w:tc>
          <w:tcPr>
            <w:tcW w:w="1361" w:type="dxa"/>
            <w:vAlign w:val="center"/>
          </w:tcPr>
          <w:p>
            <w:pPr>
              <w:pStyle w:val="12"/>
            </w:pPr>
            <w:r>
              <w:t>61.92</w:t>
            </w:r>
          </w:p>
        </w:tc>
        <w:tc>
          <w:tcPr>
            <w:tcW w:w="1361" w:type="dxa"/>
            <w:vAlign w:val="center"/>
          </w:tcPr>
          <w:p>
            <w:pPr>
              <w:pStyle w:val="12"/>
            </w:pPr>
            <w:r>
              <w:t>61.92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2012604</w:t>
            </w:r>
          </w:p>
        </w:tc>
        <w:tc>
          <w:tcPr>
            <w:tcW w:w="4535" w:type="dxa"/>
            <w:vAlign w:val="center"/>
          </w:tcPr>
          <w:p>
            <w:pPr>
              <w:pStyle w:val="13"/>
            </w:pPr>
            <w:r>
              <w:t>档案馆</w:t>
            </w:r>
          </w:p>
        </w:tc>
        <w:tc>
          <w:tcPr>
            <w:tcW w:w="1361" w:type="dxa"/>
            <w:vAlign w:val="center"/>
          </w:tcPr>
          <w:p>
            <w:pPr>
              <w:pStyle w:val="12"/>
            </w:pPr>
            <w:r>
              <w:t>5.00</w:t>
            </w:r>
          </w:p>
        </w:tc>
        <w:tc>
          <w:tcPr>
            <w:tcW w:w="1361" w:type="dxa"/>
            <w:vAlign w:val="center"/>
          </w:tcPr>
          <w:p>
            <w:pPr>
              <w:pStyle w:val="12"/>
            </w:pPr>
          </w:p>
        </w:tc>
        <w:tc>
          <w:tcPr>
            <w:tcW w:w="1361" w:type="dxa"/>
            <w:vAlign w:val="center"/>
          </w:tcPr>
          <w:p>
            <w:pPr>
              <w:pStyle w:val="12"/>
            </w:pPr>
            <w:r>
              <w:t>5.00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2012699</w:t>
            </w:r>
          </w:p>
        </w:tc>
        <w:tc>
          <w:tcPr>
            <w:tcW w:w="4535" w:type="dxa"/>
            <w:vAlign w:val="center"/>
          </w:tcPr>
          <w:p>
            <w:pPr>
              <w:pStyle w:val="13"/>
            </w:pPr>
            <w:r>
              <w:t>其他档案事务支出</w:t>
            </w:r>
          </w:p>
        </w:tc>
        <w:tc>
          <w:tcPr>
            <w:tcW w:w="1361" w:type="dxa"/>
            <w:vAlign w:val="center"/>
          </w:tcPr>
          <w:p>
            <w:pPr>
              <w:pStyle w:val="12"/>
            </w:pPr>
            <w:r>
              <w:t>11.00</w:t>
            </w:r>
          </w:p>
        </w:tc>
        <w:tc>
          <w:tcPr>
            <w:tcW w:w="1361" w:type="dxa"/>
            <w:vAlign w:val="center"/>
          </w:tcPr>
          <w:p>
            <w:pPr>
              <w:pStyle w:val="12"/>
            </w:pPr>
          </w:p>
        </w:tc>
        <w:tc>
          <w:tcPr>
            <w:tcW w:w="1361" w:type="dxa"/>
            <w:vAlign w:val="center"/>
          </w:tcPr>
          <w:p>
            <w:pPr>
              <w:pStyle w:val="12"/>
            </w:pPr>
            <w:r>
              <w:t>11.00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12.79</w:t>
            </w:r>
          </w:p>
        </w:tc>
        <w:tc>
          <w:tcPr>
            <w:tcW w:w="1361" w:type="dxa"/>
            <w:vAlign w:val="center"/>
          </w:tcPr>
          <w:p>
            <w:pPr>
              <w:pStyle w:val="12"/>
            </w:pPr>
            <w:r>
              <w:t>12.79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2"/>
            </w:pPr>
            <w:r>
              <w:t>12.79</w:t>
            </w:r>
          </w:p>
        </w:tc>
        <w:tc>
          <w:tcPr>
            <w:tcW w:w="1361" w:type="dxa"/>
            <w:vAlign w:val="center"/>
          </w:tcPr>
          <w:p>
            <w:pPr>
              <w:pStyle w:val="12"/>
            </w:pPr>
            <w:r>
              <w:t>12.79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2080502</w:t>
            </w:r>
          </w:p>
        </w:tc>
        <w:tc>
          <w:tcPr>
            <w:tcW w:w="4535" w:type="dxa"/>
            <w:vAlign w:val="center"/>
          </w:tcPr>
          <w:p>
            <w:pPr>
              <w:pStyle w:val="13"/>
            </w:pPr>
            <w:r>
              <w:t>事业单位离退休</w:t>
            </w:r>
          </w:p>
        </w:tc>
        <w:tc>
          <w:tcPr>
            <w:tcW w:w="1361" w:type="dxa"/>
            <w:vAlign w:val="center"/>
          </w:tcPr>
          <w:p>
            <w:pPr>
              <w:pStyle w:val="12"/>
            </w:pPr>
            <w:r>
              <w:t>4.43</w:t>
            </w:r>
          </w:p>
        </w:tc>
        <w:tc>
          <w:tcPr>
            <w:tcW w:w="1361" w:type="dxa"/>
            <w:vAlign w:val="center"/>
          </w:tcPr>
          <w:p>
            <w:pPr>
              <w:pStyle w:val="12"/>
            </w:pPr>
            <w:r>
              <w:t>4.43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2"/>
            </w:pPr>
            <w:r>
              <w:t>8.37</w:t>
            </w:r>
          </w:p>
        </w:tc>
        <w:tc>
          <w:tcPr>
            <w:tcW w:w="1361" w:type="dxa"/>
            <w:vAlign w:val="center"/>
          </w:tcPr>
          <w:p>
            <w:pPr>
              <w:pStyle w:val="12"/>
            </w:pPr>
            <w:r>
              <w:t>8.37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2"/>
            </w:pPr>
            <w:r>
              <w:t>8.56</w:t>
            </w:r>
          </w:p>
        </w:tc>
        <w:tc>
          <w:tcPr>
            <w:tcW w:w="1361" w:type="dxa"/>
            <w:vAlign w:val="center"/>
          </w:tcPr>
          <w:p>
            <w:pPr>
              <w:pStyle w:val="12"/>
            </w:pPr>
            <w:r>
              <w:t>8.56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21011</w:t>
            </w:r>
          </w:p>
        </w:tc>
        <w:tc>
          <w:tcPr>
            <w:tcW w:w="4535" w:type="dxa"/>
            <w:vAlign w:val="center"/>
          </w:tcPr>
          <w:p>
            <w:pPr>
              <w:pStyle w:val="13"/>
            </w:pPr>
            <w:r>
              <w:t>行政事业单位医疗</w:t>
            </w:r>
          </w:p>
        </w:tc>
        <w:tc>
          <w:tcPr>
            <w:tcW w:w="1361" w:type="dxa"/>
            <w:vAlign w:val="center"/>
          </w:tcPr>
          <w:p>
            <w:pPr>
              <w:pStyle w:val="12"/>
            </w:pPr>
            <w:r>
              <w:t>8.56</w:t>
            </w:r>
          </w:p>
        </w:tc>
        <w:tc>
          <w:tcPr>
            <w:tcW w:w="1361" w:type="dxa"/>
            <w:vAlign w:val="center"/>
          </w:tcPr>
          <w:p>
            <w:pPr>
              <w:pStyle w:val="12"/>
            </w:pPr>
            <w:r>
              <w:t>8.56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2101102</w:t>
            </w:r>
          </w:p>
        </w:tc>
        <w:tc>
          <w:tcPr>
            <w:tcW w:w="4535" w:type="dxa"/>
            <w:vAlign w:val="center"/>
          </w:tcPr>
          <w:p>
            <w:pPr>
              <w:pStyle w:val="13"/>
            </w:pPr>
            <w:r>
              <w:t>事业单位医疗</w:t>
            </w:r>
          </w:p>
        </w:tc>
        <w:tc>
          <w:tcPr>
            <w:tcW w:w="1361" w:type="dxa"/>
            <w:vAlign w:val="center"/>
          </w:tcPr>
          <w:p>
            <w:pPr>
              <w:pStyle w:val="12"/>
            </w:pPr>
            <w:r>
              <w:t>3.32</w:t>
            </w:r>
          </w:p>
        </w:tc>
        <w:tc>
          <w:tcPr>
            <w:tcW w:w="1361" w:type="dxa"/>
            <w:vAlign w:val="center"/>
          </w:tcPr>
          <w:p>
            <w:pPr>
              <w:pStyle w:val="12"/>
            </w:pPr>
            <w:r>
              <w:t>3.32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2101103</w:t>
            </w:r>
          </w:p>
        </w:tc>
        <w:tc>
          <w:tcPr>
            <w:tcW w:w="4535" w:type="dxa"/>
            <w:vAlign w:val="center"/>
          </w:tcPr>
          <w:p>
            <w:pPr>
              <w:pStyle w:val="13"/>
            </w:pPr>
            <w:r>
              <w:t>公务员医疗补助</w:t>
            </w:r>
          </w:p>
        </w:tc>
        <w:tc>
          <w:tcPr>
            <w:tcW w:w="1361" w:type="dxa"/>
            <w:vAlign w:val="center"/>
          </w:tcPr>
          <w:p>
            <w:pPr>
              <w:pStyle w:val="12"/>
            </w:pPr>
            <w:r>
              <w:t>5.24</w:t>
            </w:r>
          </w:p>
        </w:tc>
        <w:tc>
          <w:tcPr>
            <w:tcW w:w="1361" w:type="dxa"/>
            <w:vAlign w:val="center"/>
          </w:tcPr>
          <w:p>
            <w:pPr>
              <w:pStyle w:val="12"/>
            </w:pPr>
            <w:r>
              <w:t>5.24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2"/>
            </w:pPr>
            <w:r>
              <w:t>6.40</w:t>
            </w:r>
          </w:p>
        </w:tc>
        <w:tc>
          <w:tcPr>
            <w:tcW w:w="1361" w:type="dxa"/>
            <w:vAlign w:val="center"/>
          </w:tcPr>
          <w:p>
            <w:pPr>
              <w:pStyle w:val="12"/>
            </w:pPr>
            <w:r>
              <w:t>6.40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2"/>
            </w:pPr>
            <w:r>
              <w:t>6.40</w:t>
            </w:r>
          </w:p>
        </w:tc>
        <w:tc>
          <w:tcPr>
            <w:tcW w:w="1361" w:type="dxa"/>
            <w:vAlign w:val="center"/>
          </w:tcPr>
          <w:p>
            <w:pPr>
              <w:pStyle w:val="12"/>
            </w:pPr>
            <w:r>
              <w:t>6.40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2"/>
            </w:pPr>
            <w:r>
              <w:t>6.40</w:t>
            </w:r>
          </w:p>
        </w:tc>
        <w:tc>
          <w:tcPr>
            <w:tcW w:w="1361" w:type="dxa"/>
            <w:vAlign w:val="center"/>
          </w:tcPr>
          <w:p>
            <w:pPr>
              <w:pStyle w:val="12"/>
            </w:pPr>
            <w:r>
              <w:t>6.40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241001档案馆秦皇岛市山海关区档案馆本级</w:t>
            </w:r>
          </w:p>
        </w:tc>
        <w:tc>
          <w:tcPr>
            <w:tcW w:w="3402" w:type="dxa"/>
            <w:tcBorders>
              <w:top w:val="single" w:color="FFFFFF" w:sz="6" w:space="0"/>
              <w:left w:val="single" w:color="FFFFFF" w:sz="6" w:space="0"/>
              <w:right w:val="single" w:color="FFFFFF" w:sz="6" w:space="0"/>
            </w:tcBorders>
            <w:vAlign w:val="center"/>
          </w:tcPr>
          <w:p>
            <w:pPr>
              <w:pStyle w:val="9"/>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105.68</w:t>
            </w:r>
          </w:p>
        </w:tc>
        <w:tc>
          <w:tcPr>
            <w:tcW w:w="3402" w:type="dxa"/>
            <w:vAlign w:val="center"/>
          </w:tcPr>
          <w:p>
            <w:pPr>
              <w:pStyle w:val="13"/>
            </w:pPr>
            <w:r>
              <w:t>一、一般公共服务支出</w:t>
            </w:r>
          </w:p>
        </w:tc>
        <w:tc>
          <w:tcPr>
            <w:tcW w:w="1474" w:type="dxa"/>
            <w:vAlign w:val="center"/>
          </w:tcPr>
          <w:p>
            <w:pPr>
              <w:pStyle w:val="12"/>
            </w:pPr>
            <w:r>
              <w:t>77.92</w:t>
            </w:r>
          </w:p>
        </w:tc>
        <w:tc>
          <w:tcPr>
            <w:tcW w:w="1474" w:type="dxa"/>
            <w:vAlign w:val="center"/>
          </w:tcPr>
          <w:p>
            <w:pPr>
              <w:pStyle w:val="12"/>
            </w:pPr>
            <w:r>
              <w:t>77.92</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12.79</w:t>
            </w:r>
          </w:p>
        </w:tc>
        <w:tc>
          <w:tcPr>
            <w:tcW w:w="1474" w:type="dxa"/>
            <w:vAlign w:val="center"/>
          </w:tcPr>
          <w:p>
            <w:pPr>
              <w:pStyle w:val="12"/>
            </w:pPr>
            <w:r>
              <w:t>12.79</w:t>
            </w:r>
          </w:p>
        </w:tc>
        <w:tc>
          <w:tcPr>
            <w:tcW w:w="1474" w:type="dxa"/>
            <w:vAlign w:val="center"/>
          </w:tcPr>
          <w:p>
            <w:pPr>
              <w:pStyle w:val="12"/>
            </w:pPr>
          </w:p>
        </w:tc>
        <w:tc>
          <w:tcPr>
            <w:tcW w:w="1474" w:type="dxa"/>
            <w:vAlign w:val="center"/>
          </w:tcPr>
          <w:p>
            <w:pPr>
              <w:pStyle w:val="12"/>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8.56</w:t>
            </w:r>
          </w:p>
        </w:tc>
        <w:tc>
          <w:tcPr>
            <w:tcW w:w="1474" w:type="dxa"/>
            <w:vAlign w:val="center"/>
          </w:tcPr>
          <w:p>
            <w:pPr>
              <w:pStyle w:val="12"/>
            </w:pPr>
            <w:r>
              <w:t>8.56</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6.40</w:t>
            </w:r>
          </w:p>
        </w:tc>
        <w:tc>
          <w:tcPr>
            <w:tcW w:w="1474" w:type="dxa"/>
            <w:vAlign w:val="center"/>
          </w:tcPr>
          <w:p>
            <w:pPr>
              <w:pStyle w:val="12"/>
            </w:pPr>
            <w:r>
              <w:t>6.40</w:t>
            </w:r>
          </w:p>
        </w:tc>
        <w:tc>
          <w:tcPr>
            <w:tcW w:w="1474" w:type="dxa"/>
            <w:vAlign w:val="center"/>
          </w:tcPr>
          <w:p>
            <w:pPr>
              <w:pStyle w:val="12"/>
            </w:pPr>
          </w:p>
        </w:tc>
        <w:tc>
          <w:tcPr>
            <w:tcW w:w="1474" w:type="dxa"/>
            <w:vAlign w:val="center"/>
          </w:tcPr>
          <w:p>
            <w:pPr>
              <w:pStyle w:val="12"/>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三十一、人行科目</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105.68</w:t>
            </w:r>
          </w:p>
        </w:tc>
        <w:tc>
          <w:tcPr>
            <w:tcW w:w="3402" w:type="dxa"/>
            <w:vAlign w:val="center"/>
          </w:tcPr>
          <w:p>
            <w:pPr>
              <w:pStyle w:val="15"/>
            </w:pPr>
            <w:r>
              <w:t>本年支出合计</w:t>
            </w:r>
          </w:p>
        </w:tc>
        <w:tc>
          <w:tcPr>
            <w:tcW w:w="1474" w:type="dxa"/>
            <w:vAlign w:val="center"/>
          </w:tcPr>
          <w:p>
            <w:pPr>
              <w:pStyle w:val="16"/>
            </w:pPr>
            <w:r>
              <w:t>105.68</w:t>
            </w:r>
          </w:p>
        </w:tc>
        <w:tc>
          <w:tcPr>
            <w:tcW w:w="1474" w:type="dxa"/>
            <w:vAlign w:val="center"/>
          </w:tcPr>
          <w:p>
            <w:pPr>
              <w:pStyle w:val="16"/>
            </w:pPr>
            <w:r>
              <w:t>105.68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105.68</w:t>
            </w:r>
          </w:p>
        </w:tc>
        <w:tc>
          <w:tcPr>
            <w:tcW w:w="3402" w:type="dxa"/>
            <w:vAlign w:val="center"/>
          </w:tcPr>
          <w:p>
            <w:pPr>
              <w:pStyle w:val="15"/>
            </w:pPr>
            <w:r>
              <w:t>支出总计</w:t>
            </w:r>
          </w:p>
        </w:tc>
        <w:tc>
          <w:tcPr>
            <w:tcW w:w="1474" w:type="dxa"/>
            <w:vAlign w:val="center"/>
          </w:tcPr>
          <w:p>
            <w:pPr>
              <w:pStyle w:val="16"/>
            </w:pPr>
            <w:r>
              <w:t>105.68</w:t>
            </w:r>
          </w:p>
        </w:tc>
        <w:tc>
          <w:tcPr>
            <w:tcW w:w="1474" w:type="dxa"/>
            <w:vAlign w:val="center"/>
          </w:tcPr>
          <w:p>
            <w:pPr>
              <w:pStyle w:val="16"/>
            </w:pPr>
            <w:r>
              <w:t>105.68</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241001档案馆秦皇岛市山海关区档案馆本级</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105.68</w:t>
            </w:r>
          </w:p>
        </w:tc>
        <w:tc>
          <w:tcPr>
            <w:tcW w:w="2551" w:type="dxa"/>
            <w:vAlign w:val="center"/>
          </w:tcPr>
          <w:p>
            <w:pPr>
              <w:pStyle w:val="16"/>
            </w:pPr>
            <w:r>
              <w:t>89.68</w:t>
            </w:r>
          </w:p>
        </w:tc>
        <w:tc>
          <w:tcPr>
            <w:tcW w:w="2551" w:type="dxa"/>
            <w:vAlign w:val="center"/>
          </w:tcPr>
          <w:p>
            <w:pPr>
              <w:pStyle w:val="16"/>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201</w:t>
            </w:r>
          </w:p>
        </w:tc>
        <w:tc>
          <w:tcPr>
            <w:tcW w:w="4535" w:type="dxa"/>
            <w:vAlign w:val="center"/>
          </w:tcPr>
          <w:p>
            <w:pPr>
              <w:pStyle w:val="13"/>
            </w:pPr>
            <w:r>
              <w:t>一般公共服务支出</w:t>
            </w:r>
          </w:p>
        </w:tc>
        <w:tc>
          <w:tcPr>
            <w:tcW w:w="2551" w:type="dxa"/>
            <w:vAlign w:val="center"/>
          </w:tcPr>
          <w:p>
            <w:pPr>
              <w:pStyle w:val="12"/>
            </w:pPr>
            <w:r>
              <w:t>77.92</w:t>
            </w:r>
          </w:p>
        </w:tc>
        <w:tc>
          <w:tcPr>
            <w:tcW w:w="2551" w:type="dxa"/>
            <w:vAlign w:val="center"/>
          </w:tcPr>
          <w:p>
            <w:pPr>
              <w:pStyle w:val="12"/>
            </w:pPr>
            <w:r>
              <w:t>61.92</w:t>
            </w:r>
          </w:p>
        </w:tc>
        <w:tc>
          <w:tcPr>
            <w:tcW w:w="2551" w:type="dxa"/>
            <w:vAlign w:val="center"/>
          </w:tcPr>
          <w:p>
            <w:pPr>
              <w:pStyle w:val="12"/>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20126</w:t>
            </w:r>
          </w:p>
        </w:tc>
        <w:tc>
          <w:tcPr>
            <w:tcW w:w="4535" w:type="dxa"/>
            <w:vAlign w:val="center"/>
          </w:tcPr>
          <w:p>
            <w:pPr>
              <w:pStyle w:val="13"/>
            </w:pPr>
            <w:r>
              <w:t>档案事务</w:t>
            </w:r>
          </w:p>
        </w:tc>
        <w:tc>
          <w:tcPr>
            <w:tcW w:w="2551" w:type="dxa"/>
            <w:vAlign w:val="center"/>
          </w:tcPr>
          <w:p>
            <w:pPr>
              <w:pStyle w:val="12"/>
            </w:pPr>
            <w:r>
              <w:t>77.92</w:t>
            </w:r>
          </w:p>
        </w:tc>
        <w:tc>
          <w:tcPr>
            <w:tcW w:w="2551" w:type="dxa"/>
            <w:vAlign w:val="center"/>
          </w:tcPr>
          <w:p>
            <w:pPr>
              <w:pStyle w:val="12"/>
            </w:pPr>
            <w:r>
              <w:t>61.92</w:t>
            </w:r>
          </w:p>
        </w:tc>
        <w:tc>
          <w:tcPr>
            <w:tcW w:w="2551" w:type="dxa"/>
            <w:vAlign w:val="center"/>
          </w:tcPr>
          <w:p>
            <w:pPr>
              <w:pStyle w:val="12"/>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2012601</w:t>
            </w:r>
          </w:p>
        </w:tc>
        <w:tc>
          <w:tcPr>
            <w:tcW w:w="4535" w:type="dxa"/>
            <w:vAlign w:val="center"/>
          </w:tcPr>
          <w:p>
            <w:pPr>
              <w:pStyle w:val="13"/>
            </w:pPr>
            <w:r>
              <w:t>行政运行</w:t>
            </w:r>
          </w:p>
        </w:tc>
        <w:tc>
          <w:tcPr>
            <w:tcW w:w="2551" w:type="dxa"/>
            <w:vAlign w:val="center"/>
          </w:tcPr>
          <w:p>
            <w:pPr>
              <w:pStyle w:val="12"/>
            </w:pPr>
            <w:r>
              <w:t>61.92</w:t>
            </w:r>
          </w:p>
        </w:tc>
        <w:tc>
          <w:tcPr>
            <w:tcW w:w="2551" w:type="dxa"/>
            <w:vAlign w:val="center"/>
          </w:tcPr>
          <w:p>
            <w:pPr>
              <w:pStyle w:val="12"/>
            </w:pPr>
            <w:r>
              <w:t>61.92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2012604</w:t>
            </w:r>
          </w:p>
        </w:tc>
        <w:tc>
          <w:tcPr>
            <w:tcW w:w="4535" w:type="dxa"/>
            <w:vAlign w:val="center"/>
          </w:tcPr>
          <w:p>
            <w:pPr>
              <w:pStyle w:val="13"/>
            </w:pPr>
            <w:r>
              <w:t>档案馆</w:t>
            </w:r>
          </w:p>
        </w:tc>
        <w:tc>
          <w:tcPr>
            <w:tcW w:w="2551" w:type="dxa"/>
            <w:vAlign w:val="center"/>
          </w:tcPr>
          <w:p>
            <w:pPr>
              <w:pStyle w:val="12"/>
            </w:pPr>
            <w:r>
              <w:t>5.00</w:t>
            </w:r>
          </w:p>
        </w:tc>
        <w:tc>
          <w:tcPr>
            <w:tcW w:w="2551" w:type="dxa"/>
            <w:vAlign w:val="center"/>
          </w:tcPr>
          <w:p>
            <w:pPr>
              <w:pStyle w:val="12"/>
            </w:pPr>
          </w:p>
        </w:tc>
        <w:tc>
          <w:tcPr>
            <w:tcW w:w="2551" w:type="dxa"/>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2012699</w:t>
            </w:r>
          </w:p>
        </w:tc>
        <w:tc>
          <w:tcPr>
            <w:tcW w:w="4535" w:type="dxa"/>
            <w:vAlign w:val="center"/>
          </w:tcPr>
          <w:p>
            <w:pPr>
              <w:pStyle w:val="13"/>
            </w:pPr>
            <w:r>
              <w:t>其他档案事务支出</w:t>
            </w:r>
          </w:p>
        </w:tc>
        <w:tc>
          <w:tcPr>
            <w:tcW w:w="2551" w:type="dxa"/>
            <w:vAlign w:val="center"/>
          </w:tcPr>
          <w:p>
            <w:pPr>
              <w:pStyle w:val="12"/>
            </w:pPr>
            <w:r>
              <w:t>11.00</w:t>
            </w:r>
          </w:p>
        </w:tc>
        <w:tc>
          <w:tcPr>
            <w:tcW w:w="2551" w:type="dxa"/>
            <w:vAlign w:val="center"/>
          </w:tcPr>
          <w:p>
            <w:pPr>
              <w:pStyle w:val="12"/>
            </w:pPr>
          </w:p>
        </w:tc>
        <w:tc>
          <w:tcPr>
            <w:tcW w:w="2551" w:type="dxa"/>
            <w:vAlign w:val="center"/>
          </w:tcPr>
          <w:p>
            <w:pPr>
              <w:pStyle w:val="12"/>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12.79</w:t>
            </w:r>
          </w:p>
        </w:tc>
        <w:tc>
          <w:tcPr>
            <w:tcW w:w="2551" w:type="dxa"/>
            <w:vAlign w:val="center"/>
          </w:tcPr>
          <w:p>
            <w:pPr>
              <w:pStyle w:val="12"/>
            </w:pPr>
            <w:r>
              <w:t>12.79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12.79</w:t>
            </w:r>
          </w:p>
        </w:tc>
        <w:tc>
          <w:tcPr>
            <w:tcW w:w="2551" w:type="dxa"/>
            <w:vAlign w:val="center"/>
          </w:tcPr>
          <w:p>
            <w:pPr>
              <w:pStyle w:val="12"/>
            </w:pPr>
            <w:r>
              <w:t>12.79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2080502</w:t>
            </w:r>
          </w:p>
        </w:tc>
        <w:tc>
          <w:tcPr>
            <w:tcW w:w="4535" w:type="dxa"/>
            <w:vAlign w:val="center"/>
          </w:tcPr>
          <w:p>
            <w:pPr>
              <w:pStyle w:val="13"/>
            </w:pPr>
            <w:r>
              <w:t>事业单位离退休</w:t>
            </w:r>
          </w:p>
        </w:tc>
        <w:tc>
          <w:tcPr>
            <w:tcW w:w="2551" w:type="dxa"/>
            <w:vAlign w:val="center"/>
          </w:tcPr>
          <w:p>
            <w:pPr>
              <w:pStyle w:val="12"/>
            </w:pPr>
            <w:r>
              <w:t>4.43</w:t>
            </w:r>
          </w:p>
        </w:tc>
        <w:tc>
          <w:tcPr>
            <w:tcW w:w="2551" w:type="dxa"/>
            <w:vAlign w:val="center"/>
          </w:tcPr>
          <w:p>
            <w:pPr>
              <w:pStyle w:val="12"/>
            </w:pPr>
            <w:r>
              <w:t>4.43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8.37</w:t>
            </w:r>
          </w:p>
        </w:tc>
        <w:tc>
          <w:tcPr>
            <w:tcW w:w="2551" w:type="dxa"/>
            <w:vAlign w:val="center"/>
          </w:tcPr>
          <w:p>
            <w:pPr>
              <w:pStyle w:val="12"/>
            </w:pPr>
            <w:r>
              <w:t>8.37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8.56</w:t>
            </w:r>
          </w:p>
        </w:tc>
        <w:tc>
          <w:tcPr>
            <w:tcW w:w="2551" w:type="dxa"/>
            <w:vAlign w:val="center"/>
          </w:tcPr>
          <w:p>
            <w:pPr>
              <w:pStyle w:val="12"/>
            </w:pPr>
            <w:r>
              <w:t>8.56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21011</w:t>
            </w:r>
          </w:p>
        </w:tc>
        <w:tc>
          <w:tcPr>
            <w:tcW w:w="4535" w:type="dxa"/>
            <w:vAlign w:val="center"/>
          </w:tcPr>
          <w:p>
            <w:pPr>
              <w:pStyle w:val="13"/>
            </w:pPr>
            <w:r>
              <w:t>行政事业单位医疗</w:t>
            </w:r>
          </w:p>
        </w:tc>
        <w:tc>
          <w:tcPr>
            <w:tcW w:w="2551" w:type="dxa"/>
            <w:vAlign w:val="center"/>
          </w:tcPr>
          <w:p>
            <w:pPr>
              <w:pStyle w:val="12"/>
            </w:pPr>
            <w:r>
              <w:t>8.56</w:t>
            </w:r>
          </w:p>
        </w:tc>
        <w:tc>
          <w:tcPr>
            <w:tcW w:w="2551" w:type="dxa"/>
            <w:vAlign w:val="center"/>
          </w:tcPr>
          <w:p>
            <w:pPr>
              <w:pStyle w:val="12"/>
            </w:pPr>
            <w:r>
              <w:t>8.56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2101102</w:t>
            </w:r>
          </w:p>
        </w:tc>
        <w:tc>
          <w:tcPr>
            <w:tcW w:w="4535" w:type="dxa"/>
            <w:vAlign w:val="center"/>
          </w:tcPr>
          <w:p>
            <w:pPr>
              <w:pStyle w:val="13"/>
            </w:pPr>
            <w:r>
              <w:t>事业单位医疗</w:t>
            </w:r>
          </w:p>
        </w:tc>
        <w:tc>
          <w:tcPr>
            <w:tcW w:w="2551" w:type="dxa"/>
            <w:vAlign w:val="center"/>
          </w:tcPr>
          <w:p>
            <w:pPr>
              <w:pStyle w:val="12"/>
            </w:pPr>
            <w:r>
              <w:t>3.32</w:t>
            </w:r>
          </w:p>
        </w:tc>
        <w:tc>
          <w:tcPr>
            <w:tcW w:w="2551" w:type="dxa"/>
            <w:vAlign w:val="center"/>
          </w:tcPr>
          <w:p>
            <w:pPr>
              <w:pStyle w:val="12"/>
            </w:pPr>
            <w:r>
              <w:t>3.32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2101103</w:t>
            </w:r>
          </w:p>
        </w:tc>
        <w:tc>
          <w:tcPr>
            <w:tcW w:w="4535" w:type="dxa"/>
            <w:vAlign w:val="center"/>
          </w:tcPr>
          <w:p>
            <w:pPr>
              <w:pStyle w:val="13"/>
            </w:pPr>
            <w:r>
              <w:t>公务员医疗补助</w:t>
            </w:r>
          </w:p>
        </w:tc>
        <w:tc>
          <w:tcPr>
            <w:tcW w:w="2551" w:type="dxa"/>
            <w:vAlign w:val="center"/>
          </w:tcPr>
          <w:p>
            <w:pPr>
              <w:pStyle w:val="12"/>
            </w:pPr>
            <w:r>
              <w:t>5.24</w:t>
            </w:r>
          </w:p>
        </w:tc>
        <w:tc>
          <w:tcPr>
            <w:tcW w:w="2551" w:type="dxa"/>
            <w:vAlign w:val="center"/>
          </w:tcPr>
          <w:p>
            <w:pPr>
              <w:pStyle w:val="12"/>
            </w:pPr>
            <w:r>
              <w:t>5.24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6.40</w:t>
            </w:r>
          </w:p>
        </w:tc>
        <w:tc>
          <w:tcPr>
            <w:tcW w:w="2551" w:type="dxa"/>
            <w:vAlign w:val="center"/>
          </w:tcPr>
          <w:p>
            <w:pPr>
              <w:pStyle w:val="12"/>
            </w:pPr>
            <w:r>
              <w:t>6.40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6.40</w:t>
            </w:r>
          </w:p>
        </w:tc>
        <w:tc>
          <w:tcPr>
            <w:tcW w:w="2551" w:type="dxa"/>
            <w:vAlign w:val="center"/>
          </w:tcPr>
          <w:p>
            <w:pPr>
              <w:pStyle w:val="12"/>
            </w:pPr>
            <w:r>
              <w:t>6.40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6.40</w:t>
            </w:r>
          </w:p>
        </w:tc>
        <w:tc>
          <w:tcPr>
            <w:tcW w:w="2551" w:type="dxa"/>
            <w:vAlign w:val="center"/>
          </w:tcPr>
          <w:p>
            <w:pPr>
              <w:pStyle w:val="12"/>
            </w:pPr>
            <w:r>
              <w:t>6.40</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241001档案馆秦皇岛市山海关区档案馆本级</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89.68</w:t>
            </w:r>
          </w:p>
        </w:tc>
        <w:tc>
          <w:tcPr>
            <w:tcW w:w="2551" w:type="dxa"/>
            <w:vAlign w:val="center"/>
          </w:tcPr>
          <w:p>
            <w:pPr>
              <w:pStyle w:val="16"/>
            </w:pPr>
            <w:r>
              <w:t>85.81</w:t>
            </w:r>
          </w:p>
        </w:tc>
        <w:tc>
          <w:tcPr>
            <w:tcW w:w="2551" w:type="dxa"/>
            <w:vAlign w:val="center"/>
          </w:tcPr>
          <w:p>
            <w:pPr>
              <w:pStyle w:val="16"/>
            </w:pPr>
            <w:r>
              <w:t>3.87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81.64</w:t>
            </w:r>
          </w:p>
        </w:tc>
        <w:tc>
          <w:tcPr>
            <w:tcW w:w="2551" w:type="dxa"/>
            <w:vAlign w:val="center"/>
          </w:tcPr>
          <w:p>
            <w:pPr>
              <w:pStyle w:val="12"/>
            </w:pPr>
            <w:r>
              <w:t>81.64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27.65</w:t>
            </w:r>
          </w:p>
        </w:tc>
        <w:tc>
          <w:tcPr>
            <w:tcW w:w="2551" w:type="dxa"/>
            <w:vAlign w:val="center"/>
          </w:tcPr>
          <w:p>
            <w:pPr>
              <w:pStyle w:val="12"/>
            </w:pPr>
            <w:r>
              <w:t>27.65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4.37</w:t>
            </w:r>
          </w:p>
        </w:tc>
        <w:tc>
          <w:tcPr>
            <w:tcW w:w="2551" w:type="dxa"/>
            <w:vAlign w:val="center"/>
          </w:tcPr>
          <w:p>
            <w:pPr>
              <w:pStyle w:val="12"/>
            </w:pPr>
            <w:r>
              <w:t>4.37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4.19</w:t>
            </w:r>
          </w:p>
        </w:tc>
        <w:tc>
          <w:tcPr>
            <w:tcW w:w="2551" w:type="dxa"/>
            <w:vAlign w:val="center"/>
          </w:tcPr>
          <w:p>
            <w:pPr>
              <w:pStyle w:val="12"/>
            </w:pPr>
            <w:r>
              <w:t>4.19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pPr>
            <w:r>
              <w:t>21.50</w:t>
            </w:r>
          </w:p>
        </w:tc>
        <w:tc>
          <w:tcPr>
            <w:tcW w:w="2551" w:type="dxa"/>
            <w:vAlign w:val="center"/>
          </w:tcPr>
          <w:p>
            <w:pPr>
              <w:pStyle w:val="12"/>
            </w:pPr>
            <w:r>
              <w:t>21.50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8.37</w:t>
            </w:r>
          </w:p>
        </w:tc>
        <w:tc>
          <w:tcPr>
            <w:tcW w:w="2551" w:type="dxa"/>
            <w:vAlign w:val="center"/>
          </w:tcPr>
          <w:p>
            <w:pPr>
              <w:pStyle w:val="12"/>
            </w:pPr>
            <w:r>
              <w:t>8.37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3.32</w:t>
            </w:r>
          </w:p>
        </w:tc>
        <w:tc>
          <w:tcPr>
            <w:tcW w:w="2551" w:type="dxa"/>
            <w:vAlign w:val="center"/>
          </w:tcPr>
          <w:p>
            <w:pPr>
              <w:pStyle w:val="12"/>
            </w:pPr>
            <w:r>
              <w:t>3.32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30111</w:t>
            </w:r>
          </w:p>
        </w:tc>
        <w:tc>
          <w:tcPr>
            <w:tcW w:w="4535" w:type="dxa"/>
            <w:vAlign w:val="center"/>
          </w:tcPr>
          <w:p>
            <w:pPr>
              <w:pStyle w:val="13"/>
            </w:pPr>
            <w:r>
              <w:t>公务员医疗补助缴费</w:t>
            </w:r>
          </w:p>
        </w:tc>
        <w:tc>
          <w:tcPr>
            <w:tcW w:w="2551" w:type="dxa"/>
            <w:vAlign w:val="center"/>
          </w:tcPr>
          <w:p>
            <w:pPr>
              <w:pStyle w:val="12"/>
            </w:pPr>
            <w:r>
              <w:t>5.24</w:t>
            </w:r>
          </w:p>
        </w:tc>
        <w:tc>
          <w:tcPr>
            <w:tcW w:w="2551" w:type="dxa"/>
            <w:vAlign w:val="center"/>
          </w:tcPr>
          <w:p>
            <w:pPr>
              <w:pStyle w:val="12"/>
            </w:pPr>
            <w:r>
              <w:t>5.24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0.59</w:t>
            </w:r>
          </w:p>
        </w:tc>
        <w:tc>
          <w:tcPr>
            <w:tcW w:w="2551" w:type="dxa"/>
            <w:vAlign w:val="center"/>
          </w:tcPr>
          <w:p>
            <w:pPr>
              <w:pStyle w:val="12"/>
            </w:pPr>
            <w:r>
              <w:t>0.59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6.40</w:t>
            </w:r>
          </w:p>
        </w:tc>
        <w:tc>
          <w:tcPr>
            <w:tcW w:w="2551" w:type="dxa"/>
            <w:vAlign w:val="center"/>
          </w:tcPr>
          <w:p>
            <w:pPr>
              <w:pStyle w:val="12"/>
            </w:pPr>
            <w:r>
              <w:t>6.40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3.78</w:t>
            </w:r>
          </w:p>
        </w:tc>
        <w:tc>
          <w:tcPr>
            <w:tcW w:w="2551" w:type="dxa"/>
            <w:vAlign w:val="center"/>
          </w:tcPr>
          <w:p>
            <w:pPr>
              <w:pStyle w:val="12"/>
            </w:pPr>
          </w:p>
        </w:tc>
        <w:tc>
          <w:tcPr>
            <w:tcW w:w="2551" w:type="dxa"/>
            <w:vAlign w:val="center"/>
          </w:tcPr>
          <w:p>
            <w:pPr>
              <w:pStyle w:val="12"/>
            </w:pPr>
            <w:r>
              <w:t>3.78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0.53</w:t>
            </w:r>
          </w:p>
        </w:tc>
        <w:tc>
          <w:tcPr>
            <w:tcW w:w="2551" w:type="dxa"/>
            <w:vAlign w:val="center"/>
          </w:tcPr>
          <w:p>
            <w:pPr>
              <w:pStyle w:val="12"/>
            </w:pPr>
          </w:p>
        </w:tc>
        <w:tc>
          <w:tcPr>
            <w:tcW w:w="2551" w:type="dxa"/>
            <w:vAlign w:val="center"/>
          </w:tcPr>
          <w:p>
            <w:pPr>
              <w:pStyle w:val="12"/>
            </w:pPr>
            <w:r>
              <w:t>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30207</w:t>
            </w:r>
          </w:p>
        </w:tc>
        <w:tc>
          <w:tcPr>
            <w:tcW w:w="4535" w:type="dxa"/>
            <w:vAlign w:val="center"/>
          </w:tcPr>
          <w:p>
            <w:pPr>
              <w:pStyle w:val="13"/>
            </w:pPr>
            <w:r>
              <w:t>邮电费</w:t>
            </w:r>
          </w:p>
        </w:tc>
        <w:tc>
          <w:tcPr>
            <w:tcW w:w="2551" w:type="dxa"/>
            <w:vAlign w:val="center"/>
          </w:tcPr>
          <w:p>
            <w:pPr>
              <w:pStyle w:val="12"/>
            </w:pPr>
            <w:r>
              <w:t>0.60</w:t>
            </w:r>
          </w:p>
        </w:tc>
        <w:tc>
          <w:tcPr>
            <w:tcW w:w="2551" w:type="dxa"/>
            <w:vAlign w:val="center"/>
          </w:tcPr>
          <w:p>
            <w:pPr>
              <w:pStyle w:val="12"/>
            </w:pPr>
          </w:p>
        </w:tc>
        <w:tc>
          <w:tcPr>
            <w:tcW w:w="2551" w:type="dxa"/>
            <w:vAlign w:val="center"/>
          </w:tcPr>
          <w:p>
            <w:pPr>
              <w:pStyle w:val="12"/>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30211</w:t>
            </w:r>
          </w:p>
        </w:tc>
        <w:tc>
          <w:tcPr>
            <w:tcW w:w="4535" w:type="dxa"/>
            <w:vAlign w:val="center"/>
          </w:tcPr>
          <w:p>
            <w:pPr>
              <w:pStyle w:val="13"/>
            </w:pPr>
            <w:r>
              <w:t>差旅费</w:t>
            </w:r>
          </w:p>
        </w:tc>
        <w:tc>
          <w:tcPr>
            <w:tcW w:w="2551" w:type="dxa"/>
            <w:vAlign w:val="center"/>
          </w:tcPr>
          <w:p>
            <w:pPr>
              <w:pStyle w:val="12"/>
            </w:pPr>
            <w:r>
              <w:t>0.05</w:t>
            </w:r>
          </w:p>
        </w:tc>
        <w:tc>
          <w:tcPr>
            <w:tcW w:w="2551" w:type="dxa"/>
            <w:vAlign w:val="center"/>
          </w:tcPr>
          <w:p>
            <w:pPr>
              <w:pStyle w:val="12"/>
            </w:pPr>
          </w:p>
        </w:tc>
        <w:tc>
          <w:tcPr>
            <w:tcW w:w="2551" w:type="dxa"/>
            <w:vAlign w:val="center"/>
          </w:tcPr>
          <w:p>
            <w:pPr>
              <w:pStyle w:val="12"/>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30213</w:t>
            </w:r>
          </w:p>
        </w:tc>
        <w:tc>
          <w:tcPr>
            <w:tcW w:w="4535" w:type="dxa"/>
            <w:vAlign w:val="center"/>
          </w:tcPr>
          <w:p>
            <w:pPr>
              <w:pStyle w:val="13"/>
            </w:pPr>
            <w:r>
              <w:t>维修(护)费</w:t>
            </w:r>
          </w:p>
        </w:tc>
        <w:tc>
          <w:tcPr>
            <w:tcW w:w="2551" w:type="dxa"/>
            <w:vAlign w:val="center"/>
          </w:tcPr>
          <w:p>
            <w:pPr>
              <w:pStyle w:val="12"/>
            </w:pPr>
            <w:r>
              <w:t>0.35</w:t>
            </w:r>
          </w:p>
        </w:tc>
        <w:tc>
          <w:tcPr>
            <w:tcW w:w="2551" w:type="dxa"/>
            <w:vAlign w:val="center"/>
          </w:tcPr>
          <w:p>
            <w:pPr>
              <w:pStyle w:val="12"/>
            </w:pPr>
          </w:p>
        </w:tc>
        <w:tc>
          <w:tcPr>
            <w:tcW w:w="2551" w:type="dxa"/>
            <w:vAlign w:val="center"/>
          </w:tcPr>
          <w:p>
            <w:pPr>
              <w:pStyle w:val="12"/>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pPr>
            <w:r>
              <w:t>0.98</w:t>
            </w:r>
          </w:p>
        </w:tc>
        <w:tc>
          <w:tcPr>
            <w:tcW w:w="2551" w:type="dxa"/>
            <w:vAlign w:val="center"/>
          </w:tcPr>
          <w:p>
            <w:pPr>
              <w:pStyle w:val="12"/>
            </w:pPr>
          </w:p>
        </w:tc>
        <w:tc>
          <w:tcPr>
            <w:tcW w:w="2551" w:type="dxa"/>
            <w:vAlign w:val="center"/>
          </w:tcPr>
          <w:p>
            <w:pPr>
              <w:pStyle w:val="12"/>
            </w:pPr>
            <w: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2"/>
            </w:pPr>
            <w:r>
              <w:t>0.69</w:t>
            </w:r>
          </w:p>
        </w:tc>
        <w:tc>
          <w:tcPr>
            <w:tcW w:w="2551" w:type="dxa"/>
            <w:vAlign w:val="center"/>
          </w:tcPr>
          <w:p>
            <w:pPr>
              <w:pStyle w:val="12"/>
            </w:pPr>
          </w:p>
        </w:tc>
        <w:tc>
          <w:tcPr>
            <w:tcW w:w="2551" w:type="dxa"/>
            <w:vAlign w:val="center"/>
          </w:tcPr>
          <w:p>
            <w:pPr>
              <w:pStyle w:val="12"/>
            </w:pPr>
            <w:r>
              <w:t>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2"/>
            </w:pPr>
            <w:r>
              <w:t>0.57</w:t>
            </w:r>
          </w:p>
        </w:tc>
        <w:tc>
          <w:tcPr>
            <w:tcW w:w="2551" w:type="dxa"/>
            <w:vAlign w:val="center"/>
          </w:tcPr>
          <w:p>
            <w:pPr>
              <w:pStyle w:val="12"/>
            </w:pPr>
          </w:p>
        </w:tc>
        <w:tc>
          <w:tcPr>
            <w:tcW w:w="2551" w:type="dxa"/>
            <w:vAlign w:val="center"/>
          </w:tcPr>
          <w:p>
            <w:pPr>
              <w:pStyle w:val="12"/>
            </w:pPr>
            <w:r>
              <w:t>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4.17</w:t>
            </w:r>
          </w:p>
        </w:tc>
        <w:tc>
          <w:tcPr>
            <w:tcW w:w="2551" w:type="dxa"/>
            <w:vAlign w:val="center"/>
          </w:tcPr>
          <w:p>
            <w:pPr>
              <w:pStyle w:val="12"/>
            </w:pPr>
            <w:r>
              <w:t>4.17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3.93</w:t>
            </w:r>
          </w:p>
        </w:tc>
        <w:tc>
          <w:tcPr>
            <w:tcW w:w="2551" w:type="dxa"/>
            <w:vAlign w:val="center"/>
          </w:tcPr>
          <w:p>
            <w:pPr>
              <w:pStyle w:val="12"/>
            </w:pPr>
            <w:r>
              <w:t>3.93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30309</w:t>
            </w:r>
          </w:p>
        </w:tc>
        <w:tc>
          <w:tcPr>
            <w:tcW w:w="4535" w:type="dxa"/>
            <w:vAlign w:val="center"/>
          </w:tcPr>
          <w:p>
            <w:pPr>
              <w:pStyle w:val="13"/>
            </w:pPr>
            <w:r>
              <w:t>奖励金</w:t>
            </w:r>
          </w:p>
        </w:tc>
        <w:tc>
          <w:tcPr>
            <w:tcW w:w="2551" w:type="dxa"/>
            <w:vAlign w:val="center"/>
          </w:tcPr>
          <w:p>
            <w:pPr>
              <w:pStyle w:val="12"/>
            </w:pPr>
            <w:r>
              <w:t>0.02</w:t>
            </w:r>
          </w:p>
        </w:tc>
        <w:tc>
          <w:tcPr>
            <w:tcW w:w="2551" w:type="dxa"/>
            <w:vAlign w:val="center"/>
          </w:tcPr>
          <w:p>
            <w:pPr>
              <w:pStyle w:val="12"/>
            </w:pPr>
            <w:r>
              <w:t>0.02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30399</w:t>
            </w:r>
          </w:p>
        </w:tc>
        <w:tc>
          <w:tcPr>
            <w:tcW w:w="4535" w:type="dxa"/>
            <w:vAlign w:val="center"/>
          </w:tcPr>
          <w:p>
            <w:pPr>
              <w:pStyle w:val="13"/>
            </w:pPr>
            <w:r>
              <w:t>其他对个人和家庭的补助</w:t>
            </w:r>
          </w:p>
        </w:tc>
        <w:tc>
          <w:tcPr>
            <w:tcW w:w="2551" w:type="dxa"/>
            <w:vAlign w:val="center"/>
          </w:tcPr>
          <w:p>
            <w:pPr>
              <w:pStyle w:val="12"/>
            </w:pPr>
            <w:r>
              <w:t>0.22</w:t>
            </w:r>
          </w:p>
        </w:tc>
        <w:tc>
          <w:tcPr>
            <w:tcW w:w="2551" w:type="dxa"/>
            <w:vAlign w:val="center"/>
          </w:tcPr>
          <w:p>
            <w:pPr>
              <w:pStyle w:val="12"/>
            </w:pPr>
            <w:r>
              <w:t>0.22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310</w:t>
            </w:r>
          </w:p>
        </w:tc>
        <w:tc>
          <w:tcPr>
            <w:tcW w:w="4535" w:type="dxa"/>
            <w:vAlign w:val="center"/>
          </w:tcPr>
          <w:p>
            <w:pPr>
              <w:pStyle w:val="13"/>
            </w:pPr>
            <w:r>
              <w:t>资本性支出</w:t>
            </w:r>
          </w:p>
        </w:tc>
        <w:tc>
          <w:tcPr>
            <w:tcW w:w="2551" w:type="dxa"/>
            <w:vAlign w:val="center"/>
          </w:tcPr>
          <w:p>
            <w:pPr>
              <w:pStyle w:val="12"/>
            </w:pPr>
            <w:r>
              <w:t>0.09</w:t>
            </w:r>
          </w:p>
        </w:tc>
        <w:tc>
          <w:tcPr>
            <w:tcW w:w="2551" w:type="dxa"/>
            <w:vAlign w:val="center"/>
          </w:tcPr>
          <w:p>
            <w:pPr>
              <w:pStyle w:val="12"/>
            </w:pPr>
          </w:p>
        </w:tc>
        <w:tc>
          <w:tcPr>
            <w:tcW w:w="2551" w:type="dxa"/>
            <w:vAlign w:val="center"/>
          </w:tcPr>
          <w:p>
            <w:pPr>
              <w:pStyle w:val="12"/>
            </w:pPr>
            <w:r>
              <w:t>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1191" w:type="dxa"/>
            <w:vAlign w:val="center"/>
          </w:tcPr>
          <w:p>
            <w:pPr>
              <w:pStyle w:val="13"/>
            </w:pPr>
            <w:r>
              <w:t>31002</w:t>
            </w:r>
          </w:p>
        </w:tc>
        <w:tc>
          <w:tcPr>
            <w:tcW w:w="4535" w:type="dxa"/>
            <w:vAlign w:val="center"/>
          </w:tcPr>
          <w:p>
            <w:pPr>
              <w:pStyle w:val="13"/>
            </w:pPr>
            <w:r>
              <w:t>办公设备购置</w:t>
            </w:r>
          </w:p>
        </w:tc>
        <w:tc>
          <w:tcPr>
            <w:tcW w:w="2551" w:type="dxa"/>
            <w:vAlign w:val="center"/>
          </w:tcPr>
          <w:p>
            <w:pPr>
              <w:pStyle w:val="12"/>
            </w:pPr>
            <w:r>
              <w:t>0.09</w:t>
            </w:r>
          </w:p>
        </w:tc>
        <w:tc>
          <w:tcPr>
            <w:tcW w:w="2551" w:type="dxa"/>
            <w:vAlign w:val="center"/>
          </w:tcPr>
          <w:p>
            <w:pPr>
              <w:pStyle w:val="12"/>
            </w:pPr>
          </w:p>
        </w:tc>
        <w:tc>
          <w:tcPr>
            <w:tcW w:w="2551" w:type="dxa"/>
            <w:vAlign w:val="center"/>
          </w:tcPr>
          <w:p>
            <w:pPr>
              <w:pStyle w:val="12"/>
            </w:pPr>
            <w:r>
              <w:t>0.09</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241001档案馆秦皇岛市山海关区档案馆本级</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241001档案馆秦皇岛市山海关区档案馆本级</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241001档案馆秦皇岛市山海关区档案馆本级</w:t>
            </w:r>
          </w:p>
        </w:tc>
        <w:tc>
          <w:tcPr>
            <w:tcW w:w="2381" w:type="dxa"/>
            <w:tcBorders>
              <w:top w:val="single" w:color="FFFFFF" w:sz="6" w:space="0"/>
              <w:left w:val="single" w:color="FFFFFF" w:sz="6" w:space="0"/>
              <w:right w:val="single" w:color="FFFFFF" w:sz="6" w:space="0"/>
            </w:tcBorders>
            <w:vAlign w:val="center"/>
          </w:tcPr>
          <w:p>
            <w:pPr>
              <w:pStyle w:val="9"/>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4"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p>
        </w:tc>
        <w:tc>
          <w:tcPr>
            <w:tcW w:w="3798" w:type="dxa"/>
            <w:vAlign w:val="center"/>
          </w:tcPr>
          <w:p>
            <w:pPr>
              <w:pStyle w:val="13"/>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档案馆秦皇岛市山海关区档案馆本级2023年单位预算信息公开情况说明</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rPr>
          <w:rFonts w:eastAsia="方正仿宋_GBK"/>
          <w:color w:val="000000"/>
          <w:sz w:val="28"/>
        </w:rPr>
        <w:t>按照《</w:t>
      </w:r>
      <w:r>
        <w:rPr>
          <w:rFonts w:hint="eastAsia" w:eastAsia="方正仿宋_GBK"/>
          <w:color w:val="000000"/>
          <w:sz w:val="28"/>
          <w:lang w:val="en-US" w:eastAsia="zh-CN"/>
        </w:rPr>
        <w:t>中华人民共和国预算法</w:t>
      </w:r>
      <w:r>
        <w:rPr>
          <w:rFonts w:eastAsia="方正仿宋_GBK"/>
          <w:color w:val="000000"/>
          <w:sz w:val="28"/>
        </w:rPr>
        <w:t>》、《地方预决算公开操作规程》和《关于进一步推进预算公开工作的实施意见》规定，现将档案馆秦皇岛市山海关区档案馆本级2023年单位预算公开如下：</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outlineLvl w:val="5"/>
      </w:pPr>
      <w:r>
        <w:rPr>
          <w:rFonts w:ascii="黑体" w:hAnsi="黑体" w:eastAsia="黑体" w:cs="黑体"/>
          <w:color w:val="000000"/>
          <w:sz w:val="32"/>
        </w:rPr>
        <w:t>一、单位职责及机构设置情况</w:t>
      </w:r>
    </w:p>
    <w:p>
      <w:pPr>
        <w:keepNext w:val="0"/>
        <w:keepLines w:val="0"/>
        <w:pageBreakBefore w:val="0"/>
        <w:widowControl/>
        <w:kinsoku/>
        <w:wordWrap/>
        <w:overflowPunct/>
        <w:topLinePunct w:val="0"/>
        <w:autoSpaceDE/>
        <w:autoSpaceDN/>
        <w:bidi w:val="0"/>
        <w:adjustRightInd/>
        <w:snapToGrid/>
        <w:spacing w:line="500" w:lineRule="exact"/>
        <w:ind w:firstLine="643" w:firstLineChars="200"/>
        <w:textAlignment w:val="auto"/>
      </w:pPr>
      <w:r>
        <w:rPr>
          <w:rFonts w:ascii="方正楷体_GBK" w:hAnsi="方正楷体_GBK" w:eastAsia="方正楷体_GBK" w:cs="方正楷体_GBK"/>
          <w:b/>
          <w:color w:val="000000"/>
          <w:sz w:val="32"/>
        </w:rPr>
        <w:t>单位职责：</w:t>
      </w:r>
    </w:p>
    <w:p>
      <w:pPr>
        <w:pStyle w:val="26"/>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t>山海关区档案馆职责说明：</w:t>
      </w:r>
    </w:p>
    <w:p>
      <w:pPr>
        <w:pStyle w:val="26"/>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t>（一）档案收集与整理</w:t>
      </w:r>
    </w:p>
    <w:p>
      <w:pPr>
        <w:pStyle w:val="26"/>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t>绩效指标及标准：文件级目录数据完成量，为利用打好基础；档案完成百分比，档案整理、移交、接收、管理、保存的比率。</w:t>
      </w:r>
    </w:p>
    <w:p>
      <w:pPr>
        <w:pStyle w:val="26"/>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t>（二）档案保管与抢救</w:t>
      </w:r>
    </w:p>
    <w:p>
      <w:pPr>
        <w:pStyle w:val="26"/>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t>绩效指标及标准：档案设施设备完好率，建立健全人防、物防、技防三位一体的档案安全防范体系；档案资料完好率，确保受损档案得到及时抢救，能有效提供利用。</w:t>
      </w:r>
    </w:p>
    <w:p>
      <w:pPr>
        <w:pStyle w:val="26"/>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t>（三）档案征集</w:t>
      </w:r>
    </w:p>
    <w:p>
      <w:pPr>
        <w:pStyle w:val="26"/>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t>绩效指标及标准：征集档案数量（件），征集重大活动和名人档案。</w:t>
      </w:r>
    </w:p>
    <w:p>
      <w:pPr>
        <w:pStyle w:val="26"/>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t>（四）档案科研</w:t>
      </w:r>
    </w:p>
    <w:p>
      <w:pPr>
        <w:pStyle w:val="26"/>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t>绩效指标及标准：馆藏磁带和录像数字化转换率，磁带和录像档案科学管理，方便利用。</w:t>
      </w:r>
    </w:p>
    <w:p>
      <w:pPr>
        <w:pStyle w:val="26"/>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t>（五）档案数字化</w:t>
      </w:r>
    </w:p>
    <w:p>
      <w:pPr>
        <w:pStyle w:val="26"/>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t>绩效指标及标准：数字化档案数 （页），加快存量档案数字化和增量档案电子化步伐。</w:t>
      </w:r>
    </w:p>
    <w:p>
      <w:pPr>
        <w:pStyle w:val="26"/>
        <w:keepNext w:val="0"/>
        <w:keepLines w:val="0"/>
        <w:pageBreakBefore w:val="0"/>
        <w:widowControl/>
        <w:kinsoku/>
        <w:wordWrap/>
        <w:overflowPunct/>
        <w:topLinePunct w:val="0"/>
        <w:autoSpaceDE/>
        <w:autoSpaceDN/>
        <w:bidi w:val="0"/>
        <w:adjustRightInd/>
        <w:snapToGrid/>
        <w:ind w:firstLine="560" w:firstLineChars="200"/>
        <w:textAlignment w:val="auto"/>
      </w:pPr>
      <w:r>
        <w:t>（六）档案编研</w:t>
      </w:r>
    </w:p>
    <w:p>
      <w:pPr>
        <w:pStyle w:val="26"/>
        <w:keepNext w:val="0"/>
        <w:keepLines w:val="0"/>
        <w:pageBreakBefore w:val="0"/>
        <w:widowControl/>
        <w:kinsoku/>
        <w:wordWrap/>
        <w:overflowPunct/>
        <w:topLinePunct w:val="0"/>
        <w:autoSpaceDE/>
        <w:autoSpaceDN/>
        <w:bidi w:val="0"/>
        <w:adjustRightInd/>
        <w:snapToGrid/>
        <w:ind w:firstLine="560" w:firstLineChars="200"/>
        <w:textAlignment w:val="auto"/>
      </w:pPr>
      <w:r>
        <w:t>绩效指标及标准：档案编研完成量（万字），满足社会利用的需要，为更好的认识、研究、开发和建设山海关提供直观而翔实的资料。</w:t>
      </w:r>
    </w:p>
    <w:p>
      <w:pPr>
        <w:pStyle w:val="26"/>
        <w:keepNext w:val="0"/>
        <w:keepLines w:val="0"/>
        <w:pageBreakBefore w:val="0"/>
        <w:widowControl/>
        <w:kinsoku/>
        <w:wordWrap/>
        <w:overflowPunct/>
        <w:topLinePunct w:val="0"/>
        <w:autoSpaceDE/>
        <w:autoSpaceDN/>
        <w:bidi w:val="0"/>
        <w:adjustRightInd/>
        <w:snapToGrid/>
        <w:ind w:firstLine="560" w:firstLineChars="200"/>
        <w:textAlignment w:val="auto"/>
      </w:pPr>
      <w:r>
        <w:t>（七）档案利用</w:t>
      </w:r>
    </w:p>
    <w:p>
      <w:pPr>
        <w:pStyle w:val="26"/>
        <w:keepNext w:val="0"/>
        <w:keepLines w:val="0"/>
        <w:pageBreakBefore w:val="0"/>
        <w:widowControl/>
        <w:kinsoku/>
        <w:wordWrap/>
        <w:overflowPunct/>
        <w:topLinePunct w:val="0"/>
        <w:autoSpaceDE/>
        <w:autoSpaceDN/>
        <w:bidi w:val="0"/>
        <w:adjustRightInd/>
        <w:snapToGrid/>
        <w:ind w:firstLine="560" w:firstLineChars="200"/>
        <w:textAlignment w:val="auto"/>
      </w:pPr>
      <w:r>
        <w:t>绩效指标及标准：调阅档案数量（卷、件）取得经济或社会效益，紧贴区委、政府的中心工作，强化档案服务经济、政治、文化、社会、生态文明建设和党的建设的功能；发挥档案馆资政惠民作用。</w:t>
      </w:r>
    </w:p>
    <w:p>
      <w:pPr>
        <w:pStyle w:val="26"/>
        <w:keepNext w:val="0"/>
        <w:keepLines w:val="0"/>
        <w:pageBreakBefore w:val="0"/>
        <w:widowControl/>
        <w:kinsoku/>
        <w:wordWrap/>
        <w:overflowPunct/>
        <w:topLinePunct w:val="0"/>
        <w:autoSpaceDE/>
        <w:autoSpaceDN/>
        <w:bidi w:val="0"/>
        <w:adjustRightInd/>
        <w:snapToGrid/>
        <w:ind w:firstLine="560" w:firstLineChars="200"/>
        <w:textAlignment w:val="auto"/>
      </w:pPr>
      <w:r>
        <w:t>（八）档案接收</w:t>
      </w:r>
    </w:p>
    <w:p>
      <w:pPr>
        <w:pStyle w:val="26"/>
        <w:keepNext w:val="0"/>
        <w:keepLines w:val="0"/>
        <w:pageBreakBefore w:val="0"/>
        <w:widowControl/>
        <w:kinsoku/>
        <w:wordWrap/>
        <w:overflowPunct/>
        <w:topLinePunct w:val="0"/>
        <w:autoSpaceDE/>
        <w:autoSpaceDN/>
        <w:bidi w:val="0"/>
        <w:adjustRightInd/>
        <w:snapToGrid/>
        <w:ind w:firstLine="560" w:firstLineChars="200"/>
        <w:textAlignment w:val="auto"/>
      </w:pPr>
      <w:r>
        <w:t>绩效指标及标准：接收数量（卷、件），丰富馆藏资源，确保馆藏能够真实、系统、全面地反映本地发展进程。</w:t>
      </w:r>
    </w:p>
    <w:p>
      <w:pPr>
        <w:pStyle w:val="26"/>
        <w:keepNext w:val="0"/>
        <w:keepLines w:val="0"/>
        <w:pageBreakBefore w:val="0"/>
        <w:widowControl/>
        <w:kinsoku/>
        <w:wordWrap/>
        <w:overflowPunct/>
        <w:topLinePunct w:val="0"/>
        <w:autoSpaceDE/>
        <w:autoSpaceDN/>
        <w:bidi w:val="0"/>
        <w:adjustRightInd/>
        <w:snapToGrid/>
        <w:ind w:firstLine="560" w:firstLineChars="200"/>
        <w:textAlignment w:val="auto"/>
      </w:pPr>
      <w:r>
        <w:t>（九）综合事务管理</w:t>
      </w:r>
    </w:p>
    <w:p>
      <w:pPr>
        <w:pStyle w:val="26"/>
        <w:keepNext w:val="0"/>
        <w:keepLines w:val="0"/>
        <w:pageBreakBefore w:val="0"/>
        <w:widowControl/>
        <w:kinsoku/>
        <w:wordWrap/>
        <w:overflowPunct/>
        <w:topLinePunct w:val="0"/>
        <w:autoSpaceDE/>
        <w:autoSpaceDN/>
        <w:bidi w:val="0"/>
        <w:adjustRightInd/>
        <w:snapToGrid/>
        <w:ind w:firstLine="560" w:firstLineChars="200"/>
        <w:textAlignment w:val="auto"/>
      </w:pPr>
      <w:r>
        <w:t>绩效指标及标准：安全率，保障机关工作正常高效运转。</w:t>
      </w:r>
    </w:p>
    <w:p>
      <w:pPr>
        <w:pStyle w:val="26"/>
        <w:keepNext w:val="0"/>
        <w:keepLines w:val="0"/>
        <w:pageBreakBefore w:val="0"/>
        <w:widowControl/>
        <w:kinsoku/>
        <w:wordWrap/>
        <w:overflowPunct/>
        <w:topLinePunct w:val="0"/>
        <w:autoSpaceDE/>
        <w:autoSpaceDN/>
        <w:bidi w:val="0"/>
        <w:adjustRightInd/>
        <w:snapToGrid/>
        <w:ind w:firstLine="560" w:firstLineChars="200"/>
        <w:textAlignment w:val="auto"/>
      </w:pPr>
      <w:r>
        <w:t>（十）档案指导</w:t>
      </w:r>
    </w:p>
    <w:p>
      <w:pPr>
        <w:pStyle w:val="26"/>
        <w:keepNext w:val="0"/>
        <w:keepLines w:val="0"/>
        <w:pageBreakBefore w:val="0"/>
        <w:widowControl/>
        <w:kinsoku/>
        <w:wordWrap/>
        <w:overflowPunct/>
        <w:topLinePunct w:val="0"/>
        <w:autoSpaceDE/>
        <w:autoSpaceDN/>
        <w:bidi w:val="0"/>
        <w:adjustRightInd/>
        <w:snapToGrid/>
        <w:ind w:firstLine="560" w:firstLineChars="200"/>
        <w:textAlignment w:val="auto"/>
      </w:pPr>
      <w:r>
        <w:t>绩效指标及标准：指导单位数量(个)，全区档案规范管理，严防档案流失。</w:t>
      </w:r>
    </w:p>
    <w:p>
      <w:pPr>
        <w:pStyle w:val="26"/>
        <w:keepNext w:val="0"/>
        <w:keepLines w:val="0"/>
        <w:pageBreakBefore w:val="0"/>
        <w:widowControl/>
        <w:kinsoku/>
        <w:wordWrap/>
        <w:overflowPunct/>
        <w:topLinePunct w:val="0"/>
        <w:autoSpaceDE/>
        <w:autoSpaceDN/>
        <w:bidi w:val="0"/>
        <w:adjustRightInd/>
        <w:snapToGrid/>
        <w:ind w:firstLine="560" w:firstLineChars="200"/>
        <w:textAlignment w:val="auto"/>
      </w:pPr>
    </w:p>
    <w:p>
      <w:pPr>
        <w:pStyle w:val="26"/>
        <w:keepNext w:val="0"/>
        <w:keepLines w:val="0"/>
        <w:pageBreakBefore w:val="0"/>
        <w:widowControl/>
        <w:kinsoku/>
        <w:wordWrap/>
        <w:overflowPunct/>
        <w:topLinePunct w:val="0"/>
        <w:autoSpaceDE/>
        <w:autoSpaceDN/>
        <w:bidi w:val="0"/>
        <w:adjustRightInd/>
        <w:snapToGrid/>
        <w:ind w:firstLine="560" w:firstLineChars="200"/>
        <w:textAlignment w:val="auto"/>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档案馆秦皇岛市山海关区档案馆本级</w:t>
            </w:r>
          </w:p>
        </w:tc>
        <w:tc>
          <w:tcPr>
            <w:tcW w:w="1843" w:type="dxa"/>
            <w:vAlign w:val="center"/>
          </w:tcPr>
          <w:p>
            <w:pPr>
              <w:pStyle w:val="14"/>
            </w:pPr>
            <w:r>
              <w:t>事业</w:t>
            </w:r>
          </w:p>
        </w:tc>
        <w:tc>
          <w:tcPr>
            <w:tcW w:w="2126" w:type="dxa"/>
            <w:vAlign w:val="center"/>
          </w:tcPr>
          <w:p>
            <w:pPr>
              <w:pStyle w:val="14"/>
            </w:pPr>
            <w:r>
              <w:t>正科级</w:t>
            </w:r>
          </w:p>
        </w:tc>
        <w:tc>
          <w:tcPr>
            <w:tcW w:w="3827" w:type="dxa"/>
            <w:vAlign w:val="center"/>
          </w:tcPr>
          <w:p>
            <w:pPr>
              <w:pStyle w:val="14"/>
            </w:pPr>
            <w:r>
              <w:t>财政性资金基本保证</w:t>
            </w:r>
          </w:p>
        </w:tc>
      </w:tr>
    </w:tbl>
    <w:p>
      <w:pPr>
        <w:spacing w:before="10" w:after="10"/>
        <w:ind w:firstLine="640"/>
        <w:outlineLvl w:val="5"/>
        <w:rPr>
          <w:rFonts w:ascii="黑体" w:hAnsi="黑体" w:eastAsia="黑体" w:cs="黑体"/>
          <w:color w:val="000000"/>
          <w:sz w:val="32"/>
        </w:rPr>
      </w:pP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outlineLvl w:val="5"/>
      </w:pPr>
      <w:r>
        <w:rPr>
          <w:rFonts w:ascii="黑体" w:hAnsi="黑体" w:eastAsia="黑体" w:cs="黑体"/>
          <w:color w:val="000000"/>
          <w:sz w:val="32"/>
        </w:rPr>
        <w:t>二、单位预算安排的总体情况</w:t>
      </w:r>
    </w:p>
    <w:p>
      <w:pPr>
        <w:pStyle w:val="27"/>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t>按照预算管理有关规定，目前我区预算的编制实行综合预算制度，即全部收入和支出都反映在预算中。</w:t>
      </w:r>
      <w:r>
        <w:rPr>
          <w:rFonts w:eastAsia="方正仿宋_GBK"/>
          <w:color w:val="000000"/>
          <w:sz w:val="28"/>
        </w:rPr>
        <w:t>档案馆秦皇岛市山海关区档案馆本级</w:t>
      </w:r>
      <w:r>
        <w:t>的收支包含在预算中。</w:t>
      </w:r>
    </w:p>
    <w:p>
      <w:pPr>
        <w:pStyle w:val="27"/>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t>1、收入说明</w:t>
      </w:r>
    </w:p>
    <w:p>
      <w:pPr>
        <w:pStyle w:val="27"/>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t>反映本单位当年全部收入。2023年预算收入为105.6</w:t>
      </w:r>
      <w:r>
        <w:rPr>
          <w:rFonts w:hint="eastAsia"/>
          <w:lang w:val="en-US" w:eastAsia="zh-CN"/>
        </w:rPr>
        <w:t>8</w:t>
      </w:r>
      <w:r>
        <w:t>万元，其中：一般公共预算收入105.6</w:t>
      </w:r>
      <w:r>
        <w:rPr>
          <w:rFonts w:hint="eastAsia"/>
          <w:lang w:val="en-US" w:eastAsia="zh-CN"/>
        </w:rPr>
        <w:t>8</w:t>
      </w:r>
      <w:r>
        <w:t>万元，基金预算收入0</w:t>
      </w:r>
      <w:r>
        <w:rPr>
          <w:rFonts w:hint="eastAsia"/>
          <w:lang w:eastAsia="zh-CN"/>
        </w:rPr>
        <w:t>万</w:t>
      </w:r>
      <w:r>
        <w:t>元，财政专户核拨收入0</w:t>
      </w:r>
      <w:r>
        <w:rPr>
          <w:rFonts w:hint="eastAsia"/>
          <w:lang w:eastAsia="zh-CN"/>
        </w:rPr>
        <w:t>万</w:t>
      </w:r>
      <w:r>
        <w:t>元，其他来源收入0</w:t>
      </w:r>
      <w:r>
        <w:rPr>
          <w:rFonts w:hint="eastAsia"/>
          <w:lang w:eastAsia="zh-CN"/>
        </w:rPr>
        <w:t>万</w:t>
      </w:r>
      <w:r>
        <w:t>元。</w:t>
      </w:r>
    </w:p>
    <w:p>
      <w:pPr>
        <w:pStyle w:val="27"/>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t>2、支出说明</w:t>
      </w:r>
    </w:p>
    <w:p>
      <w:pPr>
        <w:pStyle w:val="27"/>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rPr>
          <w:rFonts w:hint="eastAsia"/>
          <w:lang w:val="en-US" w:eastAsia="uk-UA"/>
        </w:rPr>
        <w:t>收支预算总表支出栏、基本支出表、项目支出表按经济分类和支出功能分类科目编制，反映</w:t>
      </w:r>
      <w:r>
        <w:rPr>
          <w:rFonts w:eastAsia="方正仿宋_GBK"/>
          <w:color w:val="000000"/>
          <w:sz w:val="28"/>
        </w:rPr>
        <w:t>档案馆秦皇岛市山海关区档案馆本级</w:t>
      </w:r>
      <w:r>
        <w:rPr>
          <w:rFonts w:hint="eastAsia"/>
          <w:lang w:val="en-US" w:eastAsia="uk-UA"/>
        </w:rPr>
        <w:t>年度</w:t>
      </w:r>
      <w:r>
        <w:rPr>
          <w:rFonts w:hint="eastAsia"/>
          <w:lang w:val="en-US" w:eastAsia="zh-CN"/>
        </w:rPr>
        <w:t>单位</w:t>
      </w:r>
      <w:r>
        <w:rPr>
          <w:rFonts w:hint="eastAsia"/>
          <w:lang w:val="en-US" w:eastAsia="uk-UA"/>
        </w:rPr>
        <w:t>预算中支出预算的总体情况</w:t>
      </w:r>
      <w:r>
        <w:rPr>
          <w:rFonts w:hint="eastAsia"/>
          <w:lang w:val="en-US" w:eastAsia="zh-CN"/>
        </w:rPr>
        <w:t>。</w:t>
      </w:r>
      <w:r>
        <w:t>2023年预算支出为105.6</w:t>
      </w:r>
      <w:r>
        <w:rPr>
          <w:rFonts w:hint="eastAsia"/>
          <w:lang w:val="en-US" w:eastAsia="zh-CN"/>
        </w:rPr>
        <w:t>8</w:t>
      </w:r>
      <w:r>
        <w:t>万元，其中：基本支出89.6</w:t>
      </w:r>
      <w:r>
        <w:rPr>
          <w:rFonts w:hint="eastAsia"/>
          <w:lang w:val="en-US" w:eastAsia="zh-CN"/>
        </w:rPr>
        <w:t>8</w:t>
      </w:r>
      <w:r>
        <w:t>万元，主要是人员经费85.8</w:t>
      </w:r>
      <w:r>
        <w:rPr>
          <w:rFonts w:hint="eastAsia"/>
          <w:lang w:val="en-US" w:eastAsia="zh-CN"/>
        </w:rPr>
        <w:t>1</w:t>
      </w:r>
      <w:r>
        <w:t>万元和日常公用经费3.8</w:t>
      </w:r>
      <w:r>
        <w:rPr>
          <w:rFonts w:hint="eastAsia"/>
          <w:lang w:val="en-US" w:eastAsia="zh-CN"/>
        </w:rPr>
        <w:t>7</w:t>
      </w:r>
      <w:r>
        <w:t>万元；项目支出16万元，主要为人事代理专项补助支出11万元和日常管理维护费支出5万元。</w:t>
      </w:r>
    </w:p>
    <w:p>
      <w:pPr>
        <w:pStyle w:val="27"/>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lang w:val="en-US" w:eastAsia="uk-UA"/>
        </w:rPr>
      </w:pPr>
      <w:r>
        <w:rPr>
          <w:rFonts w:hint="eastAsia"/>
          <w:lang w:val="en-US" w:eastAsia="uk-UA"/>
        </w:rPr>
        <w:t>3、比上年增减情况</w:t>
      </w:r>
    </w:p>
    <w:p>
      <w:pPr>
        <w:pStyle w:val="27"/>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lang w:val="en-US" w:eastAsia="uk-UA"/>
        </w:rPr>
      </w:pPr>
      <w:r>
        <w:rPr>
          <w:rFonts w:hint="eastAsia"/>
          <w:lang w:val="en-US" w:eastAsia="uk-UA"/>
        </w:rPr>
        <w:t>2023年预算支出安排105.6</w:t>
      </w:r>
      <w:r>
        <w:rPr>
          <w:rFonts w:hint="eastAsia"/>
          <w:lang w:val="en-US" w:eastAsia="zh-CN"/>
        </w:rPr>
        <w:t>8</w:t>
      </w:r>
      <w:r>
        <w:rPr>
          <w:rFonts w:hint="eastAsia"/>
          <w:lang w:val="en-US" w:eastAsia="uk-UA"/>
        </w:rPr>
        <w:t>万元，较2022年预算增加25.</w:t>
      </w:r>
      <w:r>
        <w:rPr>
          <w:rFonts w:hint="eastAsia"/>
          <w:lang w:val="en-US" w:eastAsia="zh-CN"/>
        </w:rPr>
        <w:t>42</w:t>
      </w:r>
      <w:r>
        <w:rPr>
          <w:rFonts w:hint="eastAsia"/>
          <w:lang w:val="en-US" w:eastAsia="uk-UA"/>
        </w:rPr>
        <w:t>万元，其中</w:t>
      </w:r>
      <w:r>
        <w:rPr>
          <w:rFonts w:hint="eastAsia"/>
          <w:lang w:val="en-US" w:eastAsia="zh-CN"/>
        </w:rPr>
        <w:t>基本支出增加24.42万元，主要为人员经费增加23.68万元和日常公用经费增加0.74万元；</w:t>
      </w:r>
      <w:r>
        <w:rPr>
          <w:rFonts w:hint="eastAsia"/>
          <w:lang w:val="en-US" w:eastAsia="uk-UA"/>
        </w:rPr>
        <w:t>项目支出增加人事代理专项补助支出1万元</w:t>
      </w:r>
      <w:r>
        <w:rPr>
          <w:rFonts w:hint="eastAsia"/>
          <w:lang w:val="en-US" w:eastAsia="zh-CN"/>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outlineLvl w:val="5"/>
      </w:pPr>
      <w:r>
        <w:rPr>
          <w:rFonts w:ascii="黑体" w:hAnsi="黑体" w:eastAsia="黑体" w:cs="黑体"/>
          <w:color w:val="000000"/>
          <w:sz w:val="32"/>
        </w:rPr>
        <w:t>三、机关运行经费安排情况</w:t>
      </w:r>
    </w:p>
    <w:p>
      <w:pPr>
        <w:pStyle w:val="28"/>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rPr>
          <w:rFonts w:hint="eastAsia"/>
          <w:lang w:val="en-US" w:eastAsia="zh-CN"/>
        </w:rPr>
        <w:t>2023</w:t>
      </w:r>
      <w:r>
        <w:t>年度机关运行经费预算安排3.87万元，主要用于办公费0.53万元、邮电费0.6</w:t>
      </w:r>
      <w:r>
        <w:rPr>
          <w:rFonts w:hint="eastAsia"/>
          <w:lang w:val="en-US" w:eastAsia="zh-CN"/>
        </w:rPr>
        <w:t>0</w:t>
      </w:r>
      <w:r>
        <w:t>万元、差旅费0.05万元、维修（护）费0.2</w:t>
      </w:r>
      <w:r>
        <w:rPr>
          <w:rFonts w:hint="eastAsia"/>
          <w:lang w:val="en-US" w:eastAsia="zh-CN"/>
        </w:rPr>
        <w:t>0</w:t>
      </w:r>
      <w:r>
        <w:t>万元、办公设备购置费0.06万元、印刷费0.03万元、工会经费0.98万元、福利费1.19万元、党建工作经费0.05万元、网络运行维护费0.15万元、不可预见费0.03万元</w:t>
      </w:r>
      <w:r>
        <w:rPr>
          <w:rFonts w:hint="eastAsia"/>
          <w:lang w:eastAsia="zh-CN"/>
        </w:rPr>
        <w:t>等日常运行支出</w:t>
      </w:r>
      <w: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outlineLvl w:val="5"/>
      </w:pPr>
      <w:r>
        <w:rPr>
          <w:rFonts w:ascii="黑体" w:hAnsi="黑体" w:eastAsia="黑体" w:cs="黑体"/>
          <w:color w:val="000000"/>
          <w:sz w:val="32"/>
        </w:rPr>
        <w:t>四、财政拨款“三公”经费预算情况及增减变化原因</w:t>
      </w:r>
    </w:p>
    <w:p>
      <w:pPr>
        <w:pStyle w:val="29"/>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rPr>
          <w:rFonts w:hint="eastAsia"/>
          <w:lang w:val="en-US" w:eastAsia="zh-CN"/>
        </w:rPr>
        <w:t>2023年，</w:t>
      </w:r>
      <w:r>
        <w:t>我单位财政拨款“三公”经费预算安排0元，与上年持平，无增减变化。</w:t>
      </w:r>
    </w:p>
    <w:p>
      <w:pPr>
        <w:pStyle w:val="29"/>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p>
    <w:p>
      <w:pPr>
        <w:numPr>
          <w:ilvl w:val="0"/>
          <w:numId w:val="1"/>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预算绩效信息</w:t>
      </w:r>
    </w:p>
    <w:p>
      <w:pPr>
        <w:numPr>
          <w:ilvl w:val="0"/>
          <w:numId w:val="0"/>
        </w:numPr>
        <w:spacing w:before="10" w:after="10"/>
        <w:outlineLvl w:val="5"/>
        <w:rPr>
          <w:rFonts w:ascii="黑体" w:hAnsi="黑体" w:eastAsia="黑体" w:cs="黑体"/>
          <w:color w:val="000000"/>
          <w:sz w:val="32"/>
        </w:rPr>
      </w:pPr>
    </w:p>
    <w:p>
      <w:pPr>
        <w:ind w:firstLine="560"/>
      </w:pPr>
      <w:r>
        <w:rPr>
          <w:rFonts w:ascii="方正仿宋_GBK" w:hAnsi="方正仿宋_GBK" w:eastAsia="方正仿宋_GBK" w:cs="方正仿宋_GBK"/>
          <w:b/>
          <w:color w:val="000000"/>
          <w:sz w:val="28"/>
        </w:rPr>
        <w:t>1、日常管理维护费绩效目标表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1.保障单位正常运转</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支付公用经费人数</w:t>
            </w:r>
          </w:p>
        </w:tc>
        <w:tc>
          <w:tcPr>
            <w:tcW w:w="2835" w:type="dxa"/>
            <w:vAlign w:val="center"/>
          </w:tcPr>
          <w:p>
            <w:pPr>
              <w:pStyle w:val="13"/>
            </w:pPr>
            <w:r>
              <w:t>支付公用经费人数</w:t>
            </w:r>
          </w:p>
        </w:tc>
        <w:tc>
          <w:tcPr>
            <w:tcW w:w="2551" w:type="dxa"/>
            <w:vAlign w:val="center"/>
          </w:tcPr>
          <w:p>
            <w:pPr>
              <w:pStyle w:val="13"/>
            </w:pPr>
            <w:r>
              <w:t>是/否</w:t>
            </w:r>
          </w:p>
        </w:tc>
        <w:tc>
          <w:tcPr>
            <w:tcW w:w="2268"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办公设备正常运行率</w:t>
            </w:r>
          </w:p>
        </w:tc>
        <w:tc>
          <w:tcPr>
            <w:tcW w:w="2835" w:type="dxa"/>
            <w:vAlign w:val="center"/>
          </w:tcPr>
          <w:p>
            <w:pPr>
              <w:pStyle w:val="13"/>
            </w:pPr>
            <w:r>
              <w:t>办公设备正常运行率</w:t>
            </w:r>
          </w:p>
        </w:tc>
        <w:tc>
          <w:tcPr>
            <w:tcW w:w="2551" w:type="dxa"/>
            <w:vAlign w:val="center"/>
          </w:tcPr>
          <w:p>
            <w:pPr>
              <w:pStyle w:val="13"/>
            </w:pPr>
            <w:r>
              <w:t>是/否</w:t>
            </w:r>
          </w:p>
        </w:tc>
        <w:tc>
          <w:tcPr>
            <w:tcW w:w="2268"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按项目计划完成工作</w:t>
            </w:r>
          </w:p>
        </w:tc>
        <w:tc>
          <w:tcPr>
            <w:tcW w:w="2835" w:type="dxa"/>
            <w:vAlign w:val="center"/>
          </w:tcPr>
          <w:p>
            <w:pPr>
              <w:pStyle w:val="13"/>
            </w:pPr>
            <w:r>
              <w:t>按照工作要求按时完成预定计划</w:t>
            </w:r>
          </w:p>
        </w:tc>
        <w:tc>
          <w:tcPr>
            <w:tcW w:w="2551" w:type="dxa"/>
            <w:vAlign w:val="center"/>
          </w:tcPr>
          <w:p>
            <w:pPr>
              <w:pStyle w:val="13"/>
            </w:pPr>
            <w:r>
              <w:t>是/否</w:t>
            </w:r>
          </w:p>
        </w:tc>
        <w:tc>
          <w:tcPr>
            <w:tcW w:w="2268"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项目控制预算数</w:t>
            </w:r>
          </w:p>
        </w:tc>
        <w:tc>
          <w:tcPr>
            <w:tcW w:w="2835" w:type="dxa"/>
            <w:vAlign w:val="center"/>
          </w:tcPr>
          <w:p>
            <w:pPr>
              <w:pStyle w:val="13"/>
            </w:pPr>
            <w:r>
              <w:t>不超过财政支持经费</w:t>
            </w:r>
          </w:p>
        </w:tc>
        <w:tc>
          <w:tcPr>
            <w:tcW w:w="2551" w:type="dxa"/>
            <w:vAlign w:val="center"/>
          </w:tcPr>
          <w:p>
            <w:pPr>
              <w:pStyle w:val="13"/>
            </w:pPr>
            <w:r>
              <w:t>是/否</w:t>
            </w:r>
          </w:p>
        </w:tc>
        <w:tc>
          <w:tcPr>
            <w:tcW w:w="2268"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提高工作效率</w:t>
            </w:r>
          </w:p>
        </w:tc>
        <w:tc>
          <w:tcPr>
            <w:tcW w:w="2835" w:type="dxa"/>
            <w:vAlign w:val="center"/>
          </w:tcPr>
          <w:p>
            <w:pPr>
              <w:pStyle w:val="13"/>
            </w:pPr>
            <w:r>
              <w:t>是否能提高工作效率</w:t>
            </w:r>
          </w:p>
        </w:tc>
        <w:tc>
          <w:tcPr>
            <w:tcW w:w="2551" w:type="dxa"/>
            <w:vAlign w:val="center"/>
          </w:tcPr>
          <w:p>
            <w:pPr>
              <w:pStyle w:val="13"/>
            </w:pPr>
            <w:r>
              <w:t>是/否</w:t>
            </w:r>
          </w:p>
        </w:tc>
        <w:tc>
          <w:tcPr>
            <w:tcW w:w="2268"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业务保障能力</w:t>
            </w:r>
          </w:p>
        </w:tc>
        <w:tc>
          <w:tcPr>
            <w:tcW w:w="2835" w:type="dxa"/>
            <w:vAlign w:val="center"/>
          </w:tcPr>
          <w:p>
            <w:pPr>
              <w:pStyle w:val="13"/>
            </w:pPr>
            <w:r>
              <w:t>保障相关业务、工作等开展的情况</w:t>
            </w:r>
          </w:p>
        </w:tc>
        <w:tc>
          <w:tcPr>
            <w:tcW w:w="2551" w:type="dxa"/>
            <w:vAlign w:val="center"/>
          </w:tcPr>
          <w:p>
            <w:pPr>
              <w:pStyle w:val="13"/>
            </w:pPr>
            <w:r>
              <w:t>是/否</w:t>
            </w:r>
          </w:p>
        </w:tc>
        <w:tc>
          <w:tcPr>
            <w:tcW w:w="2268"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生态效益指标</w:t>
            </w:r>
          </w:p>
        </w:tc>
        <w:tc>
          <w:tcPr>
            <w:tcW w:w="2835" w:type="dxa"/>
            <w:vAlign w:val="center"/>
          </w:tcPr>
          <w:p>
            <w:pPr>
              <w:pStyle w:val="13"/>
            </w:pPr>
            <w:r>
              <w:t>节约成本</w:t>
            </w:r>
          </w:p>
        </w:tc>
        <w:tc>
          <w:tcPr>
            <w:tcW w:w="2835" w:type="dxa"/>
            <w:vAlign w:val="center"/>
          </w:tcPr>
          <w:p>
            <w:pPr>
              <w:pStyle w:val="13"/>
            </w:pPr>
            <w:r>
              <w:t>节约资源，降低能耗，实现绿色办公</w:t>
            </w:r>
          </w:p>
        </w:tc>
        <w:tc>
          <w:tcPr>
            <w:tcW w:w="2551" w:type="dxa"/>
            <w:vAlign w:val="center"/>
          </w:tcPr>
          <w:p>
            <w:pPr>
              <w:pStyle w:val="13"/>
            </w:pPr>
            <w:r>
              <w:t>是/否</w:t>
            </w:r>
          </w:p>
        </w:tc>
        <w:tc>
          <w:tcPr>
            <w:tcW w:w="2268"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长期使用性</w:t>
            </w:r>
          </w:p>
        </w:tc>
        <w:tc>
          <w:tcPr>
            <w:tcW w:w="2835" w:type="dxa"/>
            <w:vAlign w:val="center"/>
          </w:tcPr>
          <w:p>
            <w:pPr>
              <w:pStyle w:val="13"/>
            </w:pPr>
            <w:r>
              <w:t>能够长期较好地满足工作需求</w:t>
            </w:r>
          </w:p>
        </w:tc>
        <w:tc>
          <w:tcPr>
            <w:tcW w:w="2551" w:type="dxa"/>
            <w:vAlign w:val="center"/>
          </w:tcPr>
          <w:p>
            <w:pPr>
              <w:pStyle w:val="13"/>
            </w:pPr>
            <w:r>
              <w:t>是/否</w:t>
            </w:r>
          </w:p>
        </w:tc>
        <w:tc>
          <w:tcPr>
            <w:tcW w:w="2268"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单位工作人员满意度</w:t>
            </w:r>
          </w:p>
        </w:tc>
        <w:tc>
          <w:tcPr>
            <w:tcW w:w="2835" w:type="dxa"/>
            <w:vAlign w:val="center"/>
          </w:tcPr>
          <w:p>
            <w:pPr>
              <w:pStyle w:val="13"/>
            </w:pPr>
            <w:r>
              <w:t>单位工作人员满意度</w:t>
            </w:r>
          </w:p>
        </w:tc>
        <w:tc>
          <w:tcPr>
            <w:tcW w:w="2551" w:type="dxa"/>
            <w:vAlign w:val="center"/>
          </w:tcPr>
          <w:p>
            <w:pPr>
              <w:pStyle w:val="13"/>
            </w:pPr>
            <w:r>
              <w:t>是/否</w:t>
            </w:r>
          </w:p>
        </w:tc>
        <w:tc>
          <w:tcPr>
            <w:tcW w:w="2268" w:type="dxa"/>
            <w:vAlign w:val="center"/>
          </w:tcPr>
          <w:p>
            <w:pPr>
              <w:pStyle w:val="13"/>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2、人事代理专项补助绩效目标表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1.保障本单位1名人事代理工资及保险按时拨付</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支付工资及保险人员数量</w:t>
            </w:r>
          </w:p>
        </w:tc>
        <w:tc>
          <w:tcPr>
            <w:tcW w:w="2835" w:type="dxa"/>
            <w:vAlign w:val="center"/>
          </w:tcPr>
          <w:p>
            <w:pPr>
              <w:pStyle w:val="13"/>
            </w:pPr>
            <w:r>
              <w:t>支付工资及保险人员数量</w:t>
            </w:r>
          </w:p>
        </w:tc>
        <w:tc>
          <w:tcPr>
            <w:tcW w:w="2551" w:type="dxa"/>
            <w:vAlign w:val="center"/>
          </w:tcPr>
          <w:p>
            <w:pPr>
              <w:pStyle w:val="13"/>
            </w:pPr>
            <w:r>
              <w:t>100</w:t>
            </w:r>
          </w:p>
        </w:tc>
        <w:tc>
          <w:tcPr>
            <w:tcW w:w="2268"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工资及保险发放准确率</w:t>
            </w:r>
          </w:p>
        </w:tc>
        <w:tc>
          <w:tcPr>
            <w:tcW w:w="2835" w:type="dxa"/>
            <w:vAlign w:val="center"/>
          </w:tcPr>
          <w:p>
            <w:pPr>
              <w:pStyle w:val="13"/>
            </w:pPr>
            <w:r>
              <w:t>工资及保险发放准确率</w:t>
            </w:r>
          </w:p>
        </w:tc>
        <w:tc>
          <w:tcPr>
            <w:tcW w:w="2551" w:type="dxa"/>
            <w:vAlign w:val="center"/>
          </w:tcPr>
          <w:p>
            <w:pPr>
              <w:pStyle w:val="13"/>
            </w:pPr>
            <w:r>
              <w:t>100</w:t>
            </w:r>
          </w:p>
        </w:tc>
        <w:tc>
          <w:tcPr>
            <w:tcW w:w="2268"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资金支付及时率</w:t>
            </w:r>
          </w:p>
        </w:tc>
        <w:tc>
          <w:tcPr>
            <w:tcW w:w="2835" w:type="dxa"/>
            <w:vAlign w:val="center"/>
          </w:tcPr>
          <w:p>
            <w:pPr>
              <w:pStyle w:val="13"/>
            </w:pPr>
            <w:r>
              <w:t>资金支付及时率</w:t>
            </w:r>
          </w:p>
        </w:tc>
        <w:tc>
          <w:tcPr>
            <w:tcW w:w="2551" w:type="dxa"/>
            <w:vAlign w:val="center"/>
          </w:tcPr>
          <w:p>
            <w:pPr>
              <w:pStyle w:val="13"/>
            </w:pPr>
            <w:r>
              <w:t>100</w:t>
            </w:r>
          </w:p>
        </w:tc>
        <w:tc>
          <w:tcPr>
            <w:tcW w:w="2268"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控制在预算资金内</w:t>
            </w:r>
          </w:p>
        </w:tc>
        <w:tc>
          <w:tcPr>
            <w:tcW w:w="2835" w:type="dxa"/>
            <w:vAlign w:val="center"/>
          </w:tcPr>
          <w:p>
            <w:pPr>
              <w:pStyle w:val="13"/>
            </w:pPr>
            <w:r>
              <w:t>控制在预算资金内</w:t>
            </w:r>
          </w:p>
        </w:tc>
        <w:tc>
          <w:tcPr>
            <w:tcW w:w="2551" w:type="dxa"/>
            <w:vAlign w:val="center"/>
          </w:tcPr>
          <w:p>
            <w:pPr>
              <w:pStyle w:val="13"/>
            </w:pPr>
            <w:r>
              <w:t>100</w:t>
            </w:r>
          </w:p>
        </w:tc>
        <w:tc>
          <w:tcPr>
            <w:tcW w:w="2268"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资金使用效益</w:t>
            </w:r>
          </w:p>
        </w:tc>
        <w:tc>
          <w:tcPr>
            <w:tcW w:w="2835" w:type="dxa"/>
            <w:vAlign w:val="center"/>
          </w:tcPr>
          <w:p>
            <w:pPr>
              <w:pStyle w:val="13"/>
            </w:pPr>
            <w:r>
              <w:t>资金支出情况</w:t>
            </w:r>
          </w:p>
        </w:tc>
        <w:tc>
          <w:tcPr>
            <w:tcW w:w="2551" w:type="dxa"/>
            <w:vAlign w:val="center"/>
          </w:tcPr>
          <w:p>
            <w:pPr>
              <w:pStyle w:val="13"/>
            </w:pPr>
            <w:r>
              <w:t>100</w:t>
            </w:r>
          </w:p>
        </w:tc>
        <w:tc>
          <w:tcPr>
            <w:tcW w:w="2268"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业务工作稳定性</w:t>
            </w:r>
          </w:p>
        </w:tc>
        <w:tc>
          <w:tcPr>
            <w:tcW w:w="2835" w:type="dxa"/>
            <w:vAlign w:val="center"/>
          </w:tcPr>
          <w:p>
            <w:pPr>
              <w:pStyle w:val="13"/>
            </w:pPr>
            <w:r>
              <w:t>日常工作稳定运转</w:t>
            </w:r>
          </w:p>
        </w:tc>
        <w:tc>
          <w:tcPr>
            <w:tcW w:w="2551" w:type="dxa"/>
            <w:vAlign w:val="center"/>
          </w:tcPr>
          <w:p>
            <w:pPr>
              <w:pStyle w:val="13"/>
            </w:pPr>
            <w:r>
              <w:t>100</w:t>
            </w:r>
          </w:p>
        </w:tc>
        <w:tc>
          <w:tcPr>
            <w:tcW w:w="2268"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生态效益指标</w:t>
            </w:r>
          </w:p>
        </w:tc>
        <w:tc>
          <w:tcPr>
            <w:tcW w:w="2835" w:type="dxa"/>
            <w:vAlign w:val="center"/>
          </w:tcPr>
          <w:p>
            <w:pPr>
              <w:pStyle w:val="13"/>
            </w:pPr>
            <w:r>
              <w:t>保障社会发展</w:t>
            </w:r>
          </w:p>
        </w:tc>
        <w:tc>
          <w:tcPr>
            <w:tcW w:w="2835" w:type="dxa"/>
            <w:vAlign w:val="center"/>
          </w:tcPr>
          <w:p>
            <w:pPr>
              <w:pStyle w:val="13"/>
            </w:pPr>
            <w:r>
              <w:t>有效提供保障</w:t>
            </w:r>
          </w:p>
        </w:tc>
        <w:tc>
          <w:tcPr>
            <w:tcW w:w="2551" w:type="dxa"/>
            <w:vAlign w:val="center"/>
          </w:tcPr>
          <w:p>
            <w:pPr>
              <w:pStyle w:val="13"/>
            </w:pPr>
            <w:r>
              <w:t>100</w:t>
            </w:r>
          </w:p>
        </w:tc>
        <w:tc>
          <w:tcPr>
            <w:tcW w:w="2268"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保障工作完成</w:t>
            </w:r>
          </w:p>
        </w:tc>
        <w:tc>
          <w:tcPr>
            <w:tcW w:w="2835" w:type="dxa"/>
            <w:vAlign w:val="center"/>
          </w:tcPr>
          <w:p>
            <w:pPr>
              <w:pStyle w:val="13"/>
            </w:pPr>
            <w:r>
              <w:t>保障工作顺利完成</w:t>
            </w:r>
          </w:p>
        </w:tc>
        <w:tc>
          <w:tcPr>
            <w:tcW w:w="2551" w:type="dxa"/>
            <w:vAlign w:val="center"/>
          </w:tcPr>
          <w:p>
            <w:pPr>
              <w:pStyle w:val="13"/>
            </w:pPr>
            <w:r>
              <w:t>100</w:t>
            </w:r>
          </w:p>
        </w:tc>
        <w:tc>
          <w:tcPr>
            <w:tcW w:w="2268"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职工满意度</w:t>
            </w:r>
          </w:p>
        </w:tc>
        <w:tc>
          <w:tcPr>
            <w:tcW w:w="2835" w:type="dxa"/>
            <w:vAlign w:val="center"/>
          </w:tcPr>
          <w:p>
            <w:pPr>
              <w:pStyle w:val="13"/>
            </w:pPr>
            <w:r>
              <w:t>满意度人员占总职工人数</w:t>
            </w:r>
          </w:p>
        </w:tc>
        <w:tc>
          <w:tcPr>
            <w:tcW w:w="2551" w:type="dxa"/>
            <w:vAlign w:val="center"/>
          </w:tcPr>
          <w:p>
            <w:pPr>
              <w:pStyle w:val="13"/>
            </w:pPr>
            <w:r>
              <w:t>100</w:t>
            </w:r>
          </w:p>
        </w:tc>
        <w:tc>
          <w:tcPr>
            <w:tcW w:w="2268" w:type="dxa"/>
            <w:vAlign w:val="center"/>
          </w:tcPr>
          <w:p>
            <w:pPr>
              <w:pStyle w:val="13"/>
            </w:pPr>
            <w:r>
              <w:t>年度工作计划</w:t>
            </w:r>
          </w:p>
        </w:tc>
      </w:tr>
    </w:tbl>
    <w:p>
      <w:pPr>
        <w:numPr>
          <w:ilvl w:val="0"/>
          <w:numId w:val="0"/>
        </w:numPr>
        <w:spacing w:before="10" w:after="10"/>
        <w:outlineLvl w:val="5"/>
        <w:rPr>
          <w:rFonts w:ascii="黑体" w:hAnsi="黑体" w:eastAsia="黑体" w:cs="黑体"/>
          <w:color w:val="000000"/>
          <w:sz w:val="32"/>
        </w:rPr>
        <w:sectPr>
          <w:pgSz w:w="16840" w:h="11900" w:orient="landscape"/>
          <w:pgMar w:top="1361" w:right="1020" w:bottom="1361"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outlineLvl w:val="5"/>
      </w:pPr>
      <w:r>
        <w:rPr>
          <w:rFonts w:ascii="黑体" w:hAnsi="黑体" w:eastAsia="黑体" w:cs="黑体"/>
          <w:color w:val="000000"/>
          <w:sz w:val="32"/>
        </w:rPr>
        <w:t>六、政府采购预算情况</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rPr>
          <w:rFonts w:eastAsia="方正仿宋_GBK"/>
          <w:color w:val="000000"/>
          <w:sz w:val="28"/>
        </w:rPr>
        <w:t>2023年，档案馆秦皇岛市山海关区档案馆本级安排政府采购预算</w:t>
      </w:r>
      <w:r>
        <w:rPr>
          <w:rFonts w:hint="eastAsia" w:eastAsia="方正仿宋_GBK"/>
          <w:color w:val="000000"/>
          <w:sz w:val="28"/>
          <w:lang w:val="en-US" w:eastAsia="zh-CN"/>
        </w:rPr>
        <w:t>0</w:t>
      </w:r>
      <w:r>
        <w:rPr>
          <w:rFonts w:eastAsia="方正仿宋_GBK"/>
          <w:color w:val="000000"/>
          <w:sz w:val="28"/>
        </w:rPr>
        <w:t>万元。具体内容见下表。</w:t>
      </w:r>
    </w:p>
    <w:p>
      <w:pPr>
        <w:keepNext w:val="0"/>
        <w:keepLines w:val="0"/>
        <w:pageBreakBefore w:val="0"/>
        <w:widowControl/>
        <w:kinsoku/>
        <w:wordWrap/>
        <w:overflowPunct/>
        <w:topLinePunct w:val="0"/>
        <w:autoSpaceDE/>
        <w:autoSpaceDN/>
        <w:bidi w:val="0"/>
        <w:adjustRightInd/>
        <w:snapToGrid/>
        <w:spacing w:line="500" w:lineRule="exact"/>
        <w:ind w:firstLine="720" w:firstLineChars="200"/>
        <w:jc w:val="center"/>
        <w:textAlignment w:val="auto"/>
      </w:pPr>
      <w:r>
        <w:rPr>
          <w:rFonts w:ascii="方正小标宋_GBK" w:hAnsi="方正小标宋_GBK" w:eastAsia="方正小标宋_GBK" w:cs="方正小标宋_GBK"/>
          <w:color w:val="000000"/>
          <w:sz w:val="36"/>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241001档案馆秦皇岛市山海关区档案馆本级</w:t>
            </w:r>
          </w:p>
        </w:tc>
        <w:tc>
          <w:tcPr>
            <w:tcW w:w="8674" w:type="dxa"/>
            <w:gridSpan w:val="9"/>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7710" w:type="dxa"/>
            <w:gridSpan w:val="8"/>
            <w:vAlign w:val="center"/>
          </w:tcPr>
          <w:p>
            <w:pPr>
              <w:pStyle w:val="11"/>
            </w:pPr>
            <w:r>
              <w:t>政府采购金额（当年部门预算安排资金）</w:t>
            </w:r>
          </w:p>
        </w:tc>
        <w:tc>
          <w:tcPr>
            <w:tcW w:w="964" w:type="dxa"/>
            <w:vMerge w:val="restart"/>
            <w:vAlign w:val="center"/>
          </w:tcPr>
          <w:p>
            <w:pPr>
              <w:pStyle w:val="11"/>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财政拨    款结转</w:t>
            </w:r>
          </w:p>
        </w:tc>
        <w:tc>
          <w:tcPr>
            <w:tcW w:w="964" w:type="dxa"/>
            <w:vAlign w:val="center"/>
          </w:tcPr>
          <w:p>
            <w:pPr>
              <w:pStyle w:val="1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档案馆秦皇岛市山海关区档案馆本级上年末固定资产金额为</w:t>
      </w:r>
      <w:r>
        <w:rPr>
          <w:rFonts w:hint="eastAsia" w:eastAsia="方正仿宋_GBK"/>
          <w:color w:val="000000"/>
          <w:sz w:val="28"/>
          <w:lang w:val="en-US" w:eastAsia="zh-CN"/>
        </w:rPr>
        <w:t>56.14</w:t>
      </w:r>
      <w:r>
        <w:rPr>
          <w:rFonts w:eastAsia="方正仿宋_GBK"/>
          <w:color w:val="000000"/>
          <w:sz w:val="28"/>
        </w:rPr>
        <w:t>万元（详见下表）</w:t>
      </w:r>
      <w:r>
        <w:rPr>
          <w:rFonts w:hint="eastAsia" w:eastAsia="方正仿宋_GBK"/>
          <w:color w:val="000000"/>
          <w:sz w:val="28"/>
          <w:lang w:eastAsia="zh-CN"/>
        </w:rPr>
        <w:t>，</w:t>
      </w:r>
      <w:r>
        <w:rPr>
          <w:rFonts w:hint="eastAsia" w:ascii="Times New Roman" w:hAnsi="Times New Roman" w:eastAsia="方正仿宋_GBK" w:cs="Times New Roman"/>
          <w:sz w:val="28"/>
          <w:szCs w:val="24"/>
          <w:lang w:val="en-US" w:eastAsia="uk-UA" w:bidi="ar-SA"/>
        </w:rPr>
        <w:t>本年度无新增固定资产预算</w:t>
      </w:r>
      <w:r>
        <w:rPr>
          <w:rFonts w:eastAsia="方正仿宋_GBK"/>
          <w:color w:val="000000"/>
          <w:sz w:val="28"/>
        </w:rPr>
        <w:t>。</w:t>
      </w:r>
    </w:p>
    <w:p>
      <w:pPr>
        <w:jc w:val="center"/>
      </w:pPr>
      <w:r>
        <w:rPr>
          <w:rFonts w:ascii="方正小标宋_GBK" w:hAnsi="方正小标宋_GBK" w:eastAsia="方正小标宋_GBK" w:cs="方正小标宋_GBK"/>
          <w:color w:val="000000"/>
          <w:sz w:val="36"/>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241001档案馆秦皇岛市山海关区档案馆本级</w:t>
            </w:r>
          </w:p>
        </w:tc>
        <w:tc>
          <w:tcPr>
            <w:tcW w:w="5669" w:type="dxa"/>
            <w:gridSpan w:val="2"/>
            <w:tcBorders>
              <w:top w:val="single" w:color="FFFFFF" w:sz="6" w:space="0"/>
              <w:left w:val="single" w:color="FFFFFF" w:sz="6" w:space="0"/>
              <w:right w:val="single" w:color="FFFFFF" w:sz="6" w:space="0"/>
            </w:tcBorders>
            <w:vAlign w:val="center"/>
          </w:tcPr>
          <w:p>
            <w:pPr>
              <w:pStyle w:val="8"/>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资产总额</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1、房屋（平方米）</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　　其中：办公用房（平方米）</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2、车辆（台、辆）</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3、单价在20万元以上的设备</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370" w:type="dxa"/>
            <w:vAlign w:val="center"/>
          </w:tcPr>
          <w:p>
            <w:pPr>
              <w:pStyle w:val="13"/>
            </w:pPr>
            <w:r>
              <w:t>4、其他固定资产</w:t>
            </w:r>
          </w:p>
        </w:tc>
        <w:tc>
          <w:tcPr>
            <w:tcW w:w="2835" w:type="dxa"/>
            <w:vAlign w:val="center"/>
          </w:tcPr>
          <w:p>
            <w:pPr>
              <w:pStyle w:val="14"/>
              <w:rPr>
                <w:rFonts w:hint="default" w:eastAsia="方正书宋_GBK"/>
                <w:lang w:val="en-US" w:eastAsia="zh-CN"/>
              </w:rPr>
            </w:pPr>
            <w:r>
              <w:rPr>
                <w:rFonts w:hint="eastAsia"/>
                <w:lang w:val="en-US" w:eastAsia="zh-CN"/>
              </w:rPr>
              <w:t>78</w:t>
            </w:r>
          </w:p>
        </w:tc>
        <w:tc>
          <w:tcPr>
            <w:tcW w:w="2835" w:type="dxa"/>
            <w:vAlign w:val="center"/>
          </w:tcPr>
          <w:p>
            <w:pPr>
              <w:pStyle w:val="12"/>
              <w:rPr>
                <w:rFonts w:hint="default" w:eastAsia="方正书宋_GBK"/>
                <w:lang w:val="en-US" w:eastAsia="zh-CN"/>
              </w:rPr>
            </w:pPr>
            <w:r>
              <w:rPr>
                <w:rFonts w:hint="eastAsia"/>
                <w:lang w:val="en-US" w:eastAsia="zh-CN"/>
              </w:rPr>
              <w:t>56.14</w:t>
            </w:r>
          </w:p>
        </w:tc>
      </w:tr>
    </w:tbl>
    <w:p>
      <w:pPr>
        <w:ind w:firstLine="420"/>
      </w:pPr>
      <w:r>
        <w:rPr>
          <w:rFonts w:ascii="方正书宋_GBK" w:hAnsi="方正书宋_GBK" w:eastAsia="方正书宋_GBK" w:cs="方正书宋_GBK"/>
          <w:color w:val="000000"/>
          <w:sz w:val="21"/>
        </w:rPr>
        <w:t>注：无固定资产占用情况，空表列示。</w:t>
      </w:r>
    </w:p>
    <w:p>
      <w:pPr>
        <w:ind w:firstLine="640"/>
      </w:pPr>
    </w:p>
    <w:p>
      <w:pPr>
        <w:spacing w:before="10" w:after="10"/>
        <w:ind w:firstLine="640"/>
        <w:outlineLvl w:val="5"/>
        <w:rPr>
          <w:rFonts w:ascii="黑体" w:hAnsi="黑体" w:eastAsia="黑体" w:cs="黑体"/>
          <w:color w:val="000000"/>
          <w:sz w:val="32"/>
        </w:rPr>
      </w:pP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outlineLvl w:val="5"/>
      </w:pPr>
      <w:r>
        <w:rPr>
          <w:rFonts w:ascii="黑体" w:hAnsi="黑体" w:eastAsia="黑体" w:cs="黑体"/>
          <w:color w:val="000000"/>
          <w:sz w:val="32"/>
        </w:rPr>
        <w:t>八、名词解释</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w:t>
      </w:r>
      <w:r>
        <w:rPr>
          <w:rFonts w:eastAsia="方正仿宋_GBK"/>
          <w:color w:val="000000"/>
          <w:sz w:val="28"/>
        </w:rPr>
        <w:t>级财政当年拨付的资金。</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w:t>
      </w:r>
      <w:r>
        <w:rPr>
          <w:rFonts w:eastAsia="方正仿宋_GBK"/>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outlineLvl w:val="5"/>
      </w:pPr>
      <w:r>
        <w:rPr>
          <w:rFonts w:ascii="黑体" w:hAnsi="黑体" w:eastAsia="黑体" w:cs="黑体"/>
          <w:color w:val="000000"/>
          <w:sz w:val="32"/>
        </w:rPr>
        <w:t>九、其他需要说明的事项</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 w:name="MingLiU-ExtB">
    <w:panose1 w:val="02020500000000000000"/>
    <w:charset w:val="88"/>
    <w:family w:val="auto"/>
    <w:pitch w:val="default"/>
    <w:sig w:usb0="8000002F" w:usb1="02000008" w:usb2="00000000" w:usb3="00000000" w:csb0="00100001" w:csb1="00000000"/>
  </w:font>
  <w:font w:name="新宋体">
    <w:panose1 w:val="02010609030101010101"/>
    <w:charset w:val="86"/>
    <w:family w:val="auto"/>
    <w:pitch w:val="default"/>
    <w:sig w:usb0="00000203" w:usb1="288F0000" w:usb2="00000006" w:usb3="00000000" w:csb0="00040001" w:csb1="00000000"/>
  </w:font>
  <w:font w:name="微软雅黑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84ABF4"/>
    <w:multiLevelType w:val="singleLevel"/>
    <w:tmpl w:val="5484ABF4"/>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OWJkZWJiZTU5ZjQ2NmM4ZjQ4MWMzZDM2ODNiM2IifQ=="/>
  </w:docVars>
  <w:rsids>
    <w:rsidRoot w:val="00E650D3"/>
    <w:rsid w:val="00CA1EF2"/>
    <w:rsid w:val="00D13477"/>
    <w:rsid w:val="00E650D3"/>
    <w:rsid w:val="2C515AA5"/>
    <w:rsid w:val="2CE77A1E"/>
    <w:rsid w:val="5FA367E7"/>
    <w:rsid w:val="6B8C02C6"/>
    <w:rsid w:val="7BC65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5"/>
    <w:semiHidden/>
    <w:unhideWhenUsed/>
    <w:qFormat/>
    <w:uiPriority w:val="99"/>
    <w:pPr>
      <w:tabs>
        <w:tab w:val="center" w:pos="4153"/>
        <w:tab w:val="right" w:pos="8306"/>
      </w:tabs>
      <w:snapToGrid w:val="0"/>
    </w:pPr>
    <w:rPr>
      <w:sz w:val="18"/>
      <w:szCs w:val="18"/>
    </w:rPr>
  </w:style>
  <w:style w:type="paragraph" w:styleId="3">
    <w:name w:val="header"/>
    <w:basedOn w:val="1"/>
    <w:link w:val="3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0"/>
    <w:pPr>
      <w:spacing w:before="120"/>
      <w:ind w:firstLine="560"/>
    </w:pPr>
    <w:rPr>
      <w:rFonts w:eastAsia="方正仿宋_GBK"/>
      <w:color w:val="000000"/>
      <w:sz w:val="28"/>
    </w:r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
    <w:name w:val="单元格样式22"/>
    <w:basedOn w:val="1"/>
    <w:qFormat/>
    <w:uiPriority w:val="0"/>
    <w:pPr>
      <w:jc w:val="right"/>
    </w:pPr>
    <w:rPr>
      <w:rFonts w:ascii="方正小标宋_GBK" w:hAnsi="方正小标宋_GBK" w:eastAsia="方正小标宋_GBK" w:cs="方正小标宋_GBK"/>
    </w:rPr>
  </w:style>
  <w:style w:type="paragraph" w:customStyle="1" w:styleId="9">
    <w:name w:val="单元格样式21"/>
    <w:basedOn w:val="1"/>
    <w:qFormat/>
    <w:uiPriority w:val="0"/>
    <w:pPr>
      <w:jc w:val="center"/>
    </w:pPr>
    <w:rPr>
      <w:rFonts w:ascii="方正小标宋_GBK" w:hAnsi="方正小标宋_GBK" w:eastAsia="方正小标宋_GBK" w:cs="方正小标宋_GBK"/>
    </w:rPr>
  </w:style>
  <w:style w:type="paragraph" w:customStyle="1" w:styleId="10">
    <w:name w:val="单元格样式20"/>
    <w:basedOn w:val="1"/>
    <w:qFormat/>
    <w:uiPriority w:val="0"/>
    <w:rPr>
      <w:rFonts w:ascii="方正小标宋_GBK" w:hAnsi="方正小标宋_GBK" w:eastAsia="方正小标宋_GBK" w:cs="方正小标宋_GBK"/>
    </w:rPr>
  </w:style>
  <w:style w:type="paragraph" w:customStyle="1" w:styleId="11">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2">
    <w:name w:val="单元格样式4"/>
    <w:basedOn w:val="1"/>
    <w:qFormat/>
    <w:uiPriority w:val="0"/>
    <w:pPr>
      <w:jc w:val="right"/>
    </w:pPr>
    <w:rPr>
      <w:rFonts w:ascii="方正书宋_GBK" w:hAnsi="方正书宋_GBK" w:eastAsia="方正书宋_GBK" w:cs="方正书宋_GBK"/>
      <w:sz w:val="21"/>
    </w:rPr>
  </w:style>
  <w:style w:type="paragraph" w:customStyle="1" w:styleId="13">
    <w:name w:val="单元格样式2"/>
    <w:basedOn w:val="1"/>
    <w:qFormat/>
    <w:uiPriority w:val="0"/>
    <w:rPr>
      <w:rFonts w:ascii="方正书宋_GBK" w:hAnsi="方正书宋_GBK" w:eastAsia="方正书宋_GBK" w:cs="方正书宋_GBK"/>
      <w:sz w:val="21"/>
    </w:rPr>
  </w:style>
  <w:style w:type="paragraph" w:customStyle="1" w:styleId="14">
    <w:name w:val="单元格样式3"/>
    <w:basedOn w:val="1"/>
    <w:qFormat/>
    <w:uiPriority w:val="0"/>
    <w:pPr>
      <w:jc w:val="center"/>
    </w:pPr>
    <w:rPr>
      <w:rFonts w:ascii="方正书宋_GBK" w:hAnsi="方正书宋_GBK" w:eastAsia="方正书宋_GBK" w:cs="方正书宋_GBK"/>
      <w:sz w:val="21"/>
    </w:rPr>
  </w:style>
  <w:style w:type="paragraph" w:customStyle="1" w:styleId="15">
    <w:name w:val="单元格样式6"/>
    <w:basedOn w:val="1"/>
    <w:qFormat/>
    <w:uiPriority w:val="0"/>
    <w:pPr>
      <w:jc w:val="center"/>
    </w:pPr>
    <w:rPr>
      <w:rFonts w:ascii="方正书宋_GBK" w:hAnsi="方正书宋_GBK" w:eastAsia="方正书宋_GBK" w:cs="方正书宋_GBK"/>
      <w:b/>
      <w:sz w:val="21"/>
    </w:rPr>
  </w:style>
  <w:style w:type="paragraph" w:customStyle="1" w:styleId="16">
    <w:name w:val="单元格样式7"/>
    <w:basedOn w:val="1"/>
    <w:qFormat/>
    <w:uiPriority w:val="0"/>
    <w:pPr>
      <w:jc w:val="right"/>
    </w:pPr>
    <w:rPr>
      <w:rFonts w:ascii="方正书宋_GBK" w:hAnsi="方正书宋_GBK" w:eastAsia="方正书宋_GBK" w:cs="方正书宋_GBK"/>
      <w:b/>
      <w:sz w:val="21"/>
    </w:rPr>
  </w:style>
  <w:style w:type="paragraph" w:customStyle="1" w:styleId="17">
    <w:name w:val="单元格样式5"/>
    <w:basedOn w:val="1"/>
    <w:qFormat/>
    <w:uiPriority w:val="0"/>
    <w:rPr>
      <w:rFonts w:ascii="方正书宋_GBK" w:hAnsi="方正书宋_GBK" w:eastAsia="方正书宋_GBK" w:cs="方正书宋_GBK"/>
      <w:b/>
      <w:sz w:val="21"/>
    </w:rPr>
  </w:style>
  <w:style w:type="paragraph" w:customStyle="1" w:styleId="18">
    <w:name w:val="插入文本样式-插入部门职责文件"/>
    <w:basedOn w:val="1"/>
    <w:qFormat/>
    <w:uiPriority w:val="0"/>
    <w:pPr>
      <w:spacing w:line="500" w:lineRule="exact"/>
      <w:ind w:firstLine="560"/>
    </w:pPr>
    <w:rPr>
      <w:rFonts w:eastAsia="方正仿宋_GBK"/>
      <w:sz w:val="28"/>
    </w:rPr>
  </w:style>
  <w:style w:type="paragraph" w:customStyle="1" w:styleId="1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2">
    <w:name w:val="插入文本样式-插入总体目标文件"/>
    <w:basedOn w:val="1"/>
    <w:qFormat/>
    <w:uiPriority w:val="0"/>
    <w:pPr>
      <w:spacing w:line="500" w:lineRule="exact"/>
      <w:ind w:firstLine="560"/>
    </w:pPr>
    <w:rPr>
      <w:rFonts w:eastAsia="方正仿宋_GBK"/>
      <w:sz w:val="28"/>
    </w:rPr>
  </w:style>
  <w:style w:type="paragraph" w:customStyle="1" w:styleId="23">
    <w:name w:val="插入文本样式-插入职责分类绩效目标文件"/>
    <w:basedOn w:val="1"/>
    <w:qFormat/>
    <w:uiPriority w:val="0"/>
    <w:pPr>
      <w:spacing w:line="500" w:lineRule="exact"/>
      <w:ind w:firstLine="560"/>
    </w:pPr>
    <w:rPr>
      <w:rFonts w:eastAsia="方正仿宋_GBK"/>
      <w:sz w:val="28"/>
    </w:rPr>
  </w:style>
  <w:style w:type="paragraph" w:customStyle="1" w:styleId="2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5">
    <w:name w:val="单元格样式23"/>
    <w:basedOn w:val="1"/>
    <w:qFormat/>
    <w:uiPriority w:val="0"/>
    <w:pPr>
      <w:jc w:val="right"/>
    </w:pPr>
    <w:rPr>
      <w:rFonts w:ascii="方正书宋_GBK" w:hAnsi="方正书宋_GBK" w:eastAsia="方正书宋_GBK" w:cs="方正书宋_GBK"/>
    </w:rPr>
  </w:style>
  <w:style w:type="paragraph" w:customStyle="1" w:styleId="26">
    <w:name w:val="插入文本样式-插入单位职责文件"/>
    <w:basedOn w:val="1"/>
    <w:qFormat/>
    <w:uiPriority w:val="0"/>
    <w:pPr>
      <w:spacing w:line="500" w:lineRule="exact"/>
      <w:ind w:firstLine="560"/>
    </w:pPr>
    <w:rPr>
      <w:rFonts w:eastAsia="方正仿宋_GBK"/>
      <w:sz w:val="28"/>
    </w:rPr>
  </w:style>
  <w:style w:type="paragraph" w:customStyle="1" w:styleId="2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30">
    <w:name w:val="TOC 2"/>
    <w:basedOn w:val="1"/>
    <w:qFormat/>
    <w:uiPriority w:val="0"/>
    <w:pPr>
      <w:ind w:left="240"/>
    </w:pPr>
  </w:style>
  <w:style w:type="paragraph" w:customStyle="1" w:styleId="31">
    <w:name w:val="TOC 3"/>
    <w:basedOn w:val="1"/>
    <w:qFormat/>
    <w:uiPriority w:val="0"/>
    <w:pPr>
      <w:ind w:left="480"/>
    </w:pPr>
  </w:style>
  <w:style w:type="paragraph" w:customStyle="1" w:styleId="32">
    <w:name w:val="TOC 4"/>
    <w:basedOn w:val="1"/>
    <w:qFormat/>
    <w:uiPriority w:val="0"/>
    <w:pPr>
      <w:ind w:left="720"/>
    </w:pPr>
  </w:style>
  <w:style w:type="paragraph" w:customStyle="1" w:styleId="33">
    <w:name w:val="TOC 1"/>
    <w:basedOn w:val="1"/>
    <w:qFormat/>
    <w:uiPriority w:val="0"/>
    <w:pPr>
      <w:spacing w:before="120"/>
      <w:ind w:firstLine="560"/>
    </w:pPr>
    <w:rPr>
      <w:rFonts w:eastAsia="方正仿宋_GBK"/>
      <w:color w:val="000000"/>
      <w:sz w:val="28"/>
    </w:rPr>
  </w:style>
  <w:style w:type="character" w:customStyle="1" w:styleId="34">
    <w:name w:val="页眉 Char"/>
    <w:basedOn w:val="7"/>
    <w:link w:val="3"/>
    <w:semiHidden/>
    <w:qFormat/>
    <w:uiPriority w:val="99"/>
    <w:rPr>
      <w:rFonts w:eastAsia="Times New Roman"/>
      <w:sz w:val="18"/>
      <w:szCs w:val="18"/>
      <w:lang w:eastAsia="uk-UA"/>
    </w:rPr>
  </w:style>
  <w:style w:type="character" w:customStyle="1" w:styleId="35">
    <w:name w:val="页脚 Char"/>
    <w:basedOn w:val="7"/>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2023-01-30T15:23:41Z</dcterms:created>
  <dcterms:modified xsi:type="dcterms:W3CDTF">2023-01-30T07:23:41Z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2023-01-30T15:23:45Z</dcterms:created>
  <dcterms:modified xsi:type="dcterms:W3CDTF">2023-01-30T07:23:45Z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2023-01-30T15:23:45Z</dcterms:created>
  <dcterms:modified xsi:type="dcterms:W3CDTF">2023-01-30T07:23:44Z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2023-01-30T15:23:40Z</dcterms:created>
  <dcterms:modified xsi:type="dcterms:W3CDTF">2023-01-30T07:23:40Z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2023-01-30T15:23:45Z</dcterms:created>
  <dcterms:modified xsi:type="dcterms:W3CDTF">2023-01-30T07:23:45Z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2023-01-30T15:23:41Z</dcterms:created>
  <dcterms:modified xsi:type="dcterms:W3CDTF">2023-01-30T07:23:41Z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2023-01-30T15:23:45Z</dcterms:created>
  <dcterms:modified xsi:type="dcterms:W3CDTF">2023-01-30T07:23:45Z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2023-01-30T15:23:41Z</dcterms:created>
  <dcterms:modified xsi:type="dcterms:W3CDTF">2023-01-30T07:23:41Z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2023-01-30T15:23:41Z</dcterms:created>
  <dcterms:modified xsi:type="dcterms:W3CDTF">2023-01-30T07:23:41Z</dcterms:modified>
</cp:coreProperties>
</file>

<file path=customXml/itemProps1.xml><?xml version="1.0" encoding="utf-8"?>
<ds:datastoreItem xmlns:ds="http://schemas.openxmlformats.org/officeDocument/2006/customXml" ds:itemID="{EA304FC5-964F-4BF3-B816-F82F8E15B115}">
  <ds:schemaRefs/>
</ds:datastoreItem>
</file>

<file path=customXml/itemProps10.xml><?xml version="1.0" encoding="utf-8"?>
<ds:datastoreItem xmlns:ds="http://schemas.openxmlformats.org/officeDocument/2006/customXml" ds:itemID="{1D96F5B9-2587-4452-B30D-45E9E48D1B98}">
  <ds:schemaRefs/>
</ds:datastoreItem>
</file>

<file path=customXml/itemProps11.xml><?xml version="1.0" encoding="utf-8"?>
<ds:datastoreItem xmlns:ds="http://schemas.openxmlformats.org/officeDocument/2006/customXml" ds:itemID="{18B5CE5F-B8DD-4834-9BE6-4388B32BE2E8}">
  <ds:schemaRefs/>
</ds:datastoreItem>
</file>

<file path=customXml/itemProps12.xml><?xml version="1.0" encoding="utf-8"?>
<ds:datastoreItem xmlns:ds="http://schemas.openxmlformats.org/officeDocument/2006/customXml" ds:itemID="{5D712ECD-B736-4D98-8112-3D158AEE2107}">
  <ds:schemaRefs/>
</ds:datastoreItem>
</file>

<file path=customXml/itemProps13.xml><?xml version="1.0" encoding="utf-8"?>
<ds:datastoreItem xmlns:ds="http://schemas.openxmlformats.org/officeDocument/2006/customXml" ds:itemID="{DA85E8AD-9B55-424A-9483-7C00C26EFB77}">
  <ds:schemaRefs/>
</ds:datastoreItem>
</file>

<file path=customXml/itemProps14.xml><?xml version="1.0" encoding="utf-8"?>
<ds:datastoreItem xmlns:ds="http://schemas.openxmlformats.org/officeDocument/2006/customXml" ds:itemID="{E9C25CD4-E17E-401A-A238-3B6B23FEBFB7}">
  <ds:schemaRefs/>
</ds:datastoreItem>
</file>

<file path=customXml/itemProps15.xml><?xml version="1.0" encoding="utf-8"?>
<ds:datastoreItem xmlns:ds="http://schemas.openxmlformats.org/officeDocument/2006/customXml" ds:itemID="{67DCE98E-CF3B-4B55-A579-363E062389BE}">
  <ds:schemaRefs/>
</ds:datastoreItem>
</file>

<file path=customXml/itemProps16.xml><?xml version="1.0" encoding="utf-8"?>
<ds:datastoreItem xmlns:ds="http://schemas.openxmlformats.org/officeDocument/2006/customXml" ds:itemID="{DAA9B8C1-7B73-4C9D-8D2C-DAE3BB2BB1F9}">
  <ds:schemaRefs/>
</ds:datastoreItem>
</file>

<file path=customXml/itemProps17.xml><?xml version="1.0" encoding="utf-8"?>
<ds:datastoreItem xmlns:ds="http://schemas.openxmlformats.org/officeDocument/2006/customXml" ds:itemID="{7462E763-BDD6-48ED-B070-D34293D16477}">
  <ds:schemaRefs/>
</ds:datastoreItem>
</file>

<file path=customXml/itemProps18.xml><?xml version="1.0" encoding="utf-8"?>
<ds:datastoreItem xmlns:ds="http://schemas.openxmlformats.org/officeDocument/2006/customXml" ds:itemID="{6AB1FE5A-FB05-4268-988A-84C56F7ABE39}">
  <ds:schemaRefs/>
</ds:datastoreItem>
</file>

<file path=customXml/itemProps2.xml><?xml version="1.0" encoding="utf-8"?>
<ds:datastoreItem xmlns:ds="http://schemas.openxmlformats.org/officeDocument/2006/customXml" ds:itemID="{8FC11F97-7DAC-4EC0-BD8F-B174B039965B}">
  <ds:schemaRefs/>
</ds:datastoreItem>
</file>

<file path=customXml/itemProps3.xml><?xml version="1.0" encoding="utf-8"?>
<ds:datastoreItem xmlns:ds="http://schemas.openxmlformats.org/officeDocument/2006/customXml" ds:itemID="{F5C7E1C2-5CDF-4822-9810-E6B89189EEE8}">
  <ds:schemaRefs/>
</ds:datastoreItem>
</file>

<file path=customXml/itemProps4.xml><?xml version="1.0" encoding="utf-8"?>
<ds:datastoreItem xmlns:ds="http://schemas.openxmlformats.org/officeDocument/2006/customXml" ds:itemID="{2E9F35C5-E85F-4CD0-8D3A-3250F71642E7}">
  <ds:schemaRefs/>
</ds:datastoreItem>
</file>

<file path=customXml/itemProps5.xml><?xml version="1.0" encoding="utf-8"?>
<ds:datastoreItem xmlns:ds="http://schemas.openxmlformats.org/officeDocument/2006/customXml" ds:itemID="{C39C34A0-166B-4545-88B4-4B92A67B03F1}">
  <ds:schemaRefs/>
</ds:datastoreItem>
</file>

<file path=customXml/itemProps6.xml><?xml version="1.0" encoding="utf-8"?>
<ds:datastoreItem xmlns:ds="http://schemas.openxmlformats.org/officeDocument/2006/customXml" ds:itemID="{EC77B241-2E41-48A4-BFC3-884C7110E0B8}">
  <ds:schemaRefs/>
</ds:datastoreItem>
</file>

<file path=customXml/itemProps7.xml><?xml version="1.0" encoding="utf-8"?>
<ds:datastoreItem xmlns:ds="http://schemas.openxmlformats.org/officeDocument/2006/customXml" ds:itemID="{D30D9D36-A4CB-4436-86C6-0278A7BAC2A5}">
  <ds:schemaRefs/>
</ds:datastoreItem>
</file>

<file path=customXml/itemProps8.xml><?xml version="1.0" encoding="utf-8"?>
<ds:datastoreItem xmlns:ds="http://schemas.openxmlformats.org/officeDocument/2006/customXml" ds:itemID="{9322140A-0AED-49E8-91EE-877567847554}">
  <ds:schemaRefs/>
</ds:datastoreItem>
</file>

<file path=customXml/itemProps9.xml><?xml version="1.0" encoding="utf-8"?>
<ds:datastoreItem xmlns:ds="http://schemas.openxmlformats.org/officeDocument/2006/customXml" ds:itemID="{78CBDC0D-7C7C-42D9-8AA2-952AED3E88E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52</Pages>
  <Words>3281</Words>
  <Characters>18704</Characters>
  <Lines>155</Lines>
  <Paragraphs>43</Paragraphs>
  <TotalTime>0</TotalTime>
  <ScaleCrop>false</ScaleCrop>
  <LinksUpToDate>false</LinksUpToDate>
  <CharactersWithSpaces>21942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2023-01-30T07:17:00Z</dcterms:created>
  <dc:creator>Administrator</dc:creator>
  <cp:lastModifiedBy>战无不胜</cp:lastModifiedBy>
  <dcterms:modified xsi:type="dcterms:W3CDTF">2024-04-12T08:40:34Z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86A290C1F0A345DE86D90921DB4F2132_13</vt:lpwstr>
  </property>
</Properties>
</file>