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0"/>
        <w:pBdr/>
        <w:spacing/>
        <w:ind/>
        <w:jc w:val="center"/>
        <w:rPr>
          <w:rFonts w:hint="eastAsia" w:ascii="宋体" w:hAnsi="宋体" w:cs="黑体"/>
          <w:b/>
          <w:color w:val="000000"/>
          <w:sz w:val="44"/>
        </w:rPr>
      </w:pPr>
      <w:r>
        <w:rPr>
          <w:rFonts w:hint="eastAsia" w:ascii="宋体" w:hAnsi="宋体" w:cs="黑体"/>
          <w:b/>
          <w:color w:val="000000"/>
          <w:sz w:val="44"/>
        </w:rPr>
        <w:t xml:space="preserve">山海关区食品稽查大队2017年部门预算公开说明</w:t>
      </w:r>
      <w:r>
        <w:rPr>
          <w:rFonts w:hint="eastAsia" w:ascii="宋体" w:hAnsi="宋体" w:cs="黑体"/>
          <w:b/>
          <w:color w:val="000000"/>
          <w:sz w:val="44"/>
        </w:rPr>
      </w:r>
      <w:r>
        <w:rPr>
          <w:rFonts w:hint="eastAsia" w:ascii="宋体" w:hAnsi="宋体" w:cs="黑体"/>
          <w:b/>
          <w:color w:val="000000"/>
          <w:sz w:val="44"/>
        </w:rPr>
      </w:r>
    </w:p>
    <w:p>
      <w:pPr>
        <w:pStyle w:val="620"/>
        <w:pBdr/>
        <w:spacing/>
        <w:ind/>
        <w:jc w:val="center"/>
        <w:rPr>
          <w:rFonts w:hint="eastAsia" w:ascii="黑体" w:hAnsi="黑体" w:eastAsia="黑体" w:cs="黑体"/>
          <w:color w:val="000000"/>
          <w:sz w:val="44"/>
        </w:rPr>
      </w:pPr>
      <w:r>
        <w:rPr>
          <w:rFonts w:hint="eastAsia" w:ascii="黑体" w:hAnsi="黑体" w:eastAsia="黑体" w:cs="黑体"/>
          <w:color w:val="000000"/>
          <w:sz w:val="44"/>
        </w:rPr>
      </w:r>
      <w:r>
        <w:rPr>
          <w:rFonts w:hint="eastAsia" w:ascii="黑体" w:hAnsi="黑体" w:eastAsia="黑体" w:cs="黑体"/>
          <w:color w:val="000000"/>
          <w:sz w:val="44"/>
        </w:rPr>
      </w:r>
    </w:p>
    <w:p>
      <w:pPr>
        <w:pStyle w:val="620"/>
        <w:pBdr/>
        <w:spacing/>
        <w:ind/>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按照《</w:t>
      </w:r>
      <w:r>
        <w:rPr>
          <w:rFonts w:hint="eastAsia" w:ascii="仿宋_GB2312" w:eastAsia="仿宋_GB2312"/>
          <w:sz w:val="32"/>
          <w:szCs w:val="32"/>
        </w:rPr>
        <w:t xml:space="preserve">中华人民共和国预算法</w:t>
      </w:r>
      <w:r>
        <w:rPr>
          <w:rFonts w:hint="eastAsia" w:ascii="仿宋_GB2312" w:eastAsia="仿宋_GB2312"/>
          <w:sz w:val="32"/>
          <w:szCs w:val="32"/>
        </w:rPr>
        <w:t xml:space="preserve">》、《地方预决算公开操作规程》和《河北省省级预算公开办法》规定，现将山海关区食品稽查大队2017年部门预算公开如下：</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hint="eastAsia" w:ascii="仿宋_GB2312" w:hAnsi="仿宋_GB2312" w:eastAsia="仿宋_GB2312" w:cs="仿宋_GB2312"/>
          <w:color w:val="000000"/>
          <w:sz w:val="32"/>
        </w:rPr>
      </w:pPr>
      <w:r>
        <w:rPr>
          <w:rFonts w:hint="eastAsia" w:ascii="仿宋" w:hAnsi="仿宋" w:eastAsia="仿宋" w:cs="仿宋"/>
          <w:color w:val="000000"/>
          <w:sz w:val="32"/>
        </w:rPr>
        <w:t xml:space="preserve">   </w:t>
      </w:r>
      <w:r>
        <w:rPr>
          <w:rFonts w:hint="eastAsia" w:ascii="仿宋_GB2312" w:hAnsi="仿宋_GB2312" w:eastAsia="仿宋_GB2312" w:cs="仿宋_GB2312"/>
          <w:color w:val="000000"/>
          <w:sz w:val="32"/>
        </w:rPr>
        <w:t xml:space="preserve"> 一、部门职责及机构设置情况</w:t>
      </w:r>
      <w:r>
        <w:rPr>
          <w:rFonts w:hint="eastAsia" w:ascii="仿宋_GB2312" w:hAnsi="仿宋_GB2312" w:eastAsia="仿宋_GB2312" w:cs="仿宋_GB2312"/>
          <w:color w:val="000000"/>
          <w:sz w:val="32"/>
        </w:rPr>
      </w:r>
      <w:r>
        <w:rPr>
          <w:rFonts w:hint="eastAsia" w:ascii="仿宋_GB2312" w:hAnsi="仿宋_GB2312" w:eastAsia="仿宋_GB2312" w:cs="仿宋_GB2312"/>
          <w:color w:val="000000"/>
          <w:sz w:val="32"/>
        </w:rPr>
      </w:r>
    </w:p>
    <w:p>
      <w:pPr>
        <w:pStyle w:val="620"/>
        <w:pBdr/>
        <w:spacing/>
        <w:ind/>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2"/>
        </w:rPr>
        <w:t xml:space="preserve">部门职责：</w:t>
      </w:r>
      <w:r>
        <w:rPr>
          <w:rFonts w:hint="eastAsia" w:ascii="仿宋_GB2312" w:hAnsi="仿宋_GB2312" w:eastAsia="仿宋_GB2312" w:cs="仿宋_GB2312"/>
          <w:sz w:val="30"/>
          <w:szCs w:val="30"/>
        </w:rPr>
        <w:t xml:space="preserve">主要职责：（1）、负责餐饮消费环节《食品经营许可证》的审核、发放工作；负责餐饮消费环节、食品小作坊、前店后厂、现场制售、小饭桌等小型业态的日常监管工作；原则上负责食品生产、餐饮环节重大食品案件及餐饮环节一般性食品违法案件的查处。（2）、</w:t>
      </w:r>
      <w:r>
        <w:rPr>
          <w:rFonts w:hint="eastAsia" w:ascii="仿宋_GB2312" w:hAnsi="仿宋_GB2312" w:eastAsia="仿宋_GB2312" w:cs="仿宋_GB2312"/>
          <w:sz w:val="30"/>
          <w:szCs w:val="30"/>
        </w:rPr>
        <w:t xml:space="preserve">负责依据《河北省食品小作坊登记管理办法（试行）》和《河北省小餐饮登记管理办法（试行）》的规定，以区食药监局的名义开展小作坊、小餐饮《登记证》办理和日常监管工作。对《河北省食品小作坊小餐饮小摊点管理条例》实施前已发放区级自制《登记证》的小作坊、小餐饮，依据《河北省食品小作坊登记管理办法（试行）》和《河北省小餐饮登记管理办法（试行）》进行重新审核，对符合条件的及时予以换证，原区级自制《登记证》收回；对不符合条件的，收回原区级自制《登记证》并依法依规予以处理；对生产加工法律法规禁止生产的产品的小作坊依法予以取缔。</w:t>
      </w:r>
      <w:r>
        <w:rPr>
          <w:rFonts w:hint="eastAsia" w:ascii="仿宋_GB2312" w:hAnsi="仿宋_GB2312" w:eastAsia="仿宋_GB2312" w:cs="仿宋_GB2312"/>
          <w:sz w:val="30"/>
          <w:szCs w:val="30"/>
        </w:rPr>
      </w:r>
      <w:r>
        <w:rPr>
          <w:rFonts w:hint="eastAsia" w:ascii="仿宋_GB2312" w:hAnsi="仿宋_GB2312" w:eastAsia="仿宋_GB2312" w:cs="仿宋_GB2312"/>
          <w:sz w:val="30"/>
          <w:szCs w:val="30"/>
        </w:rPr>
      </w:r>
    </w:p>
    <w:p>
      <w:pPr>
        <w:pStyle w:val="620"/>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firstLine="643"/>
        <w:jc w:val="left"/>
        <w:rPr>
          <w:rFonts w:hint="eastAsia" w:ascii="仿宋_GB2312" w:eastAsia="仿宋_GB2312"/>
          <w:b/>
          <w:sz w:val="32"/>
          <w:szCs w:val="32"/>
        </w:rPr>
      </w:pPr>
      <w:r>
        <w:rPr>
          <w:rFonts w:hint="eastAsia" w:ascii="仿宋_GB2312" w:eastAsia="仿宋_GB2312"/>
          <w:b/>
          <w:sz w:val="32"/>
          <w:szCs w:val="32"/>
        </w:rPr>
      </w:r>
      <w:r>
        <w:rPr>
          <w:rFonts w:hint="eastAsia" w:ascii="仿宋_GB2312" w:eastAsia="仿宋_GB2312"/>
          <w:b/>
          <w:sz w:val="32"/>
          <w:szCs w:val="32"/>
        </w:rPr>
      </w:r>
    </w:p>
    <w:p>
      <w:pPr>
        <w:pStyle w:val="620"/>
        <w:pBdr/>
        <w:spacing w:line="620" w:lineRule="exact"/>
        <w:ind/>
        <w:rPr>
          <w:rFonts w:hint="eastAsia" w:ascii="仿宋" w:hAnsi="仿宋" w:eastAsia="仿宋" w:cs="仿宋"/>
          <w:color w:val="000000"/>
          <w:sz w:val="32"/>
        </w:rPr>
      </w:pPr>
      <w:r>
        <w:rPr>
          <w:rFonts w:hint="eastAsia" w:ascii="仿宋" w:hAnsi="仿宋" w:eastAsia="仿宋" w:cs="仿宋"/>
          <w:color w:val="000000"/>
          <w:sz w:val="32"/>
        </w:rPr>
        <w:t xml:space="preserve">  </w:t>
      </w:r>
      <w:r>
        <w:rPr>
          <w:rFonts w:hint="eastAsia" w:ascii="仿宋" w:hAnsi="仿宋" w:eastAsia="仿宋" w:cs="仿宋"/>
          <w:color w:val="000000"/>
          <w:sz w:val="32"/>
        </w:rPr>
      </w:r>
      <w:r>
        <w:rPr>
          <w:rFonts w:hint="eastAsia" w:ascii="仿宋" w:hAnsi="仿宋" w:eastAsia="仿宋" w:cs="仿宋"/>
          <w:color w:val="000000"/>
          <w:sz w:val="32"/>
        </w:rPr>
      </w:r>
    </w:p>
    <w:p>
      <w:pPr>
        <w:pStyle w:val="620"/>
        <w:pBdr/>
        <w:spacing w:line="620" w:lineRule="exact"/>
        <w:ind/>
        <w:rPr>
          <w:rFonts w:hint="eastAsia" w:ascii="楷体" w:hAnsi="楷体" w:eastAsia="楷体" w:cs="楷体"/>
          <w:color w:val="000000"/>
          <w:sz w:val="32"/>
        </w:rPr>
      </w:pPr>
      <w:r>
        <w:rPr>
          <w:rFonts w:hint="eastAsia" w:ascii="仿宋" w:hAnsi="仿宋" w:eastAsia="仿宋" w:cs="仿宋"/>
          <w:color w:val="000000"/>
          <w:sz w:val="32"/>
        </w:rPr>
        <w:t xml:space="preserve"> </w:t>
      </w:r>
      <w:r>
        <w:rPr>
          <w:rFonts w:hint="eastAsia" w:ascii="楷体" w:hAnsi="楷体" w:eastAsia="楷体" w:cs="楷体"/>
          <w:color w:val="000000"/>
          <w:sz w:val="32"/>
        </w:rPr>
        <w:t xml:space="preserve">机构设置：</w:t>
      </w:r>
      <w:r>
        <w:rPr>
          <w:rFonts w:hint="eastAsia" w:ascii="楷体" w:hAnsi="楷体" w:eastAsia="楷体" w:cs="楷体"/>
          <w:color w:val="000000"/>
          <w:sz w:val="32"/>
        </w:rPr>
      </w:r>
      <w:r>
        <w:rPr>
          <w:rFonts w:hint="eastAsia" w:ascii="楷体" w:hAnsi="楷体" w:eastAsia="楷体" w:cs="楷体"/>
          <w:color w:val="000000"/>
          <w:sz w:val="32"/>
        </w:rPr>
      </w:r>
    </w:p>
    <w:tbl>
      <w:tblPr>
        <w:tblpPr w:horzAnchor="page" w:tblpX="1418" w:vertAnchor="text" w:tblpY="144" w:leftFromText="180" w:topFromText="0" w:rightFromText="180" w:bottomFromText="0"/>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094"/>
        <w:gridCol w:w="1845"/>
        <w:gridCol w:w="2416"/>
        <w:gridCol w:w="3907"/>
      </w:tblGrid>
      <w:tr>
        <w:trPr>
          <w:trHeight w:val="300"/>
          <w:tblHeader/>
        </w:trPr>
        <w:tc>
          <w:tcPr>
            <w:tcBorders/>
            <w:tcW w:w="6094" w:type="dxa"/>
            <w:vAlign w:val="center"/>
            <w:vMerge w:val="restart"/>
            <w:textDirection w:val="lrTb"/>
            <w:noWrap w:val="false"/>
          </w:tcPr>
          <w:p>
            <w:pPr>
              <w:pStyle w:val="620"/>
              <w:framePr w:hAnchor="page" w:vAnchor="text"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单位名称</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1845" w:type="dxa"/>
            <w:vAlign w:val="center"/>
            <w:vMerge w:val="restart"/>
            <w:textDirection w:val="lrTb"/>
            <w:noWrap w:val="false"/>
          </w:tcPr>
          <w:p>
            <w:pPr>
              <w:pStyle w:val="620"/>
              <w:framePr w:hAnchor="page" w:vAnchor="text"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单位性质</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2416" w:type="dxa"/>
            <w:vAlign w:val="center"/>
            <w:vMerge w:val="restart"/>
            <w:textDirection w:val="lrTb"/>
            <w:noWrap w:val="false"/>
          </w:tcPr>
          <w:p>
            <w:pPr>
              <w:pStyle w:val="620"/>
              <w:framePr w:hAnchor="page" w:vAnchor="text"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单位规格</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3907" w:type="dxa"/>
            <w:vAlign w:val="center"/>
            <w:vMerge w:val="restart"/>
            <w:textDirection w:val="lrTb"/>
            <w:noWrap w:val="false"/>
          </w:tcPr>
          <w:p>
            <w:pPr>
              <w:pStyle w:val="620"/>
              <w:framePr w:hAnchor="page" w:vAnchor="text"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经费保障形式</w:t>
            </w:r>
            <w:r>
              <w:rPr>
                <w:rFonts w:hint="eastAsia" w:ascii="仿宋_GB2312" w:hAnsi="仿宋" w:eastAsia="仿宋_GB2312" w:cs="仿宋"/>
                <w:b/>
                <w:sz w:val="28"/>
                <w:szCs w:val="28"/>
              </w:rPr>
            </w:r>
            <w:r>
              <w:rPr>
                <w:rFonts w:hint="eastAsia" w:ascii="仿宋_GB2312" w:hAnsi="仿宋" w:eastAsia="仿宋_GB2312" w:cs="仿宋"/>
                <w:b/>
                <w:sz w:val="28"/>
                <w:szCs w:val="28"/>
              </w:rPr>
            </w:r>
          </w:p>
        </w:tc>
      </w:tr>
      <w:tr>
        <w:trPr>
          <w:trHeight w:val="443"/>
        </w:trPr>
        <w:tc>
          <w:tcPr>
            <w:tcBorders/>
            <w:tcW w:w="6094" w:type="dxa"/>
            <w:vAlign w:val="center"/>
            <w:textDirection w:val="lrTb"/>
            <w:noWrap w:val="false"/>
          </w:tcPr>
          <w:p>
            <w:pPr>
              <w:pStyle w:val="620"/>
              <w:framePr w:hAnchor="page" w:vAnchor="text" w:x="1418" w:y="144"/>
              <w:pBdr/>
              <w:spacing w:line="300" w:lineRule="exact"/>
              <w:ind/>
              <w:jc w:val="left"/>
              <w:rPr>
                <w:rFonts w:hint="eastAsia" w:ascii="仿宋_GB2312" w:eastAsia="仿宋_GB2312"/>
                <w:sz w:val="28"/>
                <w:szCs w:val="28"/>
              </w:rPr>
            </w:pPr>
            <w:r>
              <w:rPr>
                <w:rFonts w:hint="eastAsia" w:ascii="仿宋_GB2312" w:eastAsia="仿宋_GB2312"/>
                <w:sz w:val="28"/>
                <w:szCs w:val="28"/>
              </w:rPr>
              <w:t xml:space="preserve">山海关区食品稽查大队</w:t>
            </w:r>
            <w:r>
              <w:rPr>
                <w:rFonts w:hint="eastAsia" w:ascii="仿宋_GB2312" w:eastAsia="仿宋_GB2312"/>
                <w:sz w:val="28"/>
                <w:szCs w:val="28"/>
              </w:rPr>
            </w:r>
            <w:r>
              <w:rPr>
                <w:rFonts w:hint="eastAsia" w:ascii="仿宋_GB2312" w:eastAsia="仿宋_GB2312"/>
                <w:sz w:val="28"/>
                <w:szCs w:val="28"/>
              </w:rPr>
            </w:r>
          </w:p>
        </w:tc>
        <w:tc>
          <w:tcPr>
            <w:tcBorders/>
            <w:tcW w:w="1845" w:type="dxa"/>
            <w:vAlign w:val="center"/>
            <w:textDirection w:val="lrTb"/>
            <w:noWrap w:val="false"/>
          </w:tcPr>
          <w:p>
            <w:pPr>
              <w:pStyle w:val="620"/>
              <w:framePr w:hAnchor="page" w:vAnchor="text" w:x="1418" w:y="144"/>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事业</w:t>
            </w:r>
            <w:r>
              <w:rPr>
                <w:rFonts w:hint="eastAsia" w:ascii="仿宋_GB2312" w:eastAsia="仿宋_GB2312"/>
                <w:sz w:val="28"/>
                <w:szCs w:val="28"/>
              </w:rPr>
            </w:r>
            <w:r>
              <w:rPr>
                <w:rFonts w:hint="eastAsia" w:ascii="仿宋_GB2312" w:eastAsia="仿宋_GB2312"/>
                <w:sz w:val="28"/>
                <w:szCs w:val="28"/>
              </w:rPr>
            </w:r>
          </w:p>
        </w:tc>
        <w:tc>
          <w:tcPr>
            <w:tcBorders/>
            <w:tcW w:w="2416" w:type="dxa"/>
            <w:vAlign w:val="center"/>
            <w:textDirection w:val="lrTb"/>
            <w:noWrap w:val="false"/>
          </w:tcPr>
          <w:p>
            <w:pPr>
              <w:pStyle w:val="620"/>
              <w:framePr w:hAnchor="page" w:vAnchor="text" w:x="1418" w:y="144"/>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正科级</w:t>
            </w:r>
            <w:r>
              <w:rPr>
                <w:rFonts w:hint="eastAsia" w:ascii="仿宋_GB2312" w:eastAsia="仿宋_GB2312"/>
                <w:sz w:val="28"/>
                <w:szCs w:val="28"/>
              </w:rPr>
            </w:r>
            <w:r>
              <w:rPr>
                <w:rFonts w:hint="eastAsia" w:ascii="仿宋_GB2312" w:eastAsia="仿宋_GB2312"/>
                <w:sz w:val="28"/>
                <w:szCs w:val="28"/>
              </w:rPr>
            </w:r>
          </w:p>
        </w:tc>
        <w:tc>
          <w:tcPr>
            <w:tcBorders/>
            <w:tcW w:w="3907" w:type="dxa"/>
            <w:vAlign w:val="center"/>
            <w:textDirection w:val="lrTb"/>
            <w:noWrap w:val="false"/>
          </w:tcPr>
          <w:p>
            <w:pPr>
              <w:pStyle w:val="620"/>
              <w:framePr w:hAnchor="page" w:vAnchor="text" w:x="1418" w:y="144"/>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财政拨款</w:t>
            </w:r>
            <w:r>
              <w:rPr>
                <w:rFonts w:hint="eastAsia" w:ascii="仿宋_GB2312" w:eastAsia="仿宋_GB2312"/>
                <w:sz w:val="28"/>
                <w:szCs w:val="28"/>
              </w:rPr>
            </w:r>
            <w:r>
              <w:rPr>
                <w:rFonts w:hint="eastAsia" w:ascii="仿宋_GB2312" w:eastAsia="仿宋_GB2312"/>
                <w:sz w:val="28"/>
                <w:szCs w:val="28"/>
              </w:rPr>
            </w:r>
          </w:p>
        </w:tc>
      </w:tr>
    </w:tbl>
    <w:p>
      <w:pPr>
        <w:pStyle w:val="620"/>
        <w:pBdr/>
        <w:spacing w:line="620" w:lineRule="exact"/>
        <w:ind/>
        <w:rPr>
          <w:rFonts w:hint="eastAsia" w:ascii="楷体" w:hAnsi="楷体" w:eastAsia="楷体" w:cs="楷体"/>
          <w:color w:val="000000"/>
          <w:sz w:val="32"/>
        </w:rPr>
      </w:pPr>
      <w:r>
        <w:rPr>
          <w:rFonts w:hint="eastAsia" w:ascii="楷体" w:hAnsi="楷体" w:eastAsia="楷体" w:cs="楷体"/>
          <w:color w:val="000000"/>
          <w:sz w:val="32"/>
        </w:rPr>
      </w:r>
      <w:r>
        <w:rPr>
          <w:rFonts w:hint="eastAsia" w:ascii="楷体" w:hAnsi="楷体" w:eastAsia="楷体" w:cs="楷体"/>
          <w:color w:val="000000"/>
          <w:sz w:val="32"/>
        </w:rPr>
      </w:r>
    </w:p>
    <w:p>
      <w:pPr>
        <w:pStyle w:val="620"/>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0"/>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二、部门预算安排的总体情况</w:t>
      </w:r>
      <w:r>
        <w:rPr>
          <w:rFonts w:ascii="黑体" w:hAnsi="黑体" w:eastAsia="黑体"/>
          <w:color w:val="000000"/>
          <w:sz w:val="32"/>
        </w:rPr>
      </w:r>
      <w:r>
        <w:rPr>
          <w:rFonts w:ascii="黑体" w:hAnsi="黑体" w:eastAsia="黑体"/>
          <w:color w:val="000000"/>
          <w:sz w:val="32"/>
        </w:rPr>
      </w:r>
    </w:p>
    <w:p>
      <w:pPr>
        <w:pStyle w:val="620"/>
        <w:pBdr/>
        <w:spacing/>
        <w:ind w:firstLine="640"/>
        <w:jc w:val="left"/>
        <w:rPr>
          <w:rFonts w:hint="eastAsia" w:ascii="楷体" w:hAnsi="楷体" w:eastAsia="楷体" w:cs="楷体"/>
          <w:color w:val="000000"/>
          <w:sz w:val="32"/>
        </w:rPr>
      </w:pPr>
      <w:r>
        <w:rPr>
          <w:rFonts w:hint="eastAsia" w:ascii="楷体" w:hAnsi="楷体" w:eastAsia="楷体" w:cs="楷体"/>
          <w:color w:val="000000"/>
          <w:sz w:val="32"/>
        </w:rPr>
        <w:t xml:space="preserve">1、收入说明</w:t>
      </w:r>
      <w:r>
        <w:rPr>
          <w:rFonts w:hint="eastAsia" w:ascii="楷体" w:hAnsi="楷体" w:eastAsia="楷体" w:cs="楷体"/>
          <w:color w:val="000000"/>
          <w:sz w:val="32"/>
        </w:rPr>
      </w:r>
      <w:r>
        <w:rPr>
          <w:rFonts w:hint="eastAsia" w:ascii="楷体" w:hAnsi="楷体" w:eastAsia="楷体" w:cs="楷体"/>
          <w:color w:val="000000"/>
          <w:sz w:val="32"/>
        </w:rPr>
      </w:r>
    </w:p>
    <w:p>
      <w:pPr>
        <w:pStyle w:val="620"/>
        <w:widowControl w:val="false"/>
        <w:pBdr/>
        <w:spacing w:after="156"/>
        <w:ind w:firstLine="640"/>
        <w:rPr>
          <w:rFonts w:hint="eastAsia" w:ascii="仿宋_GB2312" w:eastAsia="仿宋_GB2312"/>
          <w:sz w:val="32"/>
          <w:szCs w:val="32"/>
        </w:rPr>
      </w:pPr>
      <w:r>
        <w:rPr>
          <w:rFonts w:hint="eastAsia" w:ascii="仿宋_GB2312" w:eastAsia="仿宋_GB2312"/>
          <w:sz w:val="32"/>
          <w:szCs w:val="32"/>
        </w:rPr>
        <w:t xml:space="preserve">我单位2017年部门预算收入为 209.88万元，全部为一般公共预算安排。</w:t>
      </w:r>
      <w:r>
        <w:rPr>
          <w:rFonts w:hint="eastAsia" w:ascii="仿宋_GB2312" w:eastAsia="仿宋_GB2312"/>
          <w:sz w:val="32"/>
          <w:szCs w:val="32"/>
        </w:rPr>
      </w:r>
      <w:r>
        <w:rPr>
          <w:rFonts w:hint="eastAsia" w:ascii="仿宋_GB2312" w:eastAsia="仿宋_GB2312"/>
          <w:sz w:val="32"/>
          <w:szCs w:val="32"/>
        </w:rPr>
      </w:r>
    </w:p>
    <w:p>
      <w:pPr>
        <w:pStyle w:val="620"/>
        <w:pBdr/>
        <w:spacing/>
        <w:ind w:firstLine="640"/>
        <w:jc w:val="left"/>
        <w:rPr>
          <w:rFonts w:hint="eastAsia" w:ascii="仿宋" w:hAnsi="仿宋" w:eastAsia="仿宋" w:cs="仿宋"/>
          <w:color w:val="000000"/>
          <w:sz w:val="32"/>
        </w:rPr>
      </w:pPr>
      <w:r>
        <w:rPr>
          <w:rFonts w:hint="eastAsia" w:ascii="楷体" w:hAnsi="楷体" w:eastAsia="楷体" w:cs="楷体"/>
          <w:color w:val="000000"/>
          <w:sz w:val="32"/>
        </w:rPr>
        <w:t xml:space="preserve">2、支出说明</w:t>
      </w:r>
      <w:r>
        <w:rPr>
          <w:rFonts w:hint="eastAsia" w:ascii="仿宋" w:hAnsi="仿宋" w:eastAsia="仿宋" w:cs="仿宋"/>
          <w:color w:val="000000"/>
          <w:sz w:val="32"/>
        </w:rPr>
      </w:r>
      <w:r>
        <w:rPr>
          <w:rFonts w:hint="eastAsia" w:ascii="仿宋" w:hAnsi="仿宋" w:eastAsia="仿宋" w:cs="仿宋"/>
          <w:color w:val="000000"/>
          <w:sz w:val="32"/>
        </w:rPr>
      </w:r>
    </w:p>
    <w:p>
      <w:pPr>
        <w:pStyle w:val="620"/>
        <w:pBdr/>
        <w:spacing/>
        <w:ind/>
        <w:jc w:val="left"/>
        <w:rPr>
          <w:rFonts w:hint="eastAsia" w:ascii="仿宋" w:hAnsi="仿宋" w:eastAsia="仿宋" w:cs="仿宋"/>
          <w:color w:val="000000"/>
          <w:sz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我单位2017年部门预算支出为 209.88万元，其中：人员经费支出为117.99万元；日常公用经费支出5.27万元；项目支出86.62万元。</w:t>
      </w:r>
      <w:r>
        <w:rPr>
          <w:rFonts w:hint="eastAsia" w:ascii="仿宋" w:hAnsi="仿宋" w:eastAsia="仿宋" w:cs="仿宋"/>
          <w:color w:val="000000"/>
          <w:sz w:val="32"/>
        </w:rPr>
      </w:r>
      <w:r>
        <w:rPr>
          <w:rFonts w:hint="eastAsia" w:ascii="仿宋" w:hAnsi="仿宋" w:eastAsia="仿宋" w:cs="仿宋"/>
          <w:color w:val="000000"/>
          <w:sz w:val="32"/>
        </w:rPr>
      </w:r>
    </w:p>
    <w:p>
      <w:pPr>
        <w:pStyle w:val="620"/>
        <w:pBdr/>
        <w:spacing/>
        <w:ind w:firstLine="640"/>
        <w:jc w:val="left"/>
        <w:rPr>
          <w:rFonts w:hint="eastAsia" w:ascii="楷体" w:hAnsi="楷体" w:eastAsia="楷体" w:cs="楷体"/>
          <w:color w:val="000000"/>
          <w:sz w:val="32"/>
        </w:rPr>
      </w:pPr>
      <w:r>
        <w:rPr>
          <w:rFonts w:hint="eastAsia" w:ascii="楷体" w:hAnsi="楷体" w:eastAsia="楷体" w:cs="楷体"/>
          <w:color w:val="000000"/>
          <w:sz w:val="32"/>
        </w:rPr>
        <w:t xml:space="preserve">3、比上年增减情况</w:t>
      </w:r>
      <w:r>
        <w:rPr>
          <w:rFonts w:hint="eastAsia" w:ascii="楷体" w:hAnsi="楷体" w:eastAsia="楷体" w:cs="楷体"/>
          <w:color w:val="000000"/>
          <w:sz w:val="32"/>
        </w:rPr>
      </w:r>
      <w:r>
        <w:rPr>
          <w:rFonts w:hint="eastAsia" w:ascii="楷体" w:hAnsi="楷体" w:eastAsia="楷体" w:cs="楷体"/>
          <w:color w:val="000000"/>
          <w:sz w:val="32"/>
        </w:rPr>
      </w:r>
    </w:p>
    <w:p>
      <w:pPr>
        <w:pStyle w:val="620"/>
        <w:pBdr/>
        <w:spacing/>
        <w:ind/>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2017年预算收支安排209.88万元，较2016年预算增加109.39万元，其中：基本支出增加67.08万元，主要为工资改革性增资支出；项目支出增加42.24万元，主要为快检室建立经费支出。</w:t>
      </w:r>
      <w:r>
        <w:rPr>
          <w:rFonts w:ascii="仿宋_GB2312" w:eastAsia="仿宋_GB2312"/>
          <w:sz w:val="32"/>
          <w:szCs w:val="32"/>
        </w:rPr>
      </w:r>
      <w:r>
        <w:rPr>
          <w:rFonts w:ascii="仿宋_GB2312" w:eastAsia="仿宋_GB2312"/>
          <w:sz w:val="32"/>
          <w:szCs w:val="32"/>
        </w:rPr>
      </w:r>
    </w:p>
    <w:p>
      <w:pPr>
        <w:pStyle w:val="620"/>
        <w:pBdr/>
        <w:spacing/>
        <w:ind/>
        <w:jc w:val="left"/>
        <w:rPr>
          <w:rFonts w:ascii="黑体" w:hAnsi="黑体" w:eastAsia="黑体"/>
          <w:color w:val="000000"/>
          <w:sz w:val="32"/>
        </w:rPr>
      </w:pPr>
      <w:r>
        <w:rPr>
          <w:rFonts w:ascii="黑体" w:hAnsi="黑体" w:eastAsia="黑体"/>
          <w:color w:val="000000"/>
          <w:sz w:val="32"/>
        </w:rPr>
        <w:t xml:space="preserve">三、机关运行经费安排情况</w:t>
      </w:r>
      <w:r>
        <w:rPr>
          <w:rFonts w:ascii="黑体" w:hAnsi="黑体" w:eastAsia="黑体"/>
          <w:color w:val="000000"/>
          <w:sz w:val="32"/>
        </w:rPr>
      </w:r>
      <w:r>
        <w:rPr>
          <w:rFonts w:ascii="黑体" w:hAnsi="黑体" w:eastAsia="黑体"/>
          <w:color w:val="000000"/>
          <w:sz w:val="32"/>
        </w:rPr>
      </w:r>
    </w:p>
    <w:p>
      <w:pPr>
        <w:pStyle w:val="620"/>
        <w:pBdr/>
        <w:spacing/>
        <w:ind/>
        <w:jc w:val="left"/>
        <w:rPr>
          <w:rFonts w:ascii="仿宋" w:hAnsi="仿宋" w:eastAsia="仿宋" w:cs="仿宋"/>
          <w:color w:val="000000"/>
          <w:sz w:val="32"/>
        </w:rPr>
      </w:pPr>
      <w:r>
        <w:rPr>
          <w:rFonts w:hint="eastAsia" w:ascii="FZFangSong-Z02" w:hAnsi="FZFangSong-Z02"/>
          <w:color w:val="000000"/>
          <w:sz w:val="32"/>
        </w:rPr>
        <w:t xml:space="preserve">    </w:t>
      </w:r>
      <w:r>
        <w:rPr>
          <w:rFonts w:hint="eastAsia" w:ascii="仿宋_GB2312" w:eastAsia="仿宋_GB2312"/>
          <w:sz w:val="32"/>
          <w:szCs w:val="32"/>
        </w:rPr>
        <w:t xml:space="preserve">机关运行经费共计安排5.27万元，主要用于办公区的日常维修、办公邮电费、公务交通补贴、离退休干部公用经费及福利费、工会经费等日常运行支出。</w:t>
      </w:r>
      <w:r>
        <w:rPr>
          <w:rFonts w:ascii="仿宋" w:hAnsi="仿宋" w:eastAsia="仿宋" w:cs="仿宋"/>
          <w:color w:val="000000"/>
          <w:sz w:val="32"/>
        </w:rPr>
      </w:r>
      <w:r>
        <w:rPr>
          <w:rFonts w:ascii="仿宋" w:hAnsi="仿宋" w:eastAsia="仿宋" w:cs="仿宋"/>
          <w:color w:val="000000"/>
          <w:sz w:val="32"/>
        </w:rPr>
      </w:r>
    </w:p>
    <w:p>
      <w:pPr>
        <w:pStyle w:val="620"/>
        <w:pBdr/>
        <w:spacing/>
        <w:ind/>
        <w:jc w:val="left"/>
        <w:rPr>
          <w:rFonts w:ascii="黑体" w:hAnsi="黑体" w:eastAsia="黑体"/>
          <w:color w:val="000000"/>
          <w:sz w:val="32"/>
        </w:rPr>
      </w:pPr>
      <w:r>
        <w:rPr>
          <w:rFonts w:ascii="黑体" w:hAnsi="黑体" w:eastAsia="黑体"/>
          <w:color w:val="000000"/>
          <w:sz w:val="32"/>
        </w:rPr>
        <w:t xml:space="preserve">四、财政拨款“三公”经费预算情况及增减变化原因</w:t>
      </w:r>
      <w:r>
        <w:rPr>
          <w:rFonts w:ascii="黑体" w:hAnsi="黑体" w:eastAsia="黑体"/>
          <w:color w:val="000000"/>
          <w:sz w:val="32"/>
        </w:rPr>
      </w:r>
      <w:r>
        <w:rPr>
          <w:rFonts w:ascii="黑体" w:hAnsi="黑体" w:eastAsia="黑体"/>
          <w:color w:val="000000"/>
          <w:sz w:val="32"/>
        </w:rPr>
      </w:r>
    </w:p>
    <w:p>
      <w:pPr>
        <w:pStyle w:val="620"/>
        <w:pBdr/>
        <w:spacing/>
        <w:ind w:firstLine="640"/>
        <w:rPr>
          <w:rFonts w:ascii="仿宋_GB2312" w:eastAsia="仿宋_GB2312"/>
          <w:sz w:val="32"/>
          <w:szCs w:val="32"/>
        </w:rPr>
      </w:pPr>
      <w:r>
        <w:rPr>
          <w:rFonts w:hint="eastAsia" w:ascii="仿宋_GB2312" w:eastAsia="仿宋_GB2312"/>
          <w:sz w:val="32"/>
          <w:szCs w:val="32"/>
        </w:rPr>
        <w:t xml:space="preserve">2017年，我部门财政拨款“三公”经费预算安排0.6万元，其中因公出国（境）费0万元；公务用车购置及运维费0.6 万元（其中：公务用车购置费为0万元，公务用车运行费0.6 万元)；公务接待费0万元。与2016年无增减变化。</w:t>
      </w:r>
      <w:r>
        <w:rPr>
          <w:rFonts w:ascii="仿宋_GB2312" w:eastAsia="仿宋_GB2312"/>
          <w:sz w:val="32"/>
          <w:szCs w:val="32"/>
        </w:rPr>
      </w:r>
      <w:r>
        <w:rPr>
          <w:rFonts w:ascii="仿宋_GB2312" w:eastAsia="仿宋_GB2312"/>
          <w:sz w:val="32"/>
          <w:szCs w:val="32"/>
        </w:rPr>
      </w:r>
    </w:p>
    <w:p>
      <w:pPr>
        <w:pStyle w:val="620"/>
        <w:pBdr/>
        <w:spacing/>
        <w:ind/>
        <w:jc w:val="left"/>
        <w:rPr>
          <w:rFonts w:hint="eastAsia" w:ascii="方正仿宋_GBK" w:eastAsia="方正仿宋_GBK"/>
          <w:sz w:val="28"/>
        </w:rPr>
      </w:pPr>
      <w:r>
        <w:rPr>
          <w:rFonts w:hint="eastAsia" w:ascii="黑体" w:hAnsi="黑体" w:eastAsia="黑体"/>
          <w:color w:val="000000"/>
          <w:sz w:val="32"/>
        </w:rPr>
        <w:t xml:space="preserve">    </w:t>
      </w:r>
      <w:r>
        <w:rPr>
          <w:rFonts w:ascii="黑体" w:hAnsi="黑体" w:eastAsia="黑体"/>
          <w:color w:val="000000"/>
          <w:sz w:val="32"/>
        </w:rPr>
        <w:t xml:space="preserve">五、绩效预算信息</w:t>
      </w:r>
      <w:r>
        <w:rPr>
          <w:rFonts w:hint="eastAsia" w:ascii="仿宋_GB2312" w:eastAsia="仿宋_GB2312"/>
          <w:b/>
          <w:sz w:val="32"/>
          <w:szCs w:val="32"/>
        </w:rPr>
        <w:t xml:space="preserve">总体绩效目标：</w:t>
      </w:r>
      <w:r>
        <w:rPr>
          <w:rFonts w:hint="eastAsia" w:ascii="方正仿宋_GBK" w:eastAsia="方正仿宋_GBK"/>
          <w:sz w:val="28"/>
        </w:rPr>
      </w:r>
      <w:r>
        <w:rPr>
          <w:rFonts w:hint="eastAsia" w:ascii="方正仿宋_GBK" w:eastAsia="方正仿宋_GBK"/>
          <w:sz w:val="28"/>
        </w:rPr>
      </w:r>
    </w:p>
    <w:p>
      <w:pPr>
        <w:pStyle w:val="620"/>
        <w:numPr>
          <w:ilvl w:val="0"/>
          <w:numId w:val="1"/>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扎实做好暑期餐饮服务食品安全监管和重大活动保障工作。今年暑期以来，大队以“四抓”为方法，对辖区内旅游景区及周边开展食品安全专项检查活动和驻点监管工作。</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0"/>
        <w:numPr>
          <w:ilvl w:val="0"/>
          <w:numId w:val="2"/>
        </w:numPr>
        <w:pBdr/>
        <w:spacing/>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扎实做好重大活动食品安全保障。重大活动食品安全保障做为大队监管工作的重中之重，按照思想上高度重视，行动上监管不留缝隙，应急准备到位的工作理念，先后确保了区“两会”、“二月二”老龙头庙会、“柳园”杯全国山地自行车冠军赛、2016年高考、全省旅游4A及以上提升培训会等多次重大活动的饮食安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0"/>
        <w:pBdr/>
        <w:spacing/>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强化学校、托幼机构食堂食品安全专项整治。为实现学校食堂及托幼机构食堂的规范化、标准化、优质化管理，我大队以打造“明厨亮灶”工程为契机，以统一设计、统一安装、统一验收的“三个统一”为举措，全面推进辖区学校食堂及托幼机构食堂“网络厨房”的安装工作，真正实现了“阳光厨房”进校园。</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0"/>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全面提升餐饮监管量化分级管理工作。以国家总局《关于实施餐饮服务食品安全监管量化分级管理工作的指导意见》为依据，结合“明厨亮灶”打造工程和“清洁厨房”行动，将日常监督检查结果与动态评定结果有机结合，大幅提高了量化分级等级优良率。</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0"/>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0"/>
        <w:pBdr/>
        <w:spacing/>
        <w:ind/>
        <w:jc w:val="center"/>
        <w:outlineLvl w:val="0"/>
        <w:rPr>
          <w:rFonts w:hint="eastAsia" w:ascii="仿宋_GB2312" w:hAnsi="仿宋_GB2312" w:eastAsia="仿宋_GB2312" w:cs="仿宋_GB2312"/>
          <w:sz w:val="32"/>
        </w:rPr>
      </w:pPr>
      <w:r>
        <w:rPr>
          <w:rFonts w:hint="eastAsia" w:ascii="仿宋_GB2312" w:hAnsi="仿宋_GB2312" w:eastAsia="仿宋_GB2312" w:cs="仿宋_GB2312"/>
          <w:sz w:val="32"/>
        </w:rPr>
        <w:t xml:space="preserve">部门职责-工作活动绩效目标</w:t>
      </w:r>
      <w:r>
        <w:rPr>
          <w:rFonts w:hint="eastAsia" w:ascii="仿宋_GB2312" w:hAnsi="仿宋_GB2312" w:eastAsia="仿宋_GB2312" w:cs="仿宋_GB2312"/>
          <w:sz w:val="32"/>
        </w:rPr>
      </w:r>
      <w:r>
        <w:rPr>
          <w:rFonts w:hint="eastAsia" w:ascii="仿宋_GB2312" w:hAnsi="仿宋_GB2312" w:eastAsia="仿宋_GB2312" w:cs="仿宋_GB2312"/>
          <w:sz w:val="32"/>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341"/>
        <w:gridCol w:w="1276"/>
        <w:gridCol w:w="2976"/>
        <w:gridCol w:w="2976"/>
        <w:gridCol w:w="1417"/>
        <w:gridCol w:w="737"/>
        <w:gridCol w:w="737"/>
        <w:gridCol w:w="737"/>
        <w:gridCol w:w="737"/>
      </w:tblGrid>
      <w:tr>
        <w:trPr>
          <w:trHeight w:val="227"/>
          <w:tblHeader/>
        </w:trPr>
        <w:tc>
          <w:tcPr>
            <w:gridSpan w:val="5"/>
            <w:tcBorders/>
            <w:tcW w:w="10986" w:type="dxa"/>
            <w:vAlign w:val="center"/>
            <w:textDirection w:val="lrTb"/>
            <w:noWrap w:val="false"/>
          </w:tcPr>
          <w:p>
            <w:pPr>
              <w:pStyle w:val="620"/>
              <w:pBdr/>
              <w:spacing w:line="300" w:lineRule="exact"/>
              <w:ind/>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644食品稽查大队</w:t>
            </w:r>
            <w:r>
              <w:rPr>
                <w:rFonts w:hint="eastAsia" w:ascii="仿宋_GB2312" w:hAnsi="仿宋_GB2312" w:eastAsia="仿宋_GB2312" w:cs="仿宋_GB2312"/>
                <w:sz w:val="24"/>
              </w:rPr>
            </w:r>
            <w:r>
              <w:rPr>
                <w:rFonts w:hint="eastAsia" w:ascii="仿宋_GB2312" w:hAnsi="仿宋_GB2312" w:eastAsia="仿宋_GB2312" w:cs="仿宋_GB2312"/>
                <w:sz w:val="24"/>
              </w:rPr>
            </w:r>
          </w:p>
        </w:tc>
        <w:tc>
          <w:tcPr>
            <w:gridSpan w:val="4"/>
            <w:tcBorders/>
            <w:tcW w:w="2948" w:type="dxa"/>
            <w:vAlign w:val="center"/>
            <w:textDirection w:val="lrTb"/>
            <w:noWrap w:val="false"/>
          </w:tcPr>
          <w:p>
            <w:pPr>
              <w:pStyle w:val="620"/>
              <w:pBdr/>
              <w:spacing w:line="300" w:lineRule="exact"/>
              <w:ind/>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单位：万元</w:t>
            </w:r>
            <w:r>
              <w:rPr>
                <w:rFonts w:hint="eastAsia" w:ascii="仿宋_GB2312" w:hAnsi="仿宋_GB2312" w:eastAsia="仿宋_GB2312" w:cs="仿宋_GB2312"/>
                <w:sz w:val="24"/>
              </w:rPr>
            </w:r>
            <w:r>
              <w:rPr>
                <w:rFonts w:hint="eastAsia" w:ascii="仿宋_GB2312" w:hAnsi="仿宋_GB2312" w:eastAsia="仿宋_GB2312" w:cs="仿宋_GB2312"/>
                <w:sz w:val="24"/>
              </w:rPr>
            </w:r>
          </w:p>
        </w:tc>
      </w:tr>
      <w:tr>
        <w:trPr>
          <w:trHeight w:val="227"/>
          <w:tblHeader/>
        </w:trPr>
        <w:tc>
          <w:tcPr>
            <w:tcBorders/>
            <w:tcW w:w="2341" w:type="dxa"/>
            <w:vAlign w:val="center"/>
            <w:vMerge w:val="restart"/>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职责活动</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vMerge w:val="restart"/>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年度预算数</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2976" w:type="dxa"/>
            <w:vAlign w:val="center"/>
            <w:vMerge w:val="restart"/>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内容描述</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2976" w:type="dxa"/>
            <w:vAlign w:val="center"/>
            <w:vMerge w:val="restart"/>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绩效目标</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417" w:type="dxa"/>
            <w:vAlign w:val="center"/>
            <w:vMerge w:val="restart"/>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绩效指标</w:t>
            </w:r>
            <w:r>
              <w:rPr>
                <w:rFonts w:hint="eastAsia" w:ascii="仿宋_GB2312" w:hAnsi="仿宋_GB2312" w:eastAsia="仿宋_GB2312" w:cs="仿宋_GB2312"/>
                <w:b/>
              </w:rPr>
            </w:r>
            <w:r>
              <w:rPr>
                <w:rFonts w:hint="eastAsia" w:ascii="仿宋_GB2312" w:hAnsi="仿宋_GB2312" w:eastAsia="仿宋_GB2312" w:cs="仿宋_GB2312"/>
                <w:b/>
              </w:rPr>
            </w:r>
          </w:p>
        </w:tc>
        <w:tc>
          <w:tcPr>
            <w:gridSpan w:val="4"/>
            <w:tcBorders/>
            <w:tcW w:w="2948" w:type="dxa"/>
            <w:vAlign w:val="center"/>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评价标准</w:t>
            </w:r>
            <w:r>
              <w:rPr>
                <w:rFonts w:hint="eastAsia" w:ascii="仿宋_GB2312" w:hAnsi="仿宋_GB2312" w:eastAsia="仿宋_GB2312" w:cs="仿宋_GB2312"/>
                <w:b/>
              </w:rPr>
            </w:r>
            <w:r>
              <w:rPr>
                <w:rFonts w:hint="eastAsia" w:ascii="仿宋_GB2312" w:hAnsi="仿宋_GB2312" w:eastAsia="仿宋_GB2312" w:cs="仿宋_GB2312"/>
                <w:b/>
              </w:rPr>
            </w:r>
          </w:p>
        </w:tc>
      </w:tr>
      <w:tr>
        <w:trPr>
          <w:trHeight w:val="227"/>
          <w:tblHeader/>
        </w:trPr>
        <w:tc>
          <w:tcPr>
            <w:tcBorders/>
            <w:tcW w:w="2341" w:type="dxa"/>
            <w:vAlign w:val="center"/>
            <w:vMerge w:val="continue"/>
            <w:textDirection w:val="lrTb"/>
            <w:noWrap w:val="false"/>
          </w:tcPr>
          <w:p>
            <w:pPr>
              <w:pStyle w:val="620"/>
              <w:pBdr/>
              <w:spacing w:line="300" w:lineRule="exact"/>
              <w:ind/>
              <w:jc w:val="left"/>
              <w:outlineLvl w:val="0"/>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1276" w:type="dxa"/>
            <w:vAlign w:val="center"/>
            <w:vMerge w:val="continue"/>
            <w:textDirection w:val="lrTb"/>
            <w:noWrap w:val="false"/>
          </w:tcPr>
          <w:p>
            <w:pPr>
              <w:pStyle w:val="620"/>
              <w:pBdr/>
              <w:spacing w:line="300" w:lineRule="exact"/>
              <w:ind/>
              <w:jc w:val="left"/>
              <w:outlineLvl w:val="0"/>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vMerge w:val="continue"/>
            <w:textDirection w:val="lrTb"/>
            <w:noWrap w:val="false"/>
          </w:tcPr>
          <w:p>
            <w:pPr>
              <w:pStyle w:val="620"/>
              <w:pBdr/>
              <w:spacing w:line="300" w:lineRule="exact"/>
              <w:ind/>
              <w:jc w:val="left"/>
              <w:outlineLvl w:val="0"/>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vMerge w:val="continue"/>
            <w:textDirection w:val="lrTb"/>
            <w:noWrap w:val="false"/>
          </w:tcPr>
          <w:p>
            <w:pPr>
              <w:pStyle w:val="620"/>
              <w:pBdr/>
              <w:spacing w:line="300" w:lineRule="exact"/>
              <w:ind/>
              <w:jc w:val="left"/>
              <w:outlineLvl w:val="0"/>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vMerge w:val="continue"/>
            <w:textDirection w:val="lrTb"/>
            <w:noWrap w:val="false"/>
          </w:tcPr>
          <w:p>
            <w:pPr>
              <w:pStyle w:val="620"/>
              <w:pBdr/>
              <w:spacing w:line="300" w:lineRule="exact"/>
              <w:ind/>
              <w:jc w:val="left"/>
              <w:outlineLvl w:val="0"/>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优</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良</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中</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b/>
              </w:rPr>
            </w:pPr>
            <w:r>
              <w:rPr>
                <w:rFonts w:hint="eastAsia" w:ascii="仿宋_GB2312" w:hAnsi="仿宋_GB2312" w:eastAsia="仿宋_GB2312" w:cs="仿宋_GB2312"/>
                <w:b/>
              </w:rPr>
              <w:t xml:space="preserve">差</w:t>
            </w:r>
            <w:r>
              <w:rPr>
                <w:rFonts w:hint="eastAsia" w:ascii="仿宋_GB2312" w:hAnsi="仿宋_GB2312" w:eastAsia="仿宋_GB2312" w:cs="仿宋_GB2312"/>
                <w:b/>
              </w:rPr>
            </w:r>
            <w:r>
              <w:rPr>
                <w:rFonts w:hint="eastAsia" w:ascii="仿宋_GB2312" w:hAnsi="仿宋_GB2312" w:eastAsia="仿宋_GB2312" w:cs="仿宋_GB2312"/>
                <w:b/>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食品安全管理</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82.62</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全市质量监督、产品质量安全监督、标准化、计量、认证认可、特种设备及食品相关产品质量监督管理等。</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通过对食品各个环节的强力监管，及时发现食品监管中存在的问题，重点突出食品安全县建设以及做好重大活动和暑期食品安全保障，争创全国食品安全区。</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食品（含保健品）安全监管工作经费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20.62</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开展对食品各个环节从业人员培训；对餐饮消费服务环节进行许可；加强监管执法人员自身队伍建设管理；完善执法装备设施；通过对食品生产、流通、餐饮消费、保健食品的各个环节抽验和强力监管，及时发现和排除食品安全问题</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确保我区食品安全，重大活动和暑期食品不出现重大事故，保证人民群众饮食安全。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重大食品事故案件（个）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0个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1个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2个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3个</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暑期食品安全保障工作经费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10.00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加大暑期监督力度和频次，实行错时监管与日常监管相结合、流动巡查与驻点监控相结合、专业检查与社会监督相结合等多种方式，确保食品安全监管落实到位</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确保我区暑期不出现重大食品安全事故</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暑期重大食品安全事故（个）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0个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1个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2个</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3个</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重大活动餐饮保障工作经费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4.00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规范重大活动餐饮服务单位食品安全监管，确保大型政治、经济、文化、体育活动以及在我区范围内举办各类大型会议、展览会和赛事等活动期间的餐饮服务食品安全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提升重大活动餐饮服务食品安全监管水平；规范重大活动餐饮服务单位食品安全监管；</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重大活动餐饮服务接待单位预监督率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75份</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70份</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65份</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60份</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食品加工小作坊监管工作经费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1.00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制定食品加工小作坊标准，对食品加工小作坊进行登记管理，加强对食品加工小作坊监管、抽验</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确保食品加工小作坊食品安全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食品加工小作坊监督覆盖率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食品摊贩监督管理费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1.00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制定食品摊贩标准，对食品摊贩进行登记管理，加强对食品摊贩监管、抽验</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确保食品摊贩食品安全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食品摊贩监督覆盖率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小饭桌监督管理费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1.00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制定小饭桌标准，对小饭桌进行登记管理，加强对小饭桌监管</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确保小饭桌食品安全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小饭桌监督覆盖率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快检室检测工作经费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40.00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为充分发挥食品检验在食品监督管理中的技术支撑作用，提高食品稽查大队依法监督的能力</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确保快检室工作顺利开展</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检测覆盖率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餐饮业服务人员食品安全培训经费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2.00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发放上岗证，租赁地点，制作展牌，发放培训资料</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提升全区餐饮服务人员自身素质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培训合格率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100%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创建国家文明城市工作经费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摆放宣传提示牌工作和责任老旧小区卫生、小广告清理工作等</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确保创建国家文明城市工作顺利进行</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创建国家文明城市达标率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百日洁餐、烧烤、早点专项工作经费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1.00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负责辖区内早点、烧烤的错时监管工作</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确保我区烧烤、早点食品安全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烧烤、早点监督覆盖率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创建国家食品安全城市工作经费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负责辖区内餐饮单位人员的培训、食品生产经营单位的定期巡查、打击非法制售行为等工作</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确保创建国家食品安全城市工作顺利进行</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创建国家食品安全城市达标率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大气污染油烟净化监督工作经费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负责辖区内所有餐饮单位的油烟污染情况，重点是油烟排放污染较重的烧烤店</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确保我区所有排放油烟的餐饮单位，安装油烟净化设施，油烟排放达到国家环保总局标准</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大气污染油烟净化监督覆盖率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餐厨垃圾废弃物处置监督工作经费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严查非法处置区里餐饮单位餐厨废弃物，做好大力宣传教育工作</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确保全区餐饮单位餐厨垃圾废弃物处置方式达标，确保全区餐饮单位餐厨垃圾废弃物处置方式达标</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餐厨垃圾废弃物处置监督覆盖率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w:t>
            </w:r>
            <w:r>
              <w:rPr>
                <w:rFonts w:hint="eastAsia" w:ascii="仿宋_GB2312" w:hAnsi="仿宋_GB2312" w:eastAsia="仿宋_GB2312" w:cs="仿宋_GB2312"/>
                <w:b/>
                <w:cs/>
              </w:rPr>
              <w:t xml:space="preserve">“</w:t>
            </w:r>
            <w:r>
              <w:rPr>
                <w:rFonts w:hint="eastAsia" w:ascii="仿宋_GB2312" w:hAnsi="仿宋_GB2312" w:eastAsia="仿宋_GB2312" w:cs="仿宋_GB2312"/>
                <w:b/>
              </w:rPr>
              <w:t xml:space="preserve">三小</w:t>
            </w:r>
            <w:r>
              <w:rPr>
                <w:rFonts w:hint="eastAsia" w:ascii="仿宋_GB2312" w:hAnsi="仿宋_GB2312" w:eastAsia="仿宋_GB2312" w:cs="仿宋_GB2312"/>
                <w:b/>
                <w:cs/>
              </w:rPr>
              <w:t xml:space="preserve">”</w:t>
            </w:r>
            <w:r>
              <w:rPr>
                <w:rFonts w:hint="eastAsia" w:ascii="仿宋_GB2312" w:hAnsi="仿宋_GB2312" w:eastAsia="仿宋_GB2312" w:cs="仿宋_GB2312"/>
                <w:b/>
              </w:rPr>
              <w:t xml:space="preserve">监督管理工作经费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2.00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负责小作坊，小餐饮《登记证》的办理、日常监管和违法查处工作</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确保三小食品安全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cs/>
              </w:rPr>
              <w:t xml:space="preserve">“</w:t>
            </w:r>
            <w:r>
              <w:rPr>
                <w:rFonts w:hint="eastAsia" w:ascii="仿宋_GB2312" w:hAnsi="仿宋_GB2312" w:eastAsia="仿宋_GB2312" w:cs="仿宋_GB2312"/>
              </w:rPr>
              <w:t xml:space="preserve">三小</w:t>
            </w:r>
            <w:r>
              <w:rPr>
                <w:rFonts w:hint="eastAsia" w:ascii="仿宋_GB2312" w:hAnsi="仿宋_GB2312" w:eastAsia="仿宋_GB2312" w:cs="仿宋_GB2312"/>
                <w:cs/>
              </w:rPr>
              <w:t xml:space="preserve">”</w:t>
            </w:r>
            <w:r>
              <w:rPr>
                <w:rFonts w:hint="eastAsia" w:ascii="仿宋_GB2312" w:hAnsi="仿宋_GB2312" w:eastAsia="仿宋_GB2312" w:cs="仿宋_GB2312"/>
              </w:rPr>
              <w:t xml:space="preserve">监督管理覆盖率</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稽查和打假办案工作经费</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4.00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对危害群众食品安全的案件进行查处，保障人民群众饮食安全。</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加强对食品安全知识的宣传，鼓励人民群众举报食品案件线索，及时发现和查处食品制假售假案件，对所有食品案件100%查处，始终保持对食品制假售假的零容忍，确保我区不出现重大责任事故。</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cs/>
              </w:rPr>
            </w:pPr>
            <w:r>
              <w:rPr>
                <w:rFonts w:hint="eastAsia" w:ascii="仿宋_GB2312" w:hAnsi="仿宋_GB2312" w:eastAsia="仿宋_GB2312" w:cs="仿宋_GB2312"/>
                <w:cs/>
              </w:rPr>
            </w:r>
            <w:r>
              <w:rPr>
                <w:rFonts w:hint="eastAsia" w:ascii="仿宋_GB2312" w:hAnsi="仿宋_GB2312" w:eastAsia="仿宋_GB2312" w:cs="仿宋_GB2312"/>
                <w:cs/>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r>
      <w:tr>
        <w:trPr>
          <w:trHeight w:val="227"/>
        </w:trPr>
        <w:tc>
          <w:tcPr>
            <w:tcBorders/>
            <w:tcW w:w="2341" w:type="dxa"/>
            <w:vAlign w:val="center"/>
            <w:textDirection w:val="lrTb"/>
            <w:noWrap w:val="false"/>
          </w:tcPr>
          <w:p>
            <w:pPr>
              <w:pStyle w:val="620"/>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　　稽查和打假办案工作</w:t>
            </w:r>
            <w:r>
              <w:rPr>
                <w:rFonts w:hint="eastAsia" w:ascii="仿宋_GB2312" w:hAnsi="仿宋_GB2312" w:eastAsia="仿宋_GB2312" w:cs="仿宋_GB2312"/>
                <w:b/>
              </w:rPr>
            </w:r>
            <w:r>
              <w:rPr>
                <w:rFonts w:hint="eastAsia" w:ascii="仿宋_GB2312" w:hAnsi="仿宋_GB2312" w:eastAsia="仿宋_GB2312" w:cs="仿宋_GB2312"/>
                <w:b/>
              </w:rPr>
            </w:r>
          </w:p>
        </w:tc>
        <w:tc>
          <w:tcPr>
            <w:tcBorders/>
            <w:tcW w:w="12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4.00</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开展食品（含保健食品、酒类、调味品）、违法案件的稽查工作，并对违法生产、经营案件进行查处，保障人民群众饮食安全，维持正常市场经济秩序。</w:t>
            </w:r>
            <w:r>
              <w:rPr>
                <w:rFonts w:hint="eastAsia" w:ascii="仿宋_GB2312" w:hAnsi="仿宋_GB2312" w:eastAsia="仿宋_GB2312" w:cs="仿宋_GB2312"/>
              </w:rPr>
            </w:r>
            <w:r>
              <w:rPr>
                <w:rFonts w:hint="eastAsia" w:ascii="仿宋_GB2312" w:hAnsi="仿宋_GB2312" w:eastAsia="仿宋_GB2312" w:cs="仿宋_GB2312"/>
              </w:rPr>
            </w:r>
          </w:p>
        </w:tc>
        <w:tc>
          <w:tcPr>
            <w:tcBorders/>
            <w:tcW w:w="2976" w:type="dxa"/>
            <w:vAlign w:val="center"/>
            <w:textDirection w:val="lrTb"/>
            <w:noWrap w:val="false"/>
          </w:tcPr>
          <w:p>
            <w:pPr>
              <w:pStyle w:val="620"/>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通过开展严厉的稽查和打假活动，震慑犯罪，确保制假售假案件呈下降态势</w:t>
            </w:r>
            <w:r>
              <w:rPr>
                <w:rFonts w:hint="eastAsia" w:ascii="仿宋_GB2312" w:hAnsi="仿宋_GB2312" w:eastAsia="仿宋_GB2312" w:cs="仿宋_GB2312"/>
              </w:rPr>
            </w:r>
            <w:r>
              <w:rPr>
                <w:rFonts w:hint="eastAsia" w:ascii="仿宋_GB2312" w:hAnsi="仿宋_GB2312" w:eastAsia="仿宋_GB2312" w:cs="仿宋_GB2312"/>
              </w:rPr>
            </w:r>
          </w:p>
        </w:tc>
        <w:tc>
          <w:tcPr>
            <w:tcBorders/>
            <w:tcW w:w="1417" w:type="dxa"/>
            <w:vAlign w:val="center"/>
            <w:textDirection w:val="lrTb"/>
            <w:noWrap w:val="false"/>
          </w:tcPr>
          <w:p>
            <w:pPr>
              <w:pStyle w:val="620"/>
              <w:pBdr/>
              <w:spacing w:line="300" w:lineRule="exact"/>
              <w:ind/>
              <w:jc w:val="left"/>
              <w:rPr>
                <w:rFonts w:hint="eastAsia" w:ascii="仿宋_GB2312" w:hAnsi="仿宋_GB2312" w:eastAsia="仿宋_GB2312" w:cs="仿宋_GB2312"/>
                <w:cs/>
              </w:rPr>
            </w:pPr>
            <w:r>
              <w:rPr>
                <w:rFonts w:hint="eastAsia" w:ascii="仿宋_GB2312" w:hAnsi="仿宋_GB2312" w:eastAsia="仿宋_GB2312" w:cs="仿宋_GB2312"/>
              </w:rPr>
              <w:t xml:space="preserve">大案要案查处率</w:t>
            </w:r>
            <w:r>
              <w:rPr>
                <w:rFonts w:hint="eastAsia" w:ascii="仿宋_GB2312" w:hAnsi="仿宋_GB2312" w:eastAsia="仿宋_GB2312" w:cs="仿宋_GB2312"/>
                <w:cs/>
              </w:rPr>
            </w:r>
            <w:r>
              <w:rPr>
                <w:rFonts w:hint="eastAsia" w:ascii="仿宋_GB2312" w:hAnsi="仿宋_GB2312" w:eastAsia="仿宋_GB2312" w:cs="仿宋_GB2312"/>
                <w:cs/>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r>
              <w:rPr>
                <w:rFonts w:hint="eastAsia" w:ascii="仿宋_GB2312" w:hAnsi="仿宋_GB2312" w:eastAsia="仿宋_GB2312" w:cs="仿宋_GB2312"/>
              </w:rPr>
            </w:r>
          </w:p>
        </w:tc>
        <w:tc>
          <w:tcPr>
            <w:tcBorders/>
            <w:tcW w:w="737" w:type="dxa"/>
            <w:vAlign w:val="center"/>
            <w:textDirection w:val="lrTb"/>
            <w:noWrap w:val="false"/>
          </w:tcPr>
          <w:p>
            <w:pPr>
              <w:pStyle w:val="620"/>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r>
              <w:rPr>
                <w:rFonts w:hint="eastAsia" w:ascii="仿宋_GB2312" w:hAnsi="仿宋_GB2312" w:eastAsia="仿宋_GB2312" w:cs="仿宋_GB2312"/>
              </w:rPr>
            </w:r>
          </w:p>
        </w:tc>
      </w:tr>
    </w:tbl>
    <w:p>
      <w:pPr>
        <w:pStyle w:val="620"/>
        <w:pBdr/>
        <w:spacing/>
        <w:ind/>
        <w:jc w:val="left"/>
        <w:rPr>
          <w:rFonts w:ascii="黑体" w:hAnsi="黑体" w:eastAsia="黑体"/>
          <w:color w:val="000000"/>
          <w:sz w:val="32"/>
        </w:rPr>
      </w:pPr>
      <w:r>
        <w:rPr>
          <w:rFonts w:ascii="黑体" w:hAnsi="黑体" w:eastAsia="黑体"/>
          <w:color w:val="000000"/>
          <w:sz w:val="32"/>
        </w:rPr>
        <w:t xml:space="preserve">六、政府采购预算情况</w:t>
      </w:r>
      <w:r>
        <w:rPr>
          <w:rFonts w:ascii="黑体" w:hAnsi="黑体" w:eastAsia="黑体"/>
          <w:color w:val="000000"/>
          <w:sz w:val="32"/>
        </w:rPr>
      </w:r>
      <w:r>
        <w:rPr>
          <w:rFonts w:ascii="黑体" w:hAnsi="黑体" w:eastAsia="黑体"/>
          <w:color w:val="000000"/>
          <w:sz w:val="32"/>
        </w:rPr>
      </w:r>
    </w:p>
    <w:p>
      <w:pPr>
        <w:pStyle w:val="620"/>
        <w:pBdr/>
        <w:spacing/>
        <w:ind w:firstLine="640"/>
        <w:jc w:val="left"/>
        <w:rPr>
          <w:rFonts w:hint="eastAsia" w:ascii="仿宋_GB2312" w:eastAsia="仿宋_GB2312"/>
          <w:sz w:val="32"/>
          <w:szCs w:val="32"/>
        </w:rPr>
      </w:pPr>
      <w:r>
        <w:rPr>
          <w:rFonts w:hint="eastAsia" w:ascii="仿宋_GB2312" w:eastAsia="仿宋_GB2312"/>
          <w:sz w:val="32"/>
          <w:szCs w:val="32"/>
        </w:rPr>
        <w:t xml:space="preserve">2017年，我部门安排政府采购预算具体内容见下表。</w:t>
      </w:r>
      <w:r>
        <w:rPr>
          <w:rFonts w:hint="eastAsia" w:ascii="仿宋_GB2312" w:eastAsia="仿宋_GB2312"/>
          <w:sz w:val="32"/>
          <w:szCs w:val="32"/>
        </w:rPr>
      </w:r>
      <w:r>
        <w:rPr>
          <w:rFonts w:hint="eastAsia" w:ascii="仿宋_GB2312" w:eastAsia="仿宋_GB2312"/>
          <w:sz w:val="32"/>
          <w:szCs w:val="32"/>
        </w:rPr>
      </w:r>
    </w:p>
    <w:p>
      <w:pPr>
        <w:pStyle w:val="620"/>
        <w:pBdr/>
        <w:spacing/>
        <w:ind/>
        <w:jc w:val="center"/>
        <w:outlineLvl w:val="0"/>
        <w:rPr>
          <w:rFonts w:hint="eastAsia" w:ascii="仿宋_GB2312" w:eastAsia="仿宋_GB2312"/>
          <w:sz w:val="32"/>
          <w:szCs w:val="32"/>
        </w:rPr>
      </w:pPr>
      <w:r>
        <w:rPr>
          <w:rFonts w:hint="eastAsia" w:ascii="仿宋_GB2312" w:eastAsia="仿宋_GB2312"/>
          <w:sz w:val="32"/>
          <w:szCs w:val="32"/>
        </w:rPr>
        <w:t xml:space="preserve">   部门政府采购预算</w:t>
      </w:r>
      <w:r>
        <w:rPr>
          <w:rFonts w:hint="eastAsia" w:ascii="仿宋_GB2312" w:eastAsia="仿宋_GB2312"/>
          <w:sz w:val="32"/>
          <w:szCs w:val="32"/>
        </w:rPr>
      </w:r>
      <w:r>
        <w:rPr>
          <w:rFonts w:hint="eastAsia" w:ascii="仿宋_GB2312" w:eastAsia="仿宋_GB2312"/>
          <w:sz w:val="32"/>
          <w:szCs w:val="32"/>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69"/>
        <w:gridCol w:w="1162"/>
        <w:gridCol w:w="965"/>
        <w:gridCol w:w="1054"/>
        <w:gridCol w:w="964"/>
        <w:gridCol w:w="964"/>
        <w:gridCol w:w="986"/>
        <w:gridCol w:w="964"/>
        <w:gridCol w:w="964"/>
        <w:gridCol w:w="964"/>
        <w:gridCol w:w="964"/>
        <w:gridCol w:w="964"/>
        <w:gridCol w:w="964"/>
        <w:gridCol w:w="909"/>
      </w:tblGrid>
      <w:tr>
        <w:trPr>
          <w:tblHeader/>
        </w:trPr>
        <w:tc>
          <w:tcPr>
            <w:gridSpan w:val="7"/>
            <w:tcBorders/>
            <w:tcW w:w="8664" w:type="dxa"/>
            <w:vAlign w:val="center"/>
            <w:textDirection w:val="lrTb"/>
            <w:noWrap w:val="false"/>
          </w:tcPr>
          <w:p>
            <w:pPr>
              <w:pStyle w:val="620"/>
              <w:pBdr/>
              <w:spacing w:line="300" w:lineRule="exact"/>
              <w:ind/>
              <w:jc w:val="left"/>
              <w:rPr>
                <w:rFonts w:hint="eastAsia" w:ascii="仿宋" w:hAnsi="仿宋" w:eastAsia="仿宋" w:cs="仿宋"/>
                <w:sz w:val="24"/>
              </w:rPr>
            </w:pPr>
            <w:r>
              <w:rPr>
                <w:rFonts w:hint="eastAsia" w:ascii="仿宋" w:hAnsi="仿宋" w:eastAsia="仿宋" w:cs="仿宋"/>
                <w:sz w:val="24"/>
              </w:rPr>
            </w:r>
            <w:r>
              <w:rPr>
                <w:rFonts w:hint="eastAsia" w:ascii="仿宋" w:hAnsi="仿宋" w:eastAsia="仿宋" w:cs="仿宋"/>
                <w:sz w:val="24"/>
              </w:rPr>
            </w:r>
          </w:p>
        </w:tc>
        <w:tc>
          <w:tcPr>
            <w:gridSpan w:val="7"/>
            <w:tcBorders/>
            <w:tcW w:w="6693" w:type="dxa"/>
            <w:vAlign w:val="center"/>
            <w:textDirection w:val="lrTb"/>
            <w:noWrap w:val="false"/>
          </w:tcPr>
          <w:p>
            <w:pPr>
              <w:pStyle w:val="620"/>
              <w:pBdr/>
              <w:spacing w:line="300" w:lineRule="exact"/>
              <w:ind/>
              <w:jc w:val="right"/>
              <w:rPr>
                <w:rFonts w:hint="eastAsia" w:ascii="仿宋" w:hAnsi="仿宋" w:eastAsia="仿宋" w:cs="仿宋"/>
                <w:sz w:val="24"/>
              </w:rPr>
            </w:pPr>
            <w:r>
              <w:rPr>
                <w:rFonts w:hint="eastAsia" w:ascii="仿宋" w:hAnsi="仿宋" w:eastAsia="仿宋" w:cs="仿宋"/>
                <w:sz w:val="24"/>
              </w:rPr>
              <w:t xml:space="preserve">单位：万元</w:t>
            </w:r>
            <w:r>
              <w:rPr>
                <w:rFonts w:hint="eastAsia" w:ascii="仿宋" w:hAnsi="仿宋" w:eastAsia="仿宋" w:cs="仿宋"/>
                <w:sz w:val="24"/>
              </w:rPr>
            </w:r>
            <w:r>
              <w:rPr>
                <w:rFonts w:hint="eastAsia" w:ascii="仿宋" w:hAnsi="仿宋" w:eastAsia="仿宋" w:cs="仿宋"/>
                <w:sz w:val="24"/>
              </w:rPr>
            </w:r>
          </w:p>
        </w:tc>
      </w:tr>
      <w:tr>
        <w:trPr>
          <w:tblHeader/>
        </w:trPr>
        <w:tc>
          <w:tcPr>
            <w:gridSpan w:val="2"/>
            <w:tcBorders/>
            <w:tcW w:w="3731"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政府采购项目来源</w:t>
            </w:r>
            <w:r>
              <w:rPr>
                <w:rFonts w:hint="eastAsia" w:ascii="仿宋_GB2312" w:hAnsi="仿宋" w:eastAsia="仿宋_GB2312" w:cs="仿宋"/>
                <w:b/>
              </w:rPr>
            </w:r>
            <w:r>
              <w:rPr>
                <w:rFonts w:hint="eastAsia" w:ascii="仿宋_GB2312" w:hAnsi="仿宋" w:eastAsia="仿宋_GB2312" w:cs="仿宋"/>
                <w:b/>
              </w:rPr>
            </w:r>
          </w:p>
        </w:tc>
        <w:tc>
          <w:tcPr>
            <w:tcBorders/>
            <w:tcW w:w="965"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采购物品名称</w:t>
            </w:r>
            <w:r>
              <w:rPr>
                <w:rFonts w:hint="eastAsia" w:ascii="仿宋_GB2312" w:hAnsi="仿宋" w:eastAsia="仿宋_GB2312" w:cs="仿宋"/>
                <w:b/>
              </w:rPr>
            </w:r>
            <w:r>
              <w:rPr>
                <w:rFonts w:hint="eastAsia" w:ascii="仿宋_GB2312" w:hAnsi="仿宋" w:eastAsia="仿宋_GB2312" w:cs="仿宋"/>
                <w:b/>
              </w:rPr>
            </w:r>
          </w:p>
        </w:tc>
        <w:tc>
          <w:tcPr>
            <w:tcBorders/>
            <w:tcW w:w="1054"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政府采购目录序号</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  单位</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w:t>
            </w:r>
            <w:r>
              <w:rPr>
                <w:rFonts w:hint="eastAsia" w:ascii="仿宋_GB2312" w:hAnsi="仿宋" w:eastAsia="仿宋_GB2312" w:cs="仿宋"/>
                <w:b/>
              </w:rPr>
            </w:r>
            <w:r>
              <w:rPr>
                <w:rFonts w:hint="eastAsia" w:ascii="仿宋_GB2312" w:hAnsi="仿宋" w:eastAsia="仿宋_GB2312" w:cs="仿宋"/>
                <w:b/>
              </w:rPr>
            </w:r>
          </w:p>
        </w:tc>
        <w:tc>
          <w:tcPr>
            <w:tcBorders/>
            <w:tcW w:w="986"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单价</w:t>
            </w:r>
            <w:r>
              <w:rPr>
                <w:rFonts w:hint="eastAsia" w:ascii="仿宋_GB2312" w:hAnsi="仿宋" w:eastAsia="仿宋_GB2312" w:cs="仿宋"/>
                <w:b/>
              </w:rPr>
            </w:r>
            <w:r>
              <w:rPr>
                <w:rFonts w:hint="eastAsia" w:ascii="仿宋_GB2312" w:hAnsi="仿宋" w:eastAsia="仿宋_GB2312" w:cs="仿宋"/>
                <w:b/>
              </w:rPr>
            </w:r>
          </w:p>
        </w:tc>
        <w:tc>
          <w:tcPr>
            <w:gridSpan w:val="7"/>
            <w:tcBorders/>
            <w:tcW w:w="6693"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政府采购金额</w:t>
            </w:r>
            <w:r>
              <w:rPr>
                <w:rFonts w:hint="eastAsia" w:ascii="仿宋_GB2312" w:hAnsi="仿宋" w:eastAsia="仿宋_GB2312" w:cs="仿宋"/>
                <w:b/>
              </w:rPr>
            </w:r>
            <w:r>
              <w:rPr>
                <w:rFonts w:hint="eastAsia" w:ascii="仿宋_GB2312" w:hAnsi="仿宋" w:eastAsia="仿宋_GB2312" w:cs="仿宋"/>
                <w:b/>
              </w:rPr>
            </w:r>
          </w:p>
        </w:tc>
      </w:tr>
      <w:tr>
        <w:trPr>
          <w:trHeight w:val="272"/>
          <w:tblHeader/>
        </w:trPr>
        <w:tc>
          <w:tcPr>
            <w:tcBorders/>
            <w:tcW w:w="2569"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项目名称</w:t>
            </w:r>
            <w:r>
              <w:rPr>
                <w:rFonts w:hint="eastAsia" w:ascii="仿宋_GB2312" w:hAnsi="仿宋" w:eastAsia="仿宋_GB2312" w:cs="仿宋"/>
                <w:b/>
              </w:rPr>
            </w:r>
            <w:r>
              <w:rPr>
                <w:rFonts w:hint="eastAsia" w:ascii="仿宋_GB2312" w:hAnsi="仿宋" w:eastAsia="仿宋_GB2312" w:cs="仿宋"/>
                <w:b/>
              </w:rPr>
            </w:r>
          </w:p>
        </w:tc>
        <w:tc>
          <w:tcPr>
            <w:tcBorders/>
            <w:tcW w:w="1162"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预算资金</w:t>
            </w:r>
            <w:r>
              <w:rPr>
                <w:rFonts w:hint="eastAsia" w:ascii="仿宋_GB2312" w:hAnsi="仿宋" w:eastAsia="仿宋_GB2312" w:cs="仿宋"/>
                <w:b/>
              </w:rPr>
            </w:r>
            <w:r>
              <w:rPr>
                <w:rFonts w:hint="eastAsia" w:ascii="仿宋_GB2312" w:hAnsi="仿宋" w:eastAsia="仿宋_GB2312" w:cs="仿宋"/>
                <w:b/>
              </w:rPr>
            </w:r>
          </w:p>
        </w:tc>
        <w:tc>
          <w:tcPr>
            <w:tcBorders/>
            <w:tcW w:w="965"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5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86"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总计</w:t>
            </w:r>
            <w:r>
              <w:rPr>
                <w:rFonts w:hint="eastAsia" w:ascii="仿宋_GB2312" w:hAnsi="仿宋" w:eastAsia="仿宋_GB2312" w:cs="仿宋"/>
                <w:b/>
              </w:rPr>
            </w:r>
            <w:r>
              <w:rPr>
                <w:rFonts w:hint="eastAsia" w:ascii="仿宋_GB2312" w:hAnsi="仿宋" w:eastAsia="仿宋_GB2312" w:cs="仿宋"/>
                <w:b/>
              </w:rPr>
            </w:r>
          </w:p>
        </w:tc>
        <w:tc>
          <w:tcPr>
            <w:gridSpan w:val="5"/>
            <w:tcBorders/>
            <w:tcW w:w="4820"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当年部门预算安排资金</w:t>
            </w:r>
            <w:r>
              <w:rPr>
                <w:rFonts w:hint="eastAsia" w:ascii="仿宋_GB2312" w:hAnsi="仿宋" w:eastAsia="仿宋_GB2312" w:cs="仿宋"/>
                <w:b/>
              </w:rPr>
            </w:r>
            <w:r>
              <w:rPr>
                <w:rFonts w:hint="eastAsia" w:ascii="仿宋_GB2312" w:hAnsi="仿宋" w:eastAsia="仿宋_GB2312" w:cs="仿宋"/>
                <w:b/>
              </w:rPr>
            </w:r>
          </w:p>
        </w:tc>
        <w:tc>
          <w:tcPr>
            <w:tcBorders/>
            <w:tcW w:w="909" w:type="dxa"/>
            <w:vAlign w:val="center"/>
            <w:vMerge w:val="restart"/>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其他渠道资金</w:t>
            </w:r>
            <w:r>
              <w:rPr>
                <w:rFonts w:hint="eastAsia" w:ascii="仿宋_GB2312" w:hAnsi="仿宋" w:eastAsia="仿宋_GB2312" w:cs="仿宋"/>
                <w:b/>
              </w:rPr>
            </w:r>
            <w:r>
              <w:rPr>
                <w:rFonts w:hint="eastAsia" w:ascii="仿宋_GB2312" w:hAnsi="仿宋" w:eastAsia="仿宋_GB2312" w:cs="仿宋"/>
                <w:b/>
              </w:rPr>
            </w:r>
          </w:p>
        </w:tc>
      </w:tr>
      <w:tr>
        <w:trPr>
          <w:tblHeader/>
        </w:trPr>
        <w:tc>
          <w:tcPr>
            <w:tcBorders/>
            <w:tcW w:w="2569"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62"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5"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5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86"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964"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合计</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一般公共预算拨款</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基金预算拨款</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财政专户核拨</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其他来源收入</w:t>
            </w:r>
            <w:r>
              <w:rPr>
                <w:rFonts w:hint="eastAsia" w:ascii="仿宋_GB2312" w:hAnsi="仿宋" w:eastAsia="仿宋_GB2312" w:cs="仿宋"/>
                <w:b/>
              </w:rPr>
            </w:r>
            <w:r>
              <w:rPr>
                <w:rFonts w:hint="eastAsia" w:ascii="仿宋_GB2312" w:hAnsi="仿宋" w:eastAsia="仿宋_GB2312" w:cs="仿宋"/>
                <w:b/>
              </w:rPr>
            </w:r>
          </w:p>
        </w:tc>
        <w:tc>
          <w:tcPr>
            <w:tcBorders/>
            <w:tcW w:w="909" w:type="dxa"/>
            <w:vAlign w:val="center"/>
            <w:vMerge w:val="continue"/>
            <w:textDirection w:val="lrTb"/>
            <w:noWrap w:val="false"/>
          </w:tcPr>
          <w:p>
            <w:pPr>
              <w:pStyle w:val="620"/>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r>
      <w:tr>
        <w:trPr>
          <w:trHeight w:val="270"/>
        </w:trPr>
        <w:tc>
          <w:tcPr>
            <w:tcBorders/>
            <w:tcW w:w="2569" w:type="dxa"/>
            <w:vAlign w:val="center"/>
            <w:textDirection w:val="lrTb"/>
            <w:noWrap w:val="false"/>
          </w:tcPr>
          <w:p>
            <w:pPr>
              <w:pStyle w:val="620"/>
              <w:pBdr/>
              <w:spacing w:line="300" w:lineRule="exact"/>
              <w:ind/>
              <w:jc w:val="center"/>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162"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5" w:type="dxa"/>
            <w:vAlign w:val="center"/>
            <w:textDirection w:val="lrTb"/>
            <w:noWrap w:val="false"/>
          </w:tcPr>
          <w:p>
            <w:pPr>
              <w:pStyle w:val="620"/>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54" w:type="dxa"/>
            <w:vAlign w:val="center"/>
            <w:textDirection w:val="lrTb"/>
            <w:noWrap w:val="false"/>
          </w:tcPr>
          <w:p>
            <w:pPr>
              <w:pStyle w:val="620"/>
              <w:pBdr/>
              <w:spacing w:line="300" w:lineRule="exact"/>
              <w:ind/>
              <w:jc w:val="left"/>
              <w:rPr>
                <w:rFonts w:hint="eastAsia" w:ascii="仿宋_GB2312" w:hAnsi="仿宋" w:eastAsia="仿宋_GB2312" w:cs="仿宋"/>
                <w:b/>
              </w:rPr>
            </w:pPr>
            <w:r>
              <w:rPr>
                <w:rFonts w:hint="eastAsia" w:ascii="仿宋_GB2312" w:hAnsi="仿宋" w:eastAsia="仿宋_GB2312" w:cs="仿宋"/>
                <w:b/>
              </w:rPr>
              <w:t xml:space="preserve"> </w:t>
            </w: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86"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64"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09" w:type="dxa"/>
            <w:vAlign w:val="center"/>
            <w:textDirection w:val="lrTb"/>
            <w:noWrap w:val="false"/>
          </w:tcPr>
          <w:p>
            <w:pPr>
              <w:pStyle w:val="620"/>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r>
    </w:tbl>
    <w:p>
      <w:pPr>
        <w:pStyle w:val="620"/>
        <w:pBdr/>
        <w:spacing/>
        <w:ind/>
        <w:jc w:val="left"/>
        <w:rPr>
          <w:rFonts w:hint="eastAsia" w:ascii="黑体" w:hAnsi="黑体" w:eastAsia="黑体"/>
          <w:color w:val="000000"/>
          <w:sz w:val="32"/>
        </w:rPr>
      </w:pPr>
      <w:r>
        <w:rPr>
          <w:rFonts w:hint="eastAsia" w:ascii="黑体" w:hAnsi="黑体" w:eastAsia="黑体"/>
          <w:color w:val="000000"/>
          <w:sz w:val="32"/>
        </w:rPr>
        <w:t xml:space="preserve">无政府采购预算，空表列示。    </w:t>
      </w:r>
      <w:r>
        <w:rPr>
          <w:rFonts w:hint="eastAsia" w:ascii="黑体" w:hAnsi="黑体" w:eastAsia="黑体"/>
          <w:color w:val="000000"/>
          <w:sz w:val="32"/>
        </w:rPr>
      </w:r>
      <w:r>
        <w:rPr>
          <w:rFonts w:hint="eastAsia" w:ascii="黑体" w:hAnsi="黑体" w:eastAsia="黑体"/>
          <w:color w:val="000000"/>
          <w:sz w:val="32"/>
        </w:rPr>
      </w:r>
    </w:p>
    <w:p>
      <w:pPr>
        <w:pStyle w:val="620"/>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0"/>
        <w:pBdr/>
        <w:spacing/>
        <w:ind/>
        <w:jc w:val="left"/>
        <w:rPr>
          <w:rFonts w:ascii="黑体" w:hAnsi="黑体" w:eastAsia="黑体"/>
          <w:color w:val="000000"/>
          <w:sz w:val="32"/>
        </w:rPr>
      </w:pPr>
      <w:r>
        <w:rPr>
          <w:rFonts w:ascii="黑体" w:hAnsi="黑体" w:eastAsia="黑体"/>
          <w:color w:val="000000"/>
          <w:sz w:val="32"/>
        </w:rPr>
        <w:t xml:space="preserve">七、国有资产信息</w:t>
      </w:r>
      <w:r>
        <w:rPr>
          <w:rFonts w:ascii="黑体" w:hAnsi="黑体" w:eastAsia="黑体"/>
          <w:color w:val="000000"/>
          <w:sz w:val="32"/>
        </w:rPr>
      </w:r>
      <w:r>
        <w:rPr>
          <w:rFonts w:ascii="黑体" w:hAnsi="黑体" w:eastAsia="黑体"/>
          <w:color w:val="000000"/>
          <w:sz w:val="32"/>
        </w:rPr>
      </w:r>
    </w:p>
    <w:p>
      <w:pPr>
        <w:pStyle w:val="620"/>
        <w:widowControl w:val="false"/>
        <w:pBdr/>
        <w:spacing w:after="156" w:line="360" w:lineRule="auto"/>
        <w:ind w:firstLine="640"/>
        <w:rPr>
          <w:rFonts w:hint="eastAsia" w:ascii="仿宋_GB2312" w:eastAsia="仿宋_GB2312"/>
          <w:sz w:val="32"/>
          <w:szCs w:val="32"/>
        </w:rPr>
      </w:pPr>
      <w:r>
        <w:rPr>
          <w:rFonts w:hint="eastAsia" w:ascii="仿宋_GB2312" w:eastAsia="仿宋_GB2312"/>
          <w:sz w:val="32"/>
          <w:szCs w:val="32"/>
        </w:rPr>
        <w:t xml:space="preserve">截至上年末，我单位固定资产总额75.71万元，本年度无新增固定资产预算。</w:t>
      </w:r>
      <w:r>
        <w:rPr>
          <w:rFonts w:hint="eastAsia" w:ascii="仿宋_GB2312" w:eastAsia="仿宋_GB2312"/>
          <w:sz w:val="32"/>
          <w:szCs w:val="32"/>
        </w:rPr>
      </w:r>
      <w:r>
        <w:rPr>
          <w:rFonts w:hint="eastAsia" w:ascii="仿宋_GB2312" w:eastAsia="仿宋_GB2312"/>
          <w:sz w:val="32"/>
          <w:szCs w:val="32"/>
        </w:rPr>
      </w:r>
    </w:p>
    <w:tbl>
      <w:tblPr>
        <w:tblW w:w="0" w:type="auto"/>
        <w:tblInd w:w="-15" w:type="dxa"/>
        <w:tblBorders/>
        <w:tblLayout w:type="fixed"/>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val="false"/>
          </w:tcPr>
          <w:p>
            <w:pPr>
              <w:pStyle w:val="620"/>
              <w:pBdr/>
              <w:spacing/>
              <w:ind/>
              <w:jc w:val="center"/>
              <w:rPr>
                <w:rFonts w:ascii="仿宋_GB2312" w:eastAsia="仿宋_GB2312"/>
                <w:sz w:val="32"/>
                <w:szCs w:val="32"/>
              </w:rPr>
            </w:pPr>
            <w:r>
              <w:rPr>
                <w:rFonts w:hint="eastAsia" w:ascii="仿宋_GB2312" w:eastAsia="仿宋_GB2312"/>
                <w:sz w:val="32"/>
                <w:szCs w:val="32"/>
              </w:rPr>
              <w:t xml:space="preserve">部门固定资产占用情况表</w:t>
            </w:r>
            <w:r>
              <w:rPr>
                <w:rFonts w:ascii="仿宋_GB2312" w:eastAsia="仿宋_GB2312"/>
                <w:sz w:val="32"/>
                <w:szCs w:val="32"/>
              </w:rPr>
            </w:r>
            <w:r>
              <w:rPr>
                <w:rFonts w:ascii="仿宋_GB2312" w:eastAsia="仿宋_GB2312"/>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val="false"/>
          </w:tcPr>
          <w:p>
            <w:pPr>
              <w:pStyle w:val="620"/>
              <w:pBdr/>
              <w:spacing/>
              <w:ind/>
              <w:jc w:val="left"/>
              <w:rPr>
                <w:rFonts w:ascii="宋体" w:hAnsi="宋体" w:cs="宋体"/>
                <w:sz w:val="22"/>
              </w:rPr>
            </w:pPr>
            <w:r>
              <w:rPr>
                <w:rFonts w:hint="eastAsia" w:ascii="宋体" w:hAnsi="宋体" w:cs="宋体"/>
                <w:sz w:val="22"/>
              </w:rPr>
              <w:t xml:space="preserve">编制部门：</w:t>
            </w:r>
            <w:r>
              <w:rPr>
                <w:rFonts w:ascii="宋体" w:hAnsi="宋体" w:cs="宋体"/>
                <w:sz w:val="22"/>
              </w:rPr>
            </w:r>
            <w:r>
              <w:rPr>
                <w:rFonts w:ascii="宋体" w:hAnsi="宋体" w:cs="宋体"/>
                <w:sz w:val="2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val="false"/>
          </w:tcPr>
          <w:p>
            <w:pPr>
              <w:pStyle w:val="620"/>
              <w:pBdr/>
              <w:spacing/>
              <w:ind/>
              <w:jc w:val="left"/>
              <w:rPr>
                <w:rFonts w:ascii="宋体" w:hAnsi="宋体" w:cs="宋体"/>
                <w:sz w:val="22"/>
              </w:rPr>
            </w:pPr>
            <w:r>
              <w:rPr>
                <w:rFonts w:hint="eastAsia" w:ascii="宋体" w:hAnsi="宋体" w:cs="宋体"/>
                <w:sz w:val="22"/>
              </w:rPr>
              <w:t xml:space="preserve">截止时间：2016年12月31日  </w:t>
            </w:r>
            <w:r>
              <w:rPr>
                <w:rFonts w:ascii="宋体" w:hAnsi="宋体" w:cs="宋体"/>
                <w:sz w:val="22"/>
              </w:rPr>
            </w:r>
            <w:r>
              <w:rPr>
                <w:rFonts w:ascii="宋体" w:hAnsi="宋体" w:cs="宋体"/>
                <w:sz w:val="22"/>
              </w:rPr>
            </w:r>
          </w:p>
        </w:tc>
      </w:tr>
      <w:tr>
        <w:trPr>
          <w:trHeight w:val="645"/>
        </w:trPr>
        <w:tc>
          <w:tcPr>
            <w:tcBorders>
              <w:top w:val="singl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center"/>
              <w:rPr>
                <w:rFonts w:ascii="宋体" w:hAnsi="宋体" w:cs="宋体"/>
                <w:b/>
                <w:bCs/>
                <w:sz w:val="22"/>
              </w:rPr>
            </w:pPr>
            <w:r>
              <w:rPr>
                <w:rFonts w:hint="eastAsia" w:ascii="宋体" w:hAnsi="宋体" w:cs="宋体"/>
                <w:b/>
                <w:bCs/>
                <w:sz w:val="22"/>
              </w:rPr>
              <w:t xml:space="preserve">项   目</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ascii="宋体" w:hAnsi="宋体" w:cs="宋体"/>
                <w:b/>
                <w:bCs/>
                <w:sz w:val="22"/>
              </w:rPr>
            </w:pPr>
            <w:r>
              <w:rPr>
                <w:rFonts w:hint="eastAsia" w:ascii="宋体" w:hAnsi="宋体" w:cs="宋体"/>
                <w:b/>
                <w:bCs/>
                <w:sz w:val="22"/>
              </w:rPr>
              <w:t xml:space="preserve">数量</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ascii="宋体" w:hAnsi="宋体" w:cs="宋体"/>
                <w:b/>
                <w:bCs/>
                <w:sz w:val="22"/>
              </w:rPr>
            </w:pPr>
            <w:r>
              <w:rPr>
                <w:rFonts w:hint="eastAsia" w:ascii="宋体" w:hAnsi="宋体" w:cs="宋体"/>
                <w:b/>
                <w:bCs/>
                <w:sz w:val="22"/>
              </w:rPr>
              <w:t xml:space="preserve">价值（金额单位：万元）</w:t>
            </w:r>
            <w:r>
              <w:rPr>
                <w:rFonts w:ascii="宋体" w:hAnsi="宋体" w:cs="宋体"/>
                <w:b/>
                <w:bCs/>
                <w:sz w:val="22"/>
              </w:rPr>
            </w:r>
            <w:r>
              <w:rPr>
                <w:rFonts w:ascii="宋体" w:hAnsi="宋体" w:cs="宋体"/>
                <w:b/>
                <w:bCs/>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center"/>
              <w:rPr>
                <w:rFonts w:ascii="宋体" w:hAnsi="宋体" w:cs="宋体"/>
                <w:sz w:val="22"/>
              </w:rPr>
            </w:pPr>
            <w:r>
              <w:rPr>
                <w:rFonts w:hint="eastAsia" w:ascii="宋体" w:hAnsi="宋体" w:cs="宋体"/>
                <w:sz w:val="22"/>
              </w:rPr>
              <w:t xml:space="preserve">资产总额</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hint="eastAsia" w:ascii="宋体" w:hAnsi="宋体" w:cs="宋体"/>
                <w:sz w:val="22"/>
              </w:rPr>
            </w:pPr>
            <w:r>
              <w:rPr>
                <w:rFonts w:hint="eastAsia" w:ascii="宋体" w:hAnsi="宋体" w:cs="宋体"/>
                <w:sz w:val="22"/>
              </w:rPr>
              <w:t xml:space="preserve">75.71</w:t>
            </w:r>
            <w:r>
              <w:rPr>
                <w:rFonts w:hint="eastAsia" w:ascii="宋体" w:hAnsi="宋体" w:cs="宋体"/>
                <w:sz w:val="22"/>
              </w:rPr>
            </w:r>
            <w:r>
              <w:rPr>
                <w:rFonts w:hint="eastAsia"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left"/>
              <w:rPr>
                <w:rFonts w:ascii="宋体" w:hAnsi="宋体" w:cs="宋体"/>
                <w:sz w:val="22"/>
              </w:rPr>
            </w:pPr>
            <w:r>
              <w:rPr>
                <w:rFonts w:hint="eastAsia" w:ascii="宋体" w:hAnsi="宋体" w:cs="宋体"/>
                <w:sz w:val="22"/>
              </w:rPr>
              <w:t xml:space="preserve">1、房屋（平方米）</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left"/>
              <w:rPr>
                <w:rFonts w:ascii="宋体" w:hAnsi="宋体" w:cs="宋体"/>
                <w:sz w:val="22"/>
              </w:rPr>
            </w:pPr>
            <w:r>
              <w:rPr>
                <w:rFonts w:hint="eastAsia" w:ascii="宋体" w:hAnsi="宋体" w:cs="宋体"/>
                <w:sz w:val="22"/>
              </w:rPr>
              <w:t xml:space="preserve">2、车辆（台、辆）</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hint="eastAsia" w:ascii="宋体" w:hAnsi="宋体" w:cs="宋体"/>
                <w:sz w:val="22"/>
              </w:rPr>
            </w:pPr>
            <w:r>
              <w:rPr>
                <w:rFonts w:hint="eastAsia" w:ascii="宋体" w:hAnsi="宋体" w:cs="宋体"/>
                <w:sz w:val="22"/>
              </w:rPr>
              <w:t xml:space="preserve">3</w:t>
            </w:r>
            <w:r>
              <w:rPr>
                <w:rFonts w:hint="eastAsia" w:ascii="宋体" w:hAnsi="宋体" w:cs="宋体"/>
                <w:sz w:val="22"/>
              </w:rPr>
            </w:r>
            <w:r>
              <w:rPr>
                <w:rFonts w:hint="eastAsia"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hint="eastAsia" w:ascii="宋体" w:hAnsi="宋体" w:cs="宋体"/>
                <w:sz w:val="22"/>
              </w:rPr>
            </w:pPr>
            <w:r>
              <w:rPr>
                <w:rFonts w:hint="eastAsia" w:ascii="宋体" w:hAnsi="宋体" w:cs="宋体"/>
                <w:sz w:val="22"/>
              </w:rPr>
              <w:t xml:space="preserve">28.03</w:t>
            </w:r>
            <w:r>
              <w:rPr>
                <w:rFonts w:hint="eastAsia" w:ascii="宋体" w:hAnsi="宋体" w:cs="宋体"/>
                <w:sz w:val="22"/>
              </w:rPr>
            </w:r>
            <w:r>
              <w:rPr>
                <w:rFonts w:hint="eastAsia"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left"/>
              <w:rPr>
                <w:rFonts w:ascii="宋体" w:hAnsi="宋体" w:cs="宋体"/>
                <w:sz w:val="22"/>
              </w:rPr>
            </w:pPr>
            <w:r>
              <w:rPr>
                <w:rFonts w:hint="eastAsia" w:ascii="宋体" w:hAnsi="宋体" w:cs="宋体"/>
                <w:sz w:val="22"/>
              </w:rPr>
              <w:t xml:space="preserve">3、单价在20万元以上设备</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left"/>
              <w:rPr>
                <w:rFonts w:hint="eastAsia" w:ascii="宋体" w:hAnsi="宋体" w:cs="宋体"/>
                <w:sz w:val="22"/>
              </w:rPr>
            </w:pPr>
            <w:r>
              <w:rPr>
                <w:rFonts w:hint="eastAsia" w:ascii="宋体" w:hAnsi="宋体" w:cs="宋体"/>
                <w:sz w:val="22"/>
              </w:rPr>
              <w:t xml:space="preserve">4、</w:t>
            </w:r>
            <w:r>
              <w:rPr>
                <w:rFonts w:ascii="宋体" w:hAnsi="宋体" w:cs="宋体"/>
                <w:sz w:val="22"/>
              </w:rPr>
              <w:t xml:space="preserve">……………</w:t>
            </w:r>
            <w:r>
              <w:rPr>
                <w:rFonts w:hint="eastAsia" w:ascii="宋体" w:hAnsi="宋体" w:cs="宋体"/>
                <w:sz w:val="22"/>
              </w:rPr>
            </w:r>
            <w:r>
              <w:rPr>
                <w:rFonts w:hint="eastAsia"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0"/>
              <w:pBdr/>
              <w:spacing/>
              <w:ind/>
              <w:jc w:val="left"/>
              <w:rPr>
                <w:rFonts w:ascii="宋体" w:hAnsi="宋体" w:cs="宋体"/>
                <w:sz w:val="22"/>
              </w:rPr>
            </w:pPr>
            <w:r>
              <w:rPr>
                <w:rFonts w:hint="eastAsia" w:ascii="宋体" w:hAnsi="宋体" w:cs="宋体"/>
                <w:sz w:val="22"/>
              </w:rPr>
              <w:t xml:space="preserve">5、其他固定资产</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0"/>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0"/>
              <w:pBdr/>
              <w:spacing/>
              <w:ind/>
              <w:jc w:val="center"/>
              <w:rPr>
                <w:rFonts w:hint="eastAsia" w:ascii="宋体" w:hAnsi="宋体" w:cs="宋体"/>
                <w:sz w:val="22"/>
              </w:rPr>
            </w:pPr>
            <w:r>
              <w:rPr>
                <w:rFonts w:hint="eastAsia" w:ascii="宋体" w:hAnsi="宋体" w:cs="宋体"/>
                <w:sz w:val="22"/>
              </w:rPr>
              <w:t xml:space="preserve">47.68</w:t>
            </w:r>
            <w:r>
              <w:rPr>
                <w:rFonts w:hint="eastAsia" w:ascii="宋体" w:hAnsi="宋体" w:cs="宋体"/>
                <w:sz w:val="22"/>
              </w:rPr>
            </w:r>
            <w:r>
              <w:rPr>
                <w:rFonts w:hint="eastAsia" w:ascii="宋体" w:hAnsi="宋体" w:cs="宋体"/>
                <w:sz w:val="22"/>
              </w:rPr>
            </w:r>
          </w:p>
        </w:tc>
      </w:tr>
    </w:tbl>
    <w:p>
      <w:pPr>
        <w:pStyle w:val="620"/>
        <w:pBdr/>
        <w:spacing/>
        <w:ind/>
        <w:jc w:val="left"/>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Style w:val="620"/>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20"/>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0"/>
        <w:pBdr/>
        <w:spacing/>
        <w:ind w:firstLine="640"/>
        <w:jc w:val="left"/>
        <w:rPr>
          <w:rFonts w:ascii="黑体" w:hAnsi="黑体" w:eastAsia="黑体"/>
          <w:color w:val="000000"/>
          <w:sz w:val="32"/>
        </w:rPr>
      </w:pPr>
      <w:r>
        <w:rPr>
          <w:rFonts w:ascii="黑体" w:hAnsi="黑体" w:eastAsia="黑体"/>
          <w:color w:val="000000"/>
          <w:sz w:val="32"/>
        </w:rPr>
        <w:t xml:space="preserve">八、名词解释</w:t>
      </w:r>
      <w:r>
        <w:rPr>
          <w:rFonts w:ascii="黑体" w:hAnsi="黑体" w:eastAsia="黑体"/>
          <w:color w:val="000000"/>
          <w:sz w:val="32"/>
        </w:rPr>
      </w:r>
      <w:r>
        <w:rPr>
          <w:rFonts w:ascii="黑体" w:hAnsi="黑体" w:eastAsia="黑体"/>
          <w:color w:val="000000"/>
          <w:sz w:val="32"/>
        </w:rPr>
      </w:r>
    </w:p>
    <w:p>
      <w:pPr>
        <w:pStyle w:val="620"/>
        <w:pBdr/>
        <w:spacing/>
        <w:ind/>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 xml:space="preserve">1、一般共预算拨款收入：指县级财政当年拨付的资金。</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eastAsia="仿宋_GB2312"/>
          <w:sz w:val="32"/>
          <w:szCs w:val="32"/>
        </w:rPr>
      </w:r>
      <w:r>
        <w:rPr>
          <w:rFonts w:hint="eastAsia" w:ascii="仿宋_GB2312" w:eastAsia="仿宋_GB2312"/>
          <w:sz w:val="32"/>
          <w:szCs w:val="32"/>
        </w:rPr>
      </w:r>
    </w:p>
    <w:p>
      <w:pPr>
        <w:pStyle w:val="620"/>
        <w:pBdr/>
        <w:spacing/>
        <w:ind w:firstLine="642"/>
        <w:rPr>
          <w:rFonts w:hint="eastAsia" w:ascii="仿宋_GB2312" w:eastAsia="仿宋_GB2312"/>
          <w:sz w:val="32"/>
          <w:szCs w:val="32"/>
        </w:rPr>
      </w:pPr>
      <w:r>
        <w:rPr>
          <w:rFonts w:hint="eastAsia" w:ascii="仿宋_GB2312" w:eastAsia="仿宋_GB2312"/>
          <w:sz w:val="32"/>
          <w:szCs w:val="32"/>
        </w:rPr>
        <w:t xml:space="preserve">7、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r>
      <w:r>
        <w:rPr>
          <w:rFonts w:hint="eastAsia" w:ascii="仿宋_GB2312" w:eastAsia="仿宋_GB2312"/>
          <w:sz w:val="32"/>
          <w:szCs w:val="32"/>
        </w:rPr>
      </w:r>
    </w:p>
    <w:p>
      <w:pPr>
        <w:pStyle w:val="620"/>
        <w:pBdr/>
        <w:spacing/>
        <w:ind/>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 xml:space="preserve">、</w:t>
      </w:r>
      <w:r>
        <w:rPr>
          <w:rFonts w:hint="eastAsia" w:ascii="黑体" w:hAnsi="黑体" w:eastAsia="黑体"/>
          <w:color w:val="000000"/>
          <w:sz w:val="32"/>
        </w:rPr>
        <w:t xml:space="preserve">其他需要说明的事项</w:t>
      </w:r>
      <w:r>
        <w:rPr>
          <w:rFonts w:ascii="黑体" w:hAnsi="黑体" w:eastAsia="黑体"/>
          <w:color w:val="000000"/>
          <w:sz w:val="32"/>
        </w:rPr>
      </w:r>
      <w:r>
        <w:rPr>
          <w:rFonts w:ascii="黑体" w:hAnsi="黑体" w:eastAsia="黑体"/>
          <w:color w:val="000000"/>
          <w:sz w:val="32"/>
        </w:rPr>
      </w:r>
    </w:p>
    <w:p>
      <w:pPr>
        <w:pStyle w:val="620"/>
        <w:pBdr/>
        <w:spacing/>
        <w:ind w:firstLine="642"/>
        <w:rPr>
          <w:rFonts w:hint="eastAsia" w:ascii="仿宋_GB2312" w:eastAsia="仿宋_GB2312"/>
          <w:b/>
          <w:sz w:val="32"/>
          <w:szCs w:val="32"/>
        </w:rPr>
      </w:pPr>
      <w:r>
        <w:rPr>
          <w:rFonts w:hint="eastAsia" w:ascii="仿宋_GB2312" w:eastAsia="仿宋_GB2312"/>
          <w:b/>
          <w:sz w:val="32"/>
          <w:szCs w:val="32"/>
        </w:rPr>
        <w:t xml:space="preserve">无</w:t>
      </w:r>
      <w:r>
        <w:rPr>
          <w:rFonts w:hint="eastAsia" w:ascii="仿宋_GB2312" w:eastAsia="仿宋_GB2312"/>
          <w:b/>
          <w:sz w:val="32"/>
          <w:szCs w:val="32"/>
        </w:rPr>
      </w:r>
    </w:p>
    <w:sectPr>
      <w:footnotePr/>
      <w:endnotePr/>
      <w:type w:val="nextPage"/>
      <w:pgSz w:h="12406" w:orient="portrait" w:w="16838"/>
      <w:pgMar w:top="1440" w:right="1800" w:bottom="1440" w:left="1800" w:header="720" w:footer="720" w:gutter="0"/>
      <w:lnNumType w:countBy="0"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20B0604020202020204"/>
  </w:font>
  <w:font w:name="FZFangSong-Z02">
    <w:panose1 w:val="020B0604020202020204"/>
  </w:font>
  <w:font w:name="楷体">
    <w:panose1 w:val="02010609060101010101"/>
  </w:font>
  <w:font w:name="仿宋">
    <w:panose1 w:val="02010609060101010101"/>
  </w:font>
  <w:font w:name="仿宋_GB2312">
    <w:panose1 w:val="02010609060101010101"/>
  </w:font>
  <w:font w:name="黑体">
    <w:panose1 w:val="02010609060101010101"/>
  </w:font>
  <w:font w:name="Wingdings">
    <w:panose1 w:val="05000000000000000000"/>
  </w:font>
  <w:font w:name="Symbol">
    <w:panose1 w:val="05050102010706020507"/>
  </w:font>
  <w:font w:name="FZXiaoBiaoSong-B05">
    <w:panose1 w:val="020B0604020202020204"/>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spacing/>
        <w:ind/>
      </w:pPr>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0"/>
    <w:link w:val="620"/>
    <w:qFormat/>
    <w:pPr>
      <w:pBdr/>
      <w:spacing/>
      <w:ind/>
      <w:jc w:val="both"/>
    </w:pPr>
    <w:rPr>
      <w:sz w:val="21"/>
      <w:lang w:val="en-US" w:eastAsia="zh-CN" w:bidi="ar-SA"/>
    </w:rPr>
  </w:style>
  <w:style w:type="character" w:styleId="621">
    <w:name w:val="默认段落字体"/>
    <w:next w:val="621"/>
    <w:link w:val="620"/>
    <w:pPr>
      <w:pBdr/>
      <w:spacing/>
      <w:ind/>
    </w:pPr>
  </w:style>
  <w:style w:type="table" w:styleId="622">
    <w:name w:val="普通表格"/>
    <w:next w:val="622"/>
    <w:link w:val="620"/>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23">
    <w:name w:val="页脚 Char"/>
    <w:basedOn w:val="621"/>
    <w:next w:val="623"/>
    <w:link w:val="626"/>
    <w:pPr>
      <w:pBdr/>
      <w:spacing/>
      <w:ind/>
    </w:pPr>
    <w:rPr>
      <w:sz w:val="18"/>
      <w:szCs w:val="18"/>
    </w:rPr>
  </w:style>
  <w:style w:type="character" w:styleId="624">
    <w:name w:val="页眉 Char"/>
    <w:basedOn w:val="621"/>
    <w:next w:val="624"/>
    <w:link w:val="625"/>
    <w:pPr>
      <w:pBdr/>
      <w:spacing/>
      <w:ind/>
    </w:pPr>
    <w:rPr>
      <w:sz w:val="18"/>
      <w:szCs w:val="18"/>
    </w:rPr>
  </w:style>
  <w:style w:type="paragraph" w:styleId="625">
    <w:name w:val="页眉"/>
    <w:basedOn w:val="620"/>
    <w:next w:val="625"/>
    <w:link w:val="624"/>
    <w:pPr>
      <w:pBdr>
        <w:bottom w:val="single" w:color="000000" w:sz="6" w:space="1"/>
      </w:pBdr>
      <w:tabs>
        <w:tab w:val="center" w:leader="none" w:pos="4153"/>
        <w:tab w:val="right" w:leader="none" w:pos="8306"/>
      </w:tabs>
      <w:spacing/>
      <w:ind/>
      <w:jc w:val="center"/>
    </w:pPr>
    <w:rPr>
      <w:sz w:val="18"/>
      <w:szCs w:val="18"/>
    </w:rPr>
  </w:style>
  <w:style w:type="paragraph" w:styleId="626">
    <w:name w:val="页脚"/>
    <w:basedOn w:val="620"/>
    <w:next w:val="626"/>
    <w:link w:val="623"/>
    <w:pPr>
      <w:pBdr/>
      <w:tabs>
        <w:tab w:val="center" w:leader="none" w:pos="4153"/>
        <w:tab w:val="right" w:leader="none" w:pos="8306"/>
      </w:tabs>
      <w:spacing/>
      <w:ind/>
      <w:jc w:val="left"/>
    </w:pPr>
    <w:rPr>
      <w:sz w:val="18"/>
      <w:szCs w:val="18"/>
    </w:rPr>
  </w:style>
  <w:style w:type="paragraph" w:styleId="627">
    <w:name w:val="Default"/>
    <w:next w:val="627"/>
    <w:link w:val="620"/>
    <w:pPr>
      <w:widowControl w:val="false"/>
      <w:pBdr/>
      <w:spacing/>
      <w:ind/>
    </w:pPr>
    <w:rPr>
      <w:rFonts w:ascii="FZXiaoBiaoSong-B05" w:hAnsi="FZXiaoBiaoSong-B05" w:eastAsia="FZXiaoBiaoSong-B05"/>
      <w:color w:val="000000"/>
      <w:sz w:val="24"/>
      <w:lang w:val="en-US" w:eastAsia="zh-CN" w:bidi="ar-SA"/>
    </w:rPr>
  </w:style>
  <w:style w:type="character" w:styleId="3646" w:default="1">
    <w:name w:val="Default Paragraph Font"/>
    <w:uiPriority w:val="1"/>
    <w:semiHidden/>
    <w:unhideWhenUsed/>
    <w:pPr>
      <w:pBdr/>
      <w:spacing/>
      <w:ind/>
    </w:pPr>
  </w:style>
  <w:style w:type="numbering" w:styleId="3647" w:default="1">
    <w:name w:val="No List"/>
    <w:uiPriority w:val="99"/>
    <w:semiHidden/>
    <w:unhideWhenUsed/>
    <w:pPr>
      <w:pBdr/>
      <w:spacing/>
      <w:ind/>
    </w:pPr>
  </w:style>
  <w:style w:type="table" w:styleId="364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dc:title>
  <dc:creator>Adminis</dc:creator>
  <cp:lastModifiedBy>匿名</cp:lastModifiedBy>
  <cp:revision>3</cp:revision>
  <dcterms:created xsi:type="dcterms:W3CDTF">2017-03-11T08:36:00Z</dcterms:created>
  <dcterms:modified xsi:type="dcterms:W3CDTF">2024-04-12T09:11:13Z</dcterms:modified>
</cp:coreProperties>
</file>