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4"/>
        <w:gridCol w:w="846"/>
        <w:gridCol w:w="1138"/>
        <w:gridCol w:w="3137"/>
        <w:gridCol w:w="965"/>
        <w:gridCol w:w="3983"/>
        <w:gridCol w:w="3407"/>
        <w:gridCol w:w="566"/>
      </w:tblGrid>
      <w:tr w:rsidR="001500B5" w:rsidTr="001500B5">
        <w:trPr>
          <w:trHeight w:val="567"/>
          <w:tblHeader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0B5" w:rsidRDefault="001500B5">
            <w:pPr>
              <w:autoSpaceDN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0B5" w:rsidRDefault="001500B5">
            <w:pPr>
              <w:autoSpaceDN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权力</w:t>
            </w:r>
          </w:p>
          <w:p w:rsidR="001500B5" w:rsidRDefault="001500B5">
            <w:pPr>
              <w:autoSpaceDN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类型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0B5" w:rsidRDefault="001500B5">
            <w:pPr>
              <w:autoSpaceDN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权力事项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0B5" w:rsidRDefault="001500B5">
            <w:pPr>
              <w:autoSpaceDN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实施依据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0B5" w:rsidRDefault="001500B5">
            <w:pPr>
              <w:autoSpaceDN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行政主体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0B5" w:rsidRDefault="001500B5">
            <w:pPr>
              <w:autoSpaceDN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责任事项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0B5" w:rsidRDefault="001500B5">
            <w:pPr>
              <w:autoSpaceDN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追责情形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0B5" w:rsidRDefault="001500B5">
            <w:pPr>
              <w:autoSpaceDN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1500B5" w:rsidTr="001500B5">
        <w:trPr>
          <w:trHeight w:val="895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B5" w:rsidRDefault="001500B5">
            <w:pPr>
              <w:autoSpaceDN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00B5" w:rsidRDefault="001500B5">
            <w:pPr>
              <w:autoSpaceDN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行政确认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B5" w:rsidRDefault="001500B5">
            <w:pPr>
              <w:autoSpaceDN w:val="0"/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客运站站级核定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B5" w:rsidRDefault="001500B5">
            <w:pPr>
              <w:autoSpaceDN w:val="0"/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1.《道路旅客运输及客运站管理规定》第十一条;</w:t>
            </w:r>
          </w:p>
          <w:p w:rsidR="001500B5" w:rsidRDefault="001500B5">
            <w:pPr>
              <w:autoSpaceDN w:val="0"/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2.《汽车客运站级别划分和建设要求》(JT/T200-2004)第八条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00B5" w:rsidRDefault="001500B5">
            <w:pPr>
              <w:autoSpaceDN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山海关区交通运输局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B5" w:rsidRDefault="001500B5">
            <w:pPr>
              <w:pStyle w:val="TableParagraph"/>
              <w:adjustRightInd w:val="0"/>
              <w:snapToGrid w:val="0"/>
              <w:spacing w:line="240" w:lineRule="exact"/>
              <w:ind w:left="19" w:right="81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受理责任：公示应当提交的材料，一次性告知补正材料，依法受理或不予受理，不予受理应当告知理由。需要所在地县级道路运输管理机构初审的，受理初审后，逐级上报到有核定权的道路运输管理机构。</w:t>
            </w:r>
          </w:p>
          <w:p w:rsidR="001500B5" w:rsidRDefault="001500B5">
            <w:pPr>
              <w:pStyle w:val="TableParagraph"/>
              <w:adjustRightInd w:val="0"/>
              <w:snapToGrid w:val="0"/>
              <w:spacing w:line="240" w:lineRule="exact"/>
              <w:ind w:left="19" w:right="81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审查责任：对申请材料进行审查，依法履行听证职责，提出审核意见。</w:t>
            </w:r>
          </w:p>
          <w:p w:rsidR="001500B5" w:rsidRDefault="001500B5">
            <w:pPr>
              <w:pStyle w:val="TableParagraph"/>
              <w:adjustRightInd w:val="0"/>
              <w:snapToGrid w:val="0"/>
              <w:spacing w:line="240" w:lineRule="exact"/>
              <w:ind w:left="19" w:right="81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现场勘验责任：有核定权的道路运输管理机构收到申请后，应当在7个工作日内对客运站进行现场核查，并按照《汽车客运站级别划分和建设要求》(JT／T200)核定站级。</w:t>
            </w:r>
          </w:p>
          <w:p w:rsidR="001500B5" w:rsidRDefault="001500B5">
            <w:pPr>
              <w:pStyle w:val="TableParagraph"/>
              <w:adjustRightInd w:val="0"/>
              <w:snapToGrid w:val="0"/>
              <w:spacing w:line="240" w:lineRule="exact"/>
              <w:ind w:left="19" w:right="81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决定责任：符合规定的，道路运输管理机构应当出具客运站站级验收合格证明。</w:t>
            </w:r>
          </w:p>
          <w:p w:rsidR="001500B5" w:rsidRDefault="001500B5">
            <w:pPr>
              <w:pStyle w:val="TableParagraph"/>
              <w:adjustRightInd w:val="0"/>
              <w:snapToGrid w:val="0"/>
              <w:spacing w:line="240" w:lineRule="exact"/>
              <w:ind w:left="19" w:right="81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5.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送达责任：依法定程序送达文书。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B5" w:rsidRDefault="001500B5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因不履行或不正确履行行政职责，有下列情形的，行政机关及相关工作人员应承担相应责任：</w:t>
            </w:r>
          </w:p>
          <w:p w:rsidR="001500B5" w:rsidRDefault="001500B5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对符合受理条件的行政确认申请不予受理；</w:t>
            </w:r>
          </w:p>
          <w:p w:rsidR="001500B5" w:rsidRDefault="001500B5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对不符合条件的受理、办理的情形；</w:t>
            </w:r>
          </w:p>
          <w:p w:rsidR="001500B5" w:rsidRDefault="001500B5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未严格按照相关政策、法律、法规履行审查义务，对应当予以确认的不予确认，或者对不应确认的予以确认；</w:t>
            </w:r>
          </w:p>
          <w:p w:rsidR="001500B5" w:rsidRDefault="001500B5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在审查过程中玩忽职守、滥用职权的；</w:t>
            </w:r>
          </w:p>
          <w:p w:rsidR="001500B5" w:rsidRDefault="001500B5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5.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在行使行政权力过程中发生腐败行为的；</w:t>
            </w:r>
          </w:p>
          <w:p w:rsidR="001500B5" w:rsidRDefault="001500B5">
            <w:pPr>
              <w:autoSpaceDN w:val="0"/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6.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其他违反法律法规规章文件规定的行为。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B5" w:rsidRDefault="001500B5">
            <w:pPr>
              <w:autoSpaceDN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1500B5" w:rsidTr="001500B5">
        <w:trPr>
          <w:trHeight w:val="895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B5" w:rsidRDefault="001500B5">
            <w:pPr>
              <w:autoSpaceDN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00B5" w:rsidRDefault="001500B5">
            <w:pPr>
              <w:autoSpaceDN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行政确认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B5" w:rsidRDefault="001500B5">
            <w:pPr>
              <w:autoSpaceDN w:val="0"/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确认特定时段开行包车或者加班车资质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B5" w:rsidRDefault="001500B5">
            <w:pPr>
              <w:autoSpaceDN w:val="0"/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《道路旅客运输及客运站管理规定》（中华人民共和国交通运输部令2022年第33号）第三十六条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00B5" w:rsidRDefault="001500B5">
            <w:pPr>
              <w:autoSpaceDN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山海关区交通运输局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B5" w:rsidRDefault="001500B5">
            <w:pPr>
              <w:autoSpaceDN w:val="0"/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受理环节责任：接收人员及时记录登记并向相关领导汇报。  </w:t>
            </w:r>
          </w:p>
          <w:p w:rsidR="001500B5" w:rsidRDefault="001500B5">
            <w:pPr>
              <w:autoSpaceDN w:val="0"/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审查环节责任：审查客运车辆调配计划。</w:t>
            </w:r>
          </w:p>
          <w:p w:rsidR="001500B5" w:rsidRDefault="001500B5">
            <w:pPr>
              <w:autoSpaceDN w:val="0"/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决定环节责任：按照上级指令及领导指示下达具体车辆数量及类型；</w:t>
            </w:r>
          </w:p>
          <w:p w:rsidR="001500B5" w:rsidRDefault="001500B5">
            <w:pPr>
              <w:autoSpaceDN w:val="0"/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送达环节责任：按要求及时将指令及时送达。</w:t>
            </w:r>
          </w:p>
          <w:p w:rsidR="001500B5" w:rsidRDefault="001500B5">
            <w:pPr>
              <w:autoSpaceDN w:val="0"/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5.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落实环节责任：按照计划下达指令调度车辆落实。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6.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其他法律法规规章文件规定应履行的责任：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B5" w:rsidRDefault="001500B5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因不履行或不正确履行行政职责，有下列情形的，行政机关及相关工作人员应承担相应责任：</w:t>
            </w:r>
          </w:p>
          <w:p w:rsidR="001500B5" w:rsidRDefault="001500B5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对符合受理条件的行政确认申请不予受理；</w:t>
            </w:r>
          </w:p>
          <w:p w:rsidR="001500B5" w:rsidRDefault="001500B5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对不符合条件的受理、办理的情形；</w:t>
            </w:r>
          </w:p>
          <w:p w:rsidR="001500B5" w:rsidRDefault="001500B5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未严格按照相关政策、法律、法规履行审查义务，对应当予以确认的不予确认，或者对不应确认的予以确认；</w:t>
            </w:r>
          </w:p>
          <w:p w:rsidR="001500B5" w:rsidRDefault="001500B5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在审查过程中玩忽职守、滥用职权的；</w:t>
            </w:r>
          </w:p>
          <w:p w:rsidR="001500B5" w:rsidRDefault="001500B5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5.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在行使行政权力过程中发生腐败行为的；</w:t>
            </w:r>
          </w:p>
          <w:p w:rsidR="001500B5" w:rsidRDefault="001500B5">
            <w:pPr>
              <w:autoSpaceDN w:val="0"/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6.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其他违反法律法规规章文件规定的行为。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B5" w:rsidRDefault="001500B5">
            <w:pPr>
              <w:autoSpaceDN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1500B5" w:rsidTr="001500B5">
        <w:trPr>
          <w:trHeight w:val="895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B5" w:rsidRDefault="001500B5">
            <w:pPr>
              <w:autoSpaceDN w:val="0"/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lastRenderedPageBreak/>
              <w:t>3</w:t>
            </w:r>
            <w:bookmarkStart w:id="0" w:name="_GoBack"/>
            <w:bookmarkEnd w:id="0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00B5" w:rsidRDefault="001500B5">
            <w:pPr>
              <w:autoSpaceDN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行政确认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B5" w:rsidRDefault="001500B5">
            <w:pPr>
              <w:autoSpaceDN w:val="0"/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对在公路桥梁跨越的河道上下游各500米范围内依法进行疏浚作业的公路桥梁安全确认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B5" w:rsidRDefault="001500B5">
            <w:pPr>
              <w:autoSpaceDN w:val="0"/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《公路安全保护条例》(国务院令第593号)第二十一条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00B5" w:rsidRDefault="001500B5">
            <w:pPr>
              <w:autoSpaceDN w:val="0"/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山海关区交通运输局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B5" w:rsidRDefault="001500B5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受理责任：公示应当提交的材料，一次性告知补正材料，依法受理或不予受理，不予受理应当告知理由。</w:t>
            </w:r>
          </w:p>
          <w:p w:rsidR="001500B5" w:rsidRDefault="001500B5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审查责任：审查是否符合法定条件，是否符合公路桥梁安全要求，提出审查意见。</w:t>
            </w:r>
          </w:p>
          <w:p w:rsidR="001500B5" w:rsidRDefault="001500B5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决定责任:依法作出能否确认安全的决定。</w:t>
            </w:r>
          </w:p>
          <w:p w:rsidR="001500B5" w:rsidRDefault="001500B5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送达责任:对确认结果进行反馈。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B5" w:rsidRDefault="001500B5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因不履行或不正确履行行政职责，有下列情形的，行政机关及相关工作人员应承担相应责任：</w:t>
            </w:r>
          </w:p>
          <w:p w:rsidR="001500B5" w:rsidRDefault="001500B5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对符合受理条件的行政确认申请不予受理；</w:t>
            </w:r>
          </w:p>
          <w:p w:rsidR="001500B5" w:rsidRDefault="001500B5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对不符合条件的受理、办理的情形；</w:t>
            </w:r>
          </w:p>
          <w:p w:rsidR="001500B5" w:rsidRDefault="001500B5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未严格按照相关政策、法律、法规履行审查义务，对应当予以确认的不予确认，或者对不应确认的予以确认；</w:t>
            </w:r>
          </w:p>
          <w:p w:rsidR="001500B5" w:rsidRDefault="001500B5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在审查过程中玩忽职守、滥用职权的；</w:t>
            </w:r>
          </w:p>
          <w:p w:rsidR="001500B5" w:rsidRDefault="001500B5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5.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在行使行政权力过程中发生腐败行为的；</w:t>
            </w:r>
          </w:p>
          <w:p w:rsidR="001500B5" w:rsidRDefault="001500B5">
            <w:pPr>
              <w:autoSpaceDN w:val="0"/>
              <w:spacing w:line="240" w:lineRule="exact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6.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其他违反法律法规规章文件规定的行为。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B5" w:rsidRDefault="001500B5">
            <w:pPr>
              <w:autoSpaceDN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</w:tbl>
    <w:p w:rsidR="00E73464" w:rsidRDefault="00E73464">
      <w:pPr>
        <w:spacing w:line="240" w:lineRule="exact"/>
        <w:rPr>
          <w:rFonts w:ascii="仿宋_GB2312" w:eastAsia="仿宋_GB2312" w:hAnsi="仿宋_GB2312" w:cs="仿宋_GB2312"/>
          <w:sz w:val="18"/>
          <w:szCs w:val="18"/>
        </w:rPr>
      </w:pPr>
    </w:p>
    <w:sectPr w:rsidR="00E73464" w:rsidSect="00E73464">
      <w:footerReference w:type="even" r:id="rId7"/>
      <w:footerReference w:type="default" r:id="rId8"/>
      <w:footerReference w:type="first" r:id="rId9"/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464" w:rsidRDefault="00E73464" w:rsidP="00E73464">
      <w:r>
        <w:separator/>
      </w:r>
    </w:p>
  </w:endnote>
  <w:endnote w:type="continuationSeparator" w:id="0">
    <w:p w:rsidR="00E73464" w:rsidRDefault="00E73464" w:rsidP="00E73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464" w:rsidRDefault="00E73464">
    <w:pPr>
      <w:pStyle w:val="a3"/>
      <w:framePr w:wrap="around" w:vAnchor="text" w:hAnchor="margin" w:xAlign="right" w:y="1"/>
    </w:pPr>
    <w:r>
      <w:rPr>
        <w:rStyle w:val="a6"/>
      </w:rPr>
      <w:fldChar w:fldCharType="begin"/>
    </w:r>
    <w:r w:rsidR="001500B5">
      <w:rPr>
        <w:rStyle w:val="a6"/>
      </w:rPr>
      <w:instrText>Page</w:instrText>
    </w:r>
    <w:r>
      <w:rPr>
        <w:rStyle w:val="a6"/>
      </w:rPr>
      <w:fldChar w:fldCharType="separate"/>
    </w:r>
    <w:r w:rsidR="001500B5">
      <w:rPr>
        <w:rStyle w:val="a6"/>
      </w:rPr>
      <w:t>1</w:t>
    </w:r>
    <w:r>
      <w:rPr>
        <w:rStyle w:val="a6"/>
      </w:rPr>
      <w:fldChar w:fldCharType="end"/>
    </w:r>
  </w:p>
  <w:p w:rsidR="00E73464" w:rsidRDefault="00E7346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464" w:rsidRDefault="00E73464">
    <w:pPr>
      <w:pStyle w:val="a3"/>
      <w:framePr w:wrap="around" w:vAnchor="text" w:hAnchor="margin" w:xAlign="right" w:y="1"/>
    </w:pPr>
    <w:r>
      <w:rPr>
        <w:rStyle w:val="a6"/>
      </w:rPr>
      <w:fldChar w:fldCharType="begin"/>
    </w:r>
    <w:r w:rsidR="001500B5">
      <w:rPr>
        <w:rStyle w:val="a6"/>
      </w:rPr>
      <w:instrText>Page</w:instrText>
    </w:r>
    <w:r>
      <w:rPr>
        <w:rStyle w:val="a6"/>
      </w:rPr>
      <w:fldChar w:fldCharType="separate"/>
    </w:r>
    <w:r w:rsidR="001500B5">
      <w:rPr>
        <w:rStyle w:val="a6"/>
        <w:noProof/>
      </w:rPr>
      <w:t>2</w:t>
    </w:r>
    <w:r>
      <w:rPr>
        <w:rStyle w:val="a6"/>
      </w:rPr>
      <w:fldChar w:fldCharType="end"/>
    </w:r>
  </w:p>
  <w:p w:rsidR="00E73464" w:rsidRDefault="00E73464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464" w:rsidRDefault="00E73464">
    <w:pPr>
      <w:pStyle w:val="a3"/>
      <w:framePr w:wrap="around" w:vAnchor="text" w:hAnchor="margin" w:xAlign="right" w:y="1"/>
    </w:pPr>
    <w:r>
      <w:rPr>
        <w:rStyle w:val="a6"/>
      </w:rPr>
      <w:fldChar w:fldCharType="begin"/>
    </w:r>
    <w:r w:rsidR="001500B5">
      <w:rPr>
        <w:rStyle w:val="a6"/>
      </w:rPr>
      <w:instrText>Page</w:instrText>
    </w:r>
    <w:r>
      <w:rPr>
        <w:rStyle w:val="a6"/>
      </w:rPr>
      <w:fldChar w:fldCharType="separate"/>
    </w:r>
    <w:r w:rsidR="001500B5">
      <w:rPr>
        <w:rStyle w:val="a6"/>
      </w:rPr>
      <w:t>1</w:t>
    </w:r>
    <w:r>
      <w:rPr>
        <w:rStyle w:val="a6"/>
      </w:rPr>
      <w:fldChar w:fldCharType="end"/>
    </w:r>
  </w:p>
  <w:p w:rsidR="00E73464" w:rsidRDefault="00E7346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464" w:rsidRDefault="00E73464" w:rsidP="00E73464">
      <w:r>
        <w:separator/>
      </w:r>
    </w:p>
  </w:footnote>
  <w:footnote w:type="continuationSeparator" w:id="0">
    <w:p w:rsidR="00E73464" w:rsidRDefault="00E73464" w:rsidP="00E734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DgxOTc2NDk4NTg3NmU0YTlmNzk2ZmUyOGU5N2E2YmMifQ=="/>
  </w:docVars>
  <w:rsids>
    <w:rsidRoot w:val="009929AF"/>
    <w:rsid w:val="001500B5"/>
    <w:rsid w:val="002C3A2E"/>
    <w:rsid w:val="002E5A61"/>
    <w:rsid w:val="007C3554"/>
    <w:rsid w:val="009273F3"/>
    <w:rsid w:val="009929AF"/>
    <w:rsid w:val="00D00744"/>
    <w:rsid w:val="00E73464"/>
    <w:rsid w:val="00EA77A1"/>
    <w:rsid w:val="0AA162B4"/>
    <w:rsid w:val="136C3111"/>
    <w:rsid w:val="139A4F59"/>
    <w:rsid w:val="16BA69AF"/>
    <w:rsid w:val="25373533"/>
    <w:rsid w:val="3AD912BD"/>
    <w:rsid w:val="3BFDA053"/>
    <w:rsid w:val="596D4926"/>
    <w:rsid w:val="5EF7D10B"/>
    <w:rsid w:val="6ED7E910"/>
    <w:rsid w:val="70EC06B1"/>
    <w:rsid w:val="73CF0745"/>
    <w:rsid w:val="7DF04FAA"/>
    <w:rsid w:val="7FA2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46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734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E73464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rsid w:val="00E73464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73464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E73464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E73464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a6">
    <w:name w:val="page number"/>
    <w:basedOn w:val="a0"/>
    <w:qFormat/>
    <w:rsid w:val="00E73464"/>
  </w:style>
  <w:style w:type="paragraph" w:customStyle="1" w:styleId="TableParagraph">
    <w:name w:val="Table Paragraph"/>
    <w:basedOn w:val="a"/>
    <w:qFormat/>
    <w:rsid w:val="00E73464"/>
    <w:pPr>
      <w:autoSpaceDE w:val="0"/>
      <w:autoSpaceDN w:val="0"/>
      <w:jc w:val="left"/>
    </w:pPr>
    <w:rPr>
      <w:rFonts w:ascii="宋体" w:cs="宋体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1299</Words>
  <Characters>132</Characters>
  <Application>Microsoft Office Word</Application>
  <DocSecurity>0</DocSecurity>
  <Lines>1</Lines>
  <Paragraphs>2</Paragraphs>
  <ScaleCrop>false</ScaleCrop>
  <Company>Microsoft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秦皇岛市交通运输系统行政裁决事项权责清单</dc:title>
  <dc:creator>Windows User</dc:creator>
  <cp:lastModifiedBy>Administrator</cp:lastModifiedBy>
  <cp:revision>27</cp:revision>
  <cp:lastPrinted>2022-05-12T10:42:00Z</cp:lastPrinted>
  <dcterms:created xsi:type="dcterms:W3CDTF">2022-05-01T11:00:00Z</dcterms:created>
  <dcterms:modified xsi:type="dcterms:W3CDTF">2023-09-25T07:03:00Z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04589FFCAA794DABA6D95212A5A4AA65</vt:lpwstr>
  </property>
</Properties>
</file>