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sz w:val="44"/>
        </w:rPr>
      </w:pPr>
      <w:bookmarkStart w:id="42" w:name="_GoBack"/>
      <w:bookmarkEnd w:id="42"/>
      <w:r>
        <w:rPr>
          <w:rFonts w:hint="eastAsia" w:ascii="方正小标宋_GBK" w:eastAsia="方正小标宋_GBK"/>
          <w:sz w:val="44"/>
        </w:rPr>
        <w:t>第一部分 部门预算情况</w:t>
      </w:r>
    </w:p>
    <w:p>
      <w:pPr>
        <w:jc w:val="center"/>
        <w:rPr>
          <w:rFonts w:ascii="Times New Roman" w:hAnsi="宋体"/>
        </w:rPr>
      </w:pPr>
      <w:r>
        <w:rPr>
          <w:rFonts w:ascii="宋体" w:hAnsi="宋体"/>
        </w:rPr>
        <w:t xml:space="preserve"> </w:t>
      </w:r>
    </w:p>
    <w:p>
      <w:pPr>
        <w:jc w:val="center"/>
        <w:outlineLvl w:val="1"/>
        <w:rPr>
          <w:rFonts w:hint="eastAsia" w:ascii="Times New Roman" w:hAnsi="宋体"/>
          <w:sz w:val="36"/>
        </w:rPr>
      </w:pPr>
      <w:bookmarkStart w:id="0" w:name="_Toc61426311"/>
      <w:r>
        <w:rPr>
          <w:rFonts w:hint="eastAsia" w:ascii="方正小标宋_GBK" w:eastAsia="方正小标宋_GBK"/>
          <w:sz w:val="36"/>
        </w:rPr>
        <w:t>部 门 职 责</w:t>
      </w:r>
      <w:bookmarkEnd w:id="0"/>
    </w:p>
    <w:p>
      <w:pPr>
        <w:jc w:val="center"/>
        <w:rPr>
          <w:rFonts w:ascii="Times New Roman" w:hAnsi="宋体"/>
        </w:rPr>
      </w:pPr>
      <w:r>
        <w:rPr>
          <w:rFonts w:ascii="宋体" w:hAnsi="宋体"/>
        </w:rPr>
        <w:t xml:space="preserve"> </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根据《区自然资源和规划部门职能配置、内设机构和人员编制规定》， 区自然资源和规划部门的主要职责是：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秦皇岛市山海关区自然资源和规划局部门职责</w:t>
      </w:r>
    </w:p>
    <w:p>
      <w:pPr>
        <w:spacing w:line="500" w:lineRule="exact"/>
        <w:ind w:firstLine="560" w:firstLineChars="200"/>
        <w:jc w:val="left"/>
        <w:rPr>
          <w:rFonts w:ascii="Times New Roman" w:eastAsia="方正仿宋_GBK"/>
          <w:sz w:val="28"/>
        </w:rPr>
      </w:pPr>
      <w:r>
        <w:rPr>
          <w:rFonts w:ascii="Times New Roman" w:eastAsia="方正仿宋_GBK"/>
          <w:sz w:val="28"/>
        </w:rPr>
        <w:t>贯彻落实党中央和省、市、区委关于自然资源、规划和林业工作的方针政策和决策部署，坚持和加强党对自然资源规划和林业工作的集中统一领导，主要职是(以市自然资源和规划局下放权限为准)：</w:t>
      </w:r>
    </w:p>
    <w:p>
      <w:pPr>
        <w:spacing w:line="500" w:lineRule="exact"/>
        <w:ind w:firstLine="560" w:firstLineChars="200"/>
        <w:jc w:val="left"/>
        <w:rPr>
          <w:rFonts w:ascii="Times New Roman" w:eastAsia="方正仿宋_GBK"/>
          <w:sz w:val="28"/>
        </w:rPr>
      </w:pPr>
      <w:r>
        <w:rPr>
          <w:rFonts w:ascii="Times New Roman" w:eastAsia="方正仿宋_GBK"/>
          <w:sz w:val="28"/>
        </w:rPr>
        <w:t>(一)、履行全民所有土地、矿产、水等自然资源资产所有者职责和国土空间用途管制职责。拟订自然资源和国土空间规划及测绘等政府规范性文件，监督检查自然资源和国土空间规划及测绘等法律法规的执行情况。</w:t>
      </w:r>
    </w:p>
    <w:p>
      <w:pPr>
        <w:spacing w:line="500" w:lineRule="exact"/>
        <w:ind w:firstLine="560" w:firstLineChars="200"/>
        <w:jc w:val="left"/>
        <w:rPr>
          <w:rFonts w:ascii="Times New Roman" w:eastAsia="方正仿宋_GBK"/>
          <w:sz w:val="28"/>
        </w:rPr>
      </w:pPr>
      <w:r>
        <w:rPr>
          <w:rFonts w:ascii="Times New Roman" w:eastAsia="方正仿宋_GBK"/>
          <w:sz w:val="28"/>
        </w:rP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pPr>
        <w:spacing w:line="500" w:lineRule="exact"/>
        <w:ind w:firstLine="560" w:firstLineChars="200"/>
        <w:jc w:val="left"/>
        <w:rPr>
          <w:rFonts w:ascii="Times New Roman" w:eastAsia="方正仿宋_GBK"/>
          <w:sz w:val="28"/>
        </w:rPr>
      </w:pPr>
      <w:r>
        <w:rPr>
          <w:rFonts w:ascii="Times New Roman" w:eastAsia="方正仿宋_GBK"/>
          <w:sz w:val="28"/>
        </w:rP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pPr>
        <w:spacing w:line="500" w:lineRule="exact"/>
        <w:ind w:firstLine="560" w:firstLineChars="200"/>
        <w:jc w:val="left"/>
        <w:rPr>
          <w:rFonts w:ascii="Times New Roman" w:eastAsia="方正仿宋_GBK"/>
          <w:sz w:val="28"/>
        </w:rPr>
      </w:pPr>
      <w:r>
        <w:rPr>
          <w:rFonts w:ascii="Times New Roman" w:eastAsia="方正仿宋_GBK"/>
          <w:sz w:val="28"/>
        </w:rP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pPr>
        <w:spacing w:line="500" w:lineRule="exact"/>
        <w:ind w:firstLine="560" w:firstLineChars="200"/>
        <w:jc w:val="left"/>
        <w:rPr>
          <w:rFonts w:ascii="Times New Roman" w:eastAsia="方正仿宋_GBK"/>
          <w:sz w:val="28"/>
        </w:rPr>
      </w:pPr>
      <w:r>
        <w:rPr>
          <w:rFonts w:ascii="Times New Roman" w:eastAsia="方正仿宋_GBK"/>
          <w:sz w:val="28"/>
        </w:rPr>
        <w:t>（ 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pPr>
        <w:spacing w:line="500" w:lineRule="exact"/>
        <w:ind w:firstLine="560" w:firstLineChars="200"/>
        <w:jc w:val="left"/>
        <w:rPr>
          <w:rFonts w:ascii="Times New Roman" w:eastAsia="方正仿宋_GBK"/>
          <w:sz w:val="28"/>
        </w:rPr>
      </w:pPr>
      <w:r>
        <w:rPr>
          <w:rFonts w:ascii="Times New Roman" w:eastAsia="方正仿宋_GBK"/>
          <w:sz w:val="28"/>
        </w:rPr>
        <w:t>(八)、组织实施最严格的耕地保护制度、贯彻执行耕地保护政策，负责耕地数量、质量、生态保护。组织实施耕地保护责任目标考核和永久基本农田特殊保护.完善耕地占补平衡制度，监督占用耕地补偿制度执行情况。</w:t>
      </w:r>
    </w:p>
    <w:p>
      <w:pPr>
        <w:spacing w:line="500" w:lineRule="exact"/>
        <w:ind w:firstLine="560" w:firstLineChars="200"/>
        <w:jc w:val="left"/>
        <w:rPr>
          <w:rFonts w:ascii="Times New Roman" w:eastAsia="方正仿宋_GBK"/>
          <w:sz w:val="28"/>
        </w:rPr>
      </w:pPr>
      <w:r>
        <w:rPr>
          <w:rFonts w:ascii="Times New Roman" w:eastAsia="方正仿宋_GBK"/>
          <w:sz w:val="28"/>
        </w:rP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(十)、负责管理全区地质勘查行业和地质工作.编制地质勘查规划并监督检查执行情况。管理区级地质勘查项目。组织实施重大地质矿产勘查专项。负责古生物化石的监督管理。</w:t>
      </w:r>
    </w:p>
    <w:p>
      <w:pPr>
        <w:spacing w:line="500" w:lineRule="exact"/>
        <w:ind w:firstLine="560" w:firstLineChars="200"/>
        <w:jc w:val="left"/>
        <w:rPr>
          <w:rFonts w:ascii="Times New Roman" w:eastAsia="方正仿宋_GBK"/>
          <w:sz w:val="28"/>
        </w:rPr>
      </w:pPr>
      <w:r>
        <w:rPr>
          <w:rFonts w:ascii="Times New Roman" w:eastAsia="方正仿宋_GBK"/>
          <w:sz w:val="28"/>
        </w:rP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pPr>
        <w:spacing w:line="500" w:lineRule="exact"/>
        <w:ind w:firstLine="560" w:firstLineChars="200"/>
        <w:jc w:val="left"/>
        <w:rPr>
          <w:rFonts w:ascii="Times New Roman" w:eastAsia="方正仿宋_GBK"/>
          <w:sz w:val="28"/>
        </w:rPr>
      </w:pPr>
      <w:r>
        <w:rPr>
          <w:rFonts w:ascii="Times New Roman" w:eastAsia="方正仿宋_GBK"/>
          <w:sz w:val="28"/>
        </w:rP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pPr>
        <w:spacing w:line="500" w:lineRule="exact"/>
        <w:ind w:firstLine="560" w:firstLineChars="200"/>
        <w:jc w:val="left"/>
        <w:rPr>
          <w:rFonts w:ascii="Times New Roman" w:eastAsia="方正仿宋_GBK"/>
          <w:sz w:val="28"/>
        </w:rPr>
      </w:pPr>
      <w:r>
        <w:rPr>
          <w:rFonts w:ascii="Times New Roman" w:eastAsia="方正仿宋_GBK"/>
          <w:sz w:val="28"/>
        </w:rPr>
        <w:t>(十三)、负责全区测绘地理信息管理工作。负责基础测绘和测绘行业管理。负责测绘资质资格与信用管理，监督管理地理信息安全和市场秩序。负责地理信息公共服务管理。负责测量标志保护。</w:t>
      </w:r>
    </w:p>
    <w:p>
      <w:pPr>
        <w:spacing w:line="500" w:lineRule="exact"/>
        <w:ind w:firstLine="560" w:firstLineChars="200"/>
        <w:jc w:val="left"/>
        <w:rPr>
          <w:rFonts w:ascii="Times New Roman" w:eastAsia="方正仿宋_GBK"/>
          <w:sz w:val="28"/>
        </w:rPr>
      </w:pPr>
      <w:r>
        <w:rPr>
          <w:rFonts w:ascii="Times New Roman" w:eastAsia="方正仿宋_GBK"/>
          <w:sz w:val="28"/>
        </w:rP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pPr>
        <w:spacing w:line="500" w:lineRule="exact"/>
        <w:ind w:firstLine="560" w:firstLineChars="200"/>
        <w:jc w:val="left"/>
        <w:rPr>
          <w:rFonts w:ascii="Times New Roman" w:eastAsia="方正仿宋_GBK"/>
          <w:sz w:val="28"/>
        </w:rPr>
      </w:pPr>
      <w:r>
        <w:rPr>
          <w:rFonts w:ascii="Times New Roman" w:eastAsia="方正仿宋_GBK"/>
          <w:sz w:val="28"/>
        </w:rPr>
        <w:t>(十五)、负责全区范围内村庄规划的审批。</w:t>
      </w:r>
    </w:p>
    <w:p>
      <w:pPr>
        <w:spacing w:line="500" w:lineRule="exact"/>
        <w:ind w:firstLine="560" w:firstLineChars="200"/>
        <w:jc w:val="left"/>
        <w:rPr>
          <w:rFonts w:ascii="Times New Roman" w:eastAsia="方正仿宋_GBK"/>
          <w:sz w:val="28"/>
        </w:rPr>
      </w:pPr>
      <w:r>
        <w:rPr>
          <w:rFonts w:ascii="Times New Roman" w:eastAsia="方正仿宋_GBK"/>
          <w:sz w:val="28"/>
        </w:rPr>
        <w:t>(十六)、受市资源规划局委托负责山海关临港经济开发区、山海关古城范围内各类建设项目(不含跨区域的道路、管线等市政设施项目)的城乡规划许可、核发规划条件和规划条件核实。</w:t>
      </w:r>
    </w:p>
    <w:p>
      <w:pPr>
        <w:spacing w:line="500" w:lineRule="exact"/>
        <w:ind w:firstLine="560" w:firstLineChars="200"/>
        <w:jc w:val="left"/>
        <w:rPr>
          <w:rFonts w:ascii="Times New Roman" w:eastAsia="方正仿宋_GBK"/>
          <w:sz w:val="28"/>
        </w:rPr>
      </w:pPr>
      <w:r>
        <w:rPr>
          <w:rFonts w:ascii="Times New Roman" w:eastAsia="方正仿宋_GBK"/>
          <w:sz w:val="28"/>
        </w:rPr>
        <w:t>(十七)负责对矿业权设立、变更、廷续、转让、注销登记及矿区范围审批出具核查意见。</w:t>
      </w:r>
    </w:p>
    <w:p>
      <w:pPr>
        <w:spacing w:line="500" w:lineRule="exact"/>
        <w:ind w:firstLine="560" w:firstLineChars="200"/>
        <w:jc w:val="left"/>
        <w:rPr>
          <w:rFonts w:ascii="Times New Roman" w:eastAsia="方正仿宋_GBK"/>
          <w:sz w:val="28"/>
        </w:rPr>
      </w:pPr>
      <w:r>
        <w:rPr>
          <w:rFonts w:ascii="Times New Roman" w:eastAsia="方正仿宋_GBK"/>
          <w:sz w:val="28"/>
        </w:rPr>
        <w:t>(十八)、负责依法查处本辖区范国内的自然资源违法行为。</w:t>
      </w:r>
    </w:p>
    <w:p>
      <w:pPr>
        <w:spacing w:line="500" w:lineRule="exact"/>
        <w:ind w:firstLine="560" w:firstLineChars="200"/>
        <w:jc w:val="left"/>
        <w:rPr>
          <w:rFonts w:ascii="Times New Roman" w:eastAsia="方正仿宋_GBK"/>
          <w:sz w:val="28"/>
        </w:rPr>
      </w:pPr>
      <w:r>
        <w:rPr>
          <w:rFonts w:ascii="Times New Roman" w:eastAsia="方正仿宋_GBK"/>
          <w:sz w:val="28"/>
        </w:rPr>
        <w:t>(十九)、负责市政府授权或委托的开发区、园区范围内的土地处置;承办市政府授权或委托的其他范围内的土地处置。</w:t>
      </w:r>
    </w:p>
    <w:p>
      <w:pPr>
        <w:spacing w:line="500" w:lineRule="exact"/>
        <w:ind w:firstLine="560" w:firstLineChars="200"/>
        <w:jc w:val="left"/>
        <w:rPr>
          <w:rFonts w:ascii="Times New Roman" w:eastAsia="方正仿宋_GBK"/>
          <w:sz w:val="28"/>
        </w:rPr>
      </w:pPr>
      <w:r>
        <w:rPr>
          <w:rFonts w:ascii="Times New Roman" w:eastAsia="方正仿宋_GBK"/>
          <w:sz w:val="28"/>
        </w:rPr>
        <w:t>(二十)、负责本辖区内的所有不动产登记业务(不含海域使用权登记)、权籍调查审核、档案管理、信忠查询服务和权属纠纷调处等工作。</w:t>
      </w:r>
    </w:p>
    <w:p>
      <w:pPr>
        <w:spacing w:line="500" w:lineRule="exact"/>
        <w:ind w:firstLine="560" w:firstLineChars="200"/>
        <w:jc w:val="left"/>
        <w:rPr>
          <w:rFonts w:ascii="Times New Roman" w:eastAsia="方正仿宋_GBK"/>
          <w:sz w:val="28"/>
        </w:rPr>
      </w:pPr>
      <w:r>
        <w:rPr>
          <w:rFonts w:ascii="Times New Roman" w:eastAsia="方正仿宋_GBK"/>
          <w:sz w:val="28"/>
        </w:rP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pPr>
        <w:spacing w:line="500" w:lineRule="exact"/>
        <w:ind w:firstLine="560" w:firstLineChars="200"/>
        <w:jc w:val="left"/>
        <w:rPr>
          <w:rFonts w:ascii="Times New Roman" w:eastAsia="方正仿宋_GBK"/>
          <w:sz w:val="28"/>
        </w:rPr>
      </w:pPr>
      <w:r>
        <w:rPr>
          <w:rFonts w:ascii="Times New Roman" w:eastAsia="方正仿宋_GBK"/>
          <w:sz w:val="28"/>
        </w:rP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pPr>
        <w:spacing w:line="500" w:lineRule="exact"/>
        <w:ind w:firstLine="560" w:firstLineChars="200"/>
        <w:jc w:val="left"/>
        <w:rPr>
          <w:rFonts w:ascii="Times New Roman" w:eastAsia="方正仿宋_GBK"/>
          <w:sz w:val="28"/>
        </w:rPr>
      </w:pPr>
      <w:r>
        <w:rPr>
          <w:rFonts w:ascii="Times New Roman" w:eastAsia="方正仿宋_GBK"/>
          <w:sz w:val="28"/>
        </w:rP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pPr>
        <w:spacing w:line="500" w:lineRule="exact"/>
        <w:ind w:firstLine="560" w:firstLineChars="200"/>
        <w:jc w:val="left"/>
        <w:rPr>
          <w:rFonts w:ascii="Times New Roman" w:eastAsia="方正仿宋_GBK"/>
          <w:sz w:val="28"/>
        </w:rPr>
      </w:pPr>
      <w:r>
        <w:rPr>
          <w:rFonts w:ascii="Times New Roman" w:eastAsia="方正仿宋_GBK"/>
          <w:sz w:val="28"/>
        </w:rP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pPr>
        <w:spacing w:line="500" w:lineRule="exact"/>
        <w:ind w:firstLine="560" w:firstLineChars="200"/>
        <w:jc w:val="left"/>
        <w:rPr>
          <w:rFonts w:ascii="Times New Roman" w:eastAsia="方正仿宋_GBK"/>
          <w:sz w:val="28"/>
        </w:rPr>
      </w:pPr>
      <w:r>
        <w:rPr>
          <w:rFonts w:ascii="Times New Roman" w:eastAsia="方正仿宋_GBK"/>
          <w:sz w:val="28"/>
        </w:rP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pPr>
        <w:spacing w:line="500" w:lineRule="exact"/>
        <w:ind w:firstLine="560" w:firstLineChars="200"/>
        <w:jc w:val="left"/>
        <w:rPr>
          <w:rFonts w:ascii="Times New Roman" w:eastAsia="方正仿宋_GBK"/>
          <w:sz w:val="28"/>
        </w:rPr>
      </w:pPr>
      <w:r>
        <w:rPr>
          <w:rFonts w:ascii="Times New Roman" w:eastAsia="方正仿宋_GBK"/>
          <w:sz w:val="28"/>
        </w:rP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pPr>
        <w:spacing w:line="500" w:lineRule="exact"/>
        <w:ind w:firstLine="560" w:firstLineChars="200"/>
        <w:jc w:val="left"/>
        <w:rPr>
          <w:rFonts w:ascii="Times New Roman" w:eastAsia="方正仿宋_GBK"/>
          <w:sz w:val="28"/>
        </w:rPr>
      </w:pPr>
      <w:r>
        <w:rPr>
          <w:rFonts w:ascii="Times New Roman" w:eastAsia="方正仿宋_GBK"/>
          <w:sz w:val="28"/>
        </w:rP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pPr>
        <w:spacing w:line="500" w:lineRule="exact"/>
        <w:ind w:firstLine="560" w:firstLineChars="200"/>
        <w:jc w:val="left"/>
        <w:rPr>
          <w:rFonts w:ascii="Times New Roman" w:eastAsia="方正仿宋_GBK"/>
          <w:sz w:val="28"/>
        </w:rPr>
      </w:pPr>
      <w:r>
        <w:rPr>
          <w:rFonts w:ascii="Times New Roman" w:eastAsia="方正仿宋_GBK"/>
          <w:sz w:val="28"/>
        </w:rP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pPr>
        <w:spacing w:line="500" w:lineRule="exact"/>
        <w:ind w:firstLine="560" w:firstLineChars="200"/>
        <w:jc w:val="left"/>
        <w:rPr>
          <w:rFonts w:ascii="Times New Roman" w:eastAsia="方正仿宋_GBK"/>
          <w:sz w:val="28"/>
        </w:rPr>
      </w:pPr>
      <w:r>
        <w:rPr>
          <w:rFonts w:ascii="Times New Roman" w:eastAsia="方正仿宋_GBK"/>
          <w:sz w:val="28"/>
        </w:rPr>
        <w:t>(二十九)、落实上级林业主管部门林业资源优化配置及木材利用政策。拟定全区林业资源优化配置及不利用政策，拟订和相关林业产业地方标准并监督实施，组织、指导林产品质量监督，指导生态扶贫相关工作。</w:t>
      </w:r>
    </w:p>
    <w:p>
      <w:pPr>
        <w:spacing w:line="500" w:lineRule="exact"/>
        <w:ind w:firstLine="560" w:firstLineChars="200"/>
        <w:jc w:val="left"/>
        <w:rPr>
          <w:rFonts w:ascii="Times New Roman" w:eastAsia="方正仿宋_GBK"/>
          <w:sz w:val="28"/>
        </w:rPr>
      </w:pPr>
      <w:r>
        <w:rPr>
          <w:rFonts w:ascii="Times New Roman" w:eastAsia="方正仿宋_GBK"/>
          <w:sz w:val="28"/>
        </w:rP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pPr>
        <w:spacing w:line="500" w:lineRule="exact"/>
        <w:ind w:firstLine="560" w:firstLineChars="200"/>
        <w:jc w:val="left"/>
        <w:rPr>
          <w:rFonts w:ascii="Times New Roman" w:eastAsia="方正仿宋_GBK"/>
          <w:sz w:val="28"/>
        </w:rPr>
      </w:pPr>
      <w:r>
        <w:rPr>
          <w:rFonts w:ascii="Times New Roman" w:eastAsia="方正仿宋_GBK"/>
          <w:sz w:val="28"/>
        </w:rPr>
        <w:t>(三十一)、指导全区森林公安工作，监督管理森林公安队伍，指导全区林业重大违法案件的查处，负责相关行政执法监管工作，指导林区社会治安治理工作</w:t>
      </w:r>
    </w:p>
    <w:p>
      <w:pPr>
        <w:spacing w:line="500" w:lineRule="exact"/>
        <w:ind w:firstLine="560" w:firstLineChars="200"/>
        <w:jc w:val="left"/>
        <w:rPr>
          <w:rFonts w:ascii="Times New Roman" w:eastAsia="方正仿宋_GBK"/>
          <w:sz w:val="28"/>
        </w:rPr>
      </w:pPr>
      <w:r>
        <w:rPr>
          <w:rFonts w:ascii="Times New Roman" w:eastAsia="方正仿宋_GBK"/>
          <w:sz w:val="28"/>
        </w:rPr>
        <w:t>(三十二)、负责落实全区综合防灾减灾规划相关要求，组织编制全区森林火灾防治规划和防护标准并监督实施，指导开展防火巡护、火源管理、防火设施建设等工作，组织指导全区森林防火宣传教育、监测预警、督促检査等防火工作。</w:t>
      </w:r>
    </w:p>
    <w:p>
      <w:pPr>
        <w:spacing w:line="500" w:lineRule="exact"/>
        <w:ind w:firstLine="560" w:firstLineChars="200"/>
        <w:jc w:val="left"/>
        <w:rPr>
          <w:rFonts w:ascii="Times New Roman" w:eastAsia="方正仿宋_GBK"/>
          <w:sz w:val="28"/>
        </w:rPr>
      </w:pPr>
      <w:r>
        <w:rPr>
          <w:rFonts w:ascii="Times New Roman" w:eastAsia="方正仿宋_GBK"/>
          <w:sz w:val="28"/>
        </w:rP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pPr>
        <w:spacing w:line="500" w:lineRule="exact"/>
        <w:ind w:firstLine="560" w:firstLineChars="200"/>
        <w:jc w:val="left"/>
        <w:rPr>
          <w:rFonts w:ascii="Times New Roman" w:eastAsia="方正仿宋_GBK"/>
          <w:sz w:val="28"/>
        </w:rPr>
      </w:pPr>
      <w:r>
        <w:rPr>
          <w:rFonts w:ascii="Times New Roman" w:eastAsia="方正仿宋_GBK"/>
          <w:sz w:val="28"/>
        </w:rPr>
        <w:t>(三十四)、负责全区林业科技、教育和外事工作，指导全区林业人才队伍建设，组织实施林业国际交流与合作事务</w:t>
      </w:r>
    </w:p>
    <w:p>
      <w:pPr>
        <w:spacing w:line="500" w:lineRule="exact"/>
        <w:ind w:firstLine="560" w:firstLineChars="200"/>
        <w:jc w:val="left"/>
        <w:rPr>
          <w:rFonts w:ascii="Times New Roman" w:eastAsia="方正仿宋_GBK"/>
          <w:sz w:val="28"/>
        </w:rPr>
      </w:pPr>
      <w:r>
        <w:rPr>
          <w:rFonts w:ascii="Times New Roman" w:eastAsia="方正仿宋_GBK"/>
          <w:sz w:val="28"/>
        </w:rPr>
        <w:t>(三十五)、落实行业主管部门的安全生产监管职责，各股室落实各自分管领域的安全生产监管职责。</w:t>
      </w:r>
    </w:p>
    <w:p>
      <w:pPr>
        <w:spacing w:line="500" w:lineRule="exact"/>
        <w:ind w:firstLine="560" w:firstLineChars="200"/>
        <w:jc w:val="left"/>
        <w:rPr>
          <w:rFonts w:ascii="Times New Roman" w:eastAsia="方正仿宋_GBK"/>
          <w:sz w:val="28"/>
        </w:rPr>
      </w:pPr>
      <w:r>
        <w:rPr>
          <w:rFonts w:ascii="Times New Roman" w:eastAsia="方正仿宋_GBK"/>
          <w:sz w:val="28"/>
        </w:rPr>
        <w:t>(三十六)、完成区委、区政府交办的其他任务。</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headerReference r:id="rId5" w:type="default"/>
          <w:footerReference r:id="rId6" w:type="default"/>
          <w:pgSz w:w="11907" w:h="16839"/>
          <w:pgMar w:top="1531" w:right="1134" w:bottom="1474" w:left="1134" w:header="851" w:footer="992" w:gutter="0"/>
          <w:pgNumType w:start="1"/>
          <w:cols w:space="425" w:num="1"/>
          <w:docGrid w:type="lines" w:linePitch="312" w:charSpace="0"/>
        </w:sectPr>
      </w:pPr>
    </w:p>
    <w:p>
      <w:pPr>
        <w:ind w:firstLine="640" w:firstLineChars="200"/>
        <w:jc w:val="center"/>
        <w:outlineLvl w:val="1"/>
        <w:rPr>
          <w:rFonts w:hint="eastAsia" w:ascii="Times New Roman" w:hAnsi="宋体"/>
          <w:sz w:val="32"/>
        </w:rPr>
      </w:pPr>
      <w:bookmarkStart w:id="1" w:name="_Toc61426312"/>
      <w:r>
        <w:rPr>
          <w:rFonts w:hint="eastAsia" w:ascii="方正小标宋_GBK" w:eastAsia="方正小标宋_GBK"/>
          <w:sz w:val="32"/>
        </w:rPr>
        <w:t>部门收支预算总表</w:t>
      </w:r>
      <w:bookmarkEnd w:id="1"/>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2874"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286033989.40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16513091.70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13148691.70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269520897.70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269520897.70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286033989.40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5124588.14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4777824.68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346763.46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280909401.26</w:t>
            </w:r>
          </w:p>
        </w:tc>
      </w:tr>
    </w:tbl>
    <w:p>
      <w:pPr>
        <w:spacing w:line="300" w:lineRule="exact"/>
        <w:ind w:firstLine="560" w:firstLineChars="200"/>
        <w:jc w:val="left"/>
        <w:outlineLvl w:val="1"/>
        <w:rPr>
          <w:rFonts w:ascii="Times New Roman" w:eastAsia="方正仿宋_GBK"/>
          <w:sz w:val="28"/>
        </w:rPr>
        <w:sectPr>
          <w:pgSz w:w="11907" w:h="16839"/>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2" w:name="_Toc61426313"/>
      <w:r>
        <w:rPr>
          <w:rFonts w:hint="eastAsia" w:ascii="方正小标宋_GBK" w:eastAsia="方正小标宋_GBK"/>
          <w:sz w:val="32"/>
        </w:rPr>
        <w:t>部门基本支出预算</w:t>
      </w:r>
      <w:bookmarkEnd w:id="2"/>
    </w:p>
    <w:tbl>
      <w:tblPr>
        <w:tblStyle w:val="6"/>
        <w:tblW w:w="14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9"/>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688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71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1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1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566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4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b/>
              </w:rPr>
            </w:pPr>
          </w:p>
        </w:tc>
        <w:tc>
          <w:tcPr>
            <w:tcW w:w="5669"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14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4777824.68</w:t>
            </w:r>
          </w:p>
        </w:tc>
        <w:tc>
          <w:tcPr>
            <w:tcW w:w="14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4777824.68</w:t>
            </w:r>
          </w:p>
        </w:tc>
        <w:tc>
          <w:tcPr>
            <w:tcW w:w="1434" w:type="dxa"/>
            <w:shd w:val="clear" w:color="auto" w:fill="auto"/>
            <w:noWrap w:val="0"/>
            <w:vAlign w:val="center"/>
          </w:tcPr>
          <w:p>
            <w:pPr>
              <w:spacing w:line="300" w:lineRule="exact"/>
              <w:jc w:val="right"/>
              <w:rPr>
                <w:rFonts w:ascii="方正书宋_GBK" w:eastAsia="方正书宋_GBK"/>
                <w:b/>
              </w:rPr>
            </w:pPr>
          </w:p>
        </w:tc>
        <w:tc>
          <w:tcPr>
            <w:tcW w:w="1434" w:type="dxa"/>
            <w:shd w:val="clear" w:color="auto" w:fill="auto"/>
            <w:noWrap w:val="0"/>
            <w:vAlign w:val="center"/>
          </w:tcPr>
          <w:p>
            <w:pPr>
              <w:spacing w:line="300" w:lineRule="exact"/>
              <w:jc w:val="right"/>
              <w:rPr>
                <w:rFonts w:ascii="方正书宋_GBK" w:eastAsia="方正书宋_GBK"/>
                <w:b/>
              </w:rPr>
            </w:pPr>
          </w:p>
        </w:tc>
        <w:tc>
          <w:tcPr>
            <w:tcW w:w="14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4672527.68</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4672527.68</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1580532.00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1580532.00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660851.00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660851.00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416160.00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416160.00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）在职人员住宅取暖费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244631.00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244631.00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）规范津贴补贴后仍继续保留的补贴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）上述项目之外的津贴补贴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）在职人员年终一次性奖金</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）员额内法官、检察官的绩效考核奖金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、绩效工资</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666720.00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666720.00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317707.00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317707.00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1040505.32</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1040505.32</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483904.48</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483904.48</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234391.23</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234391.23</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139352.40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139352.40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153416.33</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153416.33</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14318.86</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14318.86</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15122.02</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15122.02</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362928.36</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362928.36</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、医疗费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、伙食补助费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、其他工资福利支出</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）离休人员住宅取暖费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）非社保机构开支人员单位应负担的离休费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81897.00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81897.00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8632.00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8632.00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）退休人员住宅取暖费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73265.00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73265.00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）非社保机构开支人员单位应负担的退休费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、其他</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）离休人员其他费用</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）退休人员其他费用</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）上述项目之外的补贴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）社保机构开支人员单位应负担的其他费用</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15840.00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15840.00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、助学金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、奖励金</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、女职工卫生费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b/>
              </w:rPr>
            </w:pPr>
          </w:p>
        </w:tc>
        <w:tc>
          <w:tcPr>
            <w:tcW w:w="5669"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日常公用经费合计</w:t>
            </w:r>
          </w:p>
        </w:tc>
        <w:tc>
          <w:tcPr>
            <w:tcW w:w="14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346763.46</w:t>
            </w:r>
          </w:p>
        </w:tc>
        <w:tc>
          <w:tcPr>
            <w:tcW w:w="14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346763.46</w:t>
            </w:r>
          </w:p>
        </w:tc>
        <w:tc>
          <w:tcPr>
            <w:tcW w:w="1434" w:type="dxa"/>
            <w:shd w:val="clear" w:color="auto" w:fill="auto"/>
            <w:noWrap w:val="0"/>
            <w:vAlign w:val="center"/>
          </w:tcPr>
          <w:p>
            <w:pPr>
              <w:spacing w:line="300" w:lineRule="exact"/>
              <w:jc w:val="right"/>
              <w:rPr>
                <w:rFonts w:ascii="方正书宋_GBK" w:eastAsia="方正书宋_GBK"/>
                <w:b/>
              </w:rPr>
            </w:pPr>
          </w:p>
        </w:tc>
        <w:tc>
          <w:tcPr>
            <w:tcW w:w="1434" w:type="dxa"/>
            <w:shd w:val="clear" w:color="auto" w:fill="auto"/>
            <w:noWrap w:val="0"/>
            <w:vAlign w:val="center"/>
          </w:tcPr>
          <w:p>
            <w:pPr>
              <w:spacing w:line="300" w:lineRule="exact"/>
              <w:jc w:val="right"/>
              <w:rPr>
                <w:rFonts w:ascii="方正书宋_GBK" w:eastAsia="方正书宋_GBK"/>
                <w:b/>
              </w:rPr>
            </w:pPr>
          </w:p>
        </w:tc>
        <w:tc>
          <w:tcPr>
            <w:tcW w:w="14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219687.60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219687.60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30205</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30208</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30215</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3021201</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）教学科研人员因公出国（境）费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3021202</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）其他因公出国（境）费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）其他运行维护费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19287.60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19287.60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10887.60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10887.60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87000.00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87000.00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30204</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30214</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30218</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）交通补贴费用</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30225</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30226</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30227</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117575.86</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117575.86</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30216</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30217</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30228</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60488.06</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60488.06</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39513.30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39513.30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p>
        </w:tc>
        <w:tc>
          <w:tcPr>
            <w:tcW w:w="5669"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31003</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1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14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c>
          <w:tcPr>
            <w:tcW w:w="14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3" w:name="_Toc61426314"/>
      <w:r>
        <w:rPr>
          <w:rFonts w:hint="eastAsia" w:ascii="方正小标宋_GBK" w:eastAsia="方正小标宋_GBK"/>
          <w:sz w:val="32"/>
        </w:rPr>
        <w:t>部门项目支出预算</w:t>
      </w:r>
      <w:bookmarkEnd w:id="3"/>
    </w:p>
    <w:tbl>
      <w:tblPr>
        <w:tblStyle w:val="6"/>
        <w:tblW w:w="14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3"/>
        <w:gridCol w:w="1213"/>
        <w:gridCol w:w="1213"/>
        <w:gridCol w:w="1213"/>
        <w:gridCol w:w="1213"/>
        <w:gridCol w:w="1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727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62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1032"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3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7278"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62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032"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21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1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1621" w:type="dxa"/>
            <w:shd w:val="clear" w:color="auto" w:fill="auto"/>
            <w:noWrap w:val="0"/>
            <w:vAlign w:val="center"/>
          </w:tcPr>
          <w:p>
            <w:pPr>
              <w:spacing w:line="300" w:lineRule="exact"/>
              <w:jc w:val="right"/>
              <w:rPr>
                <w:rFonts w:ascii="方正书宋_GBK" w:eastAsia="方正书宋_GBK"/>
                <w:b/>
              </w:rPr>
            </w:pPr>
          </w:p>
        </w:tc>
        <w:tc>
          <w:tcPr>
            <w:tcW w:w="1032" w:type="dxa"/>
            <w:shd w:val="clear" w:color="auto" w:fill="auto"/>
            <w:noWrap w:val="0"/>
            <w:vAlign w:val="center"/>
          </w:tcPr>
          <w:p>
            <w:pPr>
              <w:spacing w:line="300" w:lineRule="exact"/>
              <w:jc w:val="right"/>
              <w:rPr>
                <w:rFonts w:ascii="方正书宋_GBK" w:eastAsia="方正书宋_GBK"/>
                <w:b/>
              </w:rPr>
            </w:pPr>
          </w:p>
        </w:tc>
        <w:tc>
          <w:tcPr>
            <w:tcW w:w="1219" w:type="dxa"/>
            <w:shd w:val="clear" w:color="auto" w:fill="auto"/>
            <w:noWrap w:val="0"/>
            <w:vAlign w:val="center"/>
          </w:tcPr>
          <w:p>
            <w:pPr>
              <w:spacing w:line="300" w:lineRule="exact"/>
              <w:jc w:val="right"/>
              <w:rPr>
                <w:rFonts w:ascii="方正书宋_GBK" w:eastAsia="方正书宋_GBK"/>
                <w:b/>
              </w:rPr>
            </w:pPr>
          </w:p>
        </w:tc>
        <w:tc>
          <w:tcPr>
            <w:tcW w:w="1219" w:type="dxa"/>
            <w:shd w:val="clear" w:color="auto" w:fill="auto"/>
            <w:noWrap w:val="0"/>
            <w:vAlign w:val="center"/>
          </w:tcPr>
          <w:p>
            <w:pPr>
              <w:spacing w:line="300" w:lineRule="exact"/>
              <w:jc w:val="right"/>
              <w:rPr>
                <w:rFonts w:ascii="方正书宋_GBK" w:eastAsia="方正书宋_GBK"/>
                <w:b/>
              </w:rPr>
            </w:pPr>
          </w:p>
        </w:tc>
        <w:tc>
          <w:tcPr>
            <w:tcW w:w="1213"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280909401.26</w:t>
            </w:r>
          </w:p>
        </w:tc>
        <w:tc>
          <w:tcPr>
            <w:tcW w:w="1213"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11388503.56</w:t>
            </w:r>
          </w:p>
        </w:tc>
        <w:tc>
          <w:tcPr>
            <w:tcW w:w="1213"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269520897.70</w:t>
            </w:r>
          </w:p>
        </w:tc>
        <w:tc>
          <w:tcPr>
            <w:tcW w:w="1213" w:type="dxa"/>
            <w:shd w:val="clear" w:color="auto" w:fill="auto"/>
            <w:noWrap w:val="0"/>
            <w:vAlign w:val="center"/>
          </w:tcPr>
          <w:p>
            <w:pPr>
              <w:spacing w:line="300" w:lineRule="exact"/>
              <w:jc w:val="right"/>
              <w:rPr>
                <w:rFonts w:ascii="方正书宋_GBK" w:eastAsia="方正书宋_GBK"/>
                <w:b/>
              </w:rPr>
            </w:pPr>
          </w:p>
        </w:tc>
        <w:tc>
          <w:tcPr>
            <w:tcW w:w="1213" w:type="dxa"/>
            <w:shd w:val="clear" w:color="auto" w:fill="auto"/>
            <w:noWrap w:val="0"/>
            <w:vAlign w:val="center"/>
          </w:tcPr>
          <w:p>
            <w:pPr>
              <w:spacing w:line="300" w:lineRule="exact"/>
              <w:jc w:val="right"/>
              <w:rPr>
                <w:rFonts w:ascii="方正书宋_GBK" w:eastAsia="方正书宋_GBK"/>
                <w:b/>
              </w:rPr>
            </w:pPr>
          </w:p>
        </w:tc>
        <w:tc>
          <w:tcPr>
            <w:tcW w:w="1213"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、林业执法经费</w:t>
            </w:r>
          </w:p>
        </w:tc>
        <w:tc>
          <w:tcPr>
            <w:tcW w:w="162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2130213</w:t>
            </w:r>
          </w:p>
        </w:tc>
        <w:tc>
          <w:tcPr>
            <w:tcW w:w="121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、提前下达</w:t>
            </w:r>
            <w:r>
              <w:rPr>
                <w:rFonts w:ascii="方正书宋_GBK" w:eastAsia="方正书宋_GBK"/>
              </w:rPr>
              <w:t>2019</w:t>
            </w:r>
            <w:r>
              <w:rPr>
                <w:rFonts w:hint="eastAsia" w:ascii="方正书宋_GBK" w:eastAsia="方正书宋_GBK"/>
              </w:rPr>
              <w:t>年省对市县重点生态功能区转移支付的通知</w:t>
            </w:r>
            <w:r>
              <w:rPr>
                <w:rFonts w:ascii="方正书宋_GBK" w:eastAsia="方正书宋_GBK"/>
              </w:rPr>
              <w:t>-</w:t>
            </w:r>
            <w:r>
              <w:rPr>
                <w:rFonts w:hint="eastAsia" w:ascii="方正书宋_GBK" w:eastAsia="方正书宋_GBK"/>
              </w:rPr>
              <w:t>新造林补贴</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330661.00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330661.00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、车辆保险费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2200101</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、人事代理专项补助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2120201</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360900.00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360900.00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、专业扑火队经费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2130234</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、耕地占用税</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105830000.00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105830000.00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年省级林业改革发展补助资金</w:t>
            </w:r>
            <w:r>
              <w:rPr>
                <w:rFonts w:ascii="方正书宋_GBK" w:eastAsia="方正书宋_GBK"/>
              </w:rPr>
              <w:t>-</w:t>
            </w:r>
            <w:r>
              <w:rPr>
                <w:rFonts w:hint="eastAsia" w:ascii="方正书宋_GBK" w:eastAsia="方正书宋_GBK"/>
              </w:rPr>
              <w:t>森林植被恢复费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2130205</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、林场差额经费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、办证难不动产登记工作经费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、护林员专项补助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、规划编制费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、土地出让业务费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2120806</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、失地农民养老基金</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2120805</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、永久性护林管护费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478000.00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478000.00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、护林防火</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、征地拆迁成本</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2120801</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、防火</w:t>
            </w:r>
            <w:r>
              <w:rPr>
                <w:rFonts w:hint="cs" w:ascii="方正书宋_GBK" w:eastAsia="方正书宋_GBK"/>
              </w:rPr>
              <w:t>“</w:t>
            </w:r>
            <w:r>
              <w:rPr>
                <w:rFonts w:hint="eastAsia" w:ascii="方正书宋_GBK" w:eastAsia="方正书宋_GBK"/>
              </w:rPr>
              <w:t>五清</w:t>
            </w:r>
            <w:r>
              <w:rPr>
                <w:rFonts w:hint="cs" w:ascii="方正书宋_GBK" w:eastAsia="方正书宋_GBK"/>
              </w:rPr>
              <w:t>”</w:t>
            </w:r>
            <w:r>
              <w:rPr>
                <w:rFonts w:hint="eastAsia" w:ascii="方正书宋_GBK" w:eastAsia="方正书宋_GBK"/>
              </w:rPr>
              <w:t>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、环城绿化补偿费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19</w:t>
            </w:r>
            <w:r>
              <w:rPr>
                <w:rFonts w:hint="eastAsia" w:ascii="方正书宋_GBK" w:eastAsia="方正书宋_GBK"/>
              </w:rPr>
              <w:t>、木材检查站专项经费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2130213</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、征地拆迁成本</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2121001</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59420000.00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59420000.00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、森林生态效益补偿</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86109.98</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86109.98</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、规划信息中心补助经费</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2120201</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594903.56</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594903.56</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年中央财政林业草原生态保护恢复资金预算的通知</w:t>
            </w:r>
          </w:p>
        </w:tc>
        <w:tc>
          <w:tcPr>
            <w:tcW w:w="1621" w:type="dxa"/>
            <w:shd w:val="clear" w:color="auto" w:fill="auto"/>
            <w:noWrap w:val="0"/>
            <w:vAlign w:val="center"/>
          </w:tcPr>
          <w:p>
            <w:pPr>
              <w:spacing w:line="300" w:lineRule="exact"/>
              <w:jc w:val="left"/>
              <w:rPr>
                <w:rFonts w:hint="eastAsia" w:ascii="方正书宋_GBK" w:eastAsia="方正书宋_GBK"/>
              </w:rPr>
            </w:pPr>
          </w:p>
        </w:tc>
        <w:tc>
          <w:tcPr>
            <w:tcW w:w="1032" w:type="dxa"/>
            <w:shd w:val="clear" w:color="auto" w:fill="auto"/>
            <w:noWrap w:val="0"/>
            <w:vAlign w:val="center"/>
          </w:tcPr>
          <w:p>
            <w:pPr>
              <w:spacing w:line="300" w:lineRule="exact"/>
              <w:jc w:val="left"/>
              <w:rPr>
                <w:rFonts w:ascii="方正书宋_GBK" w:eastAsia="方正书宋_GBK"/>
              </w:rPr>
            </w:pPr>
          </w:p>
        </w:tc>
        <w:tc>
          <w:tcPr>
            <w:tcW w:w="1219" w:type="dxa"/>
            <w:shd w:val="clear" w:color="auto" w:fill="auto"/>
            <w:noWrap w:val="0"/>
            <w:vAlign w:val="center"/>
          </w:tcPr>
          <w:p>
            <w:pPr>
              <w:spacing w:line="300" w:lineRule="exact"/>
              <w:jc w:val="left"/>
              <w:rPr>
                <w:rFonts w:hint="eastAsia" w:ascii="方正书宋_GBK" w:eastAsia="方正书宋_GBK"/>
              </w:rPr>
            </w:pPr>
          </w:p>
        </w:tc>
        <w:tc>
          <w:tcPr>
            <w:tcW w:w="1219" w:type="dxa"/>
            <w:shd w:val="clear" w:color="auto" w:fill="auto"/>
            <w:noWrap w:val="0"/>
            <w:vAlign w:val="center"/>
          </w:tcPr>
          <w:p>
            <w:pPr>
              <w:spacing w:line="300" w:lineRule="exact"/>
              <w:jc w:val="left"/>
              <w:rPr>
                <w:rFonts w:hint="eastAsia"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706100.00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706100.00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年中央财政林业草原生态保护恢复资金预算</w:t>
            </w:r>
            <w:r>
              <w:rPr>
                <w:rFonts w:ascii="方正书宋_GBK" w:eastAsia="方正书宋_GBK"/>
              </w:rPr>
              <w:t>-</w:t>
            </w:r>
            <w:r>
              <w:rPr>
                <w:rFonts w:hint="eastAsia" w:ascii="方正书宋_GBK" w:eastAsia="方正书宋_GBK"/>
              </w:rPr>
              <w:t>完善退耕还林政策补助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2110602</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169100.00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169100.00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w:t>
            </w:r>
            <w:r>
              <w:rPr>
                <w:rFonts w:ascii="方正书宋_GBK" w:eastAsia="方正书宋_GBK"/>
              </w:rPr>
              <w:t>-</w:t>
            </w:r>
            <w:r>
              <w:rPr>
                <w:rFonts w:hint="eastAsia" w:ascii="方正书宋_GBK" w:eastAsia="方正书宋_GBK"/>
              </w:rPr>
              <w:t>全面停止天然林商业性采伐补助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2110507</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537000.00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537000.00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年中央财政林业改革发展资金预算的通知</w:t>
            </w:r>
          </w:p>
        </w:tc>
        <w:tc>
          <w:tcPr>
            <w:tcW w:w="1621" w:type="dxa"/>
            <w:shd w:val="clear" w:color="auto" w:fill="auto"/>
            <w:noWrap w:val="0"/>
            <w:vAlign w:val="center"/>
          </w:tcPr>
          <w:p>
            <w:pPr>
              <w:spacing w:line="300" w:lineRule="exact"/>
              <w:jc w:val="left"/>
              <w:rPr>
                <w:rFonts w:hint="eastAsia" w:ascii="方正书宋_GBK" w:eastAsia="方正书宋_GBK"/>
              </w:rPr>
            </w:pPr>
          </w:p>
        </w:tc>
        <w:tc>
          <w:tcPr>
            <w:tcW w:w="1032" w:type="dxa"/>
            <w:shd w:val="clear" w:color="auto" w:fill="auto"/>
            <w:noWrap w:val="0"/>
            <w:vAlign w:val="center"/>
          </w:tcPr>
          <w:p>
            <w:pPr>
              <w:spacing w:line="300" w:lineRule="exact"/>
              <w:jc w:val="left"/>
              <w:rPr>
                <w:rFonts w:ascii="方正书宋_GBK" w:eastAsia="方正书宋_GBK"/>
              </w:rPr>
            </w:pPr>
          </w:p>
        </w:tc>
        <w:tc>
          <w:tcPr>
            <w:tcW w:w="1219" w:type="dxa"/>
            <w:shd w:val="clear" w:color="auto" w:fill="auto"/>
            <w:noWrap w:val="0"/>
            <w:vAlign w:val="center"/>
          </w:tcPr>
          <w:p>
            <w:pPr>
              <w:spacing w:line="300" w:lineRule="exact"/>
              <w:jc w:val="left"/>
              <w:rPr>
                <w:rFonts w:hint="eastAsia" w:ascii="方正书宋_GBK" w:eastAsia="方正书宋_GBK"/>
              </w:rPr>
            </w:pPr>
          </w:p>
        </w:tc>
        <w:tc>
          <w:tcPr>
            <w:tcW w:w="1219" w:type="dxa"/>
            <w:shd w:val="clear" w:color="auto" w:fill="auto"/>
            <w:noWrap w:val="0"/>
            <w:vAlign w:val="center"/>
          </w:tcPr>
          <w:p>
            <w:pPr>
              <w:spacing w:line="300" w:lineRule="exact"/>
              <w:jc w:val="left"/>
              <w:rPr>
                <w:rFonts w:hint="eastAsia"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626200.00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626200.00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森林抚育</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2130205</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公共管护补助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86650.00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86650.00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403650.00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403650.00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shd w:val="clear" w:color="auto" w:fill="auto"/>
            <w:noWrap w:val="0"/>
            <w:vAlign w:val="center"/>
          </w:tcPr>
          <w:p>
            <w:pPr>
              <w:wordWrap w:val="0"/>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天然林停伐管护补助</w:t>
            </w:r>
            <w:r>
              <w:rPr>
                <w:rFonts w:ascii="方正书宋_GBK" w:eastAsia="方正书宋_GBK"/>
              </w:rPr>
              <w:t>-</w:t>
            </w:r>
            <w:r>
              <w:rPr>
                <w:rFonts w:hint="eastAsia" w:ascii="方正书宋_GBK" w:eastAsia="方正书宋_GBK"/>
              </w:rPr>
              <w:t>国有管护补助</w:t>
            </w:r>
          </w:p>
        </w:tc>
        <w:tc>
          <w:tcPr>
            <w:tcW w:w="16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03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1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121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c>
          <w:tcPr>
            <w:tcW w:w="1213"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4" w:name="_Toc61426315"/>
      <w:r>
        <w:rPr>
          <w:rFonts w:hint="eastAsia" w:ascii="方正小标宋_GBK" w:eastAsia="方正小标宋_GBK"/>
          <w:sz w:val="32"/>
        </w:rPr>
        <w:t>部门预算政府经济分类表</w:t>
      </w:r>
      <w:bookmarkEnd w:id="4"/>
    </w:p>
    <w:tbl>
      <w:tblPr>
        <w:tblStyle w:val="6"/>
        <w:tblW w:w="14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786"/>
        <w:gridCol w:w="1786"/>
        <w:gridCol w:w="1786"/>
        <w:gridCol w:w="1786"/>
        <w:gridCol w:w="1786"/>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1"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5358"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716"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3"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8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286033989.40</w:t>
            </w:r>
          </w:p>
        </w:tc>
        <w:tc>
          <w:tcPr>
            <w:tcW w:w="178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16513091.70</w:t>
            </w:r>
          </w:p>
        </w:tc>
        <w:tc>
          <w:tcPr>
            <w:tcW w:w="178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269520897.70</w:t>
            </w:r>
          </w:p>
        </w:tc>
        <w:tc>
          <w:tcPr>
            <w:tcW w:w="1786" w:type="dxa"/>
            <w:shd w:val="clear" w:color="auto" w:fill="auto"/>
            <w:noWrap w:val="0"/>
            <w:vAlign w:val="center"/>
          </w:tcPr>
          <w:p>
            <w:pPr>
              <w:spacing w:line="300" w:lineRule="exact"/>
              <w:jc w:val="right"/>
              <w:rPr>
                <w:rFonts w:ascii="方正书宋_GBK" w:eastAsia="方正书宋_GBK"/>
                <w:b/>
              </w:rPr>
            </w:pPr>
          </w:p>
        </w:tc>
        <w:tc>
          <w:tcPr>
            <w:tcW w:w="1786" w:type="dxa"/>
            <w:shd w:val="clear" w:color="auto" w:fill="auto"/>
            <w:noWrap w:val="0"/>
            <w:vAlign w:val="center"/>
          </w:tcPr>
          <w:p>
            <w:pPr>
              <w:spacing w:line="300" w:lineRule="exact"/>
              <w:jc w:val="right"/>
              <w:rPr>
                <w:rFonts w:ascii="方正书宋_GBK" w:eastAsia="方正书宋_GBK"/>
                <w:b/>
              </w:rPr>
            </w:pPr>
          </w:p>
        </w:tc>
        <w:tc>
          <w:tcPr>
            <w:tcW w:w="178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21593904.24</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4643904.24</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16950000.00</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179541584.44</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4394813.46</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175146770.98</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77428126.72</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7365077.00</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7365077.00</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178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3"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c>
          <w:tcPr>
            <w:tcW w:w="1786"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5" w:name="_Toc61426316"/>
      <w:r>
        <w:rPr>
          <w:rFonts w:hint="eastAsia" w:ascii="方正小标宋_GBK" w:eastAsia="方正小标宋_GBK"/>
          <w:sz w:val="32"/>
        </w:rPr>
        <w:t>部门</w:t>
      </w:r>
      <w:r>
        <w:rPr>
          <w:rFonts w:hint="cs" w:ascii="方正小标宋_GBK" w:eastAsia="方正小标宋_GBK"/>
          <w:sz w:val="32"/>
        </w:rPr>
        <w:t>“</w:t>
      </w:r>
      <w:r>
        <w:rPr>
          <w:rFonts w:hint="eastAsia" w:ascii="方正小标宋_GBK" w:eastAsia="方正小标宋_GBK"/>
          <w:sz w:val="32"/>
        </w:rPr>
        <w:t>三公</w:t>
      </w:r>
      <w:r>
        <w:rPr>
          <w:rFonts w:hint="cs" w:ascii="方正小标宋_GBK" w:eastAsia="方正小标宋_GBK"/>
          <w:sz w:val="32"/>
        </w:rPr>
        <w:t>”</w:t>
      </w:r>
      <w:r>
        <w:rPr>
          <w:rFonts w:hint="eastAsia" w:ascii="方正小标宋_GBK" w:eastAsia="方正小标宋_GBK"/>
          <w:sz w:val="32"/>
        </w:rPr>
        <w:t>及会议培训经费预算</w:t>
      </w:r>
      <w:bookmarkEnd w:id="5"/>
    </w:p>
    <w:tbl>
      <w:tblPr>
        <w:tblStyle w:val="6"/>
        <w:tblW w:w="143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1843"/>
        <w:gridCol w:w="1814"/>
        <w:gridCol w:w="1814"/>
        <w:gridCol w:w="1814"/>
        <w:gridCol w:w="1814"/>
        <w:gridCol w:w="1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3"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544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2"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913"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2"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8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8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43"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34474.50</w:t>
            </w:r>
          </w:p>
        </w:tc>
        <w:tc>
          <w:tcPr>
            <w:tcW w:w="181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34474.50</w:t>
            </w: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1843"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19874.50</w:t>
            </w:r>
          </w:p>
        </w:tc>
        <w:tc>
          <w:tcPr>
            <w:tcW w:w="181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19874.50</w:t>
            </w: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c>
          <w:tcPr>
            <w:tcW w:w="181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一、因公出国（境）费</w:t>
            </w:r>
          </w:p>
        </w:tc>
        <w:tc>
          <w:tcPr>
            <w:tcW w:w="1843"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4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81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3"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81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4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181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4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81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43"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181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c>
          <w:tcPr>
            <w:tcW w:w="181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6" w:name="_Toc61426317"/>
      <w:r>
        <w:rPr>
          <w:rFonts w:hint="eastAsia" w:ascii="方正小标宋_GBK" w:eastAsia="方正小标宋_GBK"/>
          <w:sz w:val="32"/>
        </w:rPr>
        <w:t>部门组织政府非税收入计划</w:t>
      </w:r>
      <w:bookmarkEnd w:id="6"/>
    </w:p>
    <w:tbl>
      <w:tblPr>
        <w:tblStyle w:val="6"/>
        <w:tblW w:w="14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2698" w:type="dxa"/>
            <w:gridSpan w:val="9"/>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2154"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43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24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收入分类科目编码</w:t>
            </w:r>
          </w:p>
        </w:tc>
        <w:tc>
          <w:tcPr>
            <w:tcW w:w="232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收入项目名称</w:t>
            </w:r>
          </w:p>
        </w:tc>
        <w:tc>
          <w:tcPr>
            <w:tcW w:w="130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收入类型</w:t>
            </w:r>
          </w:p>
        </w:tc>
        <w:tc>
          <w:tcPr>
            <w:tcW w:w="5385"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部门组织非税收入计划</w:t>
            </w:r>
          </w:p>
        </w:tc>
        <w:tc>
          <w:tcPr>
            <w:tcW w:w="107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应缴款项</w:t>
            </w:r>
          </w:p>
        </w:tc>
        <w:tc>
          <w:tcPr>
            <w:tcW w:w="107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部门或财政调剂收入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438"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24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2324"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304"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0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0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一般公共预算收入</w:t>
            </w:r>
          </w:p>
        </w:tc>
        <w:tc>
          <w:tcPr>
            <w:tcW w:w="10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政府性基金收入</w:t>
            </w:r>
          </w:p>
        </w:tc>
        <w:tc>
          <w:tcPr>
            <w:tcW w:w="10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国有资本经营预算收入</w:t>
            </w:r>
          </w:p>
        </w:tc>
        <w:tc>
          <w:tcPr>
            <w:tcW w:w="10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07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077" w:type="dxa"/>
            <w:vMerge w:val="continue"/>
            <w:shd w:val="clear" w:color="auto" w:fill="auto"/>
            <w:noWrap w:val="0"/>
            <w:vAlign w:val="center"/>
          </w:tcPr>
          <w:p>
            <w:pPr>
              <w:spacing w:line="300" w:lineRule="exact"/>
              <w:jc w:val="left"/>
              <w:outlineLvl w:val="1"/>
              <w:rPr>
                <w:rFonts w:ascii="Times New Roman" w:eastAsia="方正仿宋_GBK"/>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43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7" w:type="dxa"/>
            <w:shd w:val="clear" w:color="auto" w:fill="auto"/>
            <w:noWrap w:val="0"/>
            <w:vAlign w:val="center"/>
          </w:tcPr>
          <w:p>
            <w:pPr>
              <w:spacing w:line="300" w:lineRule="exact"/>
              <w:jc w:val="left"/>
              <w:rPr>
                <w:rFonts w:ascii="方正书宋_GBK" w:eastAsia="方正书宋_GBK"/>
                <w:b/>
              </w:rPr>
            </w:pPr>
          </w:p>
        </w:tc>
        <w:tc>
          <w:tcPr>
            <w:tcW w:w="2324" w:type="dxa"/>
            <w:shd w:val="clear" w:color="auto" w:fill="auto"/>
            <w:noWrap w:val="0"/>
            <w:vAlign w:val="center"/>
          </w:tcPr>
          <w:p>
            <w:pPr>
              <w:spacing w:line="300" w:lineRule="exact"/>
              <w:jc w:val="left"/>
              <w:rPr>
                <w:rFonts w:ascii="方正书宋_GBK" w:eastAsia="方正书宋_GBK"/>
                <w:b/>
              </w:rPr>
            </w:pPr>
          </w:p>
        </w:tc>
        <w:tc>
          <w:tcPr>
            <w:tcW w:w="1304" w:type="dxa"/>
            <w:shd w:val="clear" w:color="auto" w:fill="auto"/>
            <w:noWrap w:val="0"/>
            <w:vAlign w:val="center"/>
          </w:tcPr>
          <w:p>
            <w:pPr>
              <w:spacing w:line="300" w:lineRule="exact"/>
              <w:jc w:val="left"/>
              <w:rPr>
                <w:rFonts w:ascii="方正书宋_GBK" w:eastAsia="方正书宋_GBK"/>
                <w:b/>
              </w:rPr>
            </w:pPr>
          </w:p>
        </w:tc>
        <w:tc>
          <w:tcPr>
            <w:tcW w:w="1077"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4350000.00</w:t>
            </w:r>
          </w:p>
        </w:tc>
        <w:tc>
          <w:tcPr>
            <w:tcW w:w="1077"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4350000.00</w:t>
            </w:r>
          </w:p>
        </w:tc>
        <w:tc>
          <w:tcPr>
            <w:tcW w:w="1077" w:type="dxa"/>
            <w:shd w:val="clear" w:color="auto" w:fill="auto"/>
            <w:noWrap w:val="0"/>
            <w:vAlign w:val="center"/>
          </w:tcPr>
          <w:p>
            <w:pPr>
              <w:spacing w:line="300" w:lineRule="exact"/>
              <w:jc w:val="right"/>
              <w:rPr>
                <w:rFonts w:ascii="方正书宋_GBK" w:eastAsia="方正书宋_GBK"/>
                <w:b/>
              </w:rPr>
            </w:pPr>
          </w:p>
        </w:tc>
        <w:tc>
          <w:tcPr>
            <w:tcW w:w="1077" w:type="dxa"/>
            <w:shd w:val="clear" w:color="auto" w:fill="auto"/>
            <w:noWrap w:val="0"/>
            <w:vAlign w:val="center"/>
          </w:tcPr>
          <w:p>
            <w:pPr>
              <w:spacing w:line="300" w:lineRule="exact"/>
              <w:jc w:val="right"/>
              <w:rPr>
                <w:rFonts w:ascii="方正书宋_GBK" w:eastAsia="方正书宋_GBK"/>
                <w:b/>
              </w:rPr>
            </w:pPr>
          </w:p>
        </w:tc>
        <w:tc>
          <w:tcPr>
            <w:tcW w:w="1077" w:type="dxa"/>
            <w:shd w:val="clear" w:color="auto" w:fill="auto"/>
            <w:noWrap w:val="0"/>
            <w:vAlign w:val="center"/>
          </w:tcPr>
          <w:p>
            <w:pPr>
              <w:spacing w:line="300" w:lineRule="exact"/>
              <w:jc w:val="right"/>
              <w:rPr>
                <w:rFonts w:ascii="方正书宋_GBK" w:eastAsia="方正书宋_GBK"/>
                <w:b/>
              </w:rPr>
            </w:pPr>
          </w:p>
        </w:tc>
        <w:tc>
          <w:tcPr>
            <w:tcW w:w="1077" w:type="dxa"/>
            <w:shd w:val="clear" w:color="auto" w:fill="auto"/>
            <w:noWrap w:val="0"/>
            <w:vAlign w:val="center"/>
          </w:tcPr>
          <w:p>
            <w:pPr>
              <w:spacing w:line="300" w:lineRule="exact"/>
              <w:jc w:val="right"/>
              <w:rPr>
                <w:rFonts w:ascii="方正书宋_GBK" w:eastAsia="方正书宋_GBK"/>
                <w:b/>
              </w:rPr>
            </w:pPr>
          </w:p>
        </w:tc>
        <w:tc>
          <w:tcPr>
            <w:tcW w:w="1077"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24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103070699</w:t>
            </w:r>
          </w:p>
        </w:tc>
        <w:tc>
          <w:tcPr>
            <w:tcW w:w="232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国有资源有偿使用收入</w:t>
            </w:r>
          </w:p>
        </w:tc>
        <w:tc>
          <w:tcPr>
            <w:tcW w:w="130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国有资源（资产）有偿使用收入</w:t>
            </w:r>
          </w:p>
        </w:tc>
        <w:tc>
          <w:tcPr>
            <w:tcW w:w="107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4350000.00</w:t>
            </w:r>
          </w:p>
        </w:tc>
        <w:tc>
          <w:tcPr>
            <w:tcW w:w="107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4350000.00</w:t>
            </w:r>
          </w:p>
        </w:tc>
        <w:tc>
          <w:tcPr>
            <w:tcW w:w="1077" w:type="dxa"/>
            <w:shd w:val="clear" w:color="auto" w:fill="auto"/>
            <w:noWrap w:val="0"/>
            <w:vAlign w:val="center"/>
          </w:tcPr>
          <w:p>
            <w:pPr>
              <w:spacing w:line="300" w:lineRule="exact"/>
              <w:jc w:val="right"/>
              <w:rPr>
                <w:rFonts w:ascii="方正书宋_GBK" w:eastAsia="方正书宋_GBK"/>
              </w:rPr>
            </w:pPr>
          </w:p>
        </w:tc>
        <w:tc>
          <w:tcPr>
            <w:tcW w:w="1077" w:type="dxa"/>
            <w:shd w:val="clear" w:color="auto" w:fill="auto"/>
            <w:noWrap w:val="0"/>
            <w:vAlign w:val="center"/>
          </w:tcPr>
          <w:p>
            <w:pPr>
              <w:spacing w:line="300" w:lineRule="exact"/>
              <w:jc w:val="right"/>
              <w:rPr>
                <w:rFonts w:ascii="方正书宋_GBK" w:eastAsia="方正书宋_GBK"/>
              </w:rPr>
            </w:pPr>
          </w:p>
        </w:tc>
        <w:tc>
          <w:tcPr>
            <w:tcW w:w="1077" w:type="dxa"/>
            <w:shd w:val="clear" w:color="auto" w:fill="auto"/>
            <w:noWrap w:val="0"/>
            <w:vAlign w:val="center"/>
          </w:tcPr>
          <w:p>
            <w:pPr>
              <w:spacing w:line="300" w:lineRule="exact"/>
              <w:jc w:val="right"/>
              <w:rPr>
                <w:rFonts w:ascii="方正书宋_GBK" w:eastAsia="方正书宋_GBK"/>
              </w:rPr>
            </w:pPr>
          </w:p>
        </w:tc>
        <w:tc>
          <w:tcPr>
            <w:tcW w:w="1077" w:type="dxa"/>
            <w:shd w:val="clear" w:color="auto" w:fill="auto"/>
            <w:noWrap w:val="0"/>
            <w:vAlign w:val="center"/>
          </w:tcPr>
          <w:p>
            <w:pPr>
              <w:spacing w:line="300" w:lineRule="exact"/>
              <w:jc w:val="right"/>
              <w:rPr>
                <w:rFonts w:ascii="方正书宋_GBK" w:eastAsia="方正书宋_GBK"/>
              </w:rPr>
            </w:pPr>
          </w:p>
        </w:tc>
        <w:tc>
          <w:tcPr>
            <w:tcW w:w="1077"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jc w:val="center"/>
        <w:outlineLvl w:val="1"/>
        <w:rPr>
          <w:rFonts w:hint="eastAsia" w:ascii="Times New Roman" w:hAnsi="宋体"/>
          <w:sz w:val="32"/>
        </w:rPr>
      </w:pPr>
      <w:bookmarkStart w:id="7" w:name="_Toc61426318"/>
      <w:r>
        <w:rPr>
          <w:rFonts w:hint="eastAsia" w:ascii="方正小标宋_GBK" w:eastAsia="方正小标宋_GBK"/>
          <w:sz w:val="32"/>
        </w:rPr>
        <w:t>部门基本情况表</w:t>
      </w:r>
      <w:bookmarkEnd w:id="7"/>
    </w:p>
    <w:tbl>
      <w:tblPr>
        <w:tblStyle w:val="6"/>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007"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区自然资源和规划部门</w:t>
            </w:r>
          </w:p>
        </w:tc>
        <w:tc>
          <w:tcPr>
            <w:tcW w:w="425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54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55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543"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5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2353"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5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pPr>
              <w:spacing w:line="300" w:lineRule="exact"/>
              <w:jc w:val="center"/>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2353" w:type="dxa"/>
            <w:shd w:val="clear" w:color="auto" w:fill="auto"/>
            <w:noWrap w:val="0"/>
            <w:vAlign w:val="center"/>
          </w:tcPr>
          <w:p>
            <w:pPr>
              <w:spacing w:line="300" w:lineRule="exact"/>
              <w:jc w:val="center"/>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70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46</w:t>
            </w:r>
          </w:p>
        </w:tc>
        <w:tc>
          <w:tcPr>
            <w:tcW w:w="709" w:type="dxa"/>
            <w:shd w:val="clear" w:color="auto" w:fill="auto"/>
            <w:noWrap w:val="0"/>
            <w:vAlign w:val="center"/>
          </w:tcPr>
          <w:p>
            <w:pPr>
              <w:spacing w:line="300" w:lineRule="exact"/>
              <w:jc w:val="center"/>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40</w:t>
            </w:r>
          </w:p>
        </w:tc>
        <w:tc>
          <w:tcPr>
            <w:tcW w:w="709" w:type="dxa"/>
            <w:shd w:val="clear" w:color="auto" w:fill="auto"/>
            <w:noWrap w:val="0"/>
            <w:vAlign w:val="center"/>
          </w:tcPr>
          <w:p>
            <w:pPr>
              <w:spacing w:line="300" w:lineRule="exact"/>
              <w:jc w:val="center"/>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14</w:t>
            </w:r>
          </w:p>
        </w:tc>
        <w:tc>
          <w:tcPr>
            <w:tcW w:w="709" w:type="dxa"/>
            <w:shd w:val="clear" w:color="auto" w:fill="auto"/>
            <w:noWrap w:val="0"/>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54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秦皇岛市山海关区自然资源和规划局本级</w:t>
            </w:r>
          </w:p>
        </w:tc>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155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46</w:t>
            </w: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40</w:t>
            </w: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709"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54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秦皇岛市山海关区国营林场</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559" w:type="dxa"/>
            <w:shd w:val="clear" w:color="auto" w:fill="auto"/>
            <w:noWrap w:val="0"/>
            <w:vAlign w:val="center"/>
          </w:tcPr>
          <w:p>
            <w:pPr>
              <w:spacing w:line="300" w:lineRule="exact"/>
              <w:jc w:val="center"/>
              <w:rPr>
                <w:rFonts w:hint="eastAsia" w:ascii="方正书宋_GBK" w:eastAsia="方正书宋_GBK"/>
              </w:rPr>
            </w:pPr>
          </w:p>
        </w:tc>
        <w:tc>
          <w:tcPr>
            <w:tcW w:w="2353"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其他</w:t>
            </w: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c>
          <w:tcPr>
            <w:tcW w:w="709" w:type="dxa"/>
            <w:shd w:val="clear" w:color="auto" w:fill="auto"/>
            <w:noWrap w:val="0"/>
            <w:vAlign w:val="center"/>
          </w:tcPr>
          <w:p>
            <w:pPr>
              <w:spacing w:line="300" w:lineRule="exact"/>
              <w:jc w:val="center"/>
              <w:rPr>
                <w:rFonts w:ascii="方正书宋_GBK" w:eastAsia="方正书宋_GBK"/>
              </w:rPr>
            </w:pPr>
          </w:p>
        </w:tc>
      </w:tr>
    </w:tbl>
    <w:p>
      <w:pPr>
        <w:spacing w:line="300" w:lineRule="exact"/>
        <w:ind w:firstLine="560" w:firstLineChars="200"/>
        <w:jc w:val="left"/>
        <w:outlineLvl w:val="1"/>
        <w:rPr>
          <w:rFonts w:ascii="Times New Roman" w:eastAsia="方正仿宋_GBK"/>
          <w:sz w:val="28"/>
        </w:rPr>
        <w:sectPr>
          <w:pgSz w:w="16839" w:h="11907" w:orient="landscape"/>
          <w:pgMar w:top="1020" w:right="1361" w:bottom="1020" w:left="1361" w:header="851" w:footer="992" w:gutter="0"/>
          <w:cols w:space="425" w:num="1"/>
          <w:docGrid w:type="lines" w:linePitch="312" w:charSpace="0"/>
        </w:sectPr>
      </w:pPr>
    </w:p>
    <w:p>
      <w:pPr>
        <w:jc w:val="center"/>
        <w:outlineLvl w:val="0"/>
        <w:rPr>
          <w:rFonts w:ascii="Times New Roman" w:hAnsi="宋体"/>
          <w:sz w:val="52"/>
        </w:rPr>
      </w:pPr>
      <w:r>
        <w:rPr>
          <w:rFonts w:ascii="方正小标宋_GBK" w:eastAsia="方正小标宋_GBK"/>
          <w:sz w:val="52"/>
        </w:rPr>
        <w:t xml:space="preserve"> </w:t>
      </w:r>
    </w:p>
    <w:p>
      <w:pPr>
        <w:jc w:val="center"/>
        <w:rPr>
          <w:rFonts w:ascii="Times New Roman" w:hAnsi="宋体"/>
          <w:sz w:val="52"/>
        </w:rPr>
      </w:pPr>
      <w:r>
        <w:rPr>
          <w:rFonts w:ascii="方正小标宋_GBK" w:eastAsia="方正小标宋_GBK"/>
          <w:sz w:val="52"/>
        </w:rPr>
        <w:t xml:space="preserve"> </w:t>
      </w:r>
    </w:p>
    <w:p>
      <w:pPr>
        <w:jc w:val="cente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3"/>
        <w:rPr>
          <w:rFonts w:hint="eastAsia" w:ascii="Times New Roman" w:hAnsi="宋体"/>
          <w:sz w:val="44"/>
        </w:rPr>
      </w:pPr>
      <w:bookmarkStart w:id="8" w:name="_Toc61426319"/>
      <w:r>
        <w:rPr>
          <w:rFonts w:hint="eastAsia" w:ascii="方正小标宋_GBK" w:eastAsia="方正小标宋_GBK"/>
          <w:sz w:val="44"/>
        </w:rPr>
        <w:t>一、秦皇岛市山海关区自然资源和规划局本级收支预算</w:t>
      </w:r>
      <w:bookmarkEnd w:id="8"/>
    </w:p>
    <w:p>
      <w:pPr>
        <w:jc w:val="center"/>
        <w:rPr>
          <w:rFonts w:ascii="Times New Roman" w:hAnsi="宋体"/>
        </w:rPr>
      </w:pPr>
    </w:p>
    <w:p>
      <w:pPr>
        <w:jc w:val="center"/>
        <w:outlineLvl w:val="4"/>
        <w:rPr>
          <w:rFonts w:hint="eastAsia" w:ascii="Times New Roman" w:hAnsi="宋体"/>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2874"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279653339.40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10132441.70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8478041.70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269520897.70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269520897.70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279653339.40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5124588.14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4777824.68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346763.46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274528751.26</w:t>
            </w:r>
          </w:p>
        </w:tc>
      </w:tr>
    </w:tbl>
    <w:p>
      <w:pPr>
        <w:spacing w:line="300" w:lineRule="exact"/>
        <w:jc w:val="left"/>
        <w:outlineLvl w:val="4"/>
        <w:sectPr>
          <w:pgSz w:w="11907" w:h="16839"/>
          <w:pgMar w:top="1134" w:right="1134" w:bottom="1134" w:left="1134"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人员经费预算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7"/>
        <w:gridCol w:w="903"/>
        <w:gridCol w:w="903"/>
        <w:gridCol w:w="4535"/>
        <w:gridCol w:w="1325"/>
        <w:gridCol w:w="1325"/>
        <w:gridCol w:w="1298"/>
        <w:gridCol w:w="1299"/>
        <w:gridCol w:w="1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4777824.68</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4777824.68</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4672527.68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4672527.68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1580532.00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1580532.00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660851.00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660851.00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416160.00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416160.00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）在职人员住宅取暖费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244631.00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244631.00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）规范津贴补贴后仍继续保留的补贴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）上述项目之外的津贴补贴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）在职人员年终一次性奖金</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43284.00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）员额内法官、检察官的绩效考核奖金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、绩效工资</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666720.00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666720.00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317707.00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317707.00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1040505.32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1040505.32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483904.48</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483904.48</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234391.23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234391.23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2101103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139352.40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139352.40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2101103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153416.33</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153416.33</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14318.86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14318.86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15122.02</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15122.02</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362928.36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362928.36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、医疗费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、伙食补助费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、其他工资福利支出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）离休人员住宅取暖费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）非社保机构开支人员单位应负担的离休费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81897.00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81897.00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8632.00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8632.00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）退休人员住宅取暖费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73265.00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73265.00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）非社保机构开支人员单位应负担的退休费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、其他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）离休人员其他费用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）社保机构开支人员单位应负担的其他费用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2080899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15840.00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15840.00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、助学金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、奖励金</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50999</w:t>
            </w: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、女职工卫生费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日常公用经费预算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3"/>
        <w:gridCol w:w="986"/>
        <w:gridCol w:w="899"/>
        <w:gridCol w:w="4531"/>
        <w:gridCol w:w="1295"/>
        <w:gridCol w:w="1295"/>
        <w:gridCol w:w="1295"/>
        <w:gridCol w:w="1295"/>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346763.46</w:t>
            </w:r>
          </w:p>
        </w:tc>
        <w:tc>
          <w:tcPr>
            <w:tcW w:w="469"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346763.46</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219687.60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219687.60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50209</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50202</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50306</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）教学科研人员因公出国（境）费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）其他因公出国（境）费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）其他运行维护费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19287.60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19287.60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10887.60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10887.60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87000.00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87000.00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）交通补贴费用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117575.86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117575.86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50203</w:t>
            </w: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50206</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60488.06</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60488.06</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39513.30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39513.30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9500.00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9500.00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50209</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2200101</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46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项目支出预算</w:t>
      </w:r>
    </w:p>
    <w:tbl>
      <w:tblPr>
        <w:tblStyle w:val="6"/>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15"/>
        <w:gridCol w:w="1079"/>
        <w:gridCol w:w="1173"/>
        <w:gridCol w:w="1171"/>
        <w:gridCol w:w="1547"/>
        <w:gridCol w:w="1386"/>
        <w:gridCol w:w="1547"/>
        <w:gridCol w:w="1383"/>
        <w:gridCol w:w="1383"/>
        <w:gridCol w:w="1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1"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289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899"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continue"/>
            <w:shd w:val="clear" w:color="auto" w:fill="auto"/>
            <w:noWrap w:val="0"/>
            <w:vAlign w:val="center"/>
          </w:tcPr>
          <w:p>
            <w:pPr>
              <w:spacing w:line="300" w:lineRule="exact"/>
              <w:jc w:val="left"/>
              <w:outlineLvl w:val="4"/>
            </w:pPr>
          </w:p>
        </w:tc>
        <w:tc>
          <w:tcPr>
            <w:tcW w:w="379" w:type="pct"/>
            <w:vMerge w:val="continue"/>
            <w:shd w:val="clear" w:color="auto" w:fill="auto"/>
            <w:noWrap w:val="0"/>
            <w:vAlign w:val="center"/>
          </w:tcPr>
          <w:p>
            <w:pPr>
              <w:spacing w:line="300" w:lineRule="exact"/>
              <w:jc w:val="left"/>
              <w:outlineLvl w:val="4"/>
            </w:pPr>
          </w:p>
        </w:tc>
        <w:tc>
          <w:tcPr>
            <w:tcW w:w="411"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379" w:type="pct"/>
            <w:shd w:val="clear" w:color="auto" w:fill="auto"/>
            <w:noWrap w:val="0"/>
            <w:vAlign w:val="center"/>
          </w:tcPr>
          <w:p>
            <w:pPr>
              <w:spacing w:line="300" w:lineRule="exact"/>
              <w:jc w:val="right"/>
              <w:rPr>
                <w:rFonts w:ascii="方正书宋_GBK" w:eastAsia="方正书宋_GBK"/>
                <w:b/>
              </w:rPr>
            </w:pPr>
          </w:p>
        </w:tc>
        <w:tc>
          <w:tcPr>
            <w:tcW w:w="411" w:type="pct"/>
            <w:shd w:val="clear" w:color="auto" w:fill="auto"/>
            <w:noWrap w:val="0"/>
            <w:vAlign w:val="center"/>
          </w:tcPr>
          <w:p>
            <w:pPr>
              <w:spacing w:line="300" w:lineRule="exact"/>
              <w:jc w:val="right"/>
              <w:rPr>
                <w:rFonts w:ascii="方正书宋_GBK" w:eastAsia="方正书宋_GBK"/>
                <w:b/>
              </w:rPr>
            </w:pPr>
          </w:p>
        </w:tc>
        <w:tc>
          <w:tcPr>
            <w:tcW w:w="410" w:type="pct"/>
            <w:shd w:val="clear" w:color="auto" w:fill="auto"/>
            <w:noWrap w:val="0"/>
            <w:vAlign w:val="center"/>
          </w:tcPr>
          <w:p>
            <w:pPr>
              <w:spacing w:line="300" w:lineRule="exact"/>
              <w:jc w:val="right"/>
              <w:rPr>
                <w:rFonts w:ascii="方正书宋_GBK" w:eastAsia="方正书宋_GBK"/>
                <w:b/>
              </w:rPr>
            </w:pP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274528751.26</w:t>
            </w: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5007853.56</w:t>
            </w: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269520897.70</w:t>
            </w:r>
          </w:p>
        </w:tc>
        <w:tc>
          <w:tcPr>
            <w:tcW w:w="482" w:type="pct"/>
            <w:shd w:val="clear" w:color="auto" w:fill="auto"/>
            <w:noWrap w:val="0"/>
            <w:vAlign w:val="center"/>
          </w:tcPr>
          <w:p>
            <w:pPr>
              <w:spacing w:line="300" w:lineRule="exact"/>
              <w:jc w:val="right"/>
              <w:rPr>
                <w:rFonts w:ascii="方正书宋_GBK" w:eastAsia="方正书宋_GBK"/>
                <w:b/>
              </w:rPr>
            </w:pPr>
          </w:p>
        </w:tc>
        <w:tc>
          <w:tcPr>
            <w:tcW w:w="482" w:type="pct"/>
            <w:shd w:val="clear" w:color="auto" w:fill="auto"/>
            <w:noWrap w:val="0"/>
            <w:vAlign w:val="center"/>
          </w:tcPr>
          <w:p>
            <w:pPr>
              <w:spacing w:line="300" w:lineRule="exact"/>
              <w:jc w:val="right"/>
              <w:rPr>
                <w:rFonts w:ascii="方正书宋_GBK" w:eastAsia="方正书宋_GBK"/>
                <w:b/>
              </w:rPr>
            </w:pPr>
          </w:p>
        </w:tc>
        <w:tc>
          <w:tcPr>
            <w:tcW w:w="485"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办证难不动产登记工作经费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耕地占用税</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105830000.00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105830000.00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规划编制费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规划信息中心补助经费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2120201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594903.56</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594903.56</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护林防火</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环城绿化补偿费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2802000.00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2802000.00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林业执法经费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2130213</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木材检查站专项经费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2130213</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1254400.00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人事代理专项补助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2120201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360900.00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360900.00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森林生态效益补偿</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86109.98</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86109.98</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失地农民养老基金</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2120805</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16650000.00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16650000.00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年省对市县重点生态功能区转移支付的通知</w:t>
            </w:r>
            <w:r>
              <w:rPr>
                <w:rFonts w:ascii="方正书宋_GBK" w:eastAsia="方正书宋_GBK"/>
              </w:rPr>
              <w:t>-</w:t>
            </w:r>
            <w:r>
              <w:rPr>
                <w:rFonts w:hint="eastAsia" w:ascii="方正书宋_GBK" w:eastAsia="方正书宋_GBK"/>
              </w:rPr>
              <w:t>新造林补贴</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330661.00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330661.00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年省级林业改革发展补助资金</w:t>
            </w:r>
            <w:r>
              <w:rPr>
                <w:rFonts w:ascii="方正书宋_GBK" w:eastAsia="方正书宋_GBK"/>
              </w:rPr>
              <w:t>-</w:t>
            </w:r>
            <w:r>
              <w:rPr>
                <w:rFonts w:hint="eastAsia" w:ascii="方正书宋_GBK" w:eastAsia="方正书宋_GBK"/>
              </w:rPr>
              <w:t>森林植被恢复费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2130205</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年中央财政林业草原生态保护恢复资金预算</w:t>
            </w:r>
            <w:r>
              <w:rPr>
                <w:rFonts w:ascii="方正书宋_GBK" w:eastAsia="方正书宋_GBK"/>
              </w:rPr>
              <w:t>-</w:t>
            </w:r>
            <w:r>
              <w:rPr>
                <w:rFonts w:hint="eastAsia" w:ascii="方正书宋_GBK" w:eastAsia="方正书宋_GBK"/>
              </w:rPr>
              <w:t>完善退耕还林政策补助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2110602</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169100.00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169100.00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森林抚育</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2130205</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公共管护补助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86650.00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86650.00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土地出让业务费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2120806</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永久性护林管护费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478000.00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478000.00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征地拆迁成本</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征地拆迁成本</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2121001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59420000.00</w:t>
            </w:r>
          </w:p>
        </w:tc>
        <w:tc>
          <w:tcPr>
            <w:tcW w:w="483" w:type="pct"/>
            <w:shd w:val="clear" w:color="auto" w:fill="auto"/>
            <w:noWrap w:val="0"/>
            <w:vAlign w:val="center"/>
          </w:tcPr>
          <w:p>
            <w:pPr>
              <w:spacing w:line="300" w:lineRule="exact"/>
              <w:jc w:val="right"/>
              <w:rPr>
                <w:rFonts w:ascii="方正书宋_GBK" w:eastAsia="方正书宋_GBK"/>
              </w:rPr>
            </w:pP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59420000.00</w:t>
            </w: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专业扑火队经费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2130234</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车辆保险费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2200101</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单位预算政府经济分类表</w:t>
      </w:r>
    </w:p>
    <w:tbl>
      <w:tblPr>
        <w:tblStyle w:val="6"/>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pPr>
              <w:spacing w:line="300" w:lineRule="exact"/>
              <w:jc w:val="left"/>
              <w:outlineLvl w:val="4"/>
            </w:pPr>
          </w:p>
        </w:tc>
        <w:tc>
          <w:tcPr>
            <w:tcW w:w="62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279653339.40</w:t>
            </w:r>
          </w:p>
        </w:tc>
        <w:tc>
          <w:tcPr>
            <w:tcW w:w="625"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10132441.70</w:t>
            </w:r>
          </w:p>
        </w:tc>
        <w:tc>
          <w:tcPr>
            <w:tcW w:w="626"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269520897.70</w:t>
            </w:r>
          </w:p>
        </w:tc>
        <w:tc>
          <w:tcPr>
            <w:tcW w:w="625"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21593904.24</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4643904.24</w:t>
            </w:r>
          </w:p>
        </w:tc>
        <w:tc>
          <w:tcPr>
            <w:tcW w:w="626"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16950000.00</w:t>
            </w: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179541584.44</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4394813.46</w:t>
            </w:r>
          </w:p>
        </w:tc>
        <w:tc>
          <w:tcPr>
            <w:tcW w:w="626"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175146770.98</w:t>
            </w: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77428126.72</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w:t>
            </w:r>
          </w:p>
        </w:tc>
        <w:tc>
          <w:tcPr>
            <w:tcW w:w="626"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77424126.72</w:t>
            </w: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984427.00</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105297.00</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“三公”及会议培训经费预算</w:t>
      </w:r>
    </w:p>
    <w:tbl>
      <w:tblPr>
        <w:tblStyle w:val="6"/>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05"/>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100"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324001</w:t>
            </w:r>
            <w:r>
              <w:rPr>
                <w:rFonts w:hint="eastAsia" w:ascii="方正小标宋_GBK" w:eastAsia="方正小标宋_GBK"/>
                <w:sz w:val="24"/>
              </w:rPr>
              <w:t>秦皇岛市山海关区自然资源和规划局本级</w:t>
            </w:r>
          </w:p>
        </w:tc>
        <w:tc>
          <w:tcPr>
            <w:tcW w:w="1900"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11"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continue"/>
            <w:shd w:val="clear" w:color="auto" w:fill="auto"/>
            <w:noWrap w:val="0"/>
            <w:vAlign w:val="center"/>
          </w:tcPr>
          <w:p>
            <w:pPr>
              <w:spacing w:line="300" w:lineRule="exact"/>
              <w:jc w:val="left"/>
              <w:outlineLvl w:val="4"/>
            </w:pPr>
          </w:p>
        </w:tc>
        <w:tc>
          <w:tcPr>
            <w:tcW w:w="64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3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4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34474.50</w:t>
            </w:r>
          </w:p>
        </w:tc>
        <w:tc>
          <w:tcPr>
            <w:tcW w:w="63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34474.50</w:t>
            </w: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2"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center"/>
              <w:rPr>
                <w:rFonts w:hint="eastAsia" w:ascii="方正书宋_GBK" w:eastAsia="方正书宋_GBK"/>
                <w:b/>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4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19874.50</w:t>
            </w:r>
          </w:p>
        </w:tc>
        <w:tc>
          <w:tcPr>
            <w:tcW w:w="63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19874.50</w:t>
            </w: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4" w:type="pct"/>
            <w:shd w:val="clear" w:color="auto" w:fill="auto"/>
            <w:noWrap w:val="0"/>
            <w:vAlign w:val="center"/>
          </w:tcPr>
          <w:p>
            <w:pPr>
              <w:spacing w:line="300" w:lineRule="exact"/>
              <w:jc w:val="right"/>
              <w:rPr>
                <w:rFonts w:ascii="方正书宋_GBK" w:eastAsia="方正书宋_GBK"/>
                <w:b/>
              </w:rPr>
            </w:pPr>
          </w:p>
        </w:tc>
        <w:tc>
          <w:tcPr>
            <w:tcW w:w="632"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一、因公出国（境）费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43"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1874.50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64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63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w:t>
            </w: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4" w:type="pct"/>
            <w:shd w:val="clear" w:color="auto" w:fill="auto"/>
            <w:noWrap w:val="0"/>
            <w:vAlign w:val="center"/>
          </w:tcPr>
          <w:p>
            <w:pPr>
              <w:spacing w:line="300" w:lineRule="exact"/>
              <w:jc w:val="right"/>
              <w:rPr>
                <w:rFonts w:ascii="方正书宋_GBK" w:eastAsia="方正书宋_GBK"/>
              </w:rPr>
            </w:pPr>
          </w:p>
        </w:tc>
        <w:tc>
          <w:tcPr>
            <w:tcW w:w="632"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spacing w:line="300" w:lineRule="exact"/>
        <w:jc w:val="left"/>
        <w:outlineLvl w:val="4"/>
      </w:pPr>
    </w:p>
    <w:p>
      <w:pPr>
        <w:jc w:val="center"/>
        <w:outlineLvl w:val="3"/>
        <w:rPr>
          <w:rFonts w:hint="eastAsia" w:ascii="Times New Roman" w:hAnsi="宋体"/>
          <w:sz w:val="44"/>
        </w:rPr>
      </w:pPr>
      <w:bookmarkStart w:id="9" w:name="_Toc61426320"/>
      <w:r>
        <w:rPr>
          <w:rFonts w:hint="eastAsia" w:ascii="方正小标宋_GBK" w:eastAsia="方正小标宋_GBK"/>
          <w:sz w:val="44"/>
        </w:rPr>
        <w:t>二、秦皇岛市山海关区国营林场收支预算</w:t>
      </w:r>
      <w:bookmarkEnd w:id="9"/>
    </w:p>
    <w:p>
      <w:pPr>
        <w:jc w:val="center"/>
        <w:rPr>
          <w:rFonts w:ascii="Times New Roman" w:hAnsi="宋体"/>
        </w:rPr>
      </w:pPr>
    </w:p>
    <w:p>
      <w:pPr>
        <w:jc w:val="center"/>
        <w:outlineLvl w:val="4"/>
        <w:rPr>
          <w:rFonts w:hint="eastAsia" w:ascii="Times New Roman" w:hAnsi="宋体"/>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324003</w:t>
            </w:r>
            <w:r>
              <w:rPr>
                <w:rFonts w:hint="eastAsia" w:ascii="方正小标宋_GBK" w:eastAsia="方正小标宋_GBK"/>
                <w:sz w:val="24"/>
              </w:rPr>
              <w:t>秦皇岛市山海关区国营林场</w:t>
            </w:r>
          </w:p>
        </w:tc>
        <w:tc>
          <w:tcPr>
            <w:tcW w:w="2874"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6380650.00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4670650.00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b/>
              </w:rPr>
            </w:pPr>
          </w:p>
        </w:tc>
        <w:tc>
          <w:tcPr>
            <w:tcW w:w="511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6380650.00</w:t>
            </w:r>
          </w:p>
        </w:tc>
      </w:tr>
    </w:tbl>
    <w:p>
      <w:pPr>
        <w:spacing w:line="300" w:lineRule="exact"/>
        <w:jc w:val="left"/>
        <w:outlineLvl w:val="4"/>
        <w:sectPr>
          <w:pgSz w:w="11907" w:h="16839"/>
          <w:pgMar w:top="1134" w:right="1134" w:bottom="1134" w:left="1134"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人员经费预算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3"/>
        <w:gridCol w:w="909"/>
        <w:gridCol w:w="909"/>
        <w:gridCol w:w="4541"/>
        <w:gridCol w:w="1304"/>
        <w:gridCol w:w="1304"/>
        <w:gridCol w:w="1304"/>
        <w:gridCol w:w="1305"/>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324003</w:t>
            </w:r>
            <w:r>
              <w:rPr>
                <w:rFonts w:hint="eastAsia" w:ascii="方正小标宋_GBK" w:eastAsia="方正小标宋_GBK"/>
                <w:sz w:val="24"/>
              </w:rPr>
              <w:t>秦皇岛市山海关区国营林场</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）在职人员住宅取暖费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）规范津贴补贴后仍继续保留的补贴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）上述项目之外的津贴补贴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）在职人员年终一次性奖金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）员额内法官、检察官的绩效考核奖金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、医疗费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、伙食补助费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、其他工资福利支出</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）离休人员住宅取暖费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）非社保机构开支人员单位应负担的离休费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）退休人员住宅取暖费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）非社保机构开支人员单位应负担的退休费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、其他</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）离休人员其他费用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）上述项目之外的补贴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）社保机构开支人员单位应负担的其他费用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、助学金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、女职工卫生费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日常公用经费预算</w:t>
      </w:r>
    </w:p>
    <w:tbl>
      <w:tblPr>
        <w:tblStyle w:val="6"/>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3"/>
        <w:gridCol w:w="986"/>
        <w:gridCol w:w="899"/>
        <w:gridCol w:w="4531"/>
        <w:gridCol w:w="1295"/>
        <w:gridCol w:w="1295"/>
        <w:gridCol w:w="1295"/>
        <w:gridCol w:w="1295"/>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324003</w:t>
            </w:r>
            <w:r>
              <w:rPr>
                <w:rFonts w:hint="eastAsia" w:ascii="方正小标宋_GBK" w:eastAsia="方正小标宋_GBK"/>
                <w:sz w:val="24"/>
              </w:rPr>
              <w:t>秦皇岛市山海关区国营林场</w:t>
            </w:r>
          </w:p>
        </w:tc>
        <w:tc>
          <w:tcPr>
            <w:tcW w:w="2345" w:type="pct"/>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327" w:type="pct"/>
            <w:vMerge w:val="continue"/>
            <w:shd w:val="clear" w:color="auto" w:fill="auto"/>
            <w:noWrap w:val="0"/>
            <w:vAlign w:val="center"/>
          </w:tcPr>
          <w:p>
            <w:pPr>
              <w:spacing w:line="300" w:lineRule="exact"/>
              <w:jc w:val="left"/>
              <w:outlineLvl w:val="4"/>
            </w:pPr>
          </w:p>
        </w:tc>
        <w:tc>
          <w:tcPr>
            <w:tcW w:w="1633" w:type="pct"/>
            <w:vMerge w:val="continue"/>
            <w:shd w:val="clear" w:color="auto" w:fill="auto"/>
            <w:noWrap w:val="0"/>
            <w:vAlign w:val="center"/>
          </w:tcPr>
          <w:p>
            <w:pPr>
              <w:spacing w:line="300" w:lineRule="exact"/>
              <w:jc w:val="left"/>
              <w:outlineLvl w:val="4"/>
            </w:pP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327" w:type="pct"/>
            <w:shd w:val="clear" w:color="auto" w:fill="auto"/>
            <w:noWrap w:val="0"/>
            <w:vAlign w:val="center"/>
          </w:tcPr>
          <w:p>
            <w:pPr>
              <w:spacing w:line="300" w:lineRule="exact"/>
              <w:jc w:val="center"/>
              <w:rPr>
                <w:rFonts w:ascii="方正书宋_GBK" w:eastAsia="方正书宋_GBK"/>
                <w:b/>
              </w:rPr>
            </w:pPr>
          </w:p>
        </w:tc>
        <w:tc>
          <w:tcPr>
            <w:tcW w:w="163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c>
          <w:tcPr>
            <w:tcW w:w="469"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）教学科研人员因公出国（境）费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）其他因公出国（境）费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）其他运行维护费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）交通补贴费用</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30225</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31003</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shd w:val="clear" w:color="auto" w:fill="auto"/>
            <w:noWrap w:val="0"/>
            <w:vAlign w:val="center"/>
          </w:tcPr>
          <w:p>
            <w:pPr>
              <w:spacing w:line="300" w:lineRule="exact"/>
              <w:jc w:val="center"/>
              <w:rPr>
                <w:rFonts w:ascii="方正书宋_GBK" w:eastAsia="方正书宋_GBK"/>
              </w:rPr>
            </w:pPr>
          </w:p>
        </w:tc>
        <w:tc>
          <w:tcPr>
            <w:tcW w:w="327" w:type="pct"/>
            <w:shd w:val="clear" w:color="auto" w:fill="auto"/>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0"/>
            <w:vAlign w:val="center"/>
          </w:tcPr>
          <w:p>
            <w:pPr>
              <w:spacing w:line="300" w:lineRule="exact"/>
              <w:jc w:val="center"/>
              <w:rPr>
                <w:rFonts w:ascii="方正书宋_GBK" w:eastAsia="方正书宋_GBK"/>
              </w:rPr>
            </w:pPr>
          </w:p>
        </w:tc>
        <w:tc>
          <w:tcPr>
            <w:tcW w:w="1633"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c>
          <w:tcPr>
            <w:tcW w:w="469"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项目支出预算</w:t>
      </w:r>
    </w:p>
    <w:tbl>
      <w:tblPr>
        <w:tblStyle w:val="6"/>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1"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324003</w:t>
            </w:r>
            <w:r>
              <w:rPr>
                <w:rFonts w:hint="eastAsia" w:ascii="方正小标宋_GBK" w:eastAsia="方正小标宋_GBK"/>
                <w:sz w:val="24"/>
              </w:rPr>
              <w:t>秦皇岛市山海关区国营林场</w:t>
            </w:r>
          </w:p>
        </w:tc>
        <w:tc>
          <w:tcPr>
            <w:tcW w:w="289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899"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continue"/>
            <w:shd w:val="clear" w:color="auto" w:fill="auto"/>
            <w:noWrap w:val="0"/>
            <w:vAlign w:val="center"/>
          </w:tcPr>
          <w:p>
            <w:pPr>
              <w:spacing w:line="300" w:lineRule="exact"/>
              <w:jc w:val="left"/>
              <w:outlineLvl w:val="4"/>
            </w:pPr>
          </w:p>
        </w:tc>
        <w:tc>
          <w:tcPr>
            <w:tcW w:w="379" w:type="pct"/>
            <w:vMerge w:val="continue"/>
            <w:shd w:val="clear" w:color="auto" w:fill="auto"/>
            <w:noWrap w:val="0"/>
            <w:vAlign w:val="center"/>
          </w:tcPr>
          <w:p>
            <w:pPr>
              <w:spacing w:line="300" w:lineRule="exact"/>
              <w:jc w:val="left"/>
              <w:outlineLvl w:val="4"/>
            </w:pPr>
          </w:p>
        </w:tc>
        <w:tc>
          <w:tcPr>
            <w:tcW w:w="411"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379" w:type="pct"/>
            <w:shd w:val="clear" w:color="auto" w:fill="auto"/>
            <w:noWrap w:val="0"/>
            <w:vAlign w:val="center"/>
          </w:tcPr>
          <w:p>
            <w:pPr>
              <w:spacing w:line="300" w:lineRule="exact"/>
              <w:jc w:val="right"/>
              <w:rPr>
                <w:rFonts w:ascii="方正书宋_GBK" w:eastAsia="方正书宋_GBK"/>
                <w:b/>
              </w:rPr>
            </w:pPr>
          </w:p>
        </w:tc>
        <w:tc>
          <w:tcPr>
            <w:tcW w:w="411" w:type="pct"/>
            <w:shd w:val="clear" w:color="auto" w:fill="auto"/>
            <w:noWrap w:val="0"/>
            <w:vAlign w:val="center"/>
          </w:tcPr>
          <w:p>
            <w:pPr>
              <w:spacing w:line="300" w:lineRule="exact"/>
              <w:jc w:val="right"/>
              <w:rPr>
                <w:rFonts w:ascii="方正书宋_GBK" w:eastAsia="方正书宋_GBK"/>
                <w:b/>
              </w:rPr>
            </w:pPr>
          </w:p>
        </w:tc>
        <w:tc>
          <w:tcPr>
            <w:tcW w:w="410" w:type="pct"/>
            <w:shd w:val="clear" w:color="auto" w:fill="auto"/>
            <w:noWrap w:val="0"/>
            <w:vAlign w:val="center"/>
          </w:tcPr>
          <w:p>
            <w:pPr>
              <w:spacing w:line="300" w:lineRule="exact"/>
              <w:jc w:val="right"/>
              <w:rPr>
                <w:rFonts w:ascii="方正书宋_GBK" w:eastAsia="方正书宋_GBK"/>
                <w:b/>
              </w:rPr>
            </w:pP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c>
          <w:tcPr>
            <w:tcW w:w="483"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c>
          <w:tcPr>
            <w:tcW w:w="483" w:type="pct"/>
            <w:shd w:val="clear" w:color="auto" w:fill="auto"/>
            <w:noWrap w:val="0"/>
            <w:vAlign w:val="center"/>
          </w:tcPr>
          <w:p>
            <w:pPr>
              <w:spacing w:line="300" w:lineRule="exact"/>
              <w:jc w:val="right"/>
              <w:rPr>
                <w:rFonts w:ascii="方正书宋_GBK" w:eastAsia="方正书宋_GBK"/>
                <w:b/>
              </w:rPr>
            </w:pPr>
          </w:p>
        </w:tc>
        <w:tc>
          <w:tcPr>
            <w:tcW w:w="482" w:type="pct"/>
            <w:shd w:val="clear" w:color="auto" w:fill="auto"/>
            <w:noWrap w:val="0"/>
            <w:vAlign w:val="center"/>
          </w:tcPr>
          <w:p>
            <w:pPr>
              <w:spacing w:line="300" w:lineRule="exact"/>
              <w:jc w:val="right"/>
              <w:rPr>
                <w:rFonts w:ascii="方正书宋_GBK" w:eastAsia="方正书宋_GBK"/>
                <w:b/>
              </w:rPr>
            </w:pPr>
          </w:p>
        </w:tc>
        <w:tc>
          <w:tcPr>
            <w:tcW w:w="482" w:type="pct"/>
            <w:shd w:val="clear" w:color="auto" w:fill="auto"/>
            <w:noWrap w:val="0"/>
            <w:vAlign w:val="center"/>
          </w:tcPr>
          <w:p>
            <w:pPr>
              <w:spacing w:line="300" w:lineRule="exact"/>
              <w:jc w:val="right"/>
              <w:rPr>
                <w:rFonts w:ascii="方正书宋_GBK" w:eastAsia="方正书宋_GBK"/>
                <w:b/>
              </w:rPr>
            </w:pPr>
          </w:p>
        </w:tc>
        <w:tc>
          <w:tcPr>
            <w:tcW w:w="485"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防火</w:t>
            </w:r>
            <w:r>
              <w:rPr>
                <w:rFonts w:hint="cs" w:ascii="方正书宋_GBK" w:eastAsia="方正书宋_GBK"/>
              </w:rPr>
              <w:t>“</w:t>
            </w:r>
            <w:r>
              <w:rPr>
                <w:rFonts w:hint="eastAsia" w:ascii="方正书宋_GBK" w:eastAsia="方正书宋_GBK"/>
              </w:rPr>
              <w:t>五清</w:t>
            </w:r>
            <w:r>
              <w:rPr>
                <w:rFonts w:hint="cs" w:ascii="方正书宋_GBK" w:eastAsia="方正书宋_GBK"/>
              </w:rPr>
              <w:t>”</w:t>
            </w:r>
            <w:r>
              <w:rPr>
                <w:rFonts w:hint="eastAsia" w:ascii="方正书宋_GBK" w:eastAsia="方正书宋_GBK"/>
              </w:rPr>
              <w:t>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11"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护林员专项补助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林场差额经费</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4770000.00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4770000.00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w:t>
            </w:r>
            <w:r>
              <w:rPr>
                <w:rFonts w:ascii="方正书宋_GBK" w:eastAsia="方正书宋_GBK"/>
              </w:rPr>
              <w:t>-</w:t>
            </w:r>
            <w:r>
              <w:rPr>
                <w:rFonts w:hint="eastAsia" w:ascii="方正书宋_GBK" w:eastAsia="方正书宋_GBK"/>
              </w:rPr>
              <w:t>全面停止天然林商业性采伐补助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2110507</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537000.00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537000.00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2130209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403650.00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403650.00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shd w:val="clear" w:color="auto" w:fill="auto"/>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天然林停伐管护补助</w:t>
            </w:r>
            <w:r>
              <w:rPr>
                <w:rFonts w:ascii="方正书宋_GBK" w:eastAsia="方正书宋_GBK"/>
              </w:rPr>
              <w:t>-</w:t>
            </w:r>
            <w:r>
              <w:rPr>
                <w:rFonts w:hint="eastAsia" w:ascii="方正书宋_GBK" w:eastAsia="方正书宋_GBK"/>
              </w:rPr>
              <w:t>国有管护补助</w:t>
            </w:r>
          </w:p>
        </w:tc>
        <w:tc>
          <w:tcPr>
            <w:tcW w:w="37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1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483"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483"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2" w:type="pct"/>
            <w:shd w:val="clear" w:color="auto" w:fill="auto"/>
            <w:noWrap w:val="0"/>
            <w:vAlign w:val="center"/>
          </w:tcPr>
          <w:p>
            <w:pPr>
              <w:spacing w:line="300" w:lineRule="exact"/>
              <w:jc w:val="right"/>
              <w:rPr>
                <w:rFonts w:ascii="方正书宋_GBK" w:eastAsia="方正书宋_GBK"/>
              </w:rPr>
            </w:pPr>
          </w:p>
        </w:tc>
        <w:tc>
          <w:tcPr>
            <w:tcW w:w="485"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单位预算政府经济分类表</w:t>
      </w:r>
    </w:p>
    <w:tbl>
      <w:tblPr>
        <w:tblStyle w:val="6"/>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324003</w:t>
            </w:r>
            <w:r>
              <w:rPr>
                <w:rFonts w:hint="eastAsia" w:ascii="方正小标宋_GBK" w:eastAsia="方正小标宋_GBK"/>
                <w:sz w:val="24"/>
              </w:rPr>
              <w:t>秦皇岛市山海关区国营林场</w:t>
            </w:r>
          </w:p>
        </w:tc>
        <w:tc>
          <w:tcPr>
            <w:tcW w:w="1877" w:type="pct"/>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shd w:val="clear" w:color="auto" w:fill="auto"/>
            <w:noWrap w:val="0"/>
            <w:vAlign w:val="center"/>
          </w:tcPr>
          <w:p>
            <w:pPr>
              <w:spacing w:line="300" w:lineRule="exact"/>
              <w:jc w:val="left"/>
              <w:outlineLvl w:val="4"/>
            </w:pPr>
          </w:p>
        </w:tc>
        <w:tc>
          <w:tcPr>
            <w:tcW w:w="62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c>
          <w:tcPr>
            <w:tcW w:w="625"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6380650.00</w:t>
            </w:r>
          </w:p>
        </w:tc>
        <w:tc>
          <w:tcPr>
            <w:tcW w:w="626" w:type="pct"/>
            <w:shd w:val="clear" w:color="auto" w:fill="auto"/>
            <w:noWrap w:val="0"/>
            <w:vAlign w:val="center"/>
          </w:tcPr>
          <w:p>
            <w:pPr>
              <w:spacing w:line="300" w:lineRule="exact"/>
              <w:jc w:val="right"/>
              <w:rPr>
                <w:rFonts w:ascii="方正书宋_GBK" w:eastAsia="方正书宋_GBK"/>
                <w:b/>
              </w:rPr>
            </w:pPr>
          </w:p>
        </w:tc>
        <w:tc>
          <w:tcPr>
            <w:tcW w:w="625"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c>
          <w:tcPr>
            <w:tcW w:w="626"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6380650.00</w:t>
            </w:r>
          </w:p>
        </w:tc>
        <w:tc>
          <w:tcPr>
            <w:tcW w:w="625"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6380650.00</w:t>
            </w: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5"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c>
          <w:tcPr>
            <w:tcW w:w="626" w:type="pct"/>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before="156" w:beforeLines="50" w:after="156" w:afterLines="50"/>
        <w:ind w:firstLine="560" w:firstLineChars="200"/>
        <w:jc w:val="left"/>
        <w:outlineLvl w:val="1"/>
        <w:rPr>
          <w:rFonts w:ascii="Times New Roman" w:hAnsi="宋体"/>
          <w:sz w:val="28"/>
        </w:rPr>
      </w:pPr>
      <w:bookmarkStart w:id="10" w:name="_Toc61451509"/>
      <w:r>
        <w:rPr>
          <w:rFonts w:hint="eastAsia" w:ascii="方正黑体_GBK" w:eastAsia="方正黑体_GBK"/>
          <w:sz w:val="28"/>
        </w:rPr>
        <w:t>一、总体绩效目标</w:t>
      </w:r>
      <w:bookmarkEnd w:id="1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秦皇岛市山海关区自然资源和规划局部门年度发展规划目标</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坚持以习近平新时代中国特色社会主义思想为指导，深入贯彻党的十九大和十九届二中、三中全会精神，牢固树立“四个意识”，牢牢坚持“两个维护”，落实上级关于自然资源和规划工作的方针政策和决策部署，坚持树立和落实习近平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1" w:name="_Toc61451510"/>
      <w:r>
        <w:rPr>
          <w:rFonts w:hint="eastAsia" w:ascii="方正黑体_GBK" w:eastAsia="方正黑体_GBK"/>
          <w:sz w:val="28"/>
        </w:rPr>
        <w:t>二、分项绩效目标</w:t>
      </w:r>
      <w:bookmarkEnd w:id="1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一）自然资源督查与执法管理。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p>
    <w:p>
      <w:pPr>
        <w:spacing w:line="500" w:lineRule="exact"/>
        <w:ind w:firstLine="560" w:firstLineChars="200"/>
        <w:jc w:val="left"/>
        <w:rPr>
          <w:rFonts w:ascii="Times New Roman" w:eastAsia="方正仿宋_GBK"/>
          <w:sz w:val="28"/>
        </w:rPr>
      </w:pPr>
      <w:r>
        <w:rPr>
          <w:rFonts w:ascii="Times New Roman" w:eastAsia="方正仿宋_GBK"/>
          <w:sz w:val="28"/>
        </w:rPr>
        <w:t>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1、举报线索处置率。评价标准＞99%为优，99%-95%为良，95%-90%为中，≤90为差。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2、重大案件处理情况向交办单位反馈率。评价标准≥95%为优，95%-90%为良，≥90%为中，＜85%为差。</w:t>
      </w:r>
    </w:p>
    <w:p>
      <w:pPr>
        <w:spacing w:line="500" w:lineRule="exact"/>
        <w:ind w:firstLine="560" w:firstLineChars="200"/>
        <w:jc w:val="left"/>
        <w:rPr>
          <w:rFonts w:ascii="Times New Roman" w:eastAsia="方正仿宋_GBK"/>
          <w:sz w:val="28"/>
        </w:rPr>
      </w:pPr>
      <w:r>
        <w:rPr>
          <w:rFonts w:ascii="Times New Roman" w:eastAsia="方正仿宋_GBK"/>
          <w:sz w:val="28"/>
        </w:rPr>
        <w:t>3、基础性保障项目完成率。评价标准≥90%为优，90%-80%为良，80%-70%为中，＜70%为差。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（二）自然资源资产管理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绩效指标：1. 矿业权权益金评估工作完成率。评价标准100%为优，≥95%为良，≥90%为中，＜90%为差。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2. 矿业权出让收益征收管理分析率。评价标准≥90%为优，90%-80%为良，80%-70%为中，＜70%为差。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3. 自然资源资产统计核算率。评价标准≥90%为优，90%-80%为良，80%-70%为中，＜70%为差。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（三）自然资源政务管理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绩效目标：进一步增强自然资源管理保障能力。规范做好自然资源调查监测评价，全面推行自然资源工作依法行政，推动普法工作落实，做好行政复议、行政应诉工作，推进自然资源科技的应用和推广。</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 综合业务管理工作完成率。评价标准100%为优，≥95%为良，≥90%为中，＜90%为差。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2. 综合事务管理工作完成率。评价标准≥90%为优，≥85%为良，≥70%为中，＜70%为差。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（四）国土空间用途管制</w:t>
      </w:r>
    </w:p>
    <w:p>
      <w:pPr>
        <w:spacing w:line="500" w:lineRule="exact"/>
        <w:ind w:firstLine="560" w:firstLineChars="200"/>
        <w:jc w:val="left"/>
        <w:rPr>
          <w:rFonts w:ascii="Times New Roman" w:eastAsia="方正仿宋_GBK"/>
          <w:sz w:val="28"/>
        </w:rPr>
      </w:pPr>
      <w:r>
        <w:rPr>
          <w:rFonts w:ascii="Times New Roman" w:eastAsia="方正仿宋_GBK"/>
          <w:sz w:val="28"/>
        </w:rP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pPr>
        <w:spacing w:line="500" w:lineRule="exact"/>
        <w:ind w:firstLine="560" w:firstLineChars="200"/>
        <w:jc w:val="left"/>
        <w:rPr>
          <w:rFonts w:ascii="Times New Roman" w:eastAsia="方正仿宋_GBK"/>
          <w:sz w:val="28"/>
        </w:rPr>
      </w:pPr>
      <w:r>
        <w:rPr>
          <w:rFonts w:ascii="Times New Roman" w:eastAsia="方正仿宋_GBK"/>
          <w:sz w:val="28"/>
        </w:rPr>
        <w:t>绩效指标：1. 各类规划编制率。评价标准≥95%为优，≥90%为良，≥80%为中，＜80%为差。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2. 规划数据库更新维护率。评价标准≥95%为优，≥90%为良，≥80%为中，＜80%为差。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3. 规划实施监测、评价完成率。评价标准≥95%为优，≥90%为良，≥80%为中，＜80%为差。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4. 国土空间用途管制管理工作完成率。评价标准≥95%为优，≥90%为良，≥80%为中，＜80%为差。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5. 建设用地项目用地预审工作完成率。评价标准100%为优，≥95%为良，≥90%为中，＜90%为差。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6. 各类土地用途转用的审核、报批工作完成率。评价标准100%为优，≥95%为良，≥90%为中，＜90%为差。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7. 耕地质量检测评价与定级完成率。评价标准≥95%为优，≥90%为良，≥80%为中，＜80%为差。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8. 永久基本农田数据库更新监管率。评价标准≥95%为优，≥90%为良，≥80%为中，＜80%为差。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9.复垦方案评审完成率。评价标准100%为优，≥95%为良，≥90%为中，＜90%为差。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（五）自然资源统一确权登记管理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pPr>
        <w:spacing w:line="500" w:lineRule="exact"/>
        <w:ind w:firstLine="560" w:firstLineChars="200"/>
        <w:jc w:val="left"/>
        <w:rPr>
          <w:rFonts w:ascii="Times New Roman" w:eastAsia="方正仿宋_GBK"/>
          <w:sz w:val="28"/>
        </w:rPr>
      </w:pPr>
      <w:r>
        <w:rPr>
          <w:rFonts w:ascii="Times New Roman" w:eastAsia="方正仿宋_GBK"/>
          <w:sz w:val="28"/>
        </w:rPr>
        <w:t>绩效指标：1.变更调查完成率。评价标准≥95%为优，≥90%为良，≥80%为中，＜80%为差。2. 房地一体宅基地和集体建设用地确权登记完成率。评价标准≥90%为优，≥80%为良，≥70%为中，＜70%为差。3. 第三次国土调查完成率。评价标准≥95%为优，≥90%为良，≥80%为中，＜80%为差。4. 不动产权属争议调处达标率。评价标准≥95%为优，≥90%为良，≥80%为中，＜80%为差。5. 市县不动产登记信息数据上报率。评价标准≥100%为优，≥95%为良，≥90%为中，＜90%为差。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（六）国土空间生态修复管理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绩效目标：稳步推进矿山地质环境恢复治理；组织指导海域海岛海岸带整治修复工作；提高地质灾害预警预报能力；掌握地面沉降动态变化数据。</w:t>
      </w:r>
    </w:p>
    <w:p>
      <w:pPr>
        <w:spacing w:line="500" w:lineRule="exact"/>
        <w:ind w:firstLine="560" w:firstLineChars="200"/>
        <w:jc w:val="left"/>
        <w:rPr>
          <w:rFonts w:ascii="Times New Roman" w:eastAsia="方正仿宋_GBK"/>
          <w:sz w:val="28"/>
        </w:rPr>
      </w:pPr>
      <w:r>
        <w:rPr>
          <w:rFonts w:ascii="Times New Roman" w:eastAsia="方正仿宋_GBK"/>
          <w:sz w:val="28"/>
        </w:rP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绩效指标：1. 矿山地质环境动态监测完成率。评价标准≥95%为优，≥90%为良，≥80%为中，＜80%为差。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2. 责任主体灭失矿山迹地修复率。评价标准≥95%为优，≥90%为良，≥80%为中，＜80%为差。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3. 矿山地质环境保护与治理恢复方案评审完成率。评价标准100%为优，≥95%为良，≥90%为中，＜90%为差。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4. 群众满意度。评价标准≥90%为优，≥80%为良，≥70%为中，＜70%为差。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5. 项目工程完成情况。评价标准100%为优，≥95%为良，≥90%为中，＜90%为差。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6. 地下水地质环境和地面沉降监测年度监测率。评价标准≥95%为优，≥90%为良，≥80%为中，＜80%为差。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7. 地质灾害隐患点核查排查率。评价标准≥95%为优，≥90%为良，≥80%为中，＜90%为差。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8. 地质灾害气象风险预警信息发布率。评价标准≥95%为优，≥90%为良，≥80%为中，＜90%为差。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（七）自然资源利用管理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绩效指标：1.资源开发利用现状掌握率。评价标准≥90%为优，≥80%为良，≥70%为中，＜70%为差。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2.资源利用考核评价成果省级汇总与分析更新完成率。评价标准≥90%为优，≥80%为良，≥70%为中，＜70%为差。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3.资源市场监测分析工作完成率。评价标准4为优，3为良，2为中，1为差。</w:t>
      </w:r>
    </w:p>
    <w:p>
      <w:pPr>
        <w:spacing w:line="500" w:lineRule="exact"/>
        <w:ind w:firstLine="560" w:firstLineChars="200"/>
        <w:jc w:val="left"/>
        <w:rPr>
          <w:rFonts w:ascii="Times New Roman" w:eastAsia="方正仿宋_GBK"/>
          <w:sz w:val="28"/>
        </w:rPr>
      </w:pPr>
      <w:r>
        <w:rPr>
          <w:rFonts w:ascii="Times New Roman" w:eastAsia="方正仿宋_GBK"/>
          <w:sz w:val="28"/>
        </w:rPr>
        <w:t>4.开发利用统计分析率。评价标准≥90%为优，≥80%为良，≥70%为中，＜70%为差。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5. 矿产勘查实施方案评审率。评价标准≥90%为优，≥80%为良，≥70%为中，＜70%为差。</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6. 勘查设计工作量完成率。评价标准≥90%为优，≥80%为良，≥70%为中，＜70%为差。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7.进一步勘查工作地个数(个）。评价标准≥3为优，2为良，1为中，0为差。</w:t>
      </w:r>
    </w:p>
    <w:p>
      <w:pPr>
        <w:spacing w:line="500" w:lineRule="exact"/>
        <w:ind w:firstLine="560" w:firstLineChars="200"/>
        <w:jc w:val="left"/>
        <w:rPr>
          <w:rFonts w:ascii="Times New Roman" w:eastAsia="方正仿宋_GBK"/>
          <w:sz w:val="28"/>
        </w:rPr>
      </w:pPr>
      <w:r>
        <w:rPr>
          <w:rFonts w:ascii="Times New Roman" w:eastAsia="方正仿宋_GBK"/>
          <w:sz w:val="28"/>
        </w:rPr>
        <w:t>8.成果统计率。评价标准≥90%为优，≥80%为良，≥70%为中，＜70%为差。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9.资源储量管理基础工作完成率。评价标准≥90%为优，≥80%为良，≥70%为中，＜70%为差。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10.目跟踪监控工作完成率。评价标准≥95%为优，≥90%为良，≥80%为中，＜80%为差。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11.权权属纠纷有效处理率。评价标准≥90%为优，≥80%为良，≥70%为中，＜70%为差。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12.压覆重要矿产资源查询率。评价标准≥90%为优，≥80%为良，≥70%为中，＜70%为差。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13.监督管理工作年度完成率。评价标准≥95%为优，≥90%为良，≥80%为中，＜80%为差。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14.管理工作完成率。评价标准≥90%为优，≥80%为良，≥70%为中，＜70%为差。</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（八）测绘地理信息管理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1.信息数据审核完成率。评价标准100%为优，≥90%为良，≥80%为中，＜80%为差。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2.运行维护完成率。评价标准100%为优，≥90%为良，≥80%为中，＜80%为差。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3.监管完成率。评价标准100%为优，≥90%为良，≥80%为中，＜80%为差。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4.信息成果保密培训、监督、检查完成率。评价标准100%为优，≥90%为良，≥80%为中，＜80%为差。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5.教育完成数量（次）。评价标准≥15为优，≥13为良，≥10为中，＜10为差。</w:t>
      </w:r>
    </w:p>
    <w:p>
      <w:pPr>
        <w:spacing w:line="500" w:lineRule="exact"/>
        <w:ind w:firstLine="560" w:firstLineChars="200"/>
        <w:jc w:val="left"/>
        <w:rPr>
          <w:rFonts w:ascii="Times New Roman" w:eastAsia="方正仿宋_GBK"/>
          <w:sz w:val="28"/>
        </w:rPr>
      </w:pPr>
      <w:r>
        <w:rPr>
          <w:rFonts w:ascii="Times New Roman" w:eastAsia="方正仿宋_GBK"/>
          <w:sz w:val="28"/>
        </w:rPr>
        <w:t>6.编制完成率。评价标准100%为优，≥90%为良，≥80%为中，＜80%为差。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7.保障服务满意度。评价标准100%为优，≥90%为良，≥80%为中，＜80%为差。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8.完成率。评价标准100%为优，≥90%为良，≥80%为中，＜80%为差。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9.更新、运行维护考核等次。评价标准五星为优，四星为良，三星为中，二星为差。</w:t>
      </w:r>
    </w:p>
    <w:p>
      <w:pPr>
        <w:spacing w:line="500" w:lineRule="exact"/>
        <w:ind w:firstLine="560" w:firstLineChars="200"/>
        <w:jc w:val="left"/>
        <w:rPr>
          <w:rFonts w:ascii="Times New Roman" w:eastAsia="方正仿宋_GBK"/>
          <w:sz w:val="28"/>
        </w:rPr>
      </w:pPr>
      <w:r>
        <w:rPr>
          <w:rFonts w:ascii="Times New Roman" w:eastAsia="方正仿宋_GBK"/>
          <w:sz w:val="28"/>
        </w:rPr>
        <w:t>10.天遥感影像成果数据完成率。评价标准100%为优，≥90%为良，≥80%为中，＜80%为差。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11.维护完成率。评价标准100%为优，≥90%为良，≥80%为中，＜80%为差。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12.息成果管理及分发服务完成率。评价标准100%为优，≥90%为良，≥80%为中，＜80%为差。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13.设与运维完成率。评价标准100%为优，≥90%为良，≥80%为中，＜80%为差。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（九）林业生态建设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绩效目标：指导公益林、天然林的培育，组织开展森林资源动态监测。</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1.公益林验收合格率（%），评价标准100%为优，≥90%为良，≥80%为中，＜80%为差。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2. 天然林商业性采伐落界核定任务完成率。评价标准100%为优，≥90%为良，≥80%为中，＜80%为差。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3. 公益林面积核查完成率（%）。评价标准100%为优，≥90%为良，≥80%为中，＜80%为差。</w:t>
      </w:r>
    </w:p>
    <w:p>
      <w:pPr>
        <w:spacing w:line="500" w:lineRule="exact"/>
        <w:ind w:firstLine="560" w:firstLineChars="200"/>
        <w:jc w:val="left"/>
        <w:rPr>
          <w:rFonts w:ascii="Times New Roman" w:eastAsia="方正仿宋_GBK"/>
          <w:sz w:val="28"/>
        </w:rPr>
      </w:pPr>
      <w:r>
        <w:rPr>
          <w:rFonts w:ascii="Times New Roman" w:eastAsia="方正仿宋_GBK"/>
          <w:sz w:val="28"/>
        </w:rPr>
        <w:t>（十）促进林业发展</w:t>
      </w:r>
    </w:p>
    <w:p>
      <w:pPr>
        <w:spacing w:line="500" w:lineRule="exact"/>
        <w:ind w:firstLine="560" w:firstLineChars="200"/>
        <w:jc w:val="left"/>
        <w:rPr>
          <w:rFonts w:ascii="Times New Roman" w:eastAsia="方正仿宋_GBK"/>
          <w:sz w:val="28"/>
        </w:rPr>
      </w:pPr>
      <w:r>
        <w:rPr>
          <w:rFonts w:ascii="Times New Roman" w:eastAsia="方正仿宋_GBK"/>
          <w:sz w:val="28"/>
        </w:rPr>
        <w:t>绩效目标：促进现有森林蓄积率稳定健康增长预防和减少林业有害生物对森林资源造成的损失，保护林业资源.</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 森林面积保存率（%）。评价标准100%为优，≥95%为良，≥90%为中，＜90%为差。</w:t>
      </w:r>
    </w:p>
    <w:p>
      <w:pPr>
        <w:spacing w:line="500" w:lineRule="exact"/>
        <w:ind w:firstLine="560" w:firstLineChars="200"/>
        <w:jc w:val="left"/>
        <w:rPr>
          <w:rFonts w:ascii="Times New Roman" w:eastAsia="方正仿宋_GBK"/>
          <w:sz w:val="28"/>
        </w:rPr>
      </w:pPr>
      <w:r>
        <w:rPr>
          <w:rFonts w:ascii="Times New Roman" w:eastAsia="方正仿宋_GBK"/>
          <w:sz w:val="28"/>
        </w:rPr>
        <w:t>2. 森林蓄积增长率（%）。评价标准≥1.5%为优，1.4%- 1%为良，0.9%- 0.5%为中，0.4以下为差。</w:t>
      </w:r>
    </w:p>
    <w:p>
      <w:pPr>
        <w:spacing w:line="500" w:lineRule="exact"/>
        <w:ind w:firstLine="560" w:firstLineChars="200"/>
        <w:jc w:val="left"/>
        <w:rPr>
          <w:rFonts w:ascii="Times New Roman" w:eastAsia="方正仿宋_GBK"/>
          <w:sz w:val="28"/>
        </w:rPr>
      </w:pPr>
      <w:r>
        <w:rPr>
          <w:rFonts w:ascii="Times New Roman" w:eastAsia="方正仿宋_GBK"/>
          <w:sz w:val="28"/>
        </w:rPr>
        <w:t>3. 森林覆盖面积增长率（%）。评价标准4%-5%为优，3%-3.9%为良1%-2.9%为中，0.9%以下为差。</w:t>
      </w:r>
    </w:p>
    <w:p>
      <w:pPr>
        <w:spacing w:line="500" w:lineRule="exact"/>
        <w:ind w:firstLine="560" w:firstLineChars="200"/>
        <w:jc w:val="left"/>
        <w:rPr>
          <w:rFonts w:ascii="Times New Roman" w:eastAsia="方正仿宋_GBK"/>
          <w:sz w:val="28"/>
        </w:rPr>
      </w:pPr>
      <w:r>
        <w:rPr>
          <w:rFonts w:ascii="Times New Roman" w:eastAsia="方正仿宋_GBK"/>
          <w:sz w:val="28"/>
        </w:rPr>
        <w:t>4. 护林员日常巡查次数（次）。评价标准350次以上为优，320-349次为良，300-319次为中，299次以下为差。</w:t>
      </w:r>
    </w:p>
    <w:p>
      <w:pPr>
        <w:spacing w:line="500" w:lineRule="exact"/>
        <w:ind w:firstLine="560" w:firstLineChars="200"/>
        <w:jc w:val="left"/>
        <w:rPr>
          <w:rFonts w:ascii="Times New Roman" w:eastAsia="方正仿宋_GBK"/>
          <w:sz w:val="28"/>
        </w:rPr>
      </w:pPr>
      <w:r>
        <w:rPr>
          <w:rFonts w:ascii="Times New Roman" w:eastAsia="方正仿宋_GBK"/>
          <w:sz w:val="28"/>
        </w:rPr>
        <w:t>5. 林业有害生物成灾控制率。评价标准小于等于1‰为优，大于1‰小于等于2‰为良，大于2‰小于等于3‰为中，3.1‰以上为差。</w:t>
      </w:r>
    </w:p>
    <w:p>
      <w:pPr>
        <w:spacing w:line="500" w:lineRule="exact"/>
        <w:ind w:firstLine="560" w:firstLineChars="200"/>
        <w:jc w:val="left"/>
        <w:rPr>
          <w:rFonts w:ascii="Times New Roman" w:eastAsia="方正仿宋_GBK"/>
          <w:sz w:val="28"/>
        </w:rPr>
      </w:pPr>
      <w:r>
        <w:rPr>
          <w:rFonts w:ascii="Times New Roman" w:eastAsia="方正仿宋_GBK"/>
          <w:sz w:val="28"/>
        </w:rPr>
        <w:t>6. 林业有害生物的防治、检疫工作完成率。评价标准90%为优，80%-89%为良，60%-79%为中，59%以下为差。</w:t>
      </w:r>
    </w:p>
    <w:p>
      <w:pPr>
        <w:spacing w:line="500" w:lineRule="exact"/>
        <w:ind w:firstLine="560" w:firstLineChars="200"/>
        <w:jc w:val="left"/>
        <w:rPr>
          <w:rFonts w:ascii="Times New Roman" w:eastAsia="方正仿宋_GBK"/>
          <w:sz w:val="28"/>
        </w:rPr>
      </w:pPr>
      <w:r>
        <w:rPr>
          <w:rFonts w:ascii="Times New Roman" w:eastAsia="方正仿宋_GBK"/>
          <w:sz w:val="28"/>
        </w:rPr>
        <w:t>（十一）国有林区森林防火工作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 护林员日常巡山次数（次）。评价标准231-240为优，226-230为良，220-225为中，219以下为差。</w:t>
      </w:r>
    </w:p>
    <w:p>
      <w:pPr>
        <w:spacing w:line="500" w:lineRule="exact"/>
        <w:ind w:firstLine="560" w:firstLineChars="200"/>
        <w:jc w:val="left"/>
        <w:rPr>
          <w:rFonts w:ascii="Times New Roman" w:eastAsia="方正仿宋_GBK"/>
          <w:sz w:val="28"/>
        </w:rPr>
      </w:pPr>
      <w:r>
        <w:rPr>
          <w:rFonts w:ascii="Times New Roman" w:eastAsia="方正仿宋_GBK"/>
          <w:sz w:val="28"/>
        </w:rPr>
        <w:t>2. 护林员日常巡查日志记录次数（次）。评价标准231-240为优，226-230为良，220-225为中，219以下为差。</w:t>
      </w:r>
    </w:p>
    <w:p>
      <w:pPr>
        <w:spacing w:line="500" w:lineRule="exact"/>
        <w:ind w:firstLine="560" w:firstLineChars="200"/>
        <w:jc w:val="left"/>
        <w:rPr>
          <w:rFonts w:ascii="Times New Roman" w:eastAsia="方正仿宋_GBK"/>
          <w:sz w:val="28"/>
        </w:rPr>
      </w:pPr>
      <w:r>
        <w:rPr>
          <w:rFonts w:ascii="Times New Roman" w:eastAsia="方正仿宋_GBK"/>
          <w:sz w:val="28"/>
        </w:rPr>
        <w:t>3. 督查护林员巡查次数（次）。评价标准231-240为优，226-230为良，220-225为中，219以下为差。</w:t>
      </w:r>
    </w:p>
    <w:p>
      <w:pPr>
        <w:spacing w:line="500" w:lineRule="exact"/>
        <w:ind w:firstLine="560" w:firstLineChars="200"/>
        <w:jc w:val="left"/>
        <w:rPr>
          <w:rFonts w:ascii="Times New Roman" w:eastAsia="方正仿宋_GBK"/>
          <w:sz w:val="28"/>
        </w:rPr>
      </w:pPr>
      <w:r>
        <w:rPr>
          <w:rFonts w:ascii="Times New Roman" w:eastAsia="方正仿宋_GBK"/>
          <w:sz w:val="28"/>
        </w:rPr>
        <w:t>4. 粉刷防火宣传标语（条）、评价标准24-25为优，22-23为良，20-21为中，19以下为差。</w:t>
      </w:r>
    </w:p>
    <w:p>
      <w:pPr>
        <w:spacing w:line="500" w:lineRule="exact"/>
        <w:ind w:firstLine="560" w:firstLineChars="200"/>
        <w:jc w:val="left"/>
        <w:rPr>
          <w:rFonts w:ascii="Times New Roman" w:eastAsia="方正仿宋_GBK"/>
          <w:sz w:val="28"/>
        </w:rPr>
      </w:pPr>
      <w:r>
        <w:rPr>
          <w:rFonts w:ascii="Times New Roman" w:eastAsia="方正仿宋_GBK"/>
          <w:sz w:val="28"/>
        </w:rPr>
        <w:t>5. 悬挂森林防火条幅（条）。评价标准22-24为优，22-25为良，25-26为中，24以下为差。</w:t>
      </w:r>
    </w:p>
    <w:p>
      <w:pPr>
        <w:spacing w:line="500" w:lineRule="exact"/>
        <w:ind w:firstLine="560" w:firstLineChars="200"/>
        <w:jc w:val="left"/>
        <w:rPr>
          <w:rFonts w:ascii="Times New Roman" w:eastAsia="方正仿宋_GBK"/>
          <w:sz w:val="28"/>
        </w:rPr>
      </w:pPr>
      <w:r>
        <w:rPr>
          <w:rFonts w:ascii="Times New Roman" w:eastAsia="方正仿宋_GBK"/>
          <w:sz w:val="28"/>
        </w:rPr>
        <w:t>6. 维护更换森林防火宣传碑牌（个）。评价标准28-30为优，22-25为良，25-26为中，24以下为差。</w:t>
      </w:r>
    </w:p>
    <w:p>
      <w:pPr>
        <w:spacing w:line="500" w:lineRule="exact"/>
        <w:ind w:firstLine="560" w:firstLineChars="200"/>
        <w:jc w:val="left"/>
        <w:rPr>
          <w:rFonts w:ascii="Times New Roman" w:eastAsia="方正仿宋_GBK"/>
          <w:sz w:val="28"/>
        </w:rPr>
      </w:pPr>
      <w:r>
        <w:rPr>
          <w:rFonts w:ascii="Times New Roman" w:eastAsia="方正仿宋_GBK"/>
          <w:sz w:val="28"/>
        </w:rPr>
        <w:t>7. 森林边界杂草清理率。评价标准100%为优，22-26为良，90%-94%为中，89%以下为差。</w:t>
      </w:r>
    </w:p>
    <w:p>
      <w:pPr>
        <w:spacing w:line="500" w:lineRule="exact"/>
        <w:ind w:firstLine="560" w:firstLineChars="200"/>
        <w:jc w:val="left"/>
        <w:rPr>
          <w:rFonts w:ascii="Times New Roman" w:eastAsia="方正仿宋_GBK"/>
          <w:sz w:val="28"/>
        </w:rPr>
      </w:pPr>
      <w:r>
        <w:rPr>
          <w:rFonts w:ascii="Times New Roman" w:eastAsia="方正仿宋_GBK"/>
          <w:sz w:val="28"/>
        </w:rPr>
        <w:t>8. 坟区杂草易燃植被清理率。评价标准100%为优，22-27为良，90%-94%为中，89%以下为差。</w:t>
      </w:r>
    </w:p>
    <w:p>
      <w:pPr>
        <w:spacing w:line="500" w:lineRule="exact"/>
        <w:ind w:firstLine="560" w:firstLineChars="200"/>
        <w:jc w:val="left"/>
        <w:rPr>
          <w:rFonts w:ascii="Times New Roman" w:eastAsia="方正仿宋_GBK"/>
          <w:sz w:val="28"/>
        </w:rPr>
      </w:pPr>
      <w:r>
        <w:rPr>
          <w:rFonts w:ascii="Times New Roman" w:eastAsia="方正仿宋_GBK"/>
          <w:sz w:val="28"/>
        </w:rPr>
        <w:t>9. 森林防火隔离带完成率。评价标准100%为优，22-28为良，90%-94%为中，89%以下为差。</w:t>
      </w:r>
    </w:p>
    <w:p>
      <w:pPr>
        <w:spacing w:line="500" w:lineRule="exact"/>
        <w:ind w:firstLine="560" w:firstLineChars="200"/>
        <w:jc w:val="left"/>
        <w:rPr>
          <w:rFonts w:ascii="Times New Roman" w:eastAsia="方正仿宋_GBK"/>
          <w:sz w:val="28"/>
        </w:rPr>
      </w:pPr>
      <w:r>
        <w:rPr>
          <w:rFonts w:ascii="Times New Roman" w:eastAsia="方正仿宋_GBK"/>
          <w:sz w:val="28"/>
        </w:rPr>
        <w:t>（十二）林场管理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绩效目标：依法依规完成年度工作任务。</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 任务完成情况与年度目标对比。评价标准完成全年工作任务90%以上为优，22-29为良，完成全年工作任务60%-84%为中，完成全年工作任务59%以下为差。</w:t>
      </w:r>
    </w:p>
    <w:p>
      <w:pPr>
        <w:spacing w:line="500" w:lineRule="exact"/>
        <w:ind w:firstLine="560" w:firstLineChars="200"/>
        <w:jc w:val="left"/>
        <w:rPr>
          <w:rFonts w:ascii="Times New Roman" w:eastAsia="方正仿宋_GBK"/>
          <w:sz w:val="28"/>
        </w:rPr>
      </w:pPr>
      <w:r>
        <w:rPr>
          <w:rFonts w:ascii="Times New Roman" w:eastAsia="方正仿宋_GBK"/>
          <w:sz w:val="28"/>
        </w:rPr>
        <w:t>2. 保障国家级森林公园完好率。评价标准100%以上为优，22-30为良，90%-94%为中，89%以下为差。</w:t>
      </w:r>
    </w:p>
    <w:p>
      <w:pPr>
        <w:spacing w:line="500" w:lineRule="exact"/>
        <w:ind w:firstLine="560" w:firstLineChars="200"/>
        <w:jc w:val="left"/>
        <w:rPr>
          <w:rFonts w:ascii="Times New Roman" w:eastAsia="方正仿宋_GBK"/>
          <w:sz w:val="28"/>
        </w:rPr>
      </w:pPr>
      <w:r>
        <w:rPr>
          <w:rFonts w:ascii="Times New Roman" w:eastAsia="方正仿宋_GBK"/>
          <w:sz w:val="28"/>
        </w:rPr>
        <w:t>3. 完成林场改革与验收各项工作任务完成率。评价标准100%上为优，22-30为良，90%-94%为中，89%以下为差。</w:t>
      </w:r>
    </w:p>
    <w:p>
      <w:pPr>
        <w:spacing w:line="500" w:lineRule="exact"/>
        <w:ind w:firstLine="560" w:firstLineChars="200"/>
        <w:jc w:val="left"/>
        <w:rPr>
          <w:rFonts w:ascii="Times New Roman" w:eastAsia="方正仿宋_GBK"/>
          <w:sz w:val="28"/>
        </w:rPr>
      </w:pPr>
      <w:r>
        <w:rPr>
          <w:rFonts w:ascii="Times New Roman" w:eastAsia="方正仿宋_GBK"/>
          <w:sz w:val="28"/>
        </w:rPr>
        <w:t>（十三）负责风景名胜资源的保护、综合管理与协调工作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p>
    <w:p>
      <w:pPr>
        <w:spacing w:line="500" w:lineRule="exact"/>
        <w:ind w:firstLine="560" w:firstLineChars="200"/>
        <w:jc w:val="left"/>
        <w:rPr>
          <w:rFonts w:ascii="Times New Roman" w:eastAsia="方正仿宋_GBK"/>
          <w:sz w:val="28"/>
        </w:rPr>
      </w:pPr>
      <w:r>
        <w:rPr>
          <w:rFonts w:ascii="Times New Roman" w:eastAsia="方正仿宋_GBK"/>
          <w:sz w:val="28"/>
        </w:rPr>
        <w:t>1.规划完成率。评价标准100-96%为优，95-91%为良，90-86%为中，＜85%为差。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2.总体规划完成率。评价标准100-96%为优，95-91%为良，90-86%为中，＜85%为差。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3.工作完成率。评价标准100-96%为优，95-91%为良，90-86%为中，＜85%为差。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4.人文资源普查率。评价标准100-96%为优，95-91%为良，90-86%为中，＜85%为差。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5.自然资源普查率。评价标准100-96%为优，95-91%为良，90-86%为中，＜85%为差。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6.资源景点普查。评价标准100-96%为优，95-91%为良，90-86%为中，＜85%为差。</w:t>
      </w:r>
    </w:p>
    <w:p>
      <w:pPr>
        <w:spacing w:line="500" w:lineRule="exact"/>
        <w:ind w:firstLine="560" w:firstLineChars="200"/>
        <w:jc w:val="left"/>
        <w:rPr>
          <w:rFonts w:ascii="Times New Roman" w:eastAsia="方正仿宋_GBK"/>
          <w:sz w:val="28"/>
        </w:rPr>
      </w:pPr>
      <w:r>
        <w:rPr>
          <w:rFonts w:ascii="Times New Roman" w:eastAsia="方正仿宋_GBK"/>
          <w:sz w:val="28"/>
        </w:rPr>
        <w:t>7.管理办法规范率。评价标准100-91%为优，90-81%为良，80-71%为中，＜70%为差。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8.管理办法执行率。评价标准100-91%为优，90-81%为良，80-71%为中，＜70%为差。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9.群众满意率。评价标准100-91%为优，90-81%为良，80-71%为中，＜70%为差。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10.初审通过率。评价标准100-91%为优，90-81%为良，80-71%为中，＜70%为差。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11.项目上报率。评价标准100-91%为优，90-81%为良，80-71%为中，＜70%为差。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12.项目规范率。评价标准100-91%为优，90-81%为良，80-71%为中，＜70%为差。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13.安全责任率。评价标准100-91%为优，90-81%为良，80-71%为中，＜70%为差。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14.安全设施普及率。评价标准100-91%为优，90-81%为良，80-71%为中，＜70%为差。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15.预防意外发生率。评价标准100-91%为优，90-81%为良，80-71%为中，＜70%为差。</w:t>
      </w:r>
    </w:p>
    <w:p>
      <w:pPr>
        <w:spacing w:line="500" w:lineRule="exact"/>
        <w:ind w:firstLine="560" w:firstLineChars="200"/>
        <w:jc w:val="left"/>
        <w:rPr>
          <w:rFonts w:ascii="Times New Roman" w:eastAsia="方正仿宋_GBK"/>
          <w:sz w:val="28"/>
        </w:rPr>
      </w:pPr>
      <w:r>
        <w:rPr>
          <w:rFonts w:ascii="Times New Roman" w:eastAsia="方正仿宋_GBK"/>
          <w:sz w:val="28"/>
        </w:rPr>
        <w:t>16. 对上级主管部门及区委、区政府、区自然资源局交予的其他临时性工作进行落实。评价标准100-90%为优，89-80%为良，79-70%为中，＜69%为差。</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2" w:name="_Toc61451511"/>
      <w:r>
        <w:rPr>
          <w:rFonts w:hint="eastAsia" w:ascii="方正黑体_GBK" w:eastAsia="方正黑体_GBK"/>
          <w:sz w:val="28"/>
        </w:rPr>
        <w:t>三、工作保障措施</w:t>
      </w:r>
      <w:bookmarkEnd w:id="1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秦皇岛市山海关区自然资源和规划局</w:t>
      </w:r>
    </w:p>
    <w:p>
      <w:pPr>
        <w:spacing w:line="500" w:lineRule="exact"/>
        <w:ind w:firstLine="560" w:firstLineChars="200"/>
        <w:jc w:val="left"/>
        <w:rPr>
          <w:rFonts w:ascii="Times New Roman" w:eastAsia="方正仿宋_GBK"/>
          <w:sz w:val="28"/>
        </w:rPr>
      </w:pPr>
      <w:r>
        <w:rPr>
          <w:rFonts w:ascii="Times New Roman" w:eastAsia="方正仿宋_GBK"/>
          <w:sz w:val="28"/>
        </w:rPr>
        <w:t>年度目标及保障措施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（一）加强组织领导，明确工作责任。</w:t>
      </w:r>
    </w:p>
    <w:p>
      <w:pPr>
        <w:spacing w:line="500" w:lineRule="exact"/>
        <w:ind w:firstLine="560" w:firstLineChars="200"/>
        <w:jc w:val="left"/>
        <w:rPr>
          <w:rFonts w:ascii="Times New Roman" w:eastAsia="方正仿宋_GBK"/>
          <w:sz w:val="28"/>
        </w:rPr>
      </w:pPr>
      <w:r>
        <w:rPr>
          <w:rFonts w:ascii="Times New Roman" w:eastAsia="方正仿宋_GBK"/>
          <w:sz w:val="28"/>
        </w:rPr>
        <w:t>高度重视预算绩效各项工作，切实加强领导，增强责任意识，召开专题会议精心谋划，周密部署，明确责任分工，重点工作成立工作专班，扎实推动，确保落实。</w:t>
      </w:r>
    </w:p>
    <w:p>
      <w:pPr>
        <w:spacing w:line="500" w:lineRule="exact"/>
        <w:ind w:firstLine="560" w:firstLineChars="200"/>
        <w:jc w:val="left"/>
        <w:rPr>
          <w:rFonts w:ascii="Times New Roman" w:eastAsia="方正仿宋_GBK"/>
          <w:sz w:val="28"/>
        </w:rPr>
      </w:pPr>
      <w:r>
        <w:rPr>
          <w:rFonts w:ascii="Times New Roman" w:eastAsia="方正仿宋_GBK"/>
          <w:sz w:val="28"/>
        </w:rPr>
        <w:t>（二）完善制度建设</w:t>
      </w:r>
    </w:p>
    <w:p>
      <w:pPr>
        <w:spacing w:line="500" w:lineRule="exact"/>
        <w:ind w:firstLine="560" w:firstLineChars="200"/>
        <w:jc w:val="left"/>
        <w:rPr>
          <w:rFonts w:ascii="Times New Roman" w:eastAsia="方正仿宋_GBK"/>
          <w:sz w:val="28"/>
        </w:rPr>
      </w:pPr>
      <w:r>
        <w:rPr>
          <w:rFonts w:ascii="Times New Roman" w:eastAsia="方正仿宋_GBK"/>
          <w:sz w:val="28"/>
        </w:rP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spacing w:line="500" w:lineRule="exact"/>
        <w:ind w:firstLine="560" w:firstLineChars="200"/>
        <w:jc w:val="left"/>
        <w:rPr>
          <w:rFonts w:ascii="Times New Roman" w:eastAsia="方正仿宋_GBK"/>
          <w:sz w:val="28"/>
        </w:rPr>
      </w:pPr>
      <w:r>
        <w:rPr>
          <w:rFonts w:ascii="Times New Roman" w:eastAsia="方正仿宋_GBK"/>
          <w:sz w:val="28"/>
        </w:rPr>
        <w:t>（三）加强支出管理</w:t>
      </w:r>
    </w:p>
    <w:p>
      <w:pPr>
        <w:spacing w:line="500" w:lineRule="exact"/>
        <w:ind w:firstLine="560" w:firstLineChars="200"/>
        <w:jc w:val="left"/>
        <w:rPr>
          <w:rFonts w:ascii="Times New Roman" w:eastAsia="方正仿宋_GBK"/>
          <w:sz w:val="28"/>
        </w:rPr>
      </w:pPr>
      <w:r>
        <w:rPr>
          <w:rFonts w:ascii="Times New Roman" w:eastAsia="方正仿宋_GBK"/>
          <w:sz w:val="28"/>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spacing w:line="500" w:lineRule="exact"/>
        <w:ind w:firstLine="560" w:firstLineChars="200"/>
        <w:jc w:val="left"/>
        <w:rPr>
          <w:rFonts w:ascii="Times New Roman" w:eastAsia="方正仿宋_GBK"/>
          <w:sz w:val="28"/>
        </w:rPr>
      </w:pPr>
      <w:r>
        <w:rPr>
          <w:rFonts w:ascii="Times New Roman" w:eastAsia="方正仿宋_GBK"/>
          <w:sz w:val="28"/>
        </w:rPr>
        <w:t>（四）加强绩效运行监控</w:t>
      </w:r>
    </w:p>
    <w:p>
      <w:pPr>
        <w:spacing w:line="500" w:lineRule="exact"/>
        <w:ind w:firstLine="560" w:firstLineChars="200"/>
        <w:jc w:val="left"/>
        <w:rPr>
          <w:rFonts w:ascii="Times New Roman" w:eastAsia="方正仿宋_GBK"/>
          <w:sz w:val="28"/>
        </w:rPr>
      </w:pPr>
      <w:r>
        <w:rPr>
          <w:rFonts w:ascii="Times New Roman" w:eastAsia="方正仿宋_GBK"/>
          <w:sz w:val="28"/>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（五）做好绩效自评</w:t>
      </w:r>
    </w:p>
    <w:p>
      <w:pPr>
        <w:spacing w:line="500" w:lineRule="exact"/>
        <w:ind w:firstLine="560" w:firstLineChars="200"/>
        <w:jc w:val="left"/>
        <w:rPr>
          <w:rFonts w:ascii="Times New Roman" w:eastAsia="方正仿宋_GBK"/>
          <w:sz w:val="28"/>
        </w:rPr>
      </w:pPr>
      <w:r>
        <w:rPr>
          <w:rFonts w:ascii="Times New Roman" w:eastAsia="方正仿宋_GBK"/>
          <w:sz w:val="28"/>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（六）规范财务资产管理</w:t>
      </w:r>
    </w:p>
    <w:p>
      <w:pPr>
        <w:spacing w:line="500" w:lineRule="exact"/>
        <w:ind w:firstLine="560" w:firstLineChars="200"/>
        <w:jc w:val="left"/>
        <w:rPr>
          <w:rFonts w:ascii="Times New Roman" w:eastAsia="方正仿宋_GBK"/>
          <w:sz w:val="28"/>
        </w:rPr>
      </w:pPr>
      <w:r>
        <w:rPr>
          <w:rFonts w:ascii="Times New Roman" w:eastAsia="方正仿宋_GBK"/>
          <w:sz w:val="28"/>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spacing w:line="500" w:lineRule="exact"/>
        <w:ind w:firstLine="560" w:firstLineChars="200"/>
        <w:jc w:val="left"/>
        <w:rPr>
          <w:rFonts w:ascii="Times New Roman" w:eastAsia="方正仿宋_GBK"/>
          <w:sz w:val="28"/>
        </w:rPr>
      </w:pPr>
      <w:r>
        <w:rPr>
          <w:rFonts w:ascii="Times New Roman" w:eastAsia="方正仿宋_GBK"/>
          <w:sz w:val="28"/>
        </w:rPr>
        <w:t>（七）加强内部监督</w:t>
      </w:r>
    </w:p>
    <w:p>
      <w:pPr>
        <w:spacing w:line="500" w:lineRule="exact"/>
        <w:ind w:firstLine="560" w:firstLineChars="200"/>
        <w:jc w:val="left"/>
        <w:rPr>
          <w:rFonts w:ascii="Times New Roman" w:eastAsia="方正仿宋_GBK"/>
          <w:sz w:val="28"/>
        </w:rPr>
      </w:pPr>
      <w:r>
        <w:rPr>
          <w:rFonts w:ascii="Times New Roman" w:eastAsia="方正仿宋_GBK"/>
          <w:sz w:val="28"/>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spacing w:line="500" w:lineRule="exact"/>
        <w:ind w:firstLine="560" w:firstLineChars="200"/>
        <w:jc w:val="left"/>
        <w:rPr>
          <w:rFonts w:ascii="Times New Roman" w:eastAsia="方正仿宋_GBK"/>
          <w:sz w:val="28"/>
        </w:rPr>
      </w:pPr>
      <w:r>
        <w:rPr>
          <w:rFonts w:ascii="Times New Roman" w:eastAsia="方正仿宋_GBK"/>
          <w:sz w:val="28"/>
        </w:rPr>
        <w:t>（八）加强宣传培训调研等</w:t>
      </w:r>
    </w:p>
    <w:p>
      <w:pPr>
        <w:spacing w:line="500" w:lineRule="exact"/>
        <w:ind w:firstLine="560" w:firstLineChars="200"/>
        <w:jc w:val="left"/>
        <w:rPr>
          <w:rFonts w:ascii="Times New Roman" w:eastAsia="方正仿宋_GBK"/>
          <w:sz w:val="28"/>
        </w:rPr>
      </w:pPr>
      <w:r>
        <w:rPr>
          <w:rFonts w:ascii="Times New Roman" w:eastAsia="方正仿宋_GBK"/>
          <w:sz w:val="28"/>
        </w:rP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156" w:beforeLines="50" w:after="156" w:afterLines="50"/>
        <w:ind w:firstLine="440" w:firstLineChars="200"/>
        <w:jc w:val="center"/>
        <w:rPr>
          <w:rFonts w:ascii="Times New Roman" w:hAnsi="宋体"/>
        </w:rPr>
      </w:pPr>
      <w:r>
        <w:rPr>
          <w:rFonts w:ascii="方正书宋_GBK" w:eastAsia="方正书宋_GBK"/>
        </w:rPr>
        <w:t xml:space="preserve"> </w:t>
      </w:r>
    </w:p>
    <w:p>
      <w:pPr>
        <w:spacing w:before="156" w:beforeLines="50" w:after="156" w:afterLines="50"/>
        <w:ind w:firstLine="560" w:firstLineChars="200"/>
        <w:jc w:val="center"/>
        <w:rPr>
          <w:rFonts w:ascii="Times New Roman" w:eastAsia="方正仿宋_GBK"/>
          <w:sz w:val="28"/>
        </w:rPr>
        <w:sectPr>
          <w:headerReference r:id="rId7" w:type="default"/>
          <w:footerReference r:id="rId8" w:type="default"/>
          <w:pgSz w:w="11907" w:h="16839"/>
          <w:pgMar w:top="1984" w:right="1304" w:bottom="1134" w:left="1304" w:header="851" w:footer="992" w:gutter="0"/>
          <w:pgNumType w:start="1"/>
          <w:cols w:space="425" w:num="1"/>
          <w:docGrid w:type="lines" w:linePitch="312" w:charSpace="0"/>
        </w:sect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rPr>
          <w:rFonts w:ascii="Times New Roman" w:hAnsi="宋体"/>
        </w:rPr>
      </w:pPr>
      <w:r>
        <w:rPr>
          <w:rFonts w:ascii="方正书宋_GBK" w:eastAsia="方正书宋_GBK"/>
        </w:rPr>
        <w:t xml:space="preserve"> </w:t>
      </w: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b/>
          <w:sz w:val="28"/>
        </w:rPr>
      </w:pPr>
      <w:bookmarkStart w:id="13" w:name="_Toc61451512"/>
      <w:r>
        <w:rPr>
          <w:rFonts w:hint="eastAsia" w:ascii="方正仿宋_GBK" w:eastAsia="方正仿宋_GBK"/>
          <w:b/>
          <w:sz w:val="28"/>
        </w:rPr>
        <w:t>1.护林防火绩效目标表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1、护林防火绩效目标表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130303210541ZKMLDL6W5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护林防火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用于扑火队工作经费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预防减少自然灾害，降低火灾损失，保持森林覆盖率</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巡查保护林地面积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巡查保护林地面积</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77880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森林防火日常巡查次数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森林防火每日巡查次数</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当年实际日常巡查目标完成率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当年实际日常巡查目标完成率</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森林火灾发生率控制</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0.03%</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森林防火责任状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队员工资保障率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保障队员每月按时发放工资、足额发放</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火灾扑灭率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防火任务完成及时情况</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降低火灾损失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通过及时扑灭火情从而降低火灾损失</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有效降低</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预防和及时扑灭火情，保持森林覆盖率</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37.8%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4" w:name="_Toc61451513"/>
      <w:r>
        <w:rPr>
          <w:rFonts w:hint="eastAsia" w:ascii="方正仿宋_GBK" w:eastAsia="方正仿宋_GBK"/>
          <w:b/>
          <w:sz w:val="28"/>
        </w:rPr>
        <w:t>2.环城绿化补偿费绩效目标表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2、环城绿化补偿费绩效目标表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1303032114NACWKXLF5E0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环城绿化补偿费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环城绿化补偿及管护费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增加绿化率，改善生态环境。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给农民发放补偿，促进农民增收，维护社会稳定。</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环城绿化面积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环城绿化造林面积</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区政府纪要（办纪</w:t>
            </w:r>
            <w:r>
              <w:rPr>
                <w:rFonts w:ascii="方正书宋_GBK" w:eastAsia="方正书宋_GBK"/>
              </w:rPr>
              <w:t>[2013]4</w:t>
            </w:r>
            <w:r>
              <w:rPr>
                <w:rFonts w:hint="eastAsia" w:ascii="方正书宋_GBK" w:eastAsia="方正书宋_GBK"/>
              </w:rPr>
              <w:t>号）办纪（</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绿化补偿乡镇个数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绿化补偿乡镇个数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区政府纪要（办纪</w:t>
            </w:r>
            <w:r>
              <w:rPr>
                <w:rFonts w:ascii="方正书宋_GBK" w:eastAsia="方正书宋_GBK"/>
              </w:rPr>
              <w:t>[2013]4</w:t>
            </w:r>
            <w:r>
              <w:rPr>
                <w:rFonts w:hint="eastAsia" w:ascii="方正书宋_GBK" w:eastAsia="方正书宋_GBK"/>
              </w:rPr>
              <w:t>号）办纪（</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每亩地种树棵树</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棵</w:t>
            </w:r>
            <w:r>
              <w:rPr>
                <w:rFonts w:ascii="方正书宋_GBK" w:eastAsia="方正书宋_GBK"/>
              </w:rPr>
              <w:t>/</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区政府纪要（办纪</w:t>
            </w:r>
            <w:r>
              <w:rPr>
                <w:rFonts w:ascii="方正书宋_GBK" w:eastAsia="方正书宋_GBK"/>
              </w:rPr>
              <w:t>[2013]4</w:t>
            </w:r>
            <w:r>
              <w:rPr>
                <w:rFonts w:hint="eastAsia" w:ascii="方正书宋_GBK" w:eastAsia="方正书宋_GBK"/>
              </w:rPr>
              <w:t>号）办纪（</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绿化补偿发放的准确性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绿化补偿发放的准确性</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区政府纪要（办纪</w:t>
            </w:r>
            <w:r>
              <w:rPr>
                <w:rFonts w:ascii="方正书宋_GBK" w:eastAsia="方正书宋_GBK"/>
              </w:rPr>
              <w:t>[2013]4</w:t>
            </w:r>
            <w:r>
              <w:rPr>
                <w:rFonts w:hint="eastAsia" w:ascii="方正书宋_GBK" w:eastAsia="方正书宋_GBK"/>
              </w:rPr>
              <w:t>号）办纪（</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绿化补偿款发放的及时性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绿化补偿款发放的及时性</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101%</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区政府纪要（办纪</w:t>
            </w:r>
            <w:r>
              <w:rPr>
                <w:rFonts w:ascii="方正书宋_GBK" w:eastAsia="方正书宋_GBK"/>
              </w:rPr>
              <w:t>[2013]4</w:t>
            </w:r>
            <w:r>
              <w:rPr>
                <w:rFonts w:hint="eastAsia" w:ascii="方正书宋_GBK" w:eastAsia="方正书宋_GBK"/>
              </w:rPr>
              <w:t>号）办纪（</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环城绿化补偿成本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按预算控制各项成本</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2802000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促进农民增收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促进农民增收，维护社会稳定</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5" w:name="_Toc61451514"/>
      <w:r>
        <w:rPr>
          <w:rFonts w:hint="eastAsia" w:ascii="方正仿宋_GBK" w:eastAsia="方正仿宋_GBK"/>
          <w:b/>
          <w:sz w:val="28"/>
        </w:rPr>
        <w:t>3.提前下达2019年省对市县重点生态功能区转移支付的通知-新造林补贴绩效目标表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3、提前下达2019年省对市县重点生态功能区转移支付的通知-新造林补贴绩效目标表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130303214MZGSCLHKKW8S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2019</w:t>
            </w:r>
            <w:r>
              <w:rPr>
                <w:rFonts w:hint="eastAsia" w:ascii="方正书宋_GBK" w:eastAsia="方正书宋_GBK"/>
              </w:rPr>
              <w:t>年省对市县重点生态功能区转移支付的通知</w:t>
            </w:r>
            <w:r>
              <w:rPr>
                <w:rFonts w:ascii="方正书宋_GBK" w:eastAsia="方正书宋_GBK"/>
              </w:rPr>
              <w:t>-</w:t>
            </w:r>
            <w:r>
              <w:rPr>
                <w:rFonts w:hint="eastAsia" w:ascii="方正书宋_GBK" w:eastAsia="方正书宋_GBK"/>
              </w:rPr>
              <w:t>新造林补贴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330661.00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330661.00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用于义务植树苗木费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改善城乡的生态环境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提升绿化和生态建设水平</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完成义务植树面积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完成义务植树面积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义务植树存活率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义务植树存活率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植树完成的及时率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义务植树按计划及时开展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义务植树苗木费的支出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义务植树苗木费的支出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330661</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改善城乡的生态环境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改善城乡的生态环境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改善城乡的生态环境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有效的抵御海啸和风潮等自然灾害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有效的抵御海啸和风潮等自然灾害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有效的抵御海啸和风潮等自然灾害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持续影响程度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持续改善生态环境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6" w:name="_Toc61451515"/>
      <w:r>
        <w:rPr>
          <w:rFonts w:hint="eastAsia" w:ascii="方正仿宋_GBK" w:eastAsia="方正仿宋_GBK"/>
          <w:b/>
          <w:sz w:val="28"/>
        </w:rPr>
        <w:t>4.人事代理专项补助绩效目标表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130303216I3IAMBWZXKFF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360900.00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360900.00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人事代理工资（福利）等发放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按月支付工资，保障人事代理人员正常开展工作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提高部门工作效率，维持社会稳定</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上班考勤情况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出勤率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工资等发放的时效情况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按预算额度发放工资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320900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加强人员归属感，保持稳定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通过按时按标准发放工资福利等，进一步增强干部职工的归属感，保持干部队伍稳定，保障办公正常运转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7" w:name="_Toc61451516"/>
      <w:r>
        <w:rPr>
          <w:rFonts w:hint="eastAsia" w:ascii="方正仿宋_GBK" w:eastAsia="方正仿宋_GBK"/>
          <w:b/>
          <w:sz w:val="28"/>
        </w:rPr>
        <w:t>5.征地拆迁成本绩效目标表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5、征地拆迁成本绩效目标表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130303217GGQGZ01B0QEE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征地拆迁成本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主要用于征地拆迁补偿费用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完成区级项目用地征收补偿工作，保障按期出让土地。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及时供应土地保障项目建设，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征地项目个数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征地实际完成率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实际征地亩数</w:t>
            </w:r>
            <w:r>
              <w:rPr>
                <w:rFonts w:ascii="方正书宋_GBK" w:eastAsia="方正书宋_GBK"/>
              </w:rPr>
              <w:t>\</w:t>
            </w:r>
            <w:r>
              <w:rPr>
                <w:rFonts w:hint="eastAsia" w:ascii="方正书宋_GBK" w:eastAsia="方正书宋_GBK"/>
              </w:rPr>
              <w:t>计划征地亩数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征地补偿发放的准确率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征地补偿发放的准确率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征地工作完成及时率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征地补偿补偿成本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征地补偿补偿成本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5942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土地出让价款收入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增加土地出让收入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增加土地出让收入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113175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周边出让地价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及时供应土地、改善人居环境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及时供应土地、改善人居环境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8" w:name="_Toc61451517"/>
      <w:r>
        <w:rPr>
          <w:rFonts w:hint="eastAsia" w:ascii="方正仿宋_GBK" w:eastAsia="方正仿宋_GBK"/>
          <w:b/>
          <w:sz w:val="28"/>
        </w:rPr>
        <w:t>6.提前下达2021年省级林业改革发展补助资金-森林植被恢复费绩效目标表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6、提前下达2021年省级林业改革发展补助资金-森林植被恢复费绩效目标表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13030321ANXWULMZT25I4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年省级林业改革发展补助资金</w:t>
            </w:r>
            <w:r>
              <w:rPr>
                <w:rFonts w:ascii="方正书宋_GBK" w:eastAsia="方正书宋_GBK"/>
              </w:rPr>
              <w:t>-</w:t>
            </w:r>
            <w:r>
              <w:rPr>
                <w:rFonts w:hint="eastAsia" w:ascii="方正书宋_GBK" w:eastAsia="方正书宋_GBK"/>
              </w:rPr>
              <w:t>森林植被恢复费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用于异地造林，恢复占用林地面积。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完成造林任务，确保造林存活率。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保证我区林地保有量不减少。</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完成建设项目占用林地面积与异地造林面积一致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林地面积占补平衡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造林存活率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造林存活率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异地造林完成及时率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异地造林工作按计划及时开展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异地造林成本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异地造林成本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保证我区林地保有量不减少。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保证我区林地保有量不减少。</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持续改善生态环境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持续改善生态环境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9" w:name="_Toc61451518"/>
      <w:r>
        <w:rPr>
          <w:rFonts w:hint="eastAsia" w:ascii="方正仿宋_GBK" w:eastAsia="方正仿宋_GBK"/>
          <w:b/>
          <w:sz w:val="28"/>
        </w:rPr>
        <w:t>7.提前下达2021年中央财政林业改革发展资金-森林生态效益补偿补助-管护补助绩效目标表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7、提前下达2021年中央财政林业改革发展资金-森林生态效益补偿补助-管护补助绩效目标表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13030321BDWO0Y6BIEAU9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86650.00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86650.00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开展国家级公益林监督检查和评价等方面的支出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开展国家级公益林监督检查，促进我区生态林业与经济社会和谐发展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开展国家级公益林评价，改善生态环境，保障可持续发展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公益林保存率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公益林保存率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各项工作开展及时率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各项工作按计划及时开展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国家级公益林管护成本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国家级公益林管护中央财政补助成本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86650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逐步加快</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改善生态环境，保障可持续发展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促进生态林业与经济社会发展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促进我区生态林业与经济社会和谐发展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0" w:name="_Toc61451519"/>
      <w:r>
        <w:rPr>
          <w:rFonts w:hint="eastAsia" w:ascii="方正仿宋_GBK" w:eastAsia="方正仿宋_GBK"/>
          <w:b/>
          <w:sz w:val="28"/>
        </w:rPr>
        <w:t>8.森林生态效益补偿绩效目标表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8、森林生态效益补偿绩效目标表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13030321BG6GZ1CB525K3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森林生态效益补偿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86109.98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86109.98</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开展国家级公益林监督检查和评价等方面的支出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开展国家级公益林监督检查，促进我区生态林业与经济社会和谐发展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开展国家级公益林评价，改善生态环境，保障可持续发展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公益林保存率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公益林保存率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各项工作开展及时率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各项工作按计划及时开展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公益林管护中央财政补助成本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国家级公益林管护中央财政补助成本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86109.98</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改善生态环境，保障可持续发展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我区生态林业与经济社会发展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促进我区生态林业与经济社会和谐发展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逐步加快</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w:t>
            </w:r>
            <w:r>
              <w:rPr>
                <w:rFonts w:ascii="方正书宋_GBK" w:eastAsia="方正书宋_GBK"/>
              </w:rPr>
              <w:t xml:space="preserve"> </w:t>
            </w:r>
            <w:r>
              <w:rPr>
                <w:rFonts w:hint="eastAsia" w:ascii="方正书宋_GBK" w:eastAsia="方正书宋_GBK"/>
              </w:rPr>
              <w:t>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1" w:name="_Toc61451520"/>
      <w:r>
        <w:rPr>
          <w:rFonts w:hint="eastAsia" w:ascii="方正仿宋_GBK" w:eastAsia="方正仿宋_GBK"/>
          <w:b/>
          <w:sz w:val="28"/>
        </w:rPr>
        <w:t>9.车辆保险费绩效目标表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13030321D8A6KUS0QT2Y8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公务用车保险缴纳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车辆保险及时缴纳，保证车辆正常合法使用。</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上缴保险的车辆数量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上缴保险的车辆数量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辆</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车辆事故保险赔付率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车辆事故保险赔付率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保险缴纳及时率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按规定时间及时缴纳保险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保证用车安全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保证用车安全，减轻单位出车事故负担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2" w:name="_Toc61451521"/>
      <w:r>
        <w:rPr>
          <w:rFonts w:hint="eastAsia" w:ascii="方正仿宋_GBK" w:eastAsia="方正仿宋_GBK"/>
          <w:b/>
          <w:sz w:val="28"/>
        </w:rPr>
        <w:t>10.土地出让业务费绩效目标表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10、土地出让业务费绩效目标表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13030321DPLODP0W4GQ1A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土地出让业务费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土地出让业务费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保证各项事务正常运行，提高整体工作效率，保证各项工作正常运转，提高土地使用效率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完成卫片执法检查工作中的违法图版、案件进行核查</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科室数量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业务保障科室数量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支出的合规率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项目支出程序符合内控标准，项目实施过程规范</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支出完成及时性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业务费用及时支出</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提升业务管理水平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促进各科室自然资源事业管理水平提升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持续保障相关业务正常开展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持续保障相关业务正常开展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3" w:name="_Toc61451522"/>
      <w:r>
        <w:rPr>
          <w:rFonts w:hint="eastAsia" w:ascii="方正仿宋_GBK" w:eastAsia="方正仿宋_GBK"/>
          <w:b/>
          <w:sz w:val="28"/>
        </w:rPr>
        <w:t>11.永久性护林管护费绩效目标表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11、永久性护林管护费绩效目标表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13030321GUSUI0HKV8XQG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永久性护林管护费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478000.00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478000.00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用于永久性防护林的土地补偿费用和管护日常工作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改善城乡的生态环境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提升绿化和生态建设水平</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永久性防护林管护面积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永久性防护林管护面积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2512</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完成永久性防护林管护面积等工作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永久性防护林检查验收的合格面积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管护工作完成及时性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及时完成永久性防护林管护面积和土地补偿费用发放工作。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永久性防护林管护费支出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对永久性防护林林地进行除草、打药、修枝。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478000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改善城乡的生态环境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改善城乡的生态环境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有效的抵御海啸和风潮等自然灾害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有效的抵御海啸和风潮等自然灾害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持续影响程度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持续改善生态环境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4" w:name="_Toc61451523"/>
      <w:r>
        <w:rPr>
          <w:rFonts w:hint="eastAsia" w:ascii="方正仿宋_GBK" w:eastAsia="方正仿宋_GBK"/>
          <w:b/>
          <w:sz w:val="28"/>
        </w:rPr>
        <w:t>12.办证难不动产登记工作经费绩效目标表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12、办证难不动产登记工作经费绩效目标表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13030321I3208S1SRBOOT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办证难不动产登记工作经费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办证大厅人员经费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按月支付工资保险，保障各项工作顺利进行</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提高部门工作效率，维持社会稳定</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上班出勤情率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具体出勤情况</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工作人员专业胜任能力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工作人员专业胜任能力</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社会保障缴纳的时效情况</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按预算额度发放工资</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加强人员归属感，保持人员稳定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通过按时按标准发放工资福利等，进一步增强干部职工的归属感，保持干部队伍稳定，保障办公正常运转</w:t>
            </w:r>
            <w:r>
              <w:rPr>
                <w:rFonts w:ascii="方正书宋_GBK" w:eastAsia="方正书宋_GBK"/>
              </w:rPr>
              <w:tab/>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发放工资人员满意度</w:t>
            </w:r>
            <w:r>
              <w:rPr>
                <w:rFonts w:ascii="方正书宋_GBK" w:eastAsia="方正书宋_GBK"/>
              </w:rPr>
              <w:tab/>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5" w:name="_Toc61451524"/>
      <w:r>
        <w:rPr>
          <w:rFonts w:hint="eastAsia" w:ascii="方正仿宋_GBK" w:eastAsia="方正仿宋_GBK"/>
          <w:b/>
          <w:sz w:val="28"/>
        </w:rPr>
        <w:t>13.提前下达2021年中央财政林业改革发展资金-森林抚育绩效目标表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13、提前下达2021年中央财政林业改革发展资金-森林抚育绩效目标表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13030321K3XAT7HTGB8UP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森林抚育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森林抚育（上一轮退耕还生态林）农户的补助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上一轮退耕还林农户的森林抚育补助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按照检查验收结果发放补助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造林任务完成率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当年造林任务完成面积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苗木保存率和成活率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苗木保存率和成活率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上一轮退耕还林农户苗木保存率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上一轮退耕还林农户苗木保存率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上一轮退耕还生态林中央财政补助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上一轮退耕还生态林中央财政补助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70000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改善生态环境，保障经济和社会可持续发展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促进我区生态林业与和谐发展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6" w:name="_Toc61451525"/>
      <w:r>
        <w:rPr>
          <w:rFonts w:hint="eastAsia" w:ascii="方正仿宋_GBK" w:eastAsia="方正仿宋_GBK"/>
          <w:b/>
          <w:sz w:val="28"/>
        </w:rPr>
        <w:t>14.规划编制费绩效目标表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14、规划编制费绩效目标表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13030321LIIGGGGEV6VVM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运用成果指导乡村建设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完成规划编制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完成规划编制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个</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通过规划编制完成审批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通过规划编制完成审批</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年底完成审批任务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年底完成审批任务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编制成本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运用成果指导香椿产业发展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运用成果指导香椿产业发展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运用成果促进乡村人居环境改善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运用成果促进乡村人居环境改善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保护生态空间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运用成果促进乡村人居环境改善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7" w:name="_Toc61451526"/>
      <w:r>
        <w:rPr>
          <w:rFonts w:hint="eastAsia" w:ascii="方正仿宋_GBK" w:eastAsia="方正仿宋_GBK"/>
          <w:b/>
          <w:sz w:val="28"/>
        </w:rPr>
        <w:t>15.提前下达2021年中央财政林业改革发展资金-森林生态效益补偿补助-公共管护补助绩效目标表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15、提前下达2021年中央财政林业改革发展资金-森林生态效益补偿补助-公共管护补助绩效目标表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13030321NO9CFUG6C0Z7N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公共管护补助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用于国有国家级公益林管护支出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组织开展森林资源动态监测</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设立国家级公益林标牌，标明公益林、地点、四至范围、面积、林权权利人、管护责任人，保护管理责任和要求、监督单位、监督举报电话。</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集体国家级公益林管护面积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国有国家级公益林管护面积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管护公益林</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管护公益林</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森林生态效益当期完成率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森林生态效益当期完成率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国家级公益林管护中央财政补助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国家级公益林管护中央财政补助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林业改革发展资金管理办法的通知（财农【</w:t>
            </w:r>
            <w:r>
              <w:rPr>
                <w:rFonts w:ascii="方正书宋_GBK" w:eastAsia="方正书宋_GBK"/>
              </w:rPr>
              <w:t>2016</w:t>
            </w:r>
            <w:r>
              <w:rPr>
                <w:rFonts w:hint="eastAsia" w:ascii="方正书宋_GBK" w:eastAsia="方正书宋_GBK"/>
              </w:rPr>
              <w:t>】</w:t>
            </w:r>
            <w:r>
              <w:rPr>
                <w:rFonts w:ascii="方正书宋_GBK" w:eastAsia="方正书宋_GBK"/>
              </w:rPr>
              <w:t>196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改善生态环境，保障经济和社会可持续发展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完成预期目标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完成预期目标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河北省重点生态公益林管理办法的通知（冀林字【</w:t>
            </w:r>
            <w:r>
              <w:rPr>
                <w:rFonts w:ascii="方正书宋_GBK" w:eastAsia="方正书宋_GBK"/>
              </w:rPr>
              <w:t>2015</w:t>
            </w:r>
            <w:r>
              <w:rPr>
                <w:rFonts w:hint="eastAsia" w:ascii="方正书宋_GBK" w:eastAsia="方正书宋_GBK"/>
              </w:rPr>
              <w:t>】</w:t>
            </w:r>
            <w:r>
              <w:rPr>
                <w:rFonts w:ascii="方正书宋_GBK" w:eastAsia="方正书宋_GBK"/>
              </w:rPr>
              <w:t>114</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8" w:name="_Toc61451527"/>
      <w:r>
        <w:rPr>
          <w:rFonts w:hint="eastAsia" w:ascii="方正仿宋_GBK" w:eastAsia="方正仿宋_GBK"/>
          <w:b/>
          <w:sz w:val="28"/>
        </w:rPr>
        <w:t>16.规划信息中心补助经费绩效目标表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16、规划信息中心补助经费绩效目标表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13030321PAC2GC010RQYG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规划信息中心补助经费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594903.56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594903.56</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规划信息中心人员工资（福利）等发放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按月支付工资，保障人员正常开展工作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按计划支付保险等，保障人员正常开展工作</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上班出勤情率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具体出勤情况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工作人员专业胜任能力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工作人员专业胜任能力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社会保障缴纳的时效情况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发放工资数额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按预算额度发放工资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594903.56</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通过按时按标准发放工资福利等，进一步增强干部职工的归属感，保持干部队伍稳定，保障办公正常运转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发放工资人员满意度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发放工资人员满意度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9" w:name="_Toc61451528"/>
      <w:r>
        <w:rPr>
          <w:rFonts w:hint="eastAsia" w:ascii="方正仿宋_GBK" w:eastAsia="方正仿宋_GBK"/>
          <w:b/>
          <w:sz w:val="28"/>
        </w:rPr>
        <w:t>17.林业执法经费绩效目标表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17、林业执法经费绩效目标表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13030321Q2971T61C7P8G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林业执法经费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用于日常巡查工作等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保障执法检查的基础性建设，提高林业资源使用效率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加强执法日常监督，提高自然资源开发利用的可持续性</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违法案件核查数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对违法案件进行核查的个数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违法图斑核查数量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对违法图斑进行核查的个数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根据上级下发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违法案件核查率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违法案件、违法图斑核查到位率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违法图斑核查率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违法案件、违法图斑核查到位率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91%</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违法案件、违法图斑核查完成时间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按规定时间及时查处完成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促进林业资源合理开发利用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提高林业资源使用效率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防止过度开发节约自然资源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提高自然资源开发利用的可持续性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0" w:name="_Toc61451529"/>
      <w:r>
        <w:rPr>
          <w:rFonts w:hint="eastAsia" w:ascii="方正仿宋_GBK" w:eastAsia="方正仿宋_GBK"/>
          <w:b/>
          <w:sz w:val="28"/>
        </w:rPr>
        <w:t>18.专业扑火队经费绩效目标表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18、专业扑火队经费绩效目标表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13030321QYT16H9ECE1KG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专业扑火队经费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用于扑火队工作经费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预防减少自然灾害，降低火灾损失，保持森林覆盖率</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巡查保护林地面积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巡查保护林地面积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77880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森林防火日常巡查次数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森林防火每日巡查次数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当年实际日常巡查目标完成率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当年实际日常巡查目标完成率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森林火灾发生率控制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0.03%</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队员工资保障率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保障队员每月按时发放工资、足额发放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火灾扑灭率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防火任务完成及时情况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降低火灾损失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通过及时扑灭火情从而降低火灾损失</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有效降低</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预防和及时扑灭火情，保持森林覆盖率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37.8%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1" w:name="_Toc61451530"/>
      <w:r>
        <w:rPr>
          <w:rFonts w:hint="eastAsia" w:ascii="方正仿宋_GBK" w:eastAsia="方正仿宋_GBK"/>
          <w:b/>
          <w:sz w:val="28"/>
        </w:rPr>
        <w:t>19.木材检查站专项经费绩效目标表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19、木材检查站专项经费绩效目标表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13030321RGI1PG26NQ2BU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木材检查站专项经费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1254400.00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1254400.00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用于木材检查站工作使用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保障木材检查站工作顺利进行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提高木材检查站工作效率，促进林业发展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检查站工作人员发放工资数量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工资福利发放的精确性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工资福利等发放人员范围的精确性和发放数据的准确性</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社会保障缴纳的准确性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社会保障缴纳数据的准确性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社会保障缴纳的及时性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社会保障缴纳的时效情况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按规定时间缴纳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工资（福利）发放的时效情况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按规定时间发放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年度支出金额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支出金额控制在预算额度内</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1254400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保持人员稳定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通过按时按标准发放工资福利等，进一步增强干部职工的归属感，保持干部队伍稳定，保障办公正常运转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单位人员对工资福利等发放工作的满意度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2" w:name="_Toc61451531"/>
      <w:r>
        <w:rPr>
          <w:rFonts w:hint="eastAsia" w:ascii="方正仿宋_GBK" w:eastAsia="方正仿宋_GBK"/>
          <w:b/>
          <w:sz w:val="28"/>
        </w:rPr>
        <w:t>20.征地拆迁成本绩效目标表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20、征地拆迁成本绩效目标表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13030321VZD4L2G4X5QLY</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征地拆迁成本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77424126.72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77424126.72</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征地拆迁成本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完成区级项目用地征收补偿工作，保障按期出让土地。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及时供应土地保障项目建设，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征地项目个数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征地实际完成率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实际征地亩数</w:t>
            </w:r>
            <w:r>
              <w:rPr>
                <w:rFonts w:ascii="方正书宋_GBK" w:eastAsia="方正书宋_GBK"/>
              </w:rPr>
              <w:t>\</w:t>
            </w:r>
            <w:r>
              <w:rPr>
                <w:rFonts w:hint="eastAsia" w:ascii="方正书宋_GBK" w:eastAsia="方正书宋_GBK"/>
              </w:rPr>
              <w:t>计划征地亩数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征地补偿发放的准确率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征地补偿发放的准确率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征地工作完成及时率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征地工作完成及时率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征地补偿补偿成本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征地补偿补偿成本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11.06</w:t>
            </w:r>
            <w:r>
              <w:rPr>
                <w:rFonts w:hint="eastAsia" w:ascii="方正书宋_GBK" w:eastAsia="方正书宋_GBK"/>
              </w:rPr>
              <w:t>万元</w:t>
            </w:r>
            <w:r>
              <w:rPr>
                <w:rFonts w:ascii="方正书宋_GBK" w:eastAsia="方正书宋_GBK"/>
              </w:rPr>
              <w:t>/</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区片地价和征地方案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增加土地出让收入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增加土地出让收入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113175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周边出让地价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及时供应土地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及时供应土地、改善人居环境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3" w:name="_Toc61451532"/>
      <w:r>
        <w:rPr>
          <w:rFonts w:hint="eastAsia" w:ascii="方正仿宋_GBK" w:eastAsia="方正仿宋_GBK"/>
          <w:b/>
          <w:sz w:val="28"/>
        </w:rPr>
        <w:t>21.耕地占用税绩效目标表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21、耕地占用税绩效目标表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13030321WUBEHAD8HGS3M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105830000.00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105830000.00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用于上缴税务耕地占用税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及时上缴耕地占用税，提高政府税收，保障基础设施建设。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耕地占用亩数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555</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耕地占用税缴纳准确性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耕地占用税缴纳准确性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耕地占用税缴纳及时性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耕地占用税缴纳及时性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耕地占用税成本支出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耕地占用税成本支出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10583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每平米</w:t>
            </w:r>
            <w:r>
              <w:rPr>
                <w:rFonts w:ascii="方正书宋_GBK" w:eastAsia="方正书宋_GBK"/>
              </w:rPr>
              <w:t>35</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提高政府税收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提高政府税收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10583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每平米</w:t>
            </w:r>
            <w:r>
              <w:rPr>
                <w:rFonts w:ascii="方正书宋_GBK" w:eastAsia="方正书宋_GBK"/>
              </w:rPr>
              <w:t>35</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保障基础设施建设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保障基础设施建设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4" w:name="_Toc61451533"/>
      <w:r>
        <w:rPr>
          <w:rFonts w:hint="eastAsia" w:ascii="方正仿宋_GBK" w:eastAsia="方正仿宋_GBK"/>
          <w:b/>
          <w:sz w:val="28"/>
        </w:rPr>
        <w:t>22.提前下达2021年中央财政林业草原生态保护恢复资金预算-完善退耕还林政策补助绩效目标表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22、提前下达2021年中央财政林业草原生态保护恢复资金预算-完善退耕还林政策补助绩效目标表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13030321XBDDVTEQHLMS5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年中央财政林业草原生态保护恢复资金预算</w:t>
            </w:r>
            <w:r>
              <w:rPr>
                <w:rFonts w:ascii="方正书宋_GBK" w:eastAsia="方正书宋_GBK"/>
              </w:rPr>
              <w:t>-</w:t>
            </w:r>
            <w:r>
              <w:rPr>
                <w:rFonts w:hint="eastAsia" w:ascii="方正书宋_GBK" w:eastAsia="方正书宋_GBK"/>
              </w:rPr>
              <w:t>完善退耕还林政策补助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169100.00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169100.00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完善退耕还林政策补助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完善退耕还林政策补助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依据检查验收结果发放农户补助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造林任务完成率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完成预期目标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苗木保存率和成活率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苗木保存率和成活率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上一轮退耕还生态林苗木保存率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上一轮退耕还生态林农户苗木当期保存率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上一轮退耕还生态林中央财政补助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上一轮退耕还生态林中央财政补助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改善生态环境，保障经济和社会可持续发展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促进生态林业与经济社会和谐发展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完成预期目标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完成预期目标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退耕还林条例</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5" w:name="_Toc61451534"/>
      <w:r>
        <w:rPr>
          <w:rFonts w:hint="eastAsia" w:ascii="方正仿宋_GBK" w:eastAsia="方正仿宋_GBK"/>
          <w:b/>
          <w:sz w:val="28"/>
        </w:rPr>
        <w:t>23.失地农民养老基金绩效目标表</w:t>
      </w:r>
      <w:bookmarkEnd w:id="3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23、失地农民养老基金绩效目标表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324001</w:t>
            </w:r>
            <w:r>
              <w:rPr>
                <w:rFonts w:hint="eastAsia" w:ascii="方正书宋_GBK" w:eastAsia="方正书宋_GBK"/>
                <w:b/>
              </w:rPr>
              <w:t>秦皇岛市山海关区自然资源和规划局本级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13030321Z6D2DUV9ANSXG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失地农民养老基金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16650000.00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16650000.00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为失地农民缴纳养老保险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及时缴纳失地农民养老保险，保障失地农民基本收入，减少上访事件，维护社会稳定</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缴纳保险的征地亩数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缴纳保险的征地亩数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555</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养老保险缴纳准确性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养老保险缴纳准确性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养老保险缴纳及时性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养老保险缴纳及时性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养老保险缴纳成本支出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养老保险缴纳成本支出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1665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每亩</w:t>
            </w:r>
            <w:r>
              <w:rPr>
                <w:rFonts w:ascii="方正书宋_GBK" w:eastAsia="方正书宋_GBK"/>
              </w:rPr>
              <w:t>3.2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失地农民上访率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失地农民上访率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等于</w:t>
            </w:r>
            <w:r>
              <w:rPr>
                <w:rFonts w:ascii="方正书宋_GBK" w:eastAsia="方正书宋_GBK"/>
              </w:rPr>
              <w:t>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保障农民基本收入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保障农民基本收入，维护社会稳定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失地农民满意度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失地农民满意度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调查结果</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6" w:name="_Toc61451535"/>
      <w:r>
        <w:rPr>
          <w:rFonts w:hint="eastAsia" w:ascii="方正仿宋_GBK" w:eastAsia="方正仿宋_GBK"/>
          <w:b/>
          <w:sz w:val="28"/>
        </w:rPr>
        <w:t>24.防火“五清”经费绩效目标表</w:t>
      </w:r>
      <w:bookmarkEnd w:id="3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24、防火\“五清\”经费绩效目标表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130303214Q7BT8UD2WXPB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防火</w:t>
            </w:r>
            <w:r>
              <w:rPr>
                <w:rFonts w:hint="cs" w:ascii="方正书宋_GBK" w:eastAsia="方正书宋_GBK"/>
              </w:rPr>
              <w:t>“</w:t>
            </w:r>
            <w:r>
              <w:rPr>
                <w:rFonts w:hint="eastAsia" w:ascii="方正书宋_GBK" w:eastAsia="方正书宋_GBK"/>
              </w:rPr>
              <w:t>五清</w:t>
            </w:r>
            <w:r>
              <w:rPr>
                <w:rFonts w:hint="cs" w:ascii="方正书宋_GBK" w:eastAsia="方正书宋_GBK"/>
              </w:rPr>
              <w:t>”</w:t>
            </w:r>
            <w:r>
              <w:rPr>
                <w:rFonts w:hint="eastAsia" w:ascii="方正书宋_GBK" w:eastAsia="方正书宋_GBK"/>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用于防火</w:t>
            </w:r>
            <w:r>
              <w:rPr>
                <w:rFonts w:hint="cs" w:ascii="方正书宋_GBK" w:eastAsia="方正书宋_GBK"/>
              </w:rPr>
              <w:t>“</w:t>
            </w:r>
            <w:r>
              <w:rPr>
                <w:rFonts w:hint="eastAsia" w:ascii="方正书宋_GBK" w:eastAsia="方正书宋_GBK"/>
              </w:rPr>
              <w:t>五清</w:t>
            </w:r>
            <w:r>
              <w:rPr>
                <w:rFonts w:hint="cs" w:ascii="方正书宋_GBK" w:eastAsia="方正书宋_GBK"/>
              </w:rPr>
              <w:t>”</w:t>
            </w:r>
            <w:r>
              <w:rPr>
                <w:rFonts w:hint="eastAsia" w:ascii="方正书宋_GBK" w:eastAsia="方正书宋_GBK"/>
              </w:rPr>
              <w:t>即清林边，清路边，清坟边，清矿边，清防火隔离带支出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最大限度的减少国有林区的森林火灾隐患，预防森林火灾的能力，有效保护林区宝贵的森林资源。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通过广泛深入地开展清理以与林区接壤的路边、坟边、矿边、地边和防火隔离带等为重点内容的</w:t>
            </w:r>
            <w:r>
              <w:rPr>
                <w:rFonts w:hint="cs" w:ascii="方正书宋_GBK" w:eastAsia="方正书宋_GBK"/>
              </w:rPr>
              <w:t>“</w:t>
            </w:r>
            <w:r>
              <w:rPr>
                <w:rFonts w:hint="eastAsia" w:ascii="方正书宋_GBK" w:eastAsia="方正书宋_GBK"/>
              </w:rPr>
              <w:t>五清</w:t>
            </w:r>
            <w:r>
              <w:rPr>
                <w:rFonts w:hint="cs" w:ascii="方正书宋_GBK" w:eastAsia="方正书宋_GBK"/>
              </w:rPr>
              <w:t>”</w:t>
            </w:r>
            <w:r>
              <w:rPr>
                <w:rFonts w:hint="eastAsia" w:ascii="方正书宋_GBK" w:eastAsia="方正书宋_GBK"/>
              </w:rPr>
              <w:t>行动。</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森林防火隔离带完成率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在深山林区与浅山林区中设立防火隔离带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森林防火隔离带完成率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森林边界杂草清理率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以人工打药和人工除草的方式在森林边界形成防火隔离带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森林边界杂草清理率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当年度全部完成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五清经费支出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五清经费支出情况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五清经费支出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坟区杂草易燃植被清理率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以人工打药和人工除草的方式在坟区周边成防火隔离带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坟区杂草易燃植被清理率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扩大防火安全效应</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扩大防火安全效应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防火安全效应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保障森林防火安全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保障森林防火安全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保障森林防火安全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7" w:name="_Toc61451536"/>
      <w:r>
        <w:rPr>
          <w:rFonts w:hint="eastAsia" w:ascii="方正仿宋_GBK" w:eastAsia="方正仿宋_GBK"/>
          <w:b/>
          <w:sz w:val="28"/>
        </w:rPr>
        <w:t>25.提前下达2021年中央财政林业改革发展资金-森林生态效益补偿补助-管护补助绩效目标表</w:t>
      </w:r>
      <w:bookmarkEnd w:id="3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25、提前下达2021年中央财政林业改革发展资金-森林生态效益补偿补助-管护补助绩效目标表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130303218427N26LD8CZT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森林生态效益补偿补助</w:t>
            </w:r>
            <w:r>
              <w:rPr>
                <w:rFonts w:ascii="方正书宋_GBK" w:eastAsia="方正书宋_GBK"/>
              </w:rPr>
              <w:t>-</w:t>
            </w:r>
            <w:r>
              <w:rPr>
                <w:rFonts w:hint="eastAsia" w:ascii="方正书宋_GBK" w:eastAsia="方正书宋_GBK"/>
              </w:rP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403650.00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403650.00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用于国有国家级公益林管护支出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指导公益林、天然林的培育，组织开展森林资源动态监测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设立国家级公益林标牌，标明公益林、天然林地点、四至范围、面积、林权权利人、管护责任人，保护管理责任和要求、监督单位、监督举报电话。</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国有国家级公益林管护面积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国有国家级公益林管护面积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管护公益林</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提高公益林蓄积量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公益林蓄积量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森林生态效益当期完成率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森林生态效益当期完成率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国家级公益林管护中央财政补助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国家级公益林管护中央财政补助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改善生态环境，保障经济和社会可持续发展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公益林管护人员工资</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国家级公益林管护员满意度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国家级公益林管护员满意度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管护面积</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8" w:name="_Toc61451537"/>
      <w:r>
        <w:rPr>
          <w:rFonts w:hint="eastAsia" w:ascii="方正仿宋_GBK" w:eastAsia="方正仿宋_GBK"/>
          <w:b/>
          <w:sz w:val="28"/>
        </w:rPr>
        <w:t>26.提前下达2021年中央财政林业改革发展资金-天然林停伐管护补助-国有管护补助绩效目标表</w:t>
      </w:r>
      <w:bookmarkEnd w:id="3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26、提前下达2021年中央财政林业改革发展资金-天然林停伐管护补助-国有管护补助绩效目标表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13030321AE2P93AGSZ4CI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年中央财政林业改革发展资金</w:t>
            </w:r>
            <w:r>
              <w:rPr>
                <w:rFonts w:ascii="方正书宋_GBK" w:eastAsia="方正书宋_GBK"/>
              </w:rPr>
              <w:t>-</w:t>
            </w:r>
            <w:r>
              <w:rPr>
                <w:rFonts w:hint="eastAsia" w:ascii="方正书宋_GBK" w:eastAsia="方正书宋_GBK"/>
              </w:rPr>
              <w:t>天然林停伐管护补助</w:t>
            </w:r>
            <w:r>
              <w:rPr>
                <w:rFonts w:ascii="方正书宋_GBK" w:eastAsia="方正书宋_GBK"/>
              </w:rPr>
              <w:t>-</w:t>
            </w:r>
            <w:r>
              <w:rPr>
                <w:rFonts w:hint="eastAsia" w:ascii="方正书宋_GBK" w:eastAsia="方正书宋_GBK"/>
              </w:rPr>
              <w:t>国有管护补助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用于天然林停伐管护补助支出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森林资源从恢复性增长进一步向质量提高转变，生态状况从逐步好转进一步向明显改善转变，水土流失明显减少，生物多样性明显增加。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全面停止天然林采伐，保护生态公益林，使生态状况进一步改善，减少水土流失，培土使生物多样性增加，实现经济社会可持续发展，完成预期目标。</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非天保工程区国有天然林管护面积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非天保工程区国有天然林管护面积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停止天然林采伐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停止天然林采伐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天然林资源管护当期任务完成情况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天然林资源管护当期任务完成情况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中央财政补助标准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中央财政补助标准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每亩</w:t>
            </w:r>
            <w:r>
              <w:rPr>
                <w:rFonts w:ascii="方正书宋_GBK" w:eastAsia="方正书宋_GBK"/>
              </w:rPr>
              <w:t>10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保护生态环境，保障经济可持续发展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森林资源增长向质量提高转变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森林资源从恢复性增长进一步向质量提高转变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加快生态建设步伐，保障经济和社会可持续发展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天然林资源管护员满意度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天然林资源管护员满意度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完成面积比率</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39" w:name="_Toc61451538"/>
      <w:r>
        <w:rPr>
          <w:rFonts w:hint="eastAsia" w:ascii="方正仿宋_GBK" w:eastAsia="方正仿宋_GBK"/>
          <w:b/>
          <w:sz w:val="28"/>
        </w:rPr>
        <w:t>27.护林员专项补助绩效目标表</w:t>
      </w:r>
      <w:bookmarkEnd w:id="3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27、护林员专项补助绩效目标表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13030321M362CKH8NDGX5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护林员专项补助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保障护林员经费，加强看管力度，加大看管范围，做好森林防火及保护森林资源工作。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林场防火办加强对护林员的监管力度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督查护林员巡查次数</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护林员日常巡山次数（次）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当年实际日常巡山目标为每人每年</w:t>
            </w:r>
            <w:r>
              <w:rPr>
                <w:rFonts w:ascii="方正书宋_GBK" w:eastAsia="方正书宋_GBK"/>
              </w:rPr>
              <w:t>240</w:t>
            </w:r>
            <w:r>
              <w:rPr>
                <w:rFonts w:hint="eastAsia" w:ascii="方正书宋_GBK" w:eastAsia="方正书宋_GBK"/>
              </w:rPr>
              <w:t>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护林员日常巡山次数（次）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护林员日常巡查日志记录次数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当年实际日常日志记录目标为每人每年</w:t>
            </w:r>
            <w:r>
              <w:rPr>
                <w:rFonts w:ascii="方正书宋_GBK" w:eastAsia="方正书宋_GBK"/>
              </w:rPr>
              <w:t>240</w:t>
            </w:r>
            <w:r>
              <w:rPr>
                <w:rFonts w:hint="eastAsia" w:ascii="方正书宋_GBK" w:eastAsia="方正书宋_GBK"/>
              </w:rPr>
              <w:t>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护林员日常巡查日志记录次数（次）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当年度全部完成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护林员专项补助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护林员专项补助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护林员专项补助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督查护林员巡查次数（次）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当年实际日常督查护林员为每人每年</w:t>
            </w:r>
            <w:r>
              <w:rPr>
                <w:rFonts w:ascii="方正书宋_GBK" w:eastAsia="方正书宋_GBK"/>
              </w:rPr>
              <w:t>240</w:t>
            </w:r>
            <w:r>
              <w:rPr>
                <w:rFonts w:hint="eastAsia" w:ascii="方正书宋_GBK" w:eastAsia="方正书宋_GBK"/>
              </w:rPr>
              <w:t>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督查护林员巡查次数（次）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扩大防火安全效应</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扩大防火安全效应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扩大防火安全效应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保障森林防火安全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保障森林防火安全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保障森林防火安全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护林防火人员满意度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护林防火人员满意度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护林防火人员满意度</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40" w:name="_Toc61451539"/>
      <w:r>
        <w:rPr>
          <w:rFonts w:hint="eastAsia" w:ascii="方正仿宋_GBK" w:eastAsia="方正仿宋_GBK"/>
          <w:b/>
          <w:sz w:val="28"/>
        </w:rPr>
        <w:t>28.提前下达2021年中央财政林业草原生态保护恢复资金-全面停止天然林商业性采伐补助绩效目标表</w:t>
      </w:r>
      <w:bookmarkEnd w:id="4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28、提前下达2021年中央财政林业草原生态保护恢复资金-全面停止天然林商业性采伐补助绩效目标表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13030321TKAEG68C76CTG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年中央财政林业草原生态保护恢复资金</w:t>
            </w:r>
            <w:r>
              <w:rPr>
                <w:rFonts w:ascii="方正书宋_GBK" w:eastAsia="方正书宋_GBK"/>
              </w:rPr>
              <w:t>-</w:t>
            </w:r>
            <w:r>
              <w:rPr>
                <w:rFonts w:hint="eastAsia" w:ascii="方正书宋_GBK" w:eastAsia="方正书宋_GBK"/>
              </w:rPr>
              <w:t>全面停止天然林商业性采伐补助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537000.00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537000.00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用于全面停止天然林商业性采伐补助支出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森林资源从恢复性增长进一步向质量提高转变。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生态从逐步好转进一步向明显改善转变，水土流失明显减少，生物多样性明显增加。</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天保工程区外国有林停伐产量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天保工程区外国有林停伐产量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停止天然林商业性采伐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停止天然林商业性采伐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当年度全部完成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天然林停伐中央资金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天然林停伐中央资金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天然林停伐中央资金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改善生态环境，保障可持续发展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改善生态环境，保障经济可持续发展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社会保险参保率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参保率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加快生态建设步伐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加快生态建设步伐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r>
              <w:rPr>
                <w:rFonts w:ascii="方正书宋_GBK" w:eastAsia="方正书宋_GBK"/>
              </w:rPr>
              <w:t xml:space="preserve"> </w:t>
            </w:r>
            <w:r>
              <w:rPr>
                <w:rFonts w:hint="eastAsia" w:ascii="方正书宋_GBK" w:eastAsia="方正书宋_GBK"/>
              </w:rPr>
              <w:t>预期目标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 xml:space="preserve"> </w:t>
            </w:r>
            <w:r>
              <w:rPr>
                <w:rFonts w:hint="eastAsia" w:ascii="方正书宋_GBK" w:eastAsia="方正书宋_GBK"/>
              </w:rPr>
              <w:t>预期目标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停伐产量</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41" w:name="_Toc61451540"/>
      <w:r>
        <w:rPr>
          <w:rFonts w:hint="eastAsia" w:ascii="方正仿宋_GBK" w:eastAsia="方正仿宋_GBK"/>
          <w:b/>
          <w:sz w:val="28"/>
        </w:rPr>
        <w:t>29.林场差额经费绩效目标表</w:t>
      </w:r>
      <w:bookmarkEnd w:id="4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29、林场差额经费绩效目标表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324003</w:t>
            </w:r>
            <w:r>
              <w:rPr>
                <w:rFonts w:hint="eastAsia" w:ascii="方正书宋_GBK" w:eastAsia="方正书宋_GBK"/>
                <w:b/>
              </w:rPr>
              <w:t>秦皇岛市山海关区国营林场</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13030321X0F1Y1SNU219V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林场差额经费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用于林场差额经费支出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依法依规完成年度工作任务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落实林场改革各项工作任务</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任务完成情部与年度目标对比情况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保障国有林场正常运转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保障国有林场正常运转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保障国有林场正常运转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当年度全部完成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当年度全部完成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支付职工工资及保险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支付职工工资及保险</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职工工资及保险保障比例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落实林场改革各项工作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落实林场改革各项工作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林场改革落实情况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社会保险参保率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社会保险参保率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减少水土流失，使生物多样性增加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减少水土流失，使生物多样性增加</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符合林场长期发展要求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符合林场长期发展要求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林场长期发展要求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本单位职工满意度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本单位职工满意度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本单位职工满意程度</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spacing w:before="156" w:beforeLines="50" w:after="156" w:afterLines="50"/>
        <w:ind w:firstLine="560" w:firstLineChars="200"/>
        <w:jc w:val="center"/>
        <w:rPr>
          <w:rFonts w:ascii="Times New Roman" w:eastAsia="方正仿宋_GBK"/>
          <w:sz w:val="28"/>
        </w:rPr>
      </w:pPr>
    </w:p>
    <w:p>
      <w:pPr>
        <w:spacing w:line="220" w:lineRule="atLeast"/>
      </w:pPr>
    </w:p>
    <w:sectPr>
      <w:pgSz w:w="11907" w:h="16839"/>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47</w:t>
    </w:r>
    <w:r>
      <w:rPr>
        <w:rStyle w:val="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48</w:t>
    </w:r>
    <w:r>
      <w:rPr>
        <w:rStyle w:val="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3D9107FD"/>
    <w:rsid w:val="5E3F47FE"/>
    <w:rsid w:val="6926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paragraph" w:styleId="5">
    <w:name w:val="toc 2"/>
    <w:basedOn w:val="1"/>
    <w:next w:val="1"/>
    <w:unhideWhenUsed/>
    <w:qFormat/>
    <w:uiPriority w:val="39"/>
    <w:pPr>
      <w:ind w:left="420" w:leftChars="200"/>
    </w:pPr>
  </w:style>
  <w:style w:type="character" w:styleId="8">
    <w:name w:val="page number"/>
    <w:basedOn w:val="7"/>
    <w:semiHidden/>
    <w:unhideWhenUsed/>
    <w:qFormat/>
    <w:uiPriority w:val="99"/>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凤凰</cp:lastModifiedBy>
  <dcterms:modified xsi:type="dcterms:W3CDTF">2024-01-04T01:44:14Z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15C01A0169E14515B6CFFB34A65BDD06</vt:lpwstr>
  </property>
</Properties>
</file>