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2</w:t>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1</w:t>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rPr>
          <w:rFonts w:hint="eastAsia"/>
          <w:lang w:val="en-US" w:eastAsia="zh-CN"/>
        </w:rPr>
        <w:t>2</w:t>
      </w:r>
      <w:r>
        <w:t>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rPr>
          <w:rFonts w:hint="eastAsia"/>
          <w:lang w:val="en-US" w:eastAsia="zh-CN"/>
        </w:rPr>
        <w:t>2</w:t>
      </w:r>
      <w:r>
        <w:t>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rPr>
          <w:rFonts w:hint="eastAsia"/>
          <w:lang w:val="en-US" w:eastAsia="zh-CN"/>
        </w:rPr>
        <w:t>2</w:t>
      </w:r>
      <w:r>
        <w:t>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rPr>
          <w:rFonts w:hint="eastAsia"/>
          <w:lang w:val="en-US" w:eastAsia="zh-CN"/>
        </w:rPr>
        <w:t>2</w:t>
      </w:r>
      <w:r>
        <w:t>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rPr>
          <w:rFonts w:hint="eastAsia"/>
          <w:lang w:val="en-US" w:eastAsia="zh-CN"/>
        </w:rPr>
        <w:t>2</w:t>
      </w:r>
      <w:r>
        <w:t>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rPr>
          <w:rFonts w:hint="eastAsia"/>
          <w:lang w:val="en-US" w:eastAsia="zh-CN"/>
        </w:rPr>
        <w:t>3</w:t>
      </w:r>
      <w:r>
        <w:t>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rPr>
          <w:rFonts w:hint="eastAsia"/>
          <w:lang w:val="en-US" w:eastAsia="zh-CN"/>
        </w:rPr>
        <w:t>3</w:t>
      </w:r>
      <w:r>
        <w:t>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rPr>
          <w:rFonts w:hint="eastAsia"/>
          <w:lang w:val="en-US" w:eastAsia="zh-CN"/>
        </w:rPr>
        <w:t>3</w:t>
      </w:r>
      <w:r>
        <w:t>0</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8</w:t>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rPr>
          <w:rFonts w:hint="eastAsia"/>
          <w:lang w:val="en-US" w:eastAsia="zh-CN"/>
        </w:rPr>
        <w:t>3</w:t>
      </w:r>
      <w:r>
        <w:t>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rPr>
          <w:rFonts w:hint="eastAsia"/>
          <w:lang w:val="en-US" w:eastAsia="zh-CN"/>
        </w:rPr>
        <w:t>4</w:t>
      </w:r>
      <w:r>
        <w:t>0</w:t>
      </w:r>
      <w:r>
        <w:fldChar w:fldCharType="end"/>
      </w:r>
      <w:r>
        <w:fldChar w:fldCharType="end"/>
      </w:r>
    </w:p>
    <w:p>
      <w:r>
        <w:fldChar w:fldCharType="end"/>
      </w:r>
    </w:p>
    <w:p>
      <w:pPr>
        <w:sectPr>
          <w:pgSz w:w="16840" w:h="11900" w:orient="landscape"/>
          <w:pgMar w:top="1587" w:right="1134" w:bottom="1361" w:left="1134" w:header="720" w:footer="720" w:gutter="0"/>
          <w:pgNumType w:start="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101人大部门</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433.29</w:t>
            </w:r>
          </w:p>
        </w:tc>
        <w:tc>
          <w:tcPr>
            <w:tcW w:w="4535" w:type="dxa"/>
            <w:vAlign w:val="center"/>
          </w:tcPr>
          <w:p>
            <w:pPr>
              <w:pStyle w:val="14"/>
            </w:pPr>
            <w:r>
              <w:t>一、一般公共服务支出</w:t>
            </w:r>
          </w:p>
        </w:tc>
        <w:tc>
          <w:tcPr>
            <w:tcW w:w="2126" w:type="dxa"/>
            <w:vAlign w:val="center"/>
          </w:tcPr>
          <w:p>
            <w:pPr>
              <w:pStyle w:val="13"/>
            </w:pPr>
            <w:r>
              <w:t>303.69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433.29</w:t>
            </w:r>
          </w:p>
        </w:tc>
        <w:tc>
          <w:tcPr>
            <w:tcW w:w="4535" w:type="dxa"/>
            <w:vAlign w:val="center"/>
          </w:tcPr>
          <w:p>
            <w:pPr>
              <w:pStyle w:val="16"/>
            </w:pPr>
            <w:r>
              <w:t>本年支出合计</w:t>
            </w:r>
          </w:p>
        </w:tc>
        <w:tc>
          <w:tcPr>
            <w:tcW w:w="2126" w:type="dxa"/>
            <w:vAlign w:val="center"/>
          </w:tcPr>
          <w:p>
            <w:pPr>
              <w:pStyle w:val="17"/>
            </w:pPr>
            <w:r>
              <w:t>433.29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433.29</w:t>
            </w:r>
          </w:p>
        </w:tc>
        <w:tc>
          <w:tcPr>
            <w:tcW w:w="4535" w:type="dxa"/>
            <w:vAlign w:val="center"/>
          </w:tcPr>
          <w:p>
            <w:pPr>
              <w:pStyle w:val="16"/>
            </w:pPr>
            <w:r>
              <w:t>支出总计</w:t>
            </w:r>
          </w:p>
        </w:tc>
        <w:tc>
          <w:tcPr>
            <w:tcW w:w="2126" w:type="dxa"/>
            <w:vAlign w:val="center"/>
          </w:tcPr>
          <w:p>
            <w:pPr>
              <w:pStyle w:val="17"/>
            </w:pPr>
            <w:r>
              <w:t>433.29</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101人大部门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433.29</w:t>
            </w:r>
          </w:p>
        </w:tc>
        <w:tc>
          <w:tcPr>
            <w:tcW w:w="1134" w:type="dxa"/>
            <w:vAlign w:val="center"/>
          </w:tcPr>
          <w:p>
            <w:pPr>
              <w:pStyle w:val="17"/>
            </w:pPr>
            <w:r>
              <w:t>433.29</w:t>
            </w:r>
          </w:p>
        </w:tc>
        <w:tc>
          <w:tcPr>
            <w:tcW w:w="1134" w:type="dxa"/>
            <w:vAlign w:val="center"/>
          </w:tcPr>
          <w:p>
            <w:pPr>
              <w:pStyle w:val="17"/>
            </w:pPr>
            <w:r>
              <w:t>433.29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303.69</w:t>
            </w:r>
          </w:p>
        </w:tc>
        <w:tc>
          <w:tcPr>
            <w:tcW w:w="1134" w:type="dxa"/>
            <w:vAlign w:val="center"/>
          </w:tcPr>
          <w:p>
            <w:pPr>
              <w:pStyle w:val="13"/>
            </w:pPr>
            <w:r>
              <w:t>303.69</w:t>
            </w:r>
          </w:p>
        </w:tc>
        <w:tc>
          <w:tcPr>
            <w:tcW w:w="1134" w:type="dxa"/>
            <w:vAlign w:val="center"/>
          </w:tcPr>
          <w:p>
            <w:pPr>
              <w:pStyle w:val="13"/>
            </w:pPr>
            <w:r>
              <w:t>303.69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303.69</w:t>
            </w:r>
          </w:p>
        </w:tc>
        <w:tc>
          <w:tcPr>
            <w:tcW w:w="1134" w:type="dxa"/>
            <w:vAlign w:val="center"/>
          </w:tcPr>
          <w:p>
            <w:pPr>
              <w:pStyle w:val="13"/>
            </w:pPr>
            <w:r>
              <w:t>303.69</w:t>
            </w:r>
          </w:p>
        </w:tc>
        <w:tc>
          <w:tcPr>
            <w:tcW w:w="1134" w:type="dxa"/>
            <w:vAlign w:val="center"/>
          </w:tcPr>
          <w:p>
            <w:pPr>
              <w:pStyle w:val="13"/>
            </w:pPr>
            <w:r>
              <w:t>303.69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243.69</w:t>
            </w:r>
          </w:p>
        </w:tc>
        <w:tc>
          <w:tcPr>
            <w:tcW w:w="1134" w:type="dxa"/>
            <w:vAlign w:val="center"/>
          </w:tcPr>
          <w:p>
            <w:pPr>
              <w:pStyle w:val="13"/>
            </w:pPr>
            <w:r>
              <w:t>243.69</w:t>
            </w:r>
          </w:p>
        </w:tc>
        <w:tc>
          <w:tcPr>
            <w:tcW w:w="1134" w:type="dxa"/>
            <w:vAlign w:val="center"/>
          </w:tcPr>
          <w:p>
            <w:pPr>
              <w:pStyle w:val="13"/>
            </w:pPr>
            <w:r>
              <w:t>243.69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2010102</w:t>
            </w:r>
          </w:p>
        </w:tc>
        <w:tc>
          <w:tcPr>
            <w:tcW w:w="1559" w:type="dxa"/>
            <w:vAlign w:val="center"/>
          </w:tcPr>
          <w:p>
            <w:pPr>
              <w:pStyle w:val="14"/>
            </w:pPr>
            <w:r>
              <w:t>一般行政管理事务</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2010104</w:t>
            </w:r>
          </w:p>
        </w:tc>
        <w:tc>
          <w:tcPr>
            <w:tcW w:w="1559" w:type="dxa"/>
            <w:vAlign w:val="center"/>
          </w:tcPr>
          <w:p>
            <w:pPr>
              <w:pStyle w:val="14"/>
            </w:pPr>
            <w:r>
              <w:t>人大会议</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80.89</w:t>
            </w:r>
          </w:p>
        </w:tc>
        <w:tc>
          <w:tcPr>
            <w:tcW w:w="1134" w:type="dxa"/>
            <w:vAlign w:val="center"/>
          </w:tcPr>
          <w:p>
            <w:pPr>
              <w:pStyle w:val="13"/>
            </w:pPr>
            <w:r>
              <w:t>80.89</w:t>
            </w:r>
          </w:p>
        </w:tc>
        <w:tc>
          <w:tcPr>
            <w:tcW w:w="1134" w:type="dxa"/>
            <w:vAlign w:val="center"/>
          </w:tcPr>
          <w:p>
            <w:pPr>
              <w:pStyle w:val="13"/>
            </w:pPr>
            <w:r>
              <w:t>80.89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79.93</w:t>
            </w:r>
          </w:p>
        </w:tc>
        <w:tc>
          <w:tcPr>
            <w:tcW w:w="1134" w:type="dxa"/>
            <w:vAlign w:val="center"/>
          </w:tcPr>
          <w:p>
            <w:pPr>
              <w:pStyle w:val="13"/>
            </w:pPr>
            <w:r>
              <w:t>79.93</w:t>
            </w:r>
          </w:p>
        </w:tc>
        <w:tc>
          <w:tcPr>
            <w:tcW w:w="1134" w:type="dxa"/>
            <w:vAlign w:val="center"/>
          </w:tcPr>
          <w:p>
            <w:pPr>
              <w:pStyle w:val="13"/>
            </w:pPr>
            <w:r>
              <w:t>79.93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49.56</w:t>
            </w:r>
          </w:p>
        </w:tc>
        <w:tc>
          <w:tcPr>
            <w:tcW w:w="1134" w:type="dxa"/>
            <w:vAlign w:val="center"/>
          </w:tcPr>
          <w:p>
            <w:pPr>
              <w:pStyle w:val="13"/>
            </w:pPr>
            <w:r>
              <w:t>49.56</w:t>
            </w:r>
          </w:p>
        </w:tc>
        <w:tc>
          <w:tcPr>
            <w:tcW w:w="1134" w:type="dxa"/>
            <w:vAlign w:val="center"/>
          </w:tcPr>
          <w:p>
            <w:pPr>
              <w:pStyle w:val="13"/>
            </w:pPr>
            <w:r>
              <w:t>49.56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30.37</w:t>
            </w:r>
          </w:p>
        </w:tc>
        <w:tc>
          <w:tcPr>
            <w:tcW w:w="1134" w:type="dxa"/>
            <w:vAlign w:val="center"/>
          </w:tcPr>
          <w:p>
            <w:pPr>
              <w:pStyle w:val="13"/>
            </w:pPr>
            <w:r>
              <w:t>30.37</w:t>
            </w:r>
          </w:p>
        </w:tc>
        <w:tc>
          <w:tcPr>
            <w:tcW w:w="1134" w:type="dxa"/>
            <w:vAlign w:val="center"/>
          </w:tcPr>
          <w:p>
            <w:pPr>
              <w:pStyle w:val="13"/>
            </w:pPr>
            <w:r>
              <w:t>30.37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25.60</w:t>
            </w:r>
          </w:p>
        </w:tc>
        <w:tc>
          <w:tcPr>
            <w:tcW w:w="1134" w:type="dxa"/>
            <w:vAlign w:val="center"/>
          </w:tcPr>
          <w:p>
            <w:pPr>
              <w:pStyle w:val="13"/>
            </w:pPr>
            <w:r>
              <w:t>25.60</w:t>
            </w:r>
          </w:p>
        </w:tc>
        <w:tc>
          <w:tcPr>
            <w:tcW w:w="1134" w:type="dxa"/>
            <w:vAlign w:val="center"/>
          </w:tcPr>
          <w:p>
            <w:pPr>
              <w:pStyle w:val="13"/>
            </w:pPr>
            <w:r>
              <w:t>25.60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25.60</w:t>
            </w:r>
          </w:p>
        </w:tc>
        <w:tc>
          <w:tcPr>
            <w:tcW w:w="1134" w:type="dxa"/>
            <w:vAlign w:val="center"/>
          </w:tcPr>
          <w:p>
            <w:pPr>
              <w:pStyle w:val="13"/>
            </w:pPr>
            <w:r>
              <w:t>25.60</w:t>
            </w:r>
          </w:p>
        </w:tc>
        <w:tc>
          <w:tcPr>
            <w:tcW w:w="1134" w:type="dxa"/>
            <w:vAlign w:val="center"/>
          </w:tcPr>
          <w:p>
            <w:pPr>
              <w:pStyle w:val="13"/>
            </w:pPr>
            <w:r>
              <w:t>25.60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12.13</w:t>
            </w:r>
          </w:p>
        </w:tc>
        <w:tc>
          <w:tcPr>
            <w:tcW w:w="1134" w:type="dxa"/>
            <w:vAlign w:val="center"/>
          </w:tcPr>
          <w:p>
            <w:pPr>
              <w:pStyle w:val="13"/>
            </w:pPr>
            <w:r>
              <w:t>12.13</w:t>
            </w:r>
          </w:p>
        </w:tc>
        <w:tc>
          <w:tcPr>
            <w:tcW w:w="1134" w:type="dxa"/>
            <w:vAlign w:val="center"/>
          </w:tcPr>
          <w:p>
            <w:pPr>
              <w:pStyle w:val="13"/>
            </w:pPr>
            <w:r>
              <w:t>12.13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13.47</w:t>
            </w:r>
          </w:p>
        </w:tc>
        <w:tc>
          <w:tcPr>
            <w:tcW w:w="1134" w:type="dxa"/>
            <w:vAlign w:val="center"/>
          </w:tcPr>
          <w:p>
            <w:pPr>
              <w:pStyle w:val="13"/>
            </w:pPr>
            <w:r>
              <w:t>13.47</w:t>
            </w:r>
          </w:p>
        </w:tc>
        <w:tc>
          <w:tcPr>
            <w:tcW w:w="1134" w:type="dxa"/>
            <w:vAlign w:val="center"/>
          </w:tcPr>
          <w:p>
            <w:pPr>
              <w:pStyle w:val="13"/>
            </w:pPr>
            <w:r>
              <w:t>13.47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23.11</w:t>
            </w:r>
          </w:p>
        </w:tc>
        <w:tc>
          <w:tcPr>
            <w:tcW w:w="1134" w:type="dxa"/>
            <w:vAlign w:val="center"/>
          </w:tcPr>
          <w:p>
            <w:pPr>
              <w:pStyle w:val="13"/>
            </w:pPr>
            <w:r>
              <w:t>23.11</w:t>
            </w:r>
          </w:p>
        </w:tc>
        <w:tc>
          <w:tcPr>
            <w:tcW w:w="1134" w:type="dxa"/>
            <w:vAlign w:val="center"/>
          </w:tcPr>
          <w:p>
            <w:pPr>
              <w:pStyle w:val="13"/>
            </w:pPr>
            <w:r>
              <w:t>23.11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23.11</w:t>
            </w:r>
          </w:p>
        </w:tc>
        <w:tc>
          <w:tcPr>
            <w:tcW w:w="1134" w:type="dxa"/>
            <w:vAlign w:val="center"/>
          </w:tcPr>
          <w:p>
            <w:pPr>
              <w:pStyle w:val="13"/>
            </w:pPr>
            <w:r>
              <w:t>23.11</w:t>
            </w:r>
          </w:p>
        </w:tc>
        <w:tc>
          <w:tcPr>
            <w:tcW w:w="1134" w:type="dxa"/>
            <w:vAlign w:val="center"/>
          </w:tcPr>
          <w:p>
            <w:pPr>
              <w:pStyle w:val="13"/>
            </w:pPr>
            <w:r>
              <w:t>23.11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23.11</w:t>
            </w:r>
          </w:p>
        </w:tc>
        <w:tc>
          <w:tcPr>
            <w:tcW w:w="1134" w:type="dxa"/>
            <w:vAlign w:val="center"/>
          </w:tcPr>
          <w:p>
            <w:pPr>
              <w:pStyle w:val="13"/>
            </w:pPr>
            <w:r>
              <w:t>23.11</w:t>
            </w:r>
          </w:p>
        </w:tc>
        <w:tc>
          <w:tcPr>
            <w:tcW w:w="1134" w:type="dxa"/>
            <w:vAlign w:val="center"/>
          </w:tcPr>
          <w:p>
            <w:pPr>
              <w:pStyle w:val="13"/>
            </w:pPr>
            <w:r>
              <w:t>23.11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101人大部门</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433.29</w:t>
            </w:r>
          </w:p>
        </w:tc>
        <w:tc>
          <w:tcPr>
            <w:tcW w:w="1361" w:type="dxa"/>
            <w:vAlign w:val="center"/>
          </w:tcPr>
          <w:p>
            <w:pPr>
              <w:pStyle w:val="17"/>
            </w:pPr>
            <w:r>
              <w:t>371.69</w:t>
            </w:r>
          </w:p>
        </w:tc>
        <w:tc>
          <w:tcPr>
            <w:tcW w:w="1361" w:type="dxa"/>
            <w:vAlign w:val="center"/>
          </w:tcPr>
          <w:p>
            <w:pPr>
              <w:pStyle w:val="17"/>
            </w:pPr>
            <w:r>
              <w:t>61.60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303.69</w:t>
            </w:r>
          </w:p>
        </w:tc>
        <w:tc>
          <w:tcPr>
            <w:tcW w:w="1361" w:type="dxa"/>
            <w:vAlign w:val="center"/>
          </w:tcPr>
          <w:p>
            <w:pPr>
              <w:pStyle w:val="13"/>
            </w:pPr>
            <w:r>
              <w:t>242.09</w:t>
            </w:r>
          </w:p>
        </w:tc>
        <w:tc>
          <w:tcPr>
            <w:tcW w:w="1361" w:type="dxa"/>
            <w:vAlign w:val="center"/>
          </w:tcPr>
          <w:p>
            <w:pPr>
              <w:pStyle w:val="13"/>
            </w:pPr>
            <w:r>
              <w:t>61.60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303.69</w:t>
            </w:r>
          </w:p>
        </w:tc>
        <w:tc>
          <w:tcPr>
            <w:tcW w:w="1361" w:type="dxa"/>
            <w:vAlign w:val="center"/>
          </w:tcPr>
          <w:p>
            <w:pPr>
              <w:pStyle w:val="13"/>
            </w:pPr>
            <w:r>
              <w:t>242.09</w:t>
            </w:r>
          </w:p>
        </w:tc>
        <w:tc>
          <w:tcPr>
            <w:tcW w:w="1361" w:type="dxa"/>
            <w:vAlign w:val="center"/>
          </w:tcPr>
          <w:p>
            <w:pPr>
              <w:pStyle w:val="13"/>
            </w:pPr>
            <w:r>
              <w:t>61.60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243.69</w:t>
            </w:r>
          </w:p>
        </w:tc>
        <w:tc>
          <w:tcPr>
            <w:tcW w:w="1361" w:type="dxa"/>
            <w:vAlign w:val="center"/>
          </w:tcPr>
          <w:p>
            <w:pPr>
              <w:pStyle w:val="13"/>
            </w:pPr>
            <w:r>
              <w:t>242.09</w:t>
            </w:r>
          </w:p>
        </w:tc>
        <w:tc>
          <w:tcPr>
            <w:tcW w:w="1361" w:type="dxa"/>
            <w:vAlign w:val="center"/>
          </w:tcPr>
          <w:p>
            <w:pPr>
              <w:pStyle w:val="13"/>
            </w:pPr>
            <w:r>
              <w:t>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2010102</w:t>
            </w:r>
          </w:p>
        </w:tc>
        <w:tc>
          <w:tcPr>
            <w:tcW w:w="4535" w:type="dxa"/>
            <w:vAlign w:val="center"/>
          </w:tcPr>
          <w:p>
            <w:pPr>
              <w:pStyle w:val="14"/>
            </w:pPr>
            <w:r>
              <w:t>一般行政管理事务</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2010104</w:t>
            </w:r>
          </w:p>
        </w:tc>
        <w:tc>
          <w:tcPr>
            <w:tcW w:w="4535" w:type="dxa"/>
            <w:vAlign w:val="center"/>
          </w:tcPr>
          <w:p>
            <w:pPr>
              <w:pStyle w:val="14"/>
            </w:pPr>
            <w:r>
              <w:t>人大会议</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80.89</w:t>
            </w:r>
          </w:p>
        </w:tc>
        <w:tc>
          <w:tcPr>
            <w:tcW w:w="1361" w:type="dxa"/>
            <w:vAlign w:val="center"/>
          </w:tcPr>
          <w:p>
            <w:pPr>
              <w:pStyle w:val="13"/>
            </w:pPr>
            <w:r>
              <w:t>80.89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79.93</w:t>
            </w:r>
          </w:p>
        </w:tc>
        <w:tc>
          <w:tcPr>
            <w:tcW w:w="1361" w:type="dxa"/>
            <w:vAlign w:val="center"/>
          </w:tcPr>
          <w:p>
            <w:pPr>
              <w:pStyle w:val="13"/>
            </w:pPr>
            <w:r>
              <w:t>79.93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49.56</w:t>
            </w:r>
          </w:p>
        </w:tc>
        <w:tc>
          <w:tcPr>
            <w:tcW w:w="1361" w:type="dxa"/>
            <w:vAlign w:val="center"/>
          </w:tcPr>
          <w:p>
            <w:pPr>
              <w:pStyle w:val="13"/>
            </w:pPr>
            <w:r>
              <w:t>49.56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30.37</w:t>
            </w:r>
          </w:p>
        </w:tc>
        <w:tc>
          <w:tcPr>
            <w:tcW w:w="1361" w:type="dxa"/>
            <w:vAlign w:val="center"/>
          </w:tcPr>
          <w:p>
            <w:pPr>
              <w:pStyle w:val="13"/>
            </w:pPr>
            <w:r>
              <w:t>30.37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0.95</w:t>
            </w:r>
          </w:p>
        </w:tc>
        <w:tc>
          <w:tcPr>
            <w:tcW w:w="1361" w:type="dxa"/>
            <w:vAlign w:val="center"/>
          </w:tcPr>
          <w:p>
            <w:pPr>
              <w:pStyle w:val="13"/>
            </w:pPr>
            <w:r>
              <w:t>0.95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0.95</w:t>
            </w:r>
          </w:p>
        </w:tc>
        <w:tc>
          <w:tcPr>
            <w:tcW w:w="1361" w:type="dxa"/>
            <w:vAlign w:val="center"/>
          </w:tcPr>
          <w:p>
            <w:pPr>
              <w:pStyle w:val="13"/>
            </w:pPr>
            <w:r>
              <w:t>0.95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25.60</w:t>
            </w:r>
          </w:p>
        </w:tc>
        <w:tc>
          <w:tcPr>
            <w:tcW w:w="1361" w:type="dxa"/>
            <w:vAlign w:val="center"/>
          </w:tcPr>
          <w:p>
            <w:pPr>
              <w:pStyle w:val="13"/>
            </w:pPr>
            <w:r>
              <w:t>25.60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25.60</w:t>
            </w:r>
          </w:p>
        </w:tc>
        <w:tc>
          <w:tcPr>
            <w:tcW w:w="1361" w:type="dxa"/>
            <w:vAlign w:val="center"/>
          </w:tcPr>
          <w:p>
            <w:pPr>
              <w:pStyle w:val="13"/>
            </w:pPr>
            <w:r>
              <w:t>25.60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12.13</w:t>
            </w:r>
          </w:p>
        </w:tc>
        <w:tc>
          <w:tcPr>
            <w:tcW w:w="1361" w:type="dxa"/>
            <w:vAlign w:val="center"/>
          </w:tcPr>
          <w:p>
            <w:pPr>
              <w:pStyle w:val="13"/>
            </w:pPr>
            <w:r>
              <w:t>12.13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13.47</w:t>
            </w:r>
          </w:p>
        </w:tc>
        <w:tc>
          <w:tcPr>
            <w:tcW w:w="1361" w:type="dxa"/>
            <w:vAlign w:val="center"/>
          </w:tcPr>
          <w:p>
            <w:pPr>
              <w:pStyle w:val="13"/>
            </w:pPr>
            <w:r>
              <w:t>13.47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23.11</w:t>
            </w:r>
          </w:p>
        </w:tc>
        <w:tc>
          <w:tcPr>
            <w:tcW w:w="1361" w:type="dxa"/>
            <w:vAlign w:val="center"/>
          </w:tcPr>
          <w:p>
            <w:pPr>
              <w:pStyle w:val="13"/>
            </w:pPr>
            <w:r>
              <w:t>23.11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23.11</w:t>
            </w:r>
          </w:p>
        </w:tc>
        <w:tc>
          <w:tcPr>
            <w:tcW w:w="1361" w:type="dxa"/>
            <w:vAlign w:val="center"/>
          </w:tcPr>
          <w:p>
            <w:pPr>
              <w:pStyle w:val="13"/>
            </w:pPr>
            <w:r>
              <w:t>23.11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23.11</w:t>
            </w:r>
          </w:p>
        </w:tc>
        <w:tc>
          <w:tcPr>
            <w:tcW w:w="1361" w:type="dxa"/>
            <w:vAlign w:val="center"/>
          </w:tcPr>
          <w:p>
            <w:pPr>
              <w:pStyle w:val="13"/>
            </w:pPr>
            <w:r>
              <w:t>23.11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101人大部门</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433.29</w:t>
            </w:r>
          </w:p>
        </w:tc>
        <w:tc>
          <w:tcPr>
            <w:tcW w:w="3402" w:type="dxa"/>
            <w:vAlign w:val="center"/>
          </w:tcPr>
          <w:p>
            <w:pPr>
              <w:pStyle w:val="14"/>
            </w:pPr>
            <w:r>
              <w:t>一、一般公共服务支出</w:t>
            </w:r>
          </w:p>
        </w:tc>
        <w:tc>
          <w:tcPr>
            <w:tcW w:w="1474" w:type="dxa"/>
            <w:vAlign w:val="center"/>
          </w:tcPr>
          <w:p>
            <w:pPr>
              <w:pStyle w:val="13"/>
            </w:pPr>
            <w:r>
              <w:t>303.69</w:t>
            </w:r>
          </w:p>
        </w:tc>
        <w:tc>
          <w:tcPr>
            <w:tcW w:w="1474" w:type="dxa"/>
            <w:vAlign w:val="center"/>
          </w:tcPr>
          <w:p>
            <w:pPr>
              <w:pStyle w:val="13"/>
            </w:pPr>
            <w:r>
              <w:t>303.69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80.89</w:t>
            </w:r>
          </w:p>
        </w:tc>
        <w:tc>
          <w:tcPr>
            <w:tcW w:w="1474" w:type="dxa"/>
            <w:vAlign w:val="center"/>
          </w:tcPr>
          <w:p>
            <w:pPr>
              <w:pStyle w:val="13"/>
            </w:pPr>
            <w:r>
              <w:t>80.89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25.60</w:t>
            </w:r>
          </w:p>
        </w:tc>
        <w:tc>
          <w:tcPr>
            <w:tcW w:w="1474" w:type="dxa"/>
            <w:vAlign w:val="center"/>
          </w:tcPr>
          <w:p>
            <w:pPr>
              <w:pStyle w:val="13"/>
            </w:pPr>
            <w:r>
              <w:t>25.60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23.11</w:t>
            </w:r>
          </w:p>
        </w:tc>
        <w:tc>
          <w:tcPr>
            <w:tcW w:w="1474" w:type="dxa"/>
            <w:vAlign w:val="center"/>
          </w:tcPr>
          <w:p>
            <w:pPr>
              <w:pStyle w:val="13"/>
            </w:pPr>
            <w:r>
              <w:t>23.11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433.29</w:t>
            </w:r>
          </w:p>
        </w:tc>
        <w:tc>
          <w:tcPr>
            <w:tcW w:w="3402" w:type="dxa"/>
            <w:vAlign w:val="center"/>
          </w:tcPr>
          <w:p>
            <w:pPr>
              <w:pStyle w:val="16"/>
            </w:pPr>
            <w:r>
              <w:t>本年支出合计</w:t>
            </w:r>
          </w:p>
        </w:tc>
        <w:tc>
          <w:tcPr>
            <w:tcW w:w="1474" w:type="dxa"/>
            <w:vAlign w:val="center"/>
          </w:tcPr>
          <w:p>
            <w:pPr>
              <w:pStyle w:val="17"/>
            </w:pPr>
            <w:r>
              <w:t>433.29</w:t>
            </w:r>
          </w:p>
        </w:tc>
        <w:tc>
          <w:tcPr>
            <w:tcW w:w="1474" w:type="dxa"/>
            <w:vAlign w:val="center"/>
          </w:tcPr>
          <w:p>
            <w:pPr>
              <w:pStyle w:val="17"/>
            </w:pPr>
            <w:r>
              <w:t>433.29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433.29</w:t>
            </w:r>
          </w:p>
        </w:tc>
        <w:tc>
          <w:tcPr>
            <w:tcW w:w="3402" w:type="dxa"/>
            <w:vAlign w:val="center"/>
          </w:tcPr>
          <w:p>
            <w:pPr>
              <w:pStyle w:val="16"/>
            </w:pPr>
            <w:r>
              <w:t>支出总计</w:t>
            </w:r>
          </w:p>
        </w:tc>
        <w:tc>
          <w:tcPr>
            <w:tcW w:w="1474" w:type="dxa"/>
            <w:vAlign w:val="center"/>
          </w:tcPr>
          <w:p>
            <w:pPr>
              <w:pStyle w:val="17"/>
            </w:pPr>
            <w:r>
              <w:t>433.29</w:t>
            </w:r>
          </w:p>
        </w:tc>
        <w:tc>
          <w:tcPr>
            <w:tcW w:w="1474" w:type="dxa"/>
            <w:vAlign w:val="center"/>
          </w:tcPr>
          <w:p>
            <w:pPr>
              <w:pStyle w:val="17"/>
            </w:pPr>
            <w:r>
              <w:t>433.29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101人大部门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433.29</w:t>
            </w:r>
          </w:p>
        </w:tc>
        <w:tc>
          <w:tcPr>
            <w:tcW w:w="2551" w:type="dxa"/>
            <w:vAlign w:val="center"/>
          </w:tcPr>
          <w:p>
            <w:pPr>
              <w:pStyle w:val="17"/>
            </w:pPr>
            <w:r>
              <w:t>371.69</w:t>
            </w:r>
          </w:p>
        </w:tc>
        <w:tc>
          <w:tcPr>
            <w:tcW w:w="2551" w:type="dxa"/>
            <w:vAlign w:val="center"/>
          </w:tcPr>
          <w:p>
            <w:pPr>
              <w:pStyle w:val="17"/>
            </w:pPr>
            <w:r>
              <w:t>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303.69</w:t>
            </w:r>
          </w:p>
        </w:tc>
        <w:tc>
          <w:tcPr>
            <w:tcW w:w="2551" w:type="dxa"/>
            <w:vAlign w:val="center"/>
          </w:tcPr>
          <w:p>
            <w:pPr>
              <w:pStyle w:val="13"/>
            </w:pPr>
            <w:r>
              <w:t>242.09</w:t>
            </w:r>
          </w:p>
        </w:tc>
        <w:tc>
          <w:tcPr>
            <w:tcW w:w="2551" w:type="dxa"/>
            <w:vAlign w:val="center"/>
          </w:tcPr>
          <w:p>
            <w:pPr>
              <w:pStyle w:val="13"/>
            </w:pPr>
            <w:r>
              <w:t>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303.69</w:t>
            </w:r>
          </w:p>
        </w:tc>
        <w:tc>
          <w:tcPr>
            <w:tcW w:w="2551" w:type="dxa"/>
            <w:vAlign w:val="center"/>
          </w:tcPr>
          <w:p>
            <w:pPr>
              <w:pStyle w:val="13"/>
            </w:pPr>
            <w:r>
              <w:t>242.09</w:t>
            </w:r>
          </w:p>
        </w:tc>
        <w:tc>
          <w:tcPr>
            <w:tcW w:w="2551" w:type="dxa"/>
            <w:vAlign w:val="center"/>
          </w:tcPr>
          <w:p>
            <w:pPr>
              <w:pStyle w:val="13"/>
            </w:pPr>
            <w:r>
              <w:t>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243.69</w:t>
            </w:r>
          </w:p>
        </w:tc>
        <w:tc>
          <w:tcPr>
            <w:tcW w:w="2551" w:type="dxa"/>
            <w:vAlign w:val="center"/>
          </w:tcPr>
          <w:p>
            <w:pPr>
              <w:pStyle w:val="13"/>
            </w:pPr>
            <w:r>
              <w:t>242.09</w:t>
            </w: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2010102</w:t>
            </w:r>
          </w:p>
        </w:tc>
        <w:tc>
          <w:tcPr>
            <w:tcW w:w="4535" w:type="dxa"/>
            <w:vAlign w:val="center"/>
          </w:tcPr>
          <w:p>
            <w:pPr>
              <w:pStyle w:val="14"/>
            </w:pPr>
            <w:r>
              <w:t>一般行政管理事务</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2010104</w:t>
            </w:r>
          </w:p>
        </w:tc>
        <w:tc>
          <w:tcPr>
            <w:tcW w:w="4535" w:type="dxa"/>
            <w:vAlign w:val="center"/>
          </w:tcPr>
          <w:p>
            <w:pPr>
              <w:pStyle w:val="14"/>
            </w:pPr>
            <w:r>
              <w:t>人大会议</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80.89</w:t>
            </w:r>
          </w:p>
        </w:tc>
        <w:tc>
          <w:tcPr>
            <w:tcW w:w="2551" w:type="dxa"/>
            <w:vAlign w:val="center"/>
          </w:tcPr>
          <w:p>
            <w:pPr>
              <w:pStyle w:val="13"/>
            </w:pPr>
            <w:r>
              <w:t>80.89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79.93</w:t>
            </w:r>
          </w:p>
        </w:tc>
        <w:tc>
          <w:tcPr>
            <w:tcW w:w="2551" w:type="dxa"/>
            <w:vAlign w:val="center"/>
          </w:tcPr>
          <w:p>
            <w:pPr>
              <w:pStyle w:val="13"/>
            </w:pPr>
            <w:r>
              <w:t>79.93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49.56</w:t>
            </w:r>
          </w:p>
        </w:tc>
        <w:tc>
          <w:tcPr>
            <w:tcW w:w="2551" w:type="dxa"/>
            <w:vAlign w:val="center"/>
          </w:tcPr>
          <w:p>
            <w:pPr>
              <w:pStyle w:val="13"/>
            </w:pPr>
            <w:r>
              <w:t>49.56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30.37</w:t>
            </w:r>
          </w:p>
        </w:tc>
        <w:tc>
          <w:tcPr>
            <w:tcW w:w="2551" w:type="dxa"/>
            <w:vAlign w:val="center"/>
          </w:tcPr>
          <w:p>
            <w:pPr>
              <w:pStyle w:val="13"/>
            </w:pPr>
            <w:r>
              <w:t>30.37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0.95</w:t>
            </w:r>
          </w:p>
        </w:tc>
        <w:tc>
          <w:tcPr>
            <w:tcW w:w="2551" w:type="dxa"/>
            <w:vAlign w:val="center"/>
          </w:tcPr>
          <w:p>
            <w:pPr>
              <w:pStyle w:val="13"/>
            </w:pPr>
            <w:r>
              <w:t>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0.95</w:t>
            </w:r>
          </w:p>
        </w:tc>
        <w:tc>
          <w:tcPr>
            <w:tcW w:w="2551" w:type="dxa"/>
            <w:vAlign w:val="center"/>
          </w:tcPr>
          <w:p>
            <w:pPr>
              <w:pStyle w:val="13"/>
            </w:pPr>
            <w:r>
              <w:t>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25.60</w:t>
            </w:r>
          </w:p>
        </w:tc>
        <w:tc>
          <w:tcPr>
            <w:tcW w:w="2551" w:type="dxa"/>
            <w:vAlign w:val="center"/>
          </w:tcPr>
          <w:p>
            <w:pPr>
              <w:pStyle w:val="13"/>
            </w:pPr>
            <w:r>
              <w:t>25.60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25.60</w:t>
            </w:r>
          </w:p>
        </w:tc>
        <w:tc>
          <w:tcPr>
            <w:tcW w:w="2551" w:type="dxa"/>
            <w:vAlign w:val="center"/>
          </w:tcPr>
          <w:p>
            <w:pPr>
              <w:pStyle w:val="13"/>
            </w:pPr>
            <w:r>
              <w:t>25.60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12.13</w:t>
            </w:r>
          </w:p>
        </w:tc>
        <w:tc>
          <w:tcPr>
            <w:tcW w:w="2551" w:type="dxa"/>
            <w:vAlign w:val="center"/>
          </w:tcPr>
          <w:p>
            <w:pPr>
              <w:pStyle w:val="13"/>
            </w:pPr>
            <w:r>
              <w:t>12.13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13.47</w:t>
            </w:r>
          </w:p>
        </w:tc>
        <w:tc>
          <w:tcPr>
            <w:tcW w:w="2551" w:type="dxa"/>
            <w:vAlign w:val="center"/>
          </w:tcPr>
          <w:p>
            <w:pPr>
              <w:pStyle w:val="13"/>
            </w:pPr>
            <w:r>
              <w:t>13.47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23.11</w:t>
            </w:r>
          </w:p>
        </w:tc>
        <w:tc>
          <w:tcPr>
            <w:tcW w:w="2551" w:type="dxa"/>
            <w:vAlign w:val="center"/>
          </w:tcPr>
          <w:p>
            <w:pPr>
              <w:pStyle w:val="13"/>
            </w:pPr>
            <w:r>
              <w:t>23.11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23.11</w:t>
            </w:r>
          </w:p>
        </w:tc>
        <w:tc>
          <w:tcPr>
            <w:tcW w:w="2551" w:type="dxa"/>
            <w:vAlign w:val="center"/>
          </w:tcPr>
          <w:p>
            <w:pPr>
              <w:pStyle w:val="13"/>
            </w:pPr>
            <w:r>
              <w:t>23.11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23.11</w:t>
            </w:r>
          </w:p>
        </w:tc>
        <w:tc>
          <w:tcPr>
            <w:tcW w:w="2551" w:type="dxa"/>
            <w:vAlign w:val="center"/>
          </w:tcPr>
          <w:p>
            <w:pPr>
              <w:pStyle w:val="13"/>
            </w:pPr>
            <w:r>
              <w:t>23.11</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101人大部门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371.69</w:t>
            </w:r>
          </w:p>
        </w:tc>
        <w:tc>
          <w:tcPr>
            <w:tcW w:w="2551" w:type="dxa"/>
            <w:vAlign w:val="center"/>
          </w:tcPr>
          <w:p>
            <w:pPr>
              <w:pStyle w:val="17"/>
            </w:pPr>
            <w:r>
              <w:t>334.16</w:t>
            </w:r>
          </w:p>
        </w:tc>
        <w:tc>
          <w:tcPr>
            <w:tcW w:w="2551" w:type="dxa"/>
            <w:vAlign w:val="center"/>
          </w:tcPr>
          <w:p>
            <w:pPr>
              <w:pStyle w:val="17"/>
            </w:pPr>
            <w:r>
              <w:t>37.53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287.25</w:t>
            </w:r>
          </w:p>
        </w:tc>
        <w:tc>
          <w:tcPr>
            <w:tcW w:w="2551" w:type="dxa"/>
            <w:vAlign w:val="center"/>
          </w:tcPr>
          <w:p>
            <w:pPr>
              <w:pStyle w:val="13"/>
            </w:pPr>
            <w:r>
              <w:t>287.25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103.57</w:t>
            </w:r>
          </w:p>
        </w:tc>
        <w:tc>
          <w:tcPr>
            <w:tcW w:w="2551" w:type="dxa"/>
            <w:vAlign w:val="center"/>
          </w:tcPr>
          <w:p>
            <w:pPr>
              <w:pStyle w:val="13"/>
            </w:pPr>
            <w:r>
              <w:t>103.57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82.14</w:t>
            </w:r>
          </w:p>
        </w:tc>
        <w:tc>
          <w:tcPr>
            <w:tcW w:w="2551" w:type="dxa"/>
            <w:vAlign w:val="center"/>
          </w:tcPr>
          <w:p>
            <w:pPr>
              <w:pStyle w:val="13"/>
            </w:pPr>
            <w:r>
              <w:t>82.14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21.56</w:t>
            </w:r>
          </w:p>
        </w:tc>
        <w:tc>
          <w:tcPr>
            <w:tcW w:w="2551" w:type="dxa"/>
            <w:vAlign w:val="center"/>
          </w:tcPr>
          <w:p>
            <w:pPr>
              <w:pStyle w:val="13"/>
            </w:pPr>
            <w:r>
              <w:t>21.56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30.37</w:t>
            </w:r>
          </w:p>
        </w:tc>
        <w:tc>
          <w:tcPr>
            <w:tcW w:w="2551" w:type="dxa"/>
            <w:vAlign w:val="center"/>
          </w:tcPr>
          <w:p>
            <w:pPr>
              <w:pStyle w:val="13"/>
            </w:pPr>
            <w:r>
              <w:t>30.37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12.13</w:t>
            </w:r>
          </w:p>
        </w:tc>
        <w:tc>
          <w:tcPr>
            <w:tcW w:w="2551" w:type="dxa"/>
            <w:vAlign w:val="center"/>
          </w:tcPr>
          <w:p>
            <w:pPr>
              <w:pStyle w:val="13"/>
            </w:pPr>
            <w:r>
              <w:t>12.13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13.47</w:t>
            </w:r>
          </w:p>
        </w:tc>
        <w:tc>
          <w:tcPr>
            <w:tcW w:w="2551" w:type="dxa"/>
            <w:vAlign w:val="center"/>
          </w:tcPr>
          <w:p>
            <w:pPr>
              <w:pStyle w:val="13"/>
            </w:pPr>
            <w:r>
              <w:t>13.47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0.90</w:t>
            </w:r>
          </w:p>
        </w:tc>
        <w:tc>
          <w:tcPr>
            <w:tcW w:w="2551" w:type="dxa"/>
            <w:vAlign w:val="center"/>
          </w:tcPr>
          <w:p>
            <w:pPr>
              <w:pStyle w:val="13"/>
            </w:pPr>
            <w:r>
              <w:t>0.90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23.11</w:t>
            </w:r>
          </w:p>
        </w:tc>
        <w:tc>
          <w:tcPr>
            <w:tcW w:w="2551" w:type="dxa"/>
            <w:vAlign w:val="center"/>
          </w:tcPr>
          <w:p>
            <w:pPr>
              <w:pStyle w:val="13"/>
            </w:pPr>
            <w:r>
              <w:t>23.11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37.24</w:t>
            </w:r>
          </w:p>
        </w:tc>
        <w:tc>
          <w:tcPr>
            <w:tcW w:w="2551" w:type="dxa"/>
            <w:vAlign w:val="center"/>
          </w:tcPr>
          <w:p>
            <w:pPr>
              <w:pStyle w:val="13"/>
            </w:pPr>
          </w:p>
        </w:tc>
        <w:tc>
          <w:tcPr>
            <w:tcW w:w="2551" w:type="dxa"/>
            <w:vAlign w:val="center"/>
          </w:tcPr>
          <w:p>
            <w:pPr>
              <w:pStyle w:val="13"/>
            </w:pPr>
            <w:r>
              <w:t>37.24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3.10</w:t>
            </w:r>
          </w:p>
        </w:tc>
        <w:tc>
          <w:tcPr>
            <w:tcW w:w="2551" w:type="dxa"/>
            <w:vAlign w:val="center"/>
          </w:tcPr>
          <w:p>
            <w:pPr>
              <w:pStyle w:val="13"/>
            </w:pPr>
          </w:p>
        </w:tc>
        <w:tc>
          <w:tcPr>
            <w:tcW w:w="2551" w:type="dxa"/>
            <w:vAlign w:val="center"/>
          </w:tcPr>
          <w:p>
            <w:pPr>
              <w:pStyle w:val="13"/>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0.14</w:t>
            </w:r>
          </w:p>
        </w:tc>
        <w:tc>
          <w:tcPr>
            <w:tcW w:w="2551" w:type="dxa"/>
            <w:vAlign w:val="center"/>
          </w:tcPr>
          <w:p>
            <w:pPr>
              <w:pStyle w:val="13"/>
            </w:pPr>
          </w:p>
        </w:tc>
        <w:tc>
          <w:tcPr>
            <w:tcW w:w="2551"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0.72</w:t>
            </w:r>
          </w:p>
        </w:tc>
        <w:tc>
          <w:tcPr>
            <w:tcW w:w="2551" w:type="dxa"/>
            <w:vAlign w:val="center"/>
          </w:tcPr>
          <w:p>
            <w:pPr>
              <w:pStyle w:val="13"/>
            </w:pPr>
          </w:p>
        </w:tc>
        <w:tc>
          <w:tcPr>
            <w:tcW w:w="2551"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2.16</w:t>
            </w:r>
          </w:p>
        </w:tc>
        <w:tc>
          <w:tcPr>
            <w:tcW w:w="2551" w:type="dxa"/>
            <w:vAlign w:val="center"/>
          </w:tcPr>
          <w:p>
            <w:pPr>
              <w:pStyle w:val="13"/>
            </w:pPr>
          </w:p>
        </w:tc>
        <w:tc>
          <w:tcPr>
            <w:tcW w:w="2551" w:type="dxa"/>
            <w:vAlign w:val="center"/>
          </w:tcPr>
          <w:p>
            <w:pPr>
              <w:pStyle w:val="13"/>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0.44</w:t>
            </w:r>
          </w:p>
        </w:tc>
        <w:tc>
          <w:tcPr>
            <w:tcW w:w="2551" w:type="dxa"/>
            <w:vAlign w:val="center"/>
          </w:tcPr>
          <w:p>
            <w:pPr>
              <w:pStyle w:val="13"/>
            </w:pPr>
          </w:p>
        </w:tc>
        <w:tc>
          <w:tcPr>
            <w:tcW w:w="2551" w:type="dxa"/>
            <w:vAlign w:val="center"/>
          </w:tcPr>
          <w:p>
            <w:pPr>
              <w:pStyle w:val="13"/>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1.55</w:t>
            </w:r>
          </w:p>
        </w:tc>
        <w:tc>
          <w:tcPr>
            <w:tcW w:w="2551" w:type="dxa"/>
            <w:vAlign w:val="center"/>
          </w:tcPr>
          <w:p>
            <w:pPr>
              <w:pStyle w:val="13"/>
            </w:pPr>
          </w:p>
        </w:tc>
        <w:tc>
          <w:tcPr>
            <w:tcW w:w="2551" w:type="dxa"/>
            <w:vAlign w:val="center"/>
          </w:tcPr>
          <w:p>
            <w:pPr>
              <w:pStyle w:val="13"/>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0.17</w:t>
            </w:r>
          </w:p>
        </w:tc>
        <w:tc>
          <w:tcPr>
            <w:tcW w:w="2551" w:type="dxa"/>
            <w:vAlign w:val="center"/>
          </w:tcPr>
          <w:p>
            <w:pPr>
              <w:pStyle w:val="13"/>
            </w:pPr>
          </w:p>
        </w:tc>
        <w:tc>
          <w:tcPr>
            <w:tcW w:w="2551" w:type="dxa"/>
            <w:vAlign w:val="center"/>
          </w:tcPr>
          <w:p>
            <w:pPr>
              <w:pStyle w:val="13"/>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3.59</w:t>
            </w:r>
          </w:p>
        </w:tc>
        <w:tc>
          <w:tcPr>
            <w:tcW w:w="2551" w:type="dxa"/>
            <w:vAlign w:val="center"/>
          </w:tcPr>
          <w:p>
            <w:pPr>
              <w:pStyle w:val="13"/>
            </w:pPr>
          </w:p>
        </w:tc>
        <w:tc>
          <w:tcPr>
            <w:tcW w:w="2551" w:type="dxa"/>
            <w:vAlign w:val="center"/>
          </w:tcPr>
          <w:p>
            <w:pPr>
              <w:pStyle w:val="13"/>
            </w:pPr>
            <w:r>
              <w:t>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2.59</w:t>
            </w:r>
          </w:p>
        </w:tc>
        <w:tc>
          <w:tcPr>
            <w:tcW w:w="2551" w:type="dxa"/>
            <w:vAlign w:val="center"/>
          </w:tcPr>
          <w:p>
            <w:pPr>
              <w:pStyle w:val="13"/>
            </w:pPr>
          </w:p>
        </w:tc>
        <w:tc>
          <w:tcPr>
            <w:tcW w:w="2551" w:type="dxa"/>
            <w:vAlign w:val="center"/>
          </w:tcPr>
          <w:p>
            <w:pPr>
              <w:pStyle w:val="13"/>
            </w:pPr>
            <w:r>
              <w:t>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16.13</w:t>
            </w:r>
          </w:p>
        </w:tc>
        <w:tc>
          <w:tcPr>
            <w:tcW w:w="2551" w:type="dxa"/>
            <w:vAlign w:val="center"/>
          </w:tcPr>
          <w:p>
            <w:pPr>
              <w:pStyle w:val="13"/>
            </w:pPr>
          </w:p>
        </w:tc>
        <w:tc>
          <w:tcPr>
            <w:tcW w:w="2551" w:type="dxa"/>
            <w:vAlign w:val="center"/>
          </w:tcPr>
          <w:p>
            <w:pPr>
              <w:pStyle w:val="13"/>
            </w:pPr>
            <w:r>
              <w:t>16.13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4.25</w:t>
            </w:r>
          </w:p>
        </w:tc>
        <w:tc>
          <w:tcPr>
            <w:tcW w:w="2551" w:type="dxa"/>
            <w:vAlign w:val="center"/>
          </w:tcPr>
          <w:p>
            <w:pPr>
              <w:pStyle w:val="13"/>
            </w:pPr>
          </w:p>
        </w:tc>
        <w:tc>
          <w:tcPr>
            <w:tcW w:w="2551" w:type="dxa"/>
            <w:vAlign w:val="center"/>
          </w:tcPr>
          <w:p>
            <w:pPr>
              <w:pStyle w:val="13"/>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46.91</w:t>
            </w:r>
          </w:p>
        </w:tc>
        <w:tc>
          <w:tcPr>
            <w:tcW w:w="2551" w:type="dxa"/>
            <w:vAlign w:val="center"/>
          </w:tcPr>
          <w:p>
            <w:pPr>
              <w:pStyle w:val="13"/>
            </w:pPr>
            <w:r>
              <w:t>46.91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13.66</w:t>
            </w:r>
          </w:p>
        </w:tc>
        <w:tc>
          <w:tcPr>
            <w:tcW w:w="2551" w:type="dxa"/>
            <w:vAlign w:val="center"/>
          </w:tcPr>
          <w:p>
            <w:pPr>
              <w:pStyle w:val="13"/>
            </w:pPr>
            <w:r>
              <w:t>13.66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32.05</w:t>
            </w:r>
          </w:p>
        </w:tc>
        <w:tc>
          <w:tcPr>
            <w:tcW w:w="2551" w:type="dxa"/>
            <w:vAlign w:val="center"/>
          </w:tcPr>
          <w:p>
            <w:pPr>
              <w:pStyle w:val="13"/>
            </w:pPr>
            <w:r>
              <w:t>32.05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0.95</w:t>
            </w:r>
          </w:p>
        </w:tc>
        <w:tc>
          <w:tcPr>
            <w:tcW w:w="2551" w:type="dxa"/>
            <w:vAlign w:val="center"/>
          </w:tcPr>
          <w:p>
            <w:pPr>
              <w:pStyle w:val="13"/>
            </w:pPr>
            <w:r>
              <w:t>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0.22</w:t>
            </w:r>
          </w:p>
        </w:tc>
        <w:tc>
          <w:tcPr>
            <w:tcW w:w="2551" w:type="dxa"/>
            <w:vAlign w:val="center"/>
          </w:tcPr>
          <w:p>
            <w:pPr>
              <w:pStyle w:val="13"/>
            </w:pPr>
            <w:r>
              <w:t>0.22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0.29</w:t>
            </w:r>
          </w:p>
        </w:tc>
        <w:tc>
          <w:tcPr>
            <w:tcW w:w="2551" w:type="dxa"/>
            <w:vAlign w:val="center"/>
          </w:tcPr>
          <w:p>
            <w:pPr>
              <w:pStyle w:val="13"/>
            </w:pPr>
          </w:p>
        </w:tc>
        <w:tc>
          <w:tcPr>
            <w:tcW w:w="2551" w:type="dxa"/>
            <w:vAlign w:val="center"/>
          </w:tcPr>
          <w:p>
            <w:pPr>
              <w:pStyle w:val="13"/>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0.29</w:t>
            </w:r>
          </w:p>
        </w:tc>
        <w:tc>
          <w:tcPr>
            <w:tcW w:w="2551" w:type="dxa"/>
            <w:vAlign w:val="center"/>
          </w:tcPr>
          <w:p>
            <w:pPr>
              <w:pStyle w:val="13"/>
            </w:pPr>
          </w:p>
        </w:tc>
        <w:tc>
          <w:tcPr>
            <w:tcW w:w="2551" w:type="dxa"/>
            <w:vAlign w:val="center"/>
          </w:tcPr>
          <w:p>
            <w:pPr>
              <w:pStyle w:val="13"/>
            </w:pPr>
            <w:r>
              <w:t>0.29</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101人大部门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101人大部门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101人大部门</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人大部门2023年部门预算信息公开情况说明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人大部门2023年部门预算信息公开情况说明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bookmarkStart w:id="18" w:name="_GoBack"/>
      <w:bookmarkEnd w:id="18"/>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》、《地方预决算公开操作规程》和《关于进一步推进预算公开工作的实施意见》规定，现将人大部门2023年部门预算公开如下：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根据《人大部门职能配置、内设机构和人员编制规定》，人大部门的主要职责是：</w:t>
      </w:r>
    </w:p>
    <w:p>
      <w:pPr>
        <w:pStyle w:val="19"/>
      </w:pPr>
      <w:r>
        <w:t>山海关区人大常委会是本级人民代表大会常设机关。</w:t>
      </w:r>
    </w:p>
    <w:p>
      <w:pPr>
        <w:pStyle w:val="19"/>
      </w:pPr>
      <w:r>
        <w:t>（一）在本行政区域内，保证宪法、法律、行政法规和上级人民代表大会及其常务委员会决议的遵守和执行。</w:t>
      </w:r>
    </w:p>
    <w:p>
      <w:pPr>
        <w:pStyle w:val="19"/>
      </w:pPr>
      <w:r>
        <w:t>（二）领导或主持本级人民代表大会代表的选举。</w:t>
      </w:r>
    </w:p>
    <w:p>
      <w:pPr>
        <w:pStyle w:val="19"/>
      </w:pPr>
      <w:r>
        <w:t>（三）召开本级人民代表大会会议。</w:t>
      </w:r>
    </w:p>
    <w:p>
      <w:pPr>
        <w:pStyle w:val="19"/>
      </w:pPr>
      <w:r>
        <w:t>（四）讨论、决定本行政区域内的政法、经济、教育、科学、文化、卫生、环境和资源保护、民政、民族等工作的重大事项。</w:t>
      </w:r>
    </w:p>
    <w:p>
      <w:pPr>
        <w:pStyle w:val="19"/>
      </w:pPr>
      <w:r>
        <w:t>（五）根据本级人民政府的建议，决定对本行政区域内的国民经济和社会发展计划、预算的部分变更。</w:t>
      </w:r>
    </w:p>
    <w:p>
      <w:pPr>
        <w:pStyle w:val="19"/>
      </w:pPr>
      <w:r>
        <w:t>（六）监督本级人民政府、人民法院和人民检察院的工作，联系本级人民代表大会代表，受理人民群众对上述机关和国家工作人员的申诉工作和意见。</w:t>
      </w:r>
    </w:p>
    <w:p>
      <w:pPr>
        <w:pStyle w:val="19"/>
      </w:pPr>
      <w:r>
        <w:t>（七）撤销下一级人民代表大会及其常务委员会不适当的决议。</w:t>
      </w:r>
    </w:p>
    <w:p>
      <w:pPr>
        <w:pStyle w:val="19"/>
      </w:pPr>
      <w:r>
        <w:t>（八）撤销本级人民政府不适当的决定和命令。</w:t>
      </w:r>
    </w:p>
    <w:p>
      <w:pPr>
        <w:pStyle w:val="19"/>
      </w:pPr>
      <w:r>
        <w:t>（九）在本级人民代表大会闭会期间，决定副区长的个别任免；在区长和人民法院院长、人民检察院检察长因故不能提任职务时，从本级人民政府、人民法院、人民检察院副职领导人员中决定代理人选；决定代理检察长，经报上一级检察院和人民代表大会常务委员会备案。</w:t>
      </w:r>
    </w:p>
    <w:p>
      <w:pPr>
        <w:pStyle w:val="19"/>
      </w:pPr>
      <w:r>
        <w:t>（十）根据区长的提名，决定本级人民政府办公室主任、局长、委员会主任的任免，报上一级人民政府备案。</w:t>
      </w:r>
    </w:p>
    <w:p>
      <w:pPr>
        <w:pStyle w:val="19"/>
      </w:pPr>
      <w:r>
        <w:t>（十一）按照人民法院组织法和人民检察院组织法的规定，任免人民法院副院长、庭长、副庭长、审判委员会委员、审判长，任免人民检察院副检察长、监察委员会委员、检察员。</w:t>
      </w:r>
    </w:p>
    <w:p>
      <w:pPr>
        <w:pStyle w:val="19"/>
      </w:pPr>
      <w:r>
        <w:t>（十二）在本级人民代表大会闭会期间，决定撤销个别副区长的职务；决定撤销由它任命的本级人民政府其他组成人员和人民法院副院长、庭长、副庭长、审判委员会委员、审判员，人民检察院副检察长、检查委员会委员、检察员的职务。</w:t>
      </w:r>
    </w:p>
    <w:p>
      <w:pPr>
        <w:pStyle w:val="19"/>
      </w:pPr>
      <w:r>
        <w:t>（十三）在本级人民代表大会闭会期间，补选上一级人民代表大会缺额的代表和罢免个别代表。</w:t>
      </w:r>
    </w:p>
    <w:p>
      <w:pPr>
        <w:pStyle w:val="19"/>
      </w:pPr>
      <w:r>
        <w:t>（十四）决定授予地方的荣誉称号。</w:t>
      </w:r>
    </w:p>
    <w:p>
      <w:pPr>
        <w:spacing w:before="0" w:after="0" w:line="240" w:lineRule="auto"/>
        <w:ind w:firstLine="640"/>
        <w:jc w:val="left"/>
        <w:outlineLvl w:val="9"/>
        <w:rPr>
          <w:b w:val="0"/>
          <w:bCs/>
        </w:rPr>
      </w:pPr>
      <w:r>
        <w:rPr>
          <w:rFonts w:ascii="方正楷体_GBK" w:hAnsi="方正楷体_GBK" w:eastAsia="方正楷体_GBK" w:cs="方正楷体_GBK"/>
          <w:b w:val="0"/>
          <w:bCs/>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人大部门秦皇岛市山海关区人民代表大会常务委员会本级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pStyle w:val="20"/>
      </w:pPr>
      <w:r>
        <w:t>按照预算管理有关规定，目前我区部门预算的编制实行综合预算制度，即全部收入和支出都反映在预算中。山海关区人大机关及所属事业单位的收支包含在部门预算中。</w:t>
      </w:r>
    </w:p>
    <w:p>
      <w:pPr>
        <w:pStyle w:val="20"/>
      </w:pPr>
      <w:r>
        <w:t>1、收入说明</w:t>
      </w:r>
    </w:p>
    <w:p>
      <w:pPr>
        <w:pStyle w:val="20"/>
      </w:pPr>
      <w:r>
        <w:t>反映本部门当年全部收入。2023年预算收入为433.29万元。本年收入为433.29万元，其中：一般公共预算拨款433.29万元，基金预算拨款0万元，国有资本经营预算拨款0万元；上年结转结余为0万元，其中：一般公共预算拨款0万元，基金预算拨款0万元，国有资本经营预算拨款0万元 。</w:t>
      </w:r>
    </w:p>
    <w:p>
      <w:pPr>
        <w:pStyle w:val="20"/>
      </w:pPr>
      <w:r>
        <w:t>2、支出说明</w:t>
      </w:r>
    </w:p>
    <w:p>
      <w:pPr>
        <w:pStyle w:val="20"/>
      </w:pPr>
      <w:r>
        <w:t>收支预算总表支出栏、基本支出表、项目支出表按经济分类和支出功能分类科目编制，反映山海关区2023年度部门预算中支出预算的总体情况。2023年预算支出为433.29万元，其中：基本支出371.69万元，主要是人员经费334.16万元和日常公用经费37.53万元；项目支出61.6万元，主要为主要为代表活动费10.00万元；人大会议20.00万元；车辆保险费1.60万元；综合事务管理费30.00万元。</w:t>
      </w:r>
    </w:p>
    <w:p>
      <w:pPr>
        <w:pStyle w:val="20"/>
      </w:pPr>
      <w:r>
        <w:t>3、比上年增减情况</w:t>
      </w:r>
    </w:p>
    <w:p>
      <w:pPr>
        <w:pStyle w:val="20"/>
      </w:pPr>
      <w:r>
        <w:t>2023年预算支出安排433.29万元，较2022年预算减少56.82万元，其中：基本支出减少55.67万元，主要为日常人员经费减少；项目支出减少1.15万元，主要为市拨人大代表活动费减少。</w:t>
      </w:r>
    </w:p>
    <w:p>
      <w:pPr>
        <w:spacing w:before="10" w:after="10" w:line="360" w:lineRule="auto"/>
        <w:ind w:firstLine="640"/>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1"/>
      </w:pPr>
      <w:r>
        <w:t>机关运行经费共计安排37.53万元，主要用于机关办公区的办公及印刷费、邮电费、公务用车运行维护费等日常运行支出。其中：办公及印刷费3.24万元、邮电费1.44万元、福利费2.59万元、公务交通补贴16.13万元，培训费1.55万元，离退休干部经费3.85万元，工会经费2.16万元，公务用车运行维护费以及其他费用6.57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8.48万元，与上年相比，减少0.02万元。其中：因公出国（境）费0万元，与上年持平，无增减变化；公务用车购置及运行维护费8.00万元（其中：公务用车购置费为0万元，公务用车运行维护费8.00万元），公务用车购置费与上年持平，无增减变化；公务用车运行维护费8.00万元，与上年持平，无增减变化；公务接待费0.48万元，与上年相比，减少0.02万元，主要是厉行节约，压缩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pStyle w:val="23"/>
      </w:pPr>
      <w:r>
        <w:t>一、总体绩效目标</w:t>
      </w:r>
    </w:p>
    <w:p>
      <w:pPr>
        <w:pStyle w:val="23"/>
      </w:pPr>
      <w:r>
        <w:t xml:space="preserve">1、加强对权力运行的制约监督，推动区委重大决策部署的贯彻落实。 </w:t>
      </w:r>
    </w:p>
    <w:p>
      <w:pPr>
        <w:pStyle w:val="23"/>
      </w:pPr>
      <w:r>
        <w:t>2、做好会议的服务保障工作，确保会议顺利进行，达到预期目标。</w:t>
      </w:r>
    </w:p>
    <w:p>
      <w:pPr>
        <w:pStyle w:val="23"/>
      </w:pPr>
      <w:r>
        <w:t>3、发挥好常委会组成人员、专门委员会委员和代表的履职积极性。密切对代表的联系，组织专门委员会成员、代表列席常委会会议，坚持向代表通报常委会会议情况。</w:t>
      </w:r>
    </w:p>
    <w:p>
      <w:pPr>
        <w:pStyle w:val="23"/>
      </w:pPr>
      <w:r>
        <w:t>4、改进文风会风，提高常委会议事质量。常委会会议议题要在听取群众意见的基础上依法确定，加强会前的视察调研，严格落实议事规则，完善审议程序，切实提出有针对性的意见建议。</w:t>
      </w:r>
    </w:p>
    <w:p>
      <w:pPr>
        <w:pStyle w:val="23"/>
      </w:pPr>
      <w:r>
        <w:t>5、全面推进机关思想建设、组织建设、作风建设、制度建设和廉政建设，提高机关管理的科学化水平。</w:t>
      </w:r>
    </w:p>
    <w:p>
      <w:pPr>
        <w:pStyle w:val="24"/>
      </w:pPr>
      <w:r>
        <w:t>二、分项绩效目标</w:t>
      </w:r>
    </w:p>
    <w:p>
      <w:pPr>
        <w:pStyle w:val="24"/>
      </w:pPr>
      <w:r>
        <w:t>职责分类绩效目标情况说明：</w:t>
      </w:r>
    </w:p>
    <w:p>
      <w:pPr>
        <w:pStyle w:val="24"/>
      </w:pPr>
      <w:r>
        <w:rPr>
          <w:rFonts w:hint="eastAsia"/>
          <w:lang w:eastAsia="zh-CN"/>
        </w:rPr>
        <w:t>（</w:t>
      </w:r>
      <w:r>
        <w:rPr>
          <w:rFonts w:hint="eastAsia"/>
          <w:lang w:val="en-US" w:eastAsia="zh-CN"/>
        </w:rPr>
        <w:t>一</w:t>
      </w:r>
      <w:r>
        <w:rPr>
          <w:rFonts w:hint="eastAsia"/>
          <w:lang w:eastAsia="zh-CN"/>
        </w:rPr>
        <w:t>）</w:t>
      </w:r>
      <w:r>
        <w:t>保障宪法和法律有效实施；发挥常委及代表的桥梁纽带作用，集中反映民意，促进依法履职。</w:t>
      </w:r>
    </w:p>
    <w:p>
      <w:pPr>
        <w:pStyle w:val="24"/>
      </w:pPr>
      <w:r>
        <w:t>重要工作参与率：反映重要工作的参与情况</w:t>
      </w:r>
    </w:p>
    <w:p>
      <w:pPr>
        <w:pStyle w:val="24"/>
        <w:rPr>
          <w:rFonts w:hint="eastAsia" w:eastAsia="方正仿宋_GBK"/>
          <w:lang w:eastAsia="zh-CN"/>
        </w:rPr>
      </w:pPr>
      <w:r>
        <w:t>执法检查、视察等监督工作完成率</w:t>
      </w:r>
      <w:r>
        <w:tab/>
      </w:r>
      <w:r>
        <w:t>：反映年度执法检查和集中视察等监督工作完成情况</w:t>
      </w:r>
      <w:r>
        <w:rPr>
          <w:rFonts w:hint="eastAsia"/>
          <w:lang w:eastAsia="zh-CN"/>
        </w:rPr>
        <w:t>。</w:t>
      </w:r>
    </w:p>
    <w:p>
      <w:pPr>
        <w:pStyle w:val="24"/>
      </w:pPr>
      <w:r>
        <w:t>建议督办完成率</w:t>
      </w:r>
      <w:r>
        <w:tab/>
      </w:r>
      <w:r>
        <w:t>：反映建议督办的完成情况。</w:t>
      </w:r>
    </w:p>
    <w:p>
      <w:pPr>
        <w:pStyle w:val="24"/>
        <w:rPr>
          <w:rFonts w:hint="eastAsia" w:eastAsia="方正仿宋_GBK"/>
          <w:lang w:eastAsia="zh-CN"/>
        </w:rPr>
      </w:pPr>
      <w:r>
        <w:t>调研计划完成率</w:t>
      </w:r>
      <w:r>
        <w:tab/>
      </w:r>
      <w:r>
        <w:t>：反映调研计划完成情况</w:t>
      </w:r>
      <w:r>
        <w:rPr>
          <w:rFonts w:hint="eastAsia"/>
          <w:lang w:eastAsia="zh-CN"/>
        </w:rPr>
        <w:t>。</w:t>
      </w:r>
    </w:p>
    <w:p>
      <w:pPr>
        <w:pStyle w:val="24"/>
        <w:rPr>
          <w:rFonts w:hint="eastAsia" w:eastAsia="方正仿宋_GBK"/>
          <w:lang w:eastAsia="zh-CN"/>
        </w:rPr>
      </w:pPr>
      <w:r>
        <w:t>培训计划完成率</w:t>
      </w:r>
      <w:r>
        <w:tab/>
      </w:r>
      <w:r>
        <w:t xml:space="preserve">：反映代表培训和机关人员培训的情况 </w:t>
      </w:r>
      <w:r>
        <w:rPr>
          <w:rFonts w:hint="eastAsia"/>
          <w:lang w:eastAsia="zh-CN"/>
        </w:rPr>
        <w:t>。</w:t>
      </w:r>
    </w:p>
    <w:p>
      <w:pPr>
        <w:pStyle w:val="24"/>
      </w:pPr>
      <w:r>
        <w:t>各项指标完成100%为优，完成95%为良，完成90%为中，达不到90%为差</w:t>
      </w:r>
    </w:p>
    <w:p>
      <w:pPr>
        <w:pStyle w:val="24"/>
      </w:pPr>
      <w:r>
        <w:rPr>
          <w:rFonts w:hint="eastAsia"/>
          <w:lang w:eastAsia="zh-CN"/>
        </w:rPr>
        <w:t>（</w:t>
      </w:r>
      <w:r>
        <w:rPr>
          <w:rFonts w:hint="eastAsia"/>
          <w:lang w:val="en-US" w:eastAsia="zh-CN"/>
        </w:rPr>
        <w:t>二</w:t>
      </w:r>
      <w:r>
        <w:rPr>
          <w:rFonts w:hint="eastAsia"/>
          <w:lang w:eastAsia="zh-CN"/>
        </w:rPr>
        <w:t>）</w:t>
      </w:r>
      <w:r>
        <w:t>保障会议顺利召开，完成会议议程。</w:t>
      </w:r>
    </w:p>
    <w:p>
      <w:pPr>
        <w:pStyle w:val="24"/>
        <w:rPr>
          <w:rFonts w:hint="eastAsia" w:eastAsia="方正仿宋_GBK"/>
          <w:lang w:eastAsia="zh-CN"/>
        </w:rPr>
      </w:pPr>
      <w:r>
        <w:t>会务工作完成率</w:t>
      </w:r>
      <w:r>
        <w:tab/>
      </w:r>
      <w:r>
        <w:t>：反映会务工作完成情况</w:t>
      </w:r>
      <w:r>
        <w:rPr>
          <w:rFonts w:hint="eastAsia"/>
          <w:lang w:eastAsia="zh-CN"/>
        </w:rPr>
        <w:t>。</w:t>
      </w:r>
    </w:p>
    <w:p>
      <w:pPr>
        <w:pStyle w:val="24"/>
        <w:rPr>
          <w:rFonts w:hint="eastAsia" w:eastAsia="方正仿宋_GBK"/>
          <w:lang w:eastAsia="zh-CN"/>
        </w:rPr>
      </w:pPr>
      <w:r>
        <w:t>会议筹备工作完成率：反映会议筹备工作完成情况</w:t>
      </w:r>
      <w:r>
        <w:rPr>
          <w:rFonts w:hint="eastAsia"/>
          <w:lang w:eastAsia="zh-CN"/>
        </w:rPr>
        <w:t>。</w:t>
      </w:r>
    </w:p>
    <w:p>
      <w:pPr>
        <w:pStyle w:val="24"/>
        <w:rPr>
          <w:rFonts w:hint="eastAsia" w:eastAsia="方正仿宋_GBK"/>
          <w:lang w:eastAsia="zh-CN"/>
        </w:rPr>
      </w:pPr>
      <w:r>
        <w:t>政治任务实现率</w:t>
      </w:r>
      <w:r>
        <w:tab/>
      </w:r>
      <w:r>
        <w:t>：反映政治任务实现情况</w:t>
      </w:r>
      <w:r>
        <w:rPr>
          <w:rFonts w:hint="eastAsia"/>
          <w:lang w:eastAsia="zh-CN"/>
        </w:rPr>
        <w:t>。</w:t>
      </w:r>
    </w:p>
    <w:p>
      <w:pPr>
        <w:pStyle w:val="24"/>
      </w:pPr>
      <w:r>
        <w:t>各项指标完成100%为优，完成95%为良，完成90%为中，达不到90%为差</w:t>
      </w:r>
    </w:p>
    <w:p>
      <w:pPr>
        <w:pStyle w:val="24"/>
      </w:pPr>
      <w:r>
        <w:t>确保区、镇（乡）人大换届选举工作顺利完成，提高组织换届选举工作水平；高质量完成国家机关领导人选举和常委会人事任免服务工作；监督一府两院工作人员依法履行职务。</w:t>
      </w:r>
      <w:r>
        <w:tab/>
      </w:r>
    </w:p>
    <w:p>
      <w:pPr>
        <w:pStyle w:val="24"/>
        <w:rPr>
          <w:rFonts w:hint="eastAsia" w:eastAsia="方正仿宋_GBK"/>
          <w:lang w:eastAsia="zh-CN"/>
        </w:rPr>
      </w:pPr>
      <w:r>
        <w:t>常委会人事任免工作完成率：反映常委会人事任免工作完成情况</w:t>
      </w:r>
      <w:r>
        <w:rPr>
          <w:rFonts w:hint="eastAsia"/>
          <w:lang w:eastAsia="zh-CN"/>
        </w:rPr>
        <w:t>。</w:t>
      </w:r>
    </w:p>
    <w:p>
      <w:pPr>
        <w:pStyle w:val="24"/>
        <w:rPr>
          <w:rFonts w:hint="eastAsia" w:eastAsia="方正仿宋_GBK"/>
          <w:lang w:eastAsia="zh-CN"/>
        </w:rPr>
      </w:pPr>
      <w:r>
        <w:t>换届选举工作完成率：反映换届选举工作完成情况</w:t>
      </w:r>
      <w:r>
        <w:rPr>
          <w:rFonts w:hint="eastAsia"/>
          <w:lang w:eastAsia="zh-CN"/>
        </w:rPr>
        <w:t>。</w:t>
      </w:r>
    </w:p>
    <w:p>
      <w:pPr>
        <w:pStyle w:val="24"/>
        <w:rPr>
          <w:rFonts w:hint="eastAsia" w:eastAsia="方正仿宋_GBK"/>
          <w:lang w:eastAsia="zh-CN"/>
        </w:rPr>
      </w:pPr>
      <w:r>
        <w:t>政治任务实现率：反映政治任务实现情况</w:t>
      </w:r>
      <w:r>
        <w:rPr>
          <w:rFonts w:hint="eastAsia"/>
          <w:lang w:eastAsia="zh-CN"/>
        </w:rPr>
        <w:t>。</w:t>
      </w:r>
    </w:p>
    <w:p>
      <w:pPr>
        <w:pStyle w:val="24"/>
      </w:pPr>
      <w:r>
        <w:t>各项指标完成100%为优，完成95%为良，完成90%为中，达不到90%为差</w:t>
      </w:r>
    </w:p>
    <w:p>
      <w:pPr>
        <w:pStyle w:val="24"/>
        <w:rPr>
          <w:rFonts w:hint="eastAsia" w:eastAsia="方正仿宋_GBK"/>
          <w:lang w:eastAsia="zh-CN"/>
        </w:rPr>
      </w:pPr>
      <w:r>
        <w:rPr>
          <w:rFonts w:hint="eastAsia"/>
          <w:lang w:eastAsia="zh-CN"/>
        </w:rPr>
        <w:t>（</w:t>
      </w:r>
      <w:r>
        <w:rPr>
          <w:rFonts w:hint="eastAsia"/>
          <w:lang w:val="en-US" w:eastAsia="zh-CN"/>
        </w:rPr>
        <w:t>三</w:t>
      </w:r>
      <w:r>
        <w:rPr>
          <w:rFonts w:hint="eastAsia"/>
          <w:lang w:eastAsia="zh-CN"/>
        </w:rPr>
        <w:t>）</w:t>
      </w:r>
      <w:r>
        <w:t>保障新闻宣传与新闻发布工作正常开展，提高人大信息透明度和影响力，加强人大对内、对外交流。保障会议正常运转；网络与办公平台正常运行；促进社会和谐稳定。</w:t>
      </w:r>
      <w:r>
        <w:tab/>
      </w:r>
      <w:r>
        <w:t xml:space="preserve">    社情民意反映率:反映社情民意回应情况</w:t>
      </w:r>
      <w:r>
        <w:rPr>
          <w:rFonts w:hint="eastAsia"/>
          <w:lang w:eastAsia="zh-CN"/>
        </w:rPr>
        <w:t>。</w:t>
      </w:r>
    </w:p>
    <w:p>
      <w:pPr>
        <w:pStyle w:val="24"/>
        <w:rPr>
          <w:rFonts w:hint="eastAsia" w:eastAsia="方正仿宋_GBK"/>
          <w:lang w:eastAsia="zh-CN"/>
        </w:rPr>
      </w:pPr>
      <w:r>
        <w:t xml:space="preserve">新闻宣传任务完成率:反映年度新闻宣传任务完成情况   </w:t>
      </w:r>
      <w:r>
        <w:rPr>
          <w:rFonts w:hint="eastAsia"/>
          <w:lang w:eastAsia="zh-CN"/>
        </w:rPr>
        <w:t>。</w:t>
      </w:r>
      <w:r>
        <w:t xml:space="preserve"> 政治任务实现率:反映完成政治任务完成情况</w:t>
      </w:r>
      <w:r>
        <w:rPr>
          <w:rFonts w:hint="eastAsia"/>
          <w:lang w:eastAsia="zh-CN"/>
        </w:rPr>
        <w:t>。</w:t>
      </w:r>
    </w:p>
    <w:p>
      <w:pPr>
        <w:pStyle w:val="24"/>
        <w:rPr>
          <w:rFonts w:hint="eastAsia" w:eastAsia="方正仿宋_GBK"/>
          <w:lang w:eastAsia="zh-CN"/>
        </w:rPr>
      </w:pPr>
      <w:r>
        <w:t>重要课题和专项调研完成率:反映重点和专题调研完成情况</w:t>
      </w:r>
      <w:r>
        <w:rPr>
          <w:rFonts w:hint="eastAsia"/>
          <w:lang w:eastAsia="zh-CN"/>
        </w:rPr>
        <w:t>。</w:t>
      </w:r>
    </w:p>
    <w:p>
      <w:pPr>
        <w:pStyle w:val="24"/>
      </w:pPr>
      <w:r>
        <w:t>各项指标完成100%为优，完成95%为良，完成90%为中，达不到90%为差.</w:t>
      </w:r>
    </w:p>
    <w:p>
      <w:pPr>
        <w:pStyle w:val="25"/>
      </w:pPr>
      <w:r>
        <w:t>三、工作保障措施</w:t>
      </w:r>
    </w:p>
    <w:p>
      <w:pPr>
        <w:pStyle w:val="25"/>
      </w:pPr>
      <w:r>
        <w:t>1、监督方面。听取计划预算执行情况报告、决算报告和审计工作报告，审查批准决算，推动省人代会计划预算决议的落实。听取区政府专项工作报告。对社会普遍关心的问题组织开展专题询问。组织开展代表旁听评议人民法院庭审活动，督促司法机关完善内部监督制约机制，促进司法公正。提高法规质量，保障其有效实施；发挥常委及代表的桥梁纽带作用，集中反映民意，促进依法履职。</w:t>
      </w:r>
    </w:p>
    <w:p>
      <w:pPr>
        <w:pStyle w:val="25"/>
      </w:pPr>
      <w:r>
        <w:t>2、人大会议方面。确保会议按照议程顺利进行，达到预期目的，圆满完成各项任务。完善各项会议制度，规范会议程序，提高会议质量，提高人大代表及常委会审议水平。</w:t>
      </w:r>
    </w:p>
    <w:p>
      <w:pPr>
        <w:pStyle w:val="25"/>
        <w:rPr>
          <w:rFonts w:hint="eastAsia" w:eastAsia="方正仿宋_GBK"/>
          <w:lang w:eastAsia="zh-CN"/>
        </w:rPr>
      </w:pPr>
      <w:r>
        <w:t>3、选举和任免方面。严格遵循法律法规规定，严格规范工作程序，做好人事任免工作。确保区人大和镇（街）人大换届选举工作顺利完成，提高组织换届选举工作水平；高质量完成国家机关领导人选举和常委会人事任免服务工作；高效督办有关部门负责人的目标责任书和述职报告</w:t>
      </w:r>
      <w:r>
        <w:rPr>
          <w:rFonts w:hint="eastAsia"/>
          <w:lang w:eastAsia="zh-CN"/>
        </w:rPr>
        <w:t>。</w:t>
      </w:r>
    </w:p>
    <w:p>
      <w:pPr>
        <w:pStyle w:val="25"/>
      </w:pPr>
      <w:r>
        <w:t>4、人大事务管理方面。保障新闻宣传与新闻发布工作正常开展，提高人大信息透明度和影响力，加强人大对内、对外交流。保障会议表决系统正常运转，网络与办公平台正常运行，促进社会和谐稳定。机关基础设施设备正常运转，信息化保障、老干部服务保障能力进一步提高。</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firstLineChars="200"/>
        <w:jc w:val="left"/>
        <w:outlineLvl w:val="9"/>
        <w:rPr>
          <w:rFonts w:hint="eastAsia" w:ascii="方正楷体_GBK" w:hAnsi="方正楷体_GBK" w:eastAsia="方正楷体_GBK" w:cs="方正楷体_GBK"/>
          <w:b w:val="0"/>
          <w:bCs/>
          <w:color w:val="000000"/>
          <w:sz w:val="32"/>
          <w:lang w:val="en-US" w:eastAsia="zh-CN"/>
        </w:rPr>
        <w:sectPr>
          <w:pgSz w:w="16840" w:h="11900" w:orient="landscape"/>
          <w:pgMar w:top="1361" w:right="1020" w:bottom="1361" w:left="1020" w:header="720" w:footer="720" w:gutter="0"/>
        </w:sectPr>
      </w:pPr>
      <w:r>
        <w:rPr>
          <w:rFonts w:hint="eastAsia" w:ascii="方正楷体_GBK" w:hAnsi="方正楷体_GBK" w:eastAsia="方正楷体_GBK" w:cs="方正楷体_GBK"/>
          <w:b w:val="0"/>
          <w:bCs/>
          <w:color w:val="000000"/>
          <w:sz w:val="32"/>
          <w:lang w:val="en-US" w:eastAsia="zh-CN"/>
        </w:rPr>
        <w:t>无</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spacing w:before="0" w:after="0"/>
        <w:ind w:firstLine="280" w:firstLineChars="100"/>
        <w:jc w:val="left"/>
        <w:outlineLvl w:val="9"/>
      </w:pPr>
      <w:r>
        <w:rPr>
          <w:rFonts w:ascii="方正仿宋_GBK" w:hAnsi="方正仿宋_GBK" w:eastAsia="方正仿宋_GBK" w:cs="方正仿宋_GBK"/>
          <w:b/>
          <w:color w:val="000000"/>
          <w:sz w:val="28"/>
        </w:rPr>
        <w:t>1、车辆保险费绩效目标表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6.保证公车正常运转。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车辆正常使用情况</w:t>
            </w:r>
          </w:p>
        </w:tc>
        <w:tc>
          <w:tcPr>
            <w:tcW w:w="2835" w:type="dxa"/>
            <w:vAlign w:val="center"/>
          </w:tcPr>
          <w:p>
            <w:pPr>
              <w:pStyle w:val="14"/>
            </w:pPr>
            <w:r>
              <w:t>车辆正常使用情况</w:t>
            </w:r>
          </w:p>
        </w:tc>
        <w:tc>
          <w:tcPr>
            <w:tcW w:w="2551" w:type="dxa"/>
            <w:vAlign w:val="center"/>
          </w:tcPr>
          <w:p>
            <w:pPr>
              <w:pStyle w:val="14"/>
            </w:pPr>
            <w:r>
              <w:t>≥75百分比</w:t>
            </w:r>
          </w:p>
        </w:tc>
        <w:tc>
          <w:tcPr>
            <w:tcW w:w="2268" w:type="dxa"/>
            <w:vAlign w:val="center"/>
          </w:tcPr>
          <w:p>
            <w:pPr>
              <w:pStyle w:val="14"/>
            </w:pPr>
            <w:r>
              <w:t>车辆正常使用情况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完成车辆续保数量</w:t>
            </w:r>
          </w:p>
        </w:tc>
        <w:tc>
          <w:tcPr>
            <w:tcW w:w="2835" w:type="dxa"/>
            <w:vAlign w:val="center"/>
          </w:tcPr>
          <w:p>
            <w:pPr>
              <w:pStyle w:val="14"/>
            </w:pPr>
            <w:r>
              <w:t>完成车辆续保数量</w:t>
            </w:r>
          </w:p>
        </w:tc>
        <w:tc>
          <w:tcPr>
            <w:tcW w:w="2551" w:type="dxa"/>
            <w:vAlign w:val="center"/>
          </w:tcPr>
          <w:p>
            <w:pPr>
              <w:pStyle w:val="14"/>
            </w:pPr>
            <w:r>
              <w:t>4辆</w:t>
            </w:r>
          </w:p>
        </w:tc>
        <w:tc>
          <w:tcPr>
            <w:tcW w:w="2268" w:type="dxa"/>
            <w:vAlign w:val="center"/>
          </w:tcPr>
          <w:p>
            <w:pPr>
              <w:pStyle w:val="14"/>
            </w:pPr>
            <w:r>
              <w:t>完成车辆续保数量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完成车辆续保比率</w:t>
            </w:r>
          </w:p>
        </w:tc>
        <w:tc>
          <w:tcPr>
            <w:tcW w:w="2551" w:type="dxa"/>
            <w:vAlign w:val="center"/>
          </w:tcPr>
          <w:p>
            <w:pPr>
              <w:pStyle w:val="14"/>
            </w:pPr>
            <w:r>
              <w:t>100百分比</w:t>
            </w:r>
          </w:p>
        </w:tc>
        <w:tc>
          <w:tcPr>
            <w:tcW w:w="2268" w:type="dxa"/>
            <w:vAlign w:val="center"/>
          </w:tcPr>
          <w:p>
            <w:pPr>
              <w:pStyle w:val="14"/>
            </w:pPr>
            <w:r>
              <w:t>完成车辆续保比率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节约车辆保险费</w:t>
            </w:r>
          </w:p>
        </w:tc>
        <w:tc>
          <w:tcPr>
            <w:tcW w:w="2835" w:type="dxa"/>
            <w:vAlign w:val="center"/>
          </w:tcPr>
          <w:p>
            <w:pPr>
              <w:pStyle w:val="14"/>
            </w:pPr>
            <w:r>
              <w:t>节约车辆保险费</w:t>
            </w:r>
          </w:p>
        </w:tc>
        <w:tc>
          <w:tcPr>
            <w:tcW w:w="2551" w:type="dxa"/>
            <w:vAlign w:val="center"/>
          </w:tcPr>
          <w:p>
            <w:pPr>
              <w:pStyle w:val="14"/>
            </w:pPr>
            <w:r>
              <w:t>100百分比</w:t>
            </w:r>
          </w:p>
        </w:tc>
        <w:tc>
          <w:tcPr>
            <w:tcW w:w="2268" w:type="dxa"/>
            <w:vAlign w:val="center"/>
          </w:tcPr>
          <w:p>
            <w:pPr>
              <w:pStyle w:val="14"/>
            </w:pPr>
            <w:r>
              <w:t>节约车辆保险费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做好日常维护</w:t>
            </w:r>
          </w:p>
        </w:tc>
        <w:tc>
          <w:tcPr>
            <w:tcW w:w="2835" w:type="dxa"/>
            <w:vAlign w:val="center"/>
          </w:tcPr>
          <w:p>
            <w:pPr>
              <w:pStyle w:val="14"/>
            </w:pPr>
            <w:r>
              <w:t>做好日常维护</w:t>
            </w:r>
          </w:p>
        </w:tc>
        <w:tc>
          <w:tcPr>
            <w:tcW w:w="2551" w:type="dxa"/>
            <w:vAlign w:val="center"/>
          </w:tcPr>
          <w:p>
            <w:pPr>
              <w:pStyle w:val="14"/>
            </w:pPr>
            <w:r>
              <w:t>≥90百分比</w:t>
            </w:r>
          </w:p>
        </w:tc>
        <w:tc>
          <w:tcPr>
            <w:tcW w:w="2268" w:type="dxa"/>
            <w:vAlign w:val="center"/>
          </w:tcPr>
          <w:p>
            <w:pPr>
              <w:pStyle w:val="14"/>
            </w:pPr>
            <w:r>
              <w:t>做好日常维护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节能环保减排</w:t>
            </w:r>
          </w:p>
        </w:tc>
        <w:tc>
          <w:tcPr>
            <w:tcW w:w="2551" w:type="dxa"/>
            <w:vAlign w:val="center"/>
          </w:tcPr>
          <w:p>
            <w:pPr>
              <w:pStyle w:val="14"/>
            </w:pPr>
            <w:r>
              <w:t>100百分比</w:t>
            </w:r>
          </w:p>
        </w:tc>
        <w:tc>
          <w:tcPr>
            <w:tcW w:w="2268" w:type="dxa"/>
            <w:vAlign w:val="center"/>
          </w:tcPr>
          <w:p>
            <w:pPr>
              <w:pStyle w:val="14"/>
            </w:pPr>
            <w:r>
              <w:t>节能环保减排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≥90百分比</w:t>
            </w:r>
          </w:p>
        </w:tc>
        <w:tc>
          <w:tcPr>
            <w:tcW w:w="2268" w:type="dxa"/>
            <w:vAlign w:val="center"/>
          </w:tcPr>
          <w:p>
            <w:pPr>
              <w:pStyle w:val="14"/>
            </w:pPr>
            <w:r>
              <w:t>保障业务工作情况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2、综合事务管理费绩效目标表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1.保障人大工作正常运转。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支付办公经费人数</w:t>
            </w:r>
          </w:p>
        </w:tc>
        <w:tc>
          <w:tcPr>
            <w:tcW w:w="2835" w:type="dxa"/>
            <w:vAlign w:val="center"/>
          </w:tcPr>
          <w:p>
            <w:pPr>
              <w:pStyle w:val="14"/>
            </w:pPr>
            <w:r>
              <w:t>支付办公经费人数</w:t>
            </w:r>
          </w:p>
        </w:tc>
        <w:tc>
          <w:tcPr>
            <w:tcW w:w="2551" w:type="dxa"/>
            <w:vAlign w:val="center"/>
          </w:tcPr>
          <w:p>
            <w:pPr>
              <w:pStyle w:val="14"/>
            </w:pPr>
            <w:r>
              <w:t>≥90百分比</w:t>
            </w:r>
          </w:p>
        </w:tc>
        <w:tc>
          <w:tcPr>
            <w:tcW w:w="2268" w:type="dxa"/>
            <w:vAlign w:val="center"/>
          </w:tcPr>
          <w:p>
            <w:pPr>
              <w:pStyle w:val="14"/>
            </w:pPr>
            <w:r>
              <w:t>单位实际人数占比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办公设备运行率</w:t>
            </w:r>
          </w:p>
        </w:tc>
        <w:tc>
          <w:tcPr>
            <w:tcW w:w="2835" w:type="dxa"/>
            <w:vAlign w:val="center"/>
          </w:tcPr>
          <w:p>
            <w:pPr>
              <w:pStyle w:val="14"/>
            </w:pPr>
            <w:r>
              <w:t>办公设备正常运行率</w:t>
            </w:r>
          </w:p>
        </w:tc>
        <w:tc>
          <w:tcPr>
            <w:tcW w:w="2551" w:type="dxa"/>
            <w:vAlign w:val="center"/>
          </w:tcPr>
          <w:p>
            <w:pPr>
              <w:pStyle w:val="14"/>
            </w:pPr>
            <w:r>
              <w:t>≥90百分比</w:t>
            </w:r>
          </w:p>
        </w:tc>
        <w:tc>
          <w:tcPr>
            <w:tcW w:w="2268" w:type="dxa"/>
            <w:vAlign w:val="center"/>
          </w:tcPr>
          <w:p>
            <w:pPr>
              <w:pStyle w:val="14"/>
            </w:pPr>
            <w:r>
              <w:t>实际办公设备占比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保障综合事务工作完成及时率</w:t>
            </w:r>
          </w:p>
        </w:tc>
        <w:tc>
          <w:tcPr>
            <w:tcW w:w="2835" w:type="dxa"/>
            <w:vAlign w:val="center"/>
          </w:tcPr>
          <w:p>
            <w:pPr>
              <w:pStyle w:val="14"/>
            </w:pPr>
            <w:r>
              <w:t>保障综合事务工作完成及时率</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100百分比</w:t>
            </w:r>
          </w:p>
        </w:tc>
        <w:tc>
          <w:tcPr>
            <w:tcW w:w="2268" w:type="dxa"/>
            <w:vAlign w:val="center"/>
          </w:tcPr>
          <w:p>
            <w:pPr>
              <w:pStyle w:val="14"/>
            </w:pPr>
            <w:r>
              <w:t>促进经济发展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100百分比</w:t>
            </w:r>
          </w:p>
        </w:tc>
        <w:tc>
          <w:tcPr>
            <w:tcW w:w="2268" w:type="dxa"/>
            <w:vAlign w:val="center"/>
          </w:tcPr>
          <w:p>
            <w:pPr>
              <w:pStyle w:val="14"/>
            </w:pPr>
            <w:r>
              <w:t>促进社会稳定水平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节能环保减排</w:t>
            </w:r>
          </w:p>
        </w:tc>
        <w:tc>
          <w:tcPr>
            <w:tcW w:w="2551" w:type="dxa"/>
            <w:vAlign w:val="center"/>
          </w:tcPr>
          <w:p>
            <w:pPr>
              <w:pStyle w:val="14"/>
            </w:pPr>
            <w:r>
              <w:t>100百分比</w:t>
            </w:r>
          </w:p>
        </w:tc>
        <w:tc>
          <w:tcPr>
            <w:tcW w:w="2268" w:type="dxa"/>
            <w:vAlign w:val="center"/>
          </w:tcPr>
          <w:p>
            <w:pPr>
              <w:pStyle w:val="14"/>
            </w:pPr>
            <w:r>
              <w:t>节能环保减排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100百分比</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3、代表活动费绩效目标表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6.保障代表工作正常开展。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开展社会服务活动次数</w:t>
            </w:r>
          </w:p>
        </w:tc>
        <w:tc>
          <w:tcPr>
            <w:tcW w:w="2835" w:type="dxa"/>
            <w:vAlign w:val="center"/>
          </w:tcPr>
          <w:p>
            <w:pPr>
              <w:pStyle w:val="14"/>
            </w:pPr>
            <w:r>
              <w:t>开展社会服务活动次数</w:t>
            </w:r>
          </w:p>
        </w:tc>
        <w:tc>
          <w:tcPr>
            <w:tcW w:w="2551" w:type="dxa"/>
            <w:vAlign w:val="center"/>
          </w:tcPr>
          <w:p>
            <w:pPr>
              <w:pStyle w:val="14"/>
            </w:pPr>
            <w:r>
              <w:t>≥6次</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社情民意</w:t>
            </w:r>
            <w:r>
              <w:rPr>
                <w:rFonts w:hint="eastAsia"/>
                <w:lang w:eastAsia="zh-CN"/>
              </w:rPr>
              <w:t>反映</w:t>
            </w:r>
            <w:r>
              <w:t>率</w:t>
            </w:r>
          </w:p>
        </w:tc>
        <w:tc>
          <w:tcPr>
            <w:tcW w:w="2835" w:type="dxa"/>
            <w:vAlign w:val="center"/>
          </w:tcPr>
          <w:p>
            <w:pPr>
              <w:pStyle w:val="14"/>
            </w:pPr>
            <w:r>
              <w:t>社情民意</w:t>
            </w:r>
            <w:r>
              <w:rPr>
                <w:rFonts w:hint="eastAsia"/>
                <w:lang w:eastAsia="zh-CN"/>
              </w:rPr>
              <w:t>反映</w:t>
            </w:r>
            <w:r>
              <w:t>情况</w:t>
            </w:r>
          </w:p>
        </w:tc>
        <w:tc>
          <w:tcPr>
            <w:tcW w:w="2551" w:type="dxa"/>
            <w:vAlign w:val="center"/>
          </w:tcPr>
          <w:p>
            <w:pPr>
              <w:pStyle w:val="14"/>
            </w:pPr>
            <w:r>
              <w:t>≥90百分比</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≥90百分比</w:t>
            </w:r>
          </w:p>
        </w:tc>
        <w:tc>
          <w:tcPr>
            <w:tcW w:w="2268" w:type="dxa"/>
            <w:vAlign w:val="center"/>
          </w:tcPr>
          <w:p>
            <w:pPr>
              <w:pStyle w:val="14"/>
            </w:pPr>
            <w:r>
              <w:t>专项调研完成率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100百分比</w:t>
            </w:r>
          </w:p>
        </w:tc>
        <w:tc>
          <w:tcPr>
            <w:tcW w:w="2268" w:type="dxa"/>
            <w:vAlign w:val="center"/>
          </w:tcPr>
          <w:p>
            <w:pPr>
              <w:pStyle w:val="14"/>
            </w:pPr>
            <w:r>
              <w:t>促进经济发展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100百分比</w:t>
            </w:r>
          </w:p>
        </w:tc>
        <w:tc>
          <w:tcPr>
            <w:tcW w:w="2268" w:type="dxa"/>
            <w:vAlign w:val="center"/>
          </w:tcPr>
          <w:p>
            <w:pPr>
              <w:pStyle w:val="14"/>
            </w:pPr>
            <w:r>
              <w:t>促进社会稳定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节能环保减排</w:t>
            </w:r>
          </w:p>
        </w:tc>
        <w:tc>
          <w:tcPr>
            <w:tcW w:w="2551" w:type="dxa"/>
            <w:vAlign w:val="center"/>
          </w:tcPr>
          <w:p>
            <w:pPr>
              <w:pStyle w:val="14"/>
            </w:pPr>
            <w:r>
              <w:t>100百分比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≥90百分比</w:t>
            </w:r>
          </w:p>
        </w:tc>
        <w:tc>
          <w:tcPr>
            <w:tcW w:w="2268" w:type="dxa"/>
            <w:vAlign w:val="center"/>
          </w:tcPr>
          <w:p>
            <w:pPr>
              <w:pStyle w:val="14"/>
            </w:pPr>
            <w:r>
              <w:t>业务工作正常开展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4、人大会议费绩效目标表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6.保障会议顺利召开，完成会议议程。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常委会召开次数</w:t>
            </w:r>
          </w:p>
        </w:tc>
        <w:tc>
          <w:tcPr>
            <w:tcW w:w="2835" w:type="dxa"/>
            <w:vAlign w:val="center"/>
          </w:tcPr>
          <w:p>
            <w:pPr>
              <w:pStyle w:val="14"/>
            </w:pPr>
            <w:r>
              <w:t>常委会召开次数</w:t>
            </w:r>
          </w:p>
        </w:tc>
        <w:tc>
          <w:tcPr>
            <w:tcW w:w="2551" w:type="dxa"/>
            <w:vAlign w:val="center"/>
          </w:tcPr>
          <w:p>
            <w:pPr>
              <w:pStyle w:val="14"/>
            </w:pPr>
            <w:r>
              <w:t>≥6次</w:t>
            </w:r>
          </w:p>
        </w:tc>
        <w:tc>
          <w:tcPr>
            <w:tcW w:w="2268" w:type="dxa"/>
            <w:vAlign w:val="center"/>
          </w:tcPr>
          <w:p>
            <w:pPr>
              <w:pStyle w:val="14"/>
            </w:pPr>
            <w:r>
              <w:t>宪法和法律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政治任务实现率</w:t>
            </w:r>
          </w:p>
        </w:tc>
        <w:tc>
          <w:tcPr>
            <w:tcW w:w="2835" w:type="dxa"/>
            <w:vAlign w:val="center"/>
          </w:tcPr>
          <w:p>
            <w:pPr>
              <w:pStyle w:val="14"/>
            </w:pPr>
            <w:r>
              <w:t>政治任务实现率</w:t>
            </w:r>
          </w:p>
        </w:tc>
        <w:tc>
          <w:tcPr>
            <w:tcW w:w="2551" w:type="dxa"/>
            <w:vAlign w:val="center"/>
          </w:tcPr>
          <w:p>
            <w:pPr>
              <w:pStyle w:val="14"/>
            </w:pPr>
            <w:r>
              <w:t>≥80百分比</w:t>
            </w:r>
          </w:p>
        </w:tc>
        <w:tc>
          <w:tcPr>
            <w:tcW w:w="2268" w:type="dxa"/>
            <w:vAlign w:val="center"/>
          </w:tcPr>
          <w:p>
            <w:pPr>
              <w:pStyle w:val="14"/>
            </w:pPr>
            <w:r>
              <w:t>实际完成政治任务占计划实现的政治任务的比例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会议时间</w:t>
            </w:r>
          </w:p>
        </w:tc>
        <w:tc>
          <w:tcPr>
            <w:tcW w:w="2835" w:type="dxa"/>
            <w:vAlign w:val="center"/>
          </w:tcPr>
          <w:p>
            <w:pPr>
              <w:pStyle w:val="14"/>
            </w:pPr>
            <w:r>
              <w:t>会议计划完成的具体时间</w:t>
            </w:r>
          </w:p>
        </w:tc>
        <w:tc>
          <w:tcPr>
            <w:tcW w:w="2551" w:type="dxa"/>
            <w:vAlign w:val="center"/>
          </w:tcPr>
          <w:p>
            <w:pPr>
              <w:pStyle w:val="14"/>
            </w:pPr>
            <w:r>
              <w:t>100百分比</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≥80百分比</w:t>
            </w:r>
          </w:p>
        </w:tc>
        <w:tc>
          <w:tcPr>
            <w:tcW w:w="2268" w:type="dxa"/>
            <w:vAlign w:val="center"/>
          </w:tcPr>
          <w:p>
            <w:pPr>
              <w:pStyle w:val="14"/>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促进社会和谐稳定</w:t>
            </w:r>
          </w:p>
        </w:tc>
        <w:tc>
          <w:tcPr>
            <w:tcW w:w="2835" w:type="dxa"/>
            <w:vAlign w:val="center"/>
          </w:tcPr>
          <w:p>
            <w:pPr>
              <w:pStyle w:val="14"/>
            </w:pPr>
            <w:r>
              <w:t>促进社会和谐稳定</w:t>
            </w:r>
          </w:p>
        </w:tc>
        <w:tc>
          <w:tcPr>
            <w:tcW w:w="2551" w:type="dxa"/>
            <w:vAlign w:val="center"/>
          </w:tcPr>
          <w:p>
            <w:pPr>
              <w:pStyle w:val="14"/>
            </w:pPr>
            <w:r>
              <w:t>100百分比</w:t>
            </w:r>
          </w:p>
        </w:tc>
        <w:tc>
          <w:tcPr>
            <w:tcW w:w="2268" w:type="dxa"/>
            <w:vAlign w:val="center"/>
          </w:tcPr>
          <w:p>
            <w:pPr>
              <w:pStyle w:val="14"/>
            </w:pPr>
            <w:r>
              <w:t>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节能环保减排</w:t>
            </w:r>
          </w:p>
        </w:tc>
        <w:tc>
          <w:tcPr>
            <w:tcW w:w="2551" w:type="dxa"/>
            <w:vAlign w:val="center"/>
          </w:tcPr>
          <w:p>
            <w:pPr>
              <w:pStyle w:val="14"/>
            </w:pPr>
            <w:r>
              <w:t>100百分比</w:t>
            </w:r>
          </w:p>
        </w:tc>
        <w:tc>
          <w:tcPr>
            <w:tcW w:w="2268" w:type="dxa"/>
            <w:vAlign w:val="center"/>
          </w:tcPr>
          <w:p>
            <w:pPr>
              <w:pStyle w:val="14"/>
            </w:pPr>
            <w:r>
              <w:t>节能环保减排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100百分比</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参会人员满意率</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2023年，人大部门安排政府采购预算0.00万元。具体内容见下表。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101人大部门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人大部门（含所属单位）上年末固定资产金额为48.96万元（详见下表）。本年度拟购置固定资产总额为0.00万元，已按要求列入政府采购预算，详见政府采购预算表。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101人大部门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6</w:t>
            </w:r>
          </w:p>
        </w:tc>
        <w:tc>
          <w:tcPr>
            <w:tcW w:w="2835" w:type="dxa"/>
            <w:vAlign w:val="center"/>
          </w:tcPr>
          <w:p>
            <w:pPr>
              <w:pStyle w:val="13"/>
            </w:pPr>
            <w:r>
              <w:t>27.48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211</w:t>
            </w:r>
          </w:p>
        </w:tc>
        <w:tc>
          <w:tcPr>
            <w:tcW w:w="2835" w:type="dxa"/>
            <w:vAlign w:val="center"/>
          </w:tcPr>
          <w:p>
            <w:pPr>
              <w:pStyle w:val="13"/>
            </w:pPr>
            <w:r>
              <w:t>21.48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D6B2"/>
    <w:multiLevelType w:val="singleLevel"/>
    <w:tmpl w:val="0E13D6B2"/>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F7D63"/>
    <w:rsid w:val="57B53C0B"/>
    <w:rsid w:val="5F5853C3"/>
    <w:rsid w:val="61A90A22"/>
    <w:rsid w:val="71CC7680"/>
    <w:rsid w:val="73B1038B"/>
    <w:rsid w:val="770545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2023-01-28T15:41:59Z</dcterms:created>
  <dcterms:modified xsi:type="dcterms:W3CDTF">2023-01-28T07:41:59Z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2023-01-28T15:41:59Z</dcterms:created>
  <dcterms:modified xsi:type="dcterms:W3CDTF">2023-01-28T07:41:59Z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2023-01-28T15:41:59Z</dcterms:created>
  <dcterms:modified xsi:type="dcterms:W3CDTF">2023-01-28T07:41:59Z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2023-01-28T15:41:58Z</dcterms:created>
  <dcterms:modified xsi:type="dcterms:W3CDTF">2023-01-28T07:41:58Z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2023-01-28T15:41:58Z</dcterms:created>
  <dcterms:modified xsi:type="dcterms:W3CDTF">2023-01-28T07:41:58Z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2023-01-28T15:41:55Z</dcterms:created>
  <dcterms:modified xsi:type="dcterms:W3CDTF">2023-01-28T07:41:55Z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2023-01-28T15:41:58Z</dcterms:created>
  <dcterms:modified xsi:type="dcterms:W3CDTF">2023-01-28T07:41:58Z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2023-01-28T15:41:55Z</dcterms:created>
  <dcterms:modified xsi:type="dcterms:W3CDTF">2023-01-28T07:41:55Z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2023-01-28T15:41:55Z</dcterms:created>
  <dcterms:modified xsi:type="dcterms:W3CDTF">2023-01-28T07:41:55Z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2023-01-28T15:41:54Z</dcterms:created>
  <dcterms:modified xsi:type="dcterms:W3CDTF">2023-01-28T07:41:54Z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2023-01-28T15:41:55Z</dcterms:created>
  <dcterms:modified xsi:type="dcterms:W3CDTF">2023-01-28T07:41:55Z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2023-01-28T15:41:55Z</dcterms:created>
  <dcterms:modified xsi:type="dcterms:W3CDTF">2023-01-28T07:41:55Z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2023-01-28T15:41:55Z</dcterms:created>
  <dcterms:modified xsi:type="dcterms:W3CDTF">2023-01-28T07:41:55Z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1b39751-62d3-4efd-ac96-2c25fef0f829}">
  <ds:schemaRefs/>
</ds:datastoreItem>
</file>

<file path=customXml/itemProps11.xml><?xml version="1.0" encoding="utf-8"?>
<ds:datastoreItem xmlns:ds="http://schemas.openxmlformats.org/officeDocument/2006/customXml" ds:itemID="{b4f78f22-07b2-420a-97ca-6ae4af6b11e9}">
  <ds:schemaRefs/>
</ds:datastoreItem>
</file>

<file path=customXml/itemProps12.xml><?xml version="1.0" encoding="utf-8"?>
<ds:datastoreItem xmlns:ds="http://schemas.openxmlformats.org/officeDocument/2006/customXml" ds:itemID="{8039bb9c-44a6-4dd5-8e4e-672b3c0fdcea}">
  <ds:schemaRefs/>
</ds:datastoreItem>
</file>

<file path=customXml/itemProps13.xml><?xml version="1.0" encoding="utf-8"?>
<ds:datastoreItem xmlns:ds="http://schemas.openxmlformats.org/officeDocument/2006/customXml" ds:itemID="{d08e9c35-fc05-47b5-b7a4-6860786fe311}">
  <ds:schemaRefs/>
</ds:datastoreItem>
</file>

<file path=customXml/itemProps14.xml><?xml version="1.0" encoding="utf-8"?>
<ds:datastoreItem xmlns:ds="http://schemas.openxmlformats.org/officeDocument/2006/customXml" ds:itemID="{ee3f7e95-18fe-4a17-a047-1f7b12170d21}">
  <ds:schemaRefs/>
</ds:datastoreItem>
</file>

<file path=customXml/itemProps15.xml><?xml version="1.0" encoding="utf-8"?>
<ds:datastoreItem xmlns:ds="http://schemas.openxmlformats.org/officeDocument/2006/customXml" ds:itemID="{67db6883-cafe-4fcb-8741-9d144799b70e}">
  <ds:schemaRefs/>
</ds:datastoreItem>
</file>

<file path=customXml/itemProps16.xml><?xml version="1.0" encoding="utf-8"?>
<ds:datastoreItem xmlns:ds="http://schemas.openxmlformats.org/officeDocument/2006/customXml" ds:itemID="{ad6e3b45-ff80-4d91-93ba-397ec2550501}">
  <ds:schemaRefs/>
</ds:datastoreItem>
</file>

<file path=customXml/itemProps17.xml><?xml version="1.0" encoding="utf-8"?>
<ds:datastoreItem xmlns:ds="http://schemas.openxmlformats.org/officeDocument/2006/customXml" ds:itemID="{2cfdcbf3-721a-44dc-9ff2-91ade01a3d18}">
  <ds:schemaRefs/>
</ds:datastoreItem>
</file>

<file path=customXml/itemProps18.xml><?xml version="1.0" encoding="utf-8"?>
<ds:datastoreItem xmlns:ds="http://schemas.openxmlformats.org/officeDocument/2006/customXml" ds:itemID="{c0fb79e0-1760-4e10-8c2e-a9f05ebb06d8}">
  <ds:schemaRefs/>
</ds:datastoreItem>
</file>

<file path=customXml/itemProps19.xml><?xml version="1.0" encoding="utf-8"?>
<ds:datastoreItem xmlns:ds="http://schemas.openxmlformats.org/officeDocument/2006/customXml" ds:itemID="{879ff774-fd47-4393-ba52-959c6ab7f5d4}">
  <ds:schemaRefs/>
</ds:datastoreItem>
</file>

<file path=customXml/itemProps2.xml><?xml version="1.0" encoding="utf-8"?>
<ds:datastoreItem xmlns:ds="http://schemas.openxmlformats.org/officeDocument/2006/customXml" ds:itemID="{87f4a55e-d935-4680-b61a-8d2f672ad126}">
  <ds:schemaRefs/>
</ds:datastoreItem>
</file>

<file path=customXml/itemProps20.xml><?xml version="1.0" encoding="utf-8"?>
<ds:datastoreItem xmlns:ds="http://schemas.openxmlformats.org/officeDocument/2006/customXml" ds:itemID="{24d3ea61-de55-4fae-97da-2deb51d4d343}">
  <ds:schemaRefs/>
</ds:datastoreItem>
</file>

<file path=customXml/itemProps21.xml><?xml version="1.0" encoding="utf-8"?>
<ds:datastoreItem xmlns:ds="http://schemas.openxmlformats.org/officeDocument/2006/customXml" ds:itemID="{b8f30069-2385-4b38-970d-41a0681eac87}">
  <ds:schemaRefs/>
</ds:datastoreItem>
</file>

<file path=customXml/itemProps22.xml><?xml version="1.0" encoding="utf-8"?>
<ds:datastoreItem xmlns:ds="http://schemas.openxmlformats.org/officeDocument/2006/customXml" ds:itemID="{dd09fd27-4bf3-4859-8a33-94301e0de40c}">
  <ds:schemaRefs/>
</ds:datastoreItem>
</file>

<file path=customXml/itemProps23.xml><?xml version="1.0" encoding="utf-8"?>
<ds:datastoreItem xmlns:ds="http://schemas.openxmlformats.org/officeDocument/2006/customXml" ds:itemID="{3e638196-2b1e-4170-90ab-f990374c09c1}">
  <ds:schemaRefs/>
</ds:datastoreItem>
</file>

<file path=customXml/itemProps24.xml><?xml version="1.0" encoding="utf-8"?>
<ds:datastoreItem xmlns:ds="http://schemas.openxmlformats.org/officeDocument/2006/customXml" ds:itemID="{1a7e0a9c-6103-4237-94d4-7b02084c5d30}">
  <ds:schemaRefs/>
</ds:datastoreItem>
</file>

<file path=customXml/itemProps25.xml><?xml version="1.0" encoding="utf-8"?>
<ds:datastoreItem xmlns:ds="http://schemas.openxmlformats.org/officeDocument/2006/customXml" ds:itemID="{aee2640b-0fb3-4c9b-b301-a7066863cb19}">
  <ds:schemaRefs/>
</ds:datastoreItem>
</file>

<file path=customXml/itemProps26.xml><?xml version="1.0" encoding="utf-8"?>
<ds:datastoreItem xmlns:ds="http://schemas.openxmlformats.org/officeDocument/2006/customXml" ds:itemID="{1dcf7aa6-9292-4e5e-971c-f8f0b59ab42e}">
  <ds:schemaRefs/>
</ds:datastoreItem>
</file>

<file path=customXml/itemProps27.xml><?xml version="1.0" encoding="utf-8"?>
<ds:datastoreItem xmlns:ds="http://schemas.openxmlformats.org/officeDocument/2006/customXml" ds:itemID="{6c1020d9-5da6-466b-9705-98bcb56878fa}">
  <ds:schemaRefs/>
</ds:datastoreItem>
</file>

<file path=customXml/itemProps3.xml><?xml version="1.0" encoding="utf-8"?>
<ds:datastoreItem xmlns:ds="http://schemas.openxmlformats.org/officeDocument/2006/customXml" ds:itemID="{7e2106eb-ed81-496a-abf2-cd1f6a0390ea}">
  <ds:schemaRefs/>
</ds:datastoreItem>
</file>

<file path=customXml/itemProps4.xml><?xml version="1.0" encoding="utf-8"?>
<ds:datastoreItem xmlns:ds="http://schemas.openxmlformats.org/officeDocument/2006/customXml" ds:itemID="{324ae7d7-1f68-43a3-b500-c9054f33b8b3}">
  <ds:schemaRefs/>
</ds:datastoreItem>
</file>

<file path=customXml/itemProps5.xml><?xml version="1.0" encoding="utf-8"?>
<ds:datastoreItem xmlns:ds="http://schemas.openxmlformats.org/officeDocument/2006/customXml" ds:itemID="{3ddfb2cf-550b-468c-8379-367d211cf60d}">
  <ds:schemaRefs/>
</ds:datastoreItem>
</file>

<file path=customXml/itemProps6.xml><?xml version="1.0" encoding="utf-8"?>
<ds:datastoreItem xmlns:ds="http://schemas.openxmlformats.org/officeDocument/2006/customXml" ds:itemID="{1f51a4ae-2112-41b7-895d-70aa88e65c4a}">
  <ds:schemaRefs/>
</ds:datastoreItem>
</file>

<file path=customXml/itemProps7.xml><?xml version="1.0" encoding="utf-8"?>
<ds:datastoreItem xmlns:ds="http://schemas.openxmlformats.org/officeDocument/2006/customXml" ds:itemID="{d1fdad72-8144-4e2e-aeaf-04bb85725b3f}">
  <ds:schemaRefs/>
</ds:datastoreItem>
</file>

<file path=customXml/itemProps8.xml><?xml version="1.0" encoding="utf-8"?>
<ds:datastoreItem xmlns:ds="http://schemas.openxmlformats.org/officeDocument/2006/customXml" ds:itemID="{42b657e9-c427-49ea-bf7a-e64a9dd24fba}">
  <ds:schemaRefs/>
</ds:datastoreItem>
</file>

<file path=customXml/itemProps9.xml><?xml version="1.0" encoding="utf-8"?>
<ds:datastoreItem xmlns:ds="http://schemas.openxmlformats.org/officeDocument/2006/customXml" ds:itemID="{1caaa490-ec9c-4a9a-aba2-fc25eaf78191}">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2023-01-28T15:41:00Z</dcterms:created>
  <dc:creator>lenovo</dc:creator>
  <cp:lastModifiedBy>lenovo</cp:lastModifiedBy>
  <dcterms:modified xsi:type="dcterms:W3CDTF">2024-01-25T01:45:03Z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