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b/>
          <w:color w:val="000000"/>
          <w:sz w:val="44"/>
          <w:lang w:val="en-US" w:eastAsia="zh-CN"/>
        </w:rPr>
      </w:pPr>
      <w:bookmarkStart w:id="0" w:name="_Toc_4_4_0000000019"/>
      <w:r>
        <w:rPr>
          <w:rFonts w:hint="eastAsia"/>
          <w:b/>
          <w:color w:val="000000"/>
          <w:sz w:val="44"/>
          <w:lang w:eastAsia="zh-CN"/>
        </w:rPr>
        <w:t>秦皇岛市山海关区</w:t>
      </w:r>
      <w:r>
        <w:rPr>
          <w:rFonts w:hint="eastAsia"/>
          <w:b/>
          <w:color w:val="000000"/>
          <w:sz w:val="44"/>
          <w:lang w:val="en-US" w:eastAsia="zh-CN"/>
        </w:rPr>
        <w:t>人民代表大会常务委员会本级</w:t>
      </w:r>
    </w:p>
    <w:p>
      <w:pPr>
        <w:spacing w:before="0" w:after="0" w:line="240" w:lineRule="auto"/>
        <w:ind w:firstLine="0"/>
        <w:jc w:val="center"/>
        <w:outlineLvl w:val="0"/>
        <w:rPr>
          <w:rFonts w:hint="eastAsia"/>
          <w:b/>
          <w:color w:val="000000"/>
          <w:sz w:val="44"/>
          <w:lang w:eastAsia="zh-CN"/>
        </w:rPr>
      </w:pPr>
      <w:r>
        <w:rPr>
          <w:b/>
          <w:color w:val="000000"/>
          <w:sz w:val="44"/>
        </w:rPr>
        <w:t>2023年</w:t>
      </w:r>
      <w:r>
        <w:rPr>
          <w:rFonts w:hint="eastAsia"/>
          <w:b/>
          <w:color w:val="000000"/>
          <w:sz w:val="44"/>
          <w:lang w:eastAsia="zh-CN"/>
        </w:rPr>
        <w:t>单位预算信息公开目录</w:t>
      </w:r>
    </w:p>
    <w:p/>
    <w:p>
      <w:pPr>
        <w:jc w:val="center"/>
      </w:pPr>
      <w:r>
        <w:fldChar w:fldCharType="begin"/>
      </w:r>
      <w:r>
        <w:instrText xml:space="preserve">TOC \o "4-4" \h \z \u</w:instrText>
      </w:r>
      <w:r>
        <w:fldChar w:fldCharType="separate"/>
      </w: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秦皇岛市山海关区</w:t>
      </w:r>
      <w:r>
        <w:rPr>
          <w:rFonts w:hint="eastAsia" w:ascii="黑体" w:hAnsi="黑体" w:eastAsia="黑体" w:cs="黑体"/>
          <w:b/>
          <w:color w:val="000000"/>
          <w:sz w:val="30"/>
          <w:lang w:val="en-US" w:eastAsia="zh-CN"/>
        </w:rPr>
        <w:t>司法局本级</w:t>
      </w:r>
      <w:r>
        <w:rPr>
          <w:rFonts w:ascii="黑体" w:hAnsi="黑体" w:eastAsia="黑体" w:cs="黑体"/>
          <w:b/>
          <w:color w:val="000000"/>
          <w:sz w:val="30"/>
        </w:rPr>
        <w:t>预算</w:t>
      </w:r>
    </w:p>
    <w:p>
      <w:r>
        <w:rPr>
          <w:rFonts w:hint="eastAsia" w:ascii="方正楷体_GBK" w:hAnsi="方正楷体_GBK" w:eastAsia="方正楷体_GBK" w:cs="方正楷体_GBK"/>
          <w:b/>
          <w:bCs w:val="0"/>
          <w:color w:val="000000"/>
          <w:sz w:val="28"/>
          <w:lang w:val="en-US" w:eastAsia="zh-CN"/>
        </w:rPr>
        <w:t>秦皇岛市山海关区人民代表大会常务委员会本级</w:t>
      </w:r>
      <w:r>
        <w:rPr>
          <w:rFonts w:ascii="方正楷体_GBK" w:hAnsi="方正楷体_GBK" w:eastAsia="方正楷体_GBK" w:cs="方正楷体_GBK"/>
          <w:b/>
          <w:color w:val="000000"/>
          <w:sz w:val="28"/>
        </w:rPr>
        <w:t>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eastAsia="宋体"/>
          <w:lang w:val="en-US" w:eastAsia="zh-CN"/>
        </w:rPr>
        <w:t>3</w:t>
      </w:r>
      <w:r>
        <w:fldChar w:fldCharType="end"/>
      </w:r>
    </w:p>
    <w:p>
      <w:pPr>
        <w:pStyle w:val="31"/>
        <w:tabs>
          <w:tab w:val="right" w:leader="dot" w:pos="14562"/>
        </w:tabs>
        <w:rPr>
          <w:rFonts w:ascii="Times New Roman" w:hAnsi="Times New Roman" w:eastAsia="Times New Roman" w:cstheme="minorBidi"/>
        </w:rPr>
      </w:pPr>
      <w:r>
        <w:rPr>
          <w:rFonts w:ascii="Times New Roman" w:hAnsi="Times New Roman" w:eastAsia="Times New Roman" w:cstheme="minorBidi"/>
        </w:rPr>
        <w:fldChar w:fldCharType="begin"/>
      </w:r>
      <w:r>
        <w:rPr>
          <w:rFonts w:ascii="Times New Roman" w:hAnsi="Times New Roman" w:eastAsia="Times New Roman" w:cstheme="minorBidi"/>
        </w:rPr>
        <w:instrText xml:space="preserve"> HYPERLINK \l "_Toc_2_2_0000000002" </w:instrText>
      </w:r>
      <w:r>
        <w:rPr>
          <w:rFonts w:ascii="Times New Roman" w:hAnsi="Times New Roman" w:eastAsia="Times New Roman" w:cstheme="minorBidi"/>
        </w:rPr>
        <w:fldChar w:fldCharType="separate"/>
      </w:r>
      <w:r>
        <w:rPr>
          <w:rFonts w:hint="eastAsia" w:ascii="Times New Roman" w:hAnsi="Times New Roman" w:eastAsia="Times New Roman" w:cstheme="minorBidi"/>
          <w:lang w:eastAsia="zh-CN"/>
        </w:rPr>
        <w:t>单位</w:t>
      </w:r>
      <w:r>
        <w:rPr>
          <w:rFonts w:ascii="Times New Roman" w:hAnsi="Times New Roman" w:eastAsia="Times New Roman" w:cstheme="minorBidi"/>
        </w:rPr>
        <w:t>预算收入总表</w:t>
      </w:r>
      <w:r>
        <w:rPr>
          <w:rFonts w:ascii="Times New Roman" w:hAnsi="Times New Roman" w:eastAsia="Times New Roman" w:cstheme="minorBidi"/>
        </w:rPr>
        <w:tab/>
      </w:r>
      <w:r>
        <w:rPr>
          <w:rFonts w:hint="eastAsia" w:ascii="Times New Roman" w:hAnsi="Times New Roman" w:eastAsia="宋体" w:cstheme="minorBidi"/>
          <w:lang w:val="en-US" w:eastAsia="zh-CN"/>
        </w:rPr>
        <w:t>6</w:t>
      </w:r>
      <w:r>
        <w:rPr>
          <w:rFonts w:ascii="Times New Roman" w:hAnsi="Times New Roman" w:eastAsia="Times New Roman" w:cstheme="minorBidi"/>
        </w:rPr>
        <w:fldChar w:fldCharType="end"/>
      </w:r>
    </w:p>
    <w:p>
      <w:pPr>
        <w:pStyle w:val="31"/>
        <w:tabs>
          <w:tab w:val="right" w:leader="dot" w:pos="14562"/>
        </w:tabs>
        <w:rPr>
          <w:rFonts w:hint="default"/>
          <w:lang w:val="en-US"/>
        </w:rPr>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1</w:t>
      </w:r>
    </w:p>
    <w:p>
      <w:pPr>
        <w:pStyle w:val="31"/>
        <w:tabs>
          <w:tab w:val="right" w:leader="dot" w:pos="14562"/>
        </w:tabs>
        <w:rPr>
          <w:rFonts w:hint="default"/>
          <w:lang w:val="en-US"/>
        </w:rPr>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4</w:t>
      </w:r>
    </w:p>
    <w:p>
      <w:pPr>
        <w:pStyle w:val="31"/>
        <w:tabs>
          <w:tab w:val="right" w:leader="dot" w:pos="14562"/>
        </w:tabs>
        <w:rPr>
          <w:rFonts w:hint="default"/>
          <w:lang w:val="en-US"/>
        </w:rPr>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1</w:t>
      </w:r>
    </w:p>
    <w:p>
      <w:pPr>
        <w:pStyle w:val="31"/>
        <w:tabs>
          <w:tab w:val="right" w:leader="dot" w:pos="14562"/>
        </w:tabs>
        <w:rPr>
          <w:rFonts w:hint="default"/>
          <w:lang w:val="en-US"/>
        </w:rPr>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val="en-US" w:eastAsia="zh-CN"/>
        </w:rPr>
        <w:t>3</w:t>
      </w:r>
    </w:p>
    <w:p>
      <w:pPr>
        <w:pStyle w:val="31"/>
        <w:tabs>
          <w:tab w:val="right" w:leader="dot" w:pos="14562"/>
        </w:tabs>
        <w:rPr>
          <w:rFonts w:hint="eastAsia" w:eastAsia="宋体"/>
          <w:lang w:val="en-US" w:eastAsia="zh-CN"/>
        </w:rPr>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rPr>
          <w:rFonts w:hint="eastAsia" w:eastAsia="宋体"/>
          <w:lang w:val="en-US" w:eastAsia="zh-CN"/>
        </w:rPr>
        <w:t>2</w:t>
      </w:r>
      <w:r>
        <w:fldChar w:fldCharType="end"/>
      </w:r>
      <w:r>
        <w:rPr>
          <w:rFonts w:hint="eastAsia" w:eastAsia="宋体"/>
          <w:lang w:val="en-US" w:eastAsia="zh-CN"/>
        </w:rPr>
        <w:t>6</w:t>
      </w:r>
    </w:p>
    <w:p>
      <w:pPr>
        <w:pStyle w:val="31"/>
        <w:tabs>
          <w:tab w:val="right" w:leader="dot" w:pos="14562"/>
        </w:tabs>
        <w:rPr>
          <w:rFonts w:hint="eastAsia" w:eastAsia="宋体"/>
          <w:lang w:val="en-US" w:eastAsia="zh-CN"/>
        </w:rPr>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rPr>
          <w:rFonts w:hint="eastAsia" w:eastAsia="宋体"/>
          <w:lang w:val="en-US" w:eastAsia="zh-CN"/>
        </w:rPr>
        <w:t>2</w:t>
      </w:r>
      <w:r>
        <w:fldChar w:fldCharType="end"/>
      </w:r>
      <w:r>
        <w:rPr>
          <w:rFonts w:hint="eastAsia" w:eastAsia="宋体"/>
          <w:lang w:val="en-US" w:eastAsia="zh-CN"/>
        </w:rPr>
        <w:t>7</w:t>
      </w:r>
    </w:p>
    <w:p>
      <w:pPr>
        <w:pStyle w:val="31"/>
        <w:tabs>
          <w:tab w:val="right" w:leader="dot" w:pos="14562"/>
        </w:tabs>
        <w:rPr>
          <w:rFonts w:hint="eastAsia" w:eastAsia="宋体"/>
          <w:lang w:val="en-US" w:eastAsia="zh-CN"/>
        </w:rPr>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rPr>
          <w:rFonts w:hint="eastAsia" w:eastAsia="宋体"/>
          <w:lang w:val="en-US" w:eastAsia="zh-CN"/>
        </w:rPr>
        <w:t>2</w:t>
      </w:r>
      <w:r>
        <w:fldChar w:fldCharType="end"/>
      </w:r>
      <w:r>
        <w:rPr>
          <w:rFonts w:hint="eastAsia" w:eastAsia="宋体"/>
          <w:lang w:val="en-US" w:eastAsia="zh-CN"/>
        </w:rPr>
        <w:t>8</w:t>
      </w:r>
    </w:p>
    <w:p>
      <w:r>
        <w:fldChar w:fldCharType="end"/>
      </w:r>
    </w:p>
    <w:p>
      <w:r>
        <w:rPr>
          <w:rFonts w:hint="eastAsia" w:ascii="方正楷体_GBK" w:hAnsi="方正楷体_GBK" w:eastAsia="方正楷体_GBK" w:cs="方正楷体_GBK"/>
          <w:b/>
          <w:bCs w:val="0"/>
          <w:color w:val="000000"/>
          <w:sz w:val="28"/>
          <w:lang w:val="en-US" w:eastAsia="zh-CN"/>
        </w:rPr>
        <w:t>秦皇岛市山海关区人民代表大会常务委员会</w:t>
      </w:r>
      <w:r>
        <w:rPr>
          <w:rFonts w:hint="eastAsia" w:ascii="黑体" w:hAnsi="黑体" w:eastAsia="黑体" w:cs="黑体"/>
          <w:b/>
          <w:bCs w:val="0"/>
          <w:color w:val="000000"/>
          <w:sz w:val="30"/>
          <w:lang w:val="en-US" w:eastAsia="zh-CN"/>
        </w:rPr>
        <w:t>本级</w:t>
      </w:r>
      <w:r>
        <w:rPr>
          <w:rFonts w:ascii="方正楷体_GBK" w:hAnsi="方正楷体_GBK" w:eastAsia="方正楷体_GBK" w:cs="方正楷体_GBK"/>
          <w:b/>
          <w:color w:val="000000"/>
          <w:sz w:val="28"/>
        </w:rPr>
        <w:t>预算信息公开情况说明</w:t>
      </w:r>
    </w:p>
    <w:p>
      <w:pPr>
        <w:pStyle w:val="31"/>
        <w:tabs>
          <w:tab w:val="right" w:leader="dot" w:pos="14562"/>
        </w:tabs>
        <w:rPr>
          <w:rFonts w:hint="eastAsia" w:eastAsia="宋体"/>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eastAsia="宋体"/>
          <w:lang w:val="en-US" w:eastAsia="zh-CN"/>
        </w:rPr>
        <w:t>2</w:t>
      </w:r>
      <w:r>
        <w:fldChar w:fldCharType="end"/>
      </w:r>
      <w:r>
        <w:rPr>
          <w:rFonts w:hint="eastAsia" w:eastAsia="宋体"/>
          <w:lang w:val="en-US" w:eastAsia="zh-CN"/>
        </w:rPr>
        <w:t>9</w:t>
      </w:r>
    </w:p>
    <w:p>
      <w:pPr>
        <w:pStyle w:val="31"/>
        <w:tabs>
          <w:tab w:val="right" w:leader="dot" w:pos="14562"/>
        </w:tabs>
        <w:rPr>
          <w:rFonts w:hint="eastAsia" w:eastAsia="宋体"/>
          <w:lang w:val="en-US" w:eastAsia="zh-CN"/>
        </w:rPr>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eastAsia="宋体"/>
          <w:lang w:val="en-US" w:eastAsia="zh-CN"/>
        </w:rPr>
        <w:t>3</w:t>
      </w:r>
      <w:r>
        <w:fldChar w:fldCharType="end"/>
      </w:r>
      <w:r>
        <w:rPr>
          <w:rFonts w:hint="eastAsia" w:eastAsia="宋体"/>
          <w:lang w:val="en-US" w:eastAsia="zh-CN"/>
        </w:rPr>
        <w:t>1</w:t>
      </w:r>
    </w:p>
    <w:p>
      <w:pPr>
        <w:pStyle w:val="31"/>
        <w:tabs>
          <w:tab w:val="right" w:leader="dot" w:pos="14562"/>
        </w:tabs>
        <w:rPr>
          <w:rFonts w:hint="eastAsia" w:eastAsia="宋体"/>
          <w:lang w:val="en-US" w:eastAsia="zh-CN"/>
        </w:rPr>
      </w:pPr>
      <w:r>
        <w:fldChar w:fldCharType="begin"/>
      </w:r>
      <w:r>
        <w:instrText xml:space="preserve"> HYPERLINK \l "_Toc_3_3_0000000012" </w:instrText>
      </w:r>
      <w:r>
        <w:fldChar w:fldCharType="separate"/>
      </w:r>
      <w:r>
        <w:t>三、机关运行经费安排情况</w:t>
      </w:r>
      <w:r>
        <w:tab/>
      </w:r>
      <w:r>
        <w:rPr>
          <w:rFonts w:hint="eastAsia" w:eastAsia="宋体"/>
          <w:lang w:val="en-US" w:eastAsia="zh-CN"/>
        </w:rPr>
        <w:t>3</w:t>
      </w:r>
      <w:r>
        <w:fldChar w:fldCharType="end"/>
      </w:r>
      <w:r>
        <w:rPr>
          <w:rFonts w:hint="eastAsia" w:eastAsia="宋体"/>
          <w:lang w:val="en-US" w:eastAsia="zh-CN"/>
        </w:rPr>
        <w:t>1</w:t>
      </w:r>
    </w:p>
    <w:p>
      <w:pPr>
        <w:pStyle w:val="31"/>
        <w:tabs>
          <w:tab w:val="right" w:leader="dot" w:pos="14562"/>
        </w:tabs>
        <w:rPr>
          <w:rFonts w:hint="eastAsia" w:eastAsia="宋体"/>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eastAsia="宋体"/>
          <w:lang w:val="en-US" w:eastAsia="zh-CN"/>
        </w:rPr>
        <w:t>3</w:t>
      </w:r>
      <w:r>
        <w:fldChar w:fldCharType="end"/>
      </w:r>
      <w:r>
        <w:rPr>
          <w:rFonts w:hint="eastAsia" w:eastAsia="宋体"/>
          <w:lang w:val="en-US" w:eastAsia="zh-CN"/>
        </w:rPr>
        <w:t>2</w:t>
      </w:r>
    </w:p>
    <w:p>
      <w:pPr>
        <w:pStyle w:val="31"/>
        <w:tabs>
          <w:tab w:val="right" w:leader="dot" w:pos="14562"/>
        </w:tabs>
        <w:rPr>
          <w:rFonts w:hint="eastAsia" w:eastAsia="宋体"/>
          <w:lang w:val="en-US" w:eastAsia="zh-CN"/>
        </w:rPr>
      </w:pPr>
      <w:r>
        <w:fldChar w:fldCharType="begin"/>
      </w:r>
      <w:r>
        <w:instrText xml:space="preserve"> HYPERLINK \l "_Toc_3_3_0000000014" </w:instrText>
      </w:r>
      <w:r>
        <w:fldChar w:fldCharType="separate"/>
      </w:r>
      <w:r>
        <w:t>五、预算绩效信息</w:t>
      </w:r>
      <w:r>
        <w:tab/>
      </w:r>
      <w:r>
        <w:rPr>
          <w:rFonts w:hint="eastAsia" w:eastAsia="宋体"/>
          <w:lang w:val="en-US" w:eastAsia="zh-CN"/>
        </w:rPr>
        <w:t>3</w:t>
      </w:r>
      <w:r>
        <w:fldChar w:fldCharType="end"/>
      </w:r>
      <w:r>
        <w:rPr>
          <w:rFonts w:hint="eastAsia" w:eastAsia="宋体"/>
          <w:lang w:val="en-US" w:eastAsia="zh-CN"/>
        </w:rPr>
        <w:t>2</w:t>
      </w:r>
    </w:p>
    <w:p>
      <w:pPr>
        <w:pStyle w:val="31"/>
        <w:tabs>
          <w:tab w:val="right" w:leader="dot" w:pos="14562"/>
        </w:tabs>
        <w:rPr>
          <w:rFonts w:hint="eastAsia" w:eastAsia="宋体"/>
          <w:lang w:val="en-US" w:eastAsia="zh-CN"/>
        </w:rPr>
      </w:pPr>
      <w:r>
        <w:fldChar w:fldCharType="begin"/>
      </w:r>
      <w:r>
        <w:instrText xml:space="preserve"> HYPERLINK \l "_Toc_3_3_0000000015" </w:instrText>
      </w:r>
      <w:r>
        <w:fldChar w:fldCharType="separate"/>
      </w:r>
      <w:r>
        <w:t>六、政府采购预算情况</w:t>
      </w:r>
      <w:r>
        <w:tab/>
      </w:r>
      <w:r>
        <w:rPr>
          <w:rFonts w:hint="eastAsia" w:eastAsia="宋体"/>
          <w:lang w:val="en-US" w:eastAsia="zh-CN"/>
        </w:rPr>
        <w:t>4</w:t>
      </w:r>
      <w:r>
        <w:fldChar w:fldCharType="end"/>
      </w:r>
      <w:r>
        <w:rPr>
          <w:rFonts w:hint="eastAsia" w:eastAsia="宋体"/>
          <w:lang w:val="en-US" w:eastAsia="zh-CN"/>
        </w:rPr>
        <w:t>0</w:t>
      </w:r>
    </w:p>
    <w:p>
      <w:pPr>
        <w:pStyle w:val="31"/>
        <w:tabs>
          <w:tab w:val="right" w:leader="dot" w:pos="14562"/>
        </w:tabs>
        <w:rPr>
          <w:rFonts w:hint="default" w:eastAsia="宋体"/>
          <w:lang w:val="en-US" w:eastAsia="zh-CN"/>
        </w:rPr>
      </w:pPr>
      <w:r>
        <w:fldChar w:fldCharType="begin"/>
      </w:r>
      <w:r>
        <w:instrText xml:space="preserve"> HYPERLINK \l "_Toc_3_3_0000000016" </w:instrText>
      </w:r>
      <w:r>
        <w:fldChar w:fldCharType="separate"/>
      </w:r>
      <w:r>
        <w:t>七、国有资产信息</w:t>
      </w:r>
      <w:r>
        <w:tab/>
      </w:r>
      <w:r>
        <w:rPr>
          <w:rFonts w:hint="eastAsia" w:eastAsia="宋体"/>
          <w:lang w:val="en-US" w:eastAsia="zh-CN"/>
        </w:rPr>
        <w:t>4</w:t>
      </w:r>
      <w:r>
        <w:fldChar w:fldCharType="end"/>
      </w:r>
      <w:r>
        <w:rPr>
          <w:rFonts w:hint="eastAsia" w:eastAsia="宋体"/>
          <w:lang w:val="en-US" w:eastAsia="zh-CN"/>
        </w:rPr>
        <w:t>1</w:t>
      </w:r>
    </w:p>
    <w:p>
      <w:pPr>
        <w:pStyle w:val="31"/>
        <w:tabs>
          <w:tab w:val="right" w:leader="dot" w:pos="14562"/>
        </w:tabs>
        <w:rPr>
          <w:rFonts w:hint="default" w:eastAsia="宋体"/>
          <w:lang w:val="en-US" w:eastAsia="zh-CN"/>
        </w:rPr>
      </w:pPr>
      <w:r>
        <w:fldChar w:fldCharType="begin"/>
      </w:r>
      <w:r>
        <w:instrText xml:space="preserve"> HYPERLINK \l "_Toc_3_3_0000000017" </w:instrText>
      </w:r>
      <w:r>
        <w:fldChar w:fldCharType="separate"/>
      </w:r>
      <w:r>
        <w:t>八、名词解释</w:t>
      </w:r>
      <w:r>
        <w:tab/>
      </w:r>
      <w:r>
        <w:rPr>
          <w:rFonts w:hint="eastAsia" w:eastAsia="宋体"/>
          <w:lang w:val="en-US" w:eastAsia="zh-CN"/>
        </w:rPr>
        <w:t>4</w:t>
      </w:r>
      <w:r>
        <w:fldChar w:fldCharType="end"/>
      </w:r>
      <w:r>
        <w:rPr>
          <w:rFonts w:hint="eastAsia" w:eastAsia="宋体"/>
          <w:lang w:val="en-US" w:eastAsia="zh-CN"/>
        </w:rPr>
        <w:t>1</w:t>
      </w:r>
    </w:p>
    <w:p>
      <w:pPr>
        <w:pStyle w:val="31"/>
        <w:tabs>
          <w:tab w:val="right" w:leader="dot" w:pos="14562"/>
        </w:tabs>
        <w:rPr>
          <w:rFonts w:hint="default" w:eastAsia="宋体"/>
          <w:lang w:val="en-US" w:eastAsia="zh-CN"/>
        </w:rPr>
      </w:pPr>
      <w:r>
        <w:fldChar w:fldCharType="begin"/>
      </w:r>
      <w:r>
        <w:instrText xml:space="preserve"> HYPERLINK \l "_Toc_3_3_0000000018" </w:instrText>
      </w:r>
      <w:r>
        <w:fldChar w:fldCharType="separate"/>
      </w:r>
      <w:r>
        <w:t>九、其他需要说明的事项</w:t>
      </w:r>
      <w:r>
        <w:tab/>
      </w:r>
      <w:r>
        <w:rPr>
          <w:rFonts w:hint="eastAsia" w:eastAsia="宋体"/>
          <w:lang w:val="en-US" w:eastAsia="zh-CN"/>
        </w:rPr>
        <w:t>4</w:t>
      </w:r>
      <w:r>
        <w:fldChar w:fldCharType="end"/>
      </w:r>
      <w:r>
        <w:rPr>
          <w:rFonts w:hint="eastAsia" w:eastAsia="宋体"/>
          <w:lang w:val="en-US" w:eastAsia="zh-CN"/>
        </w:rPr>
        <w:t>2</w:t>
      </w:r>
    </w:p>
    <w:p>
      <w:pPr>
        <w:pStyle w:val="31"/>
        <w:tabs>
          <w:tab w:val="right" w:leader="dot" w:pos="14562"/>
        </w:tabs>
      </w:pPr>
      <w:r>
        <w:fldChar w:fldCharType="end"/>
      </w:r>
    </w:p>
    <w:p>
      <w:pPr>
        <w:pStyle w:val="31"/>
        <w:tabs>
          <w:tab w:val="right" w:leader="dot" w:pos="14562"/>
        </w:tabs>
      </w:pPr>
    </w:p>
    <w:p>
      <w:pPr>
        <w:pStyle w:val="31"/>
        <w:tabs>
          <w:tab w:val="right" w:leader="dot" w:pos="14562"/>
        </w:tabs>
      </w:pPr>
    </w:p>
    <w:p>
      <w:pPr>
        <w:pStyle w:val="31"/>
        <w:tabs>
          <w:tab w:val="right" w:leader="dot" w:pos="14562"/>
        </w:tabs>
      </w:pPr>
      <w:bookmarkStart w:id="4" w:name="_GoBack"/>
      <w:bookmarkEnd w:id="4"/>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pStyle w:val="31"/>
        <w:tabs>
          <w:tab w:val="right" w:leader="dot" w:pos="14562"/>
        </w:tabs>
      </w:pPr>
    </w:p>
    <w:p>
      <w:pPr>
        <w:spacing w:before="0" w:after="0"/>
        <w:ind w:firstLine="0"/>
        <w:jc w:val="center"/>
        <w:outlineLvl w:val="3"/>
      </w:pPr>
      <w:r>
        <w:fldChar w:fldCharType="end"/>
      </w:r>
      <w:r>
        <w:rPr>
          <w:rFonts w:ascii="方正小标宋_GBK" w:hAnsi="方正小标宋_GBK" w:eastAsia="方正小标宋_GBK" w:cs="方正小标宋_GBK"/>
          <w:b w:val="0"/>
          <w:color w:val="000000"/>
          <w:sz w:val="44"/>
        </w:rPr>
        <w:t>一、秦皇岛市山海关区人民代表大会常务委员会本级收支预算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433.29</w:t>
            </w:r>
          </w:p>
        </w:tc>
        <w:tc>
          <w:tcPr>
            <w:tcW w:w="4535" w:type="dxa"/>
            <w:vAlign w:val="center"/>
          </w:tcPr>
          <w:p>
            <w:pPr>
              <w:pStyle w:val="14"/>
            </w:pPr>
            <w:r>
              <w:t>一、一般公共服务支出</w:t>
            </w:r>
          </w:p>
        </w:tc>
        <w:tc>
          <w:tcPr>
            <w:tcW w:w="2126" w:type="dxa"/>
            <w:vAlign w:val="center"/>
          </w:tcPr>
          <w:p>
            <w:pPr>
              <w:pStyle w:val="13"/>
            </w:pPr>
            <w:r>
              <w:t>303.69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433.29</w:t>
            </w:r>
          </w:p>
        </w:tc>
        <w:tc>
          <w:tcPr>
            <w:tcW w:w="4535" w:type="dxa"/>
            <w:vAlign w:val="center"/>
          </w:tcPr>
          <w:p>
            <w:pPr>
              <w:pStyle w:val="16"/>
            </w:pPr>
            <w:r>
              <w:t>本年支出合计</w:t>
            </w:r>
          </w:p>
        </w:tc>
        <w:tc>
          <w:tcPr>
            <w:tcW w:w="2126" w:type="dxa"/>
            <w:vAlign w:val="center"/>
          </w:tcPr>
          <w:p>
            <w:pPr>
              <w:pStyle w:val="17"/>
            </w:pPr>
            <w:r>
              <w:t>433.29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433.29</w:t>
            </w:r>
          </w:p>
        </w:tc>
        <w:tc>
          <w:tcPr>
            <w:tcW w:w="4535" w:type="dxa"/>
            <w:vAlign w:val="center"/>
          </w:tcPr>
          <w:p>
            <w:pPr>
              <w:pStyle w:val="16"/>
            </w:pPr>
            <w:r>
              <w:t>支出总计</w:t>
            </w:r>
          </w:p>
        </w:tc>
        <w:tc>
          <w:tcPr>
            <w:tcW w:w="2126" w:type="dxa"/>
            <w:vAlign w:val="center"/>
          </w:tcPr>
          <w:p>
            <w:pPr>
              <w:pStyle w:val="17"/>
            </w:pPr>
            <w:r>
              <w:t>433.29</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433.29</w:t>
            </w:r>
          </w:p>
        </w:tc>
        <w:tc>
          <w:tcPr>
            <w:tcW w:w="1134" w:type="dxa"/>
            <w:vAlign w:val="center"/>
          </w:tcPr>
          <w:p>
            <w:pPr>
              <w:pStyle w:val="17"/>
            </w:pPr>
            <w:r>
              <w:t>433.29</w:t>
            </w:r>
          </w:p>
        </w:tc>
        <w:tc>
          <w:tcPr>
            <w:tcW w:w="1134" w:type="dxa"/>
            <w:vAlign w:val="center"/>
          </w:tcPr>
          <w:p>
            <w:pPr>
              <w:pStyle w:val="17"/>
            </w:pPr>
            <w:r>
              <w:t>433.29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r>
              <w:t>303.69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243.69</w:t>
            </w:r>
          </w:p>
        </w:tc>
        <w:tc>
          <w:tcPr>
            <w:tcW w:w="1134" w:type="dxa"/>
            <w:vAlign w:val="center"/>
          </w:tcPr>
          <w:p>
            <w:pPr>
              <w:pStyle w:val="13"/>
            </w:pPr>
            <w:r>
              <w:t>243.69</w:t>
            </w:r>
          </w:p>
        </w:tc>
        <w:tc>
          <w:tcPr>
            <w:tcW w:w="1134" w:type="dxa"/>
            <w:vAlign w:val="center"/>
          </w:tcPr>
          <w:p>
            <w:pPr>
              <w:pStyle w:val="13"/>
            </w:pPr>
            <w:r>
              <w:t>243.69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80.89</w:t>
            </w:r>
          </w:p>
        </w:tc>
        <w:tc>
          <w:tcPr>
            <w:tcW w:w="1134" w:type="dxa"/>
            <w:vAlign w:val="center"/>
          </w:tcPr>
          <w:p>
            <w:pPr>
              <w:pStyle w:val="13"/>
            </w:pPr>
            <w:r>
              <w:t>80.89</w:t>
            </w:r>
          </w:p>
        </w:tc>
        <w:tc>
          <w:tcPr>
            <w:tcW w:w="1134" w:type="dxa"/>
            <w:vAlign w:val="center"/>
          </w:tcPr>
          <w:p>
            <w:pPr>
              <w:pStyle w:val="13"/>
            </w:pPr>
            <w:r>
              <w:t>80.89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30.37</w:t>
            </w:r>
          </w:p>
        </w:tc>
        <w:tc>
          <w:tcPr>
            <w:tcW w:w="1134" w:type="dxa"/>
            <w:vAlign w:val="center"/>
          </w:tcPr>
          <w:p>
            <w:pPr>
              <w:pStyle w:val="13"/>
            </w:pPr>
            <w:r>
              <w:t>30.37</w:t>
            </w:r>
          </w:p>
        </w:tc>
        <w:tc>
          <w:tcPr>
            <w:tcW w:w="1134" w:type="dxa"/>
            <w:vAlign w:val="center"/>
          </w:tcPr>
          <w:p>
            <w:pPr>
              <w:pStyle w:val="13"/>
            </w:pPr>
            <w:r>
              <w:t>30.37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r>
              <w:t>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r>
              <w:t>25.60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12.13</w:t>
            </w:r>
          </w:p>
        </w:tc>
        <w:tc>
          <w:tcPr>
            <w:tcW w:w="1134" w:type="dxa"/>
            <w:vAlign w:val="center"/>
          </w:tcPr>
          <w:p>
            <w:pPr>
              <w:pStyle w:val="13"/>
            </w:pPr>
            <w:r>
              <w:t>12.13</w:t>
            </w:r>
          </w:p>
        </w:tc>
        <w:tc>
          <w:tcPr>
            <w:tcW w:w="1134" w:type="dxa"/>
            <w:vAlign w:val="center"/>
          </w:tcPr>
          <w:p>
            <w:pPr>
              <w:pStyle w:val="13"/>
            </w:pPr>
            <w:r>
              <w:t>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13.47</w:t>
            </w:r>
          </w:p>
        </w:tc>
        <w:tc>
          <w:tcPr>
            <w:tcW w:w="1134" w:type="dxa"/>
            <w:vAlign w:val="center"/>
          </w:tcPr>
          <w:p>
            <w:pPr>
              <w:pStyle w:val="13"/>
            </w:pPr>
            <w:r>
              <w:t>13.47</w:t>
            </w:r>
          </w:p>
        </w:tc>
        <w:tc>
          <w:tcPr>
            <w:tcW w:w="1134" w:type="dxa"/>
            <w:vAlign w:val="center"/>
          </w:tcPr>
          <w:p>
            <w:pPr>
              <w:pStyle w:val="13"/>
            </w:pPr>
            <w:r>
              <w:t>13.47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r>
              <w:t>23.11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433.29</w:t>
            </w:r>
          </w:p>
        </w:tc>
        <w:tc>
          <w:tcPr>
            <w:tcW w:w="1361" w:type="dxa"/>
            <w:vAlign w:val="center"/>
          </w:tcPr>
          <w:p>
            <w:pPr>
              <w:pStyle w:val="17"/>
            </w:pPr>
            <w:r>
              <w:t>371.69</w:t>
            </w:r>
          </w:p>
        </w:tc>
        <w:tc>
          <w:tcPr>
            <w:tcW w:w="1361" w:type="dxa"/>
            <w:vAlign w:val="center"/>
          </w:tcPr>
          <w:p>
            <w:pPr>
              <w:pStyle w:val="17"/>
            </w:pPr>
            <w:r>
              <w:t>61.60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303.69</w:t>
            </w:r>
          </w:p>
        </w:tc>
        <w:tc>
          <w:tcPr>
            <w:tcW w:w="1361" w:type="dxa"/>
            <w:vAlign w:val="center"/>
          </w:tcPr>
          <w:p>
            <w:pPr>
              <w:pStyle w:val="13"/>
            </w:pPr>
            <w:r>
              <w:t>242.09</w:t>
            </w:r>
          </w:p>
        </w:tc>
        <w:tc>
          <w:tcPr>
            <w:tcW w:w="1361" w:type="dxa"/>
            <w:vAlign w:val="center"/>
          </w:tcPr>
          <w:p>
            <w:pPr>
              <w:pStyle w:val="13"/>
            </w:pPr>
            <w:r>
              <w:t>61.60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303.69</w:t>
            </w:r>
          </w:p>
        </w:tc>
        <w:tc>
          <w:tcPr>
            <w:tcW w:w="1361" w:type="dxa"/>
            <w:vAlign w:val="center"/>
          </w:tcPr>
          <w:p>
            <w:pPr>
              <w:pStyle w:val="13"/>
            </w:pPr>
            <w:r>
              <w:t>242.09</w:t>
            </w:r>
          </w:p>
        </w:tc>
        <w:tc>
          <w:tcPr>
            <w:tcW w:w="1361" w:type="dxa"/>
            <w:vAlign w:val="center"/>
          </w:tcPr>
          <w:p>
            <w:pPr>
              <w:pStyle w:val="13"/>
            </w:pPr>
            <w:r>
              <w:t>61.60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243.69</w:t>
            </w:r>
          </w:p>
        </w:tc>
        <w:tc>
          <w:tcPr>
            <w:tcW w:w="1361" w:type="dxa"/>
            <w:vAlign w:val="center"/>
          </w:tcPr>
          <w:p>
            <w:pPr>
              <w:pStyle w:val="13"/>
            </w:pPr>
            <w:r>
              <w:t>242.09</w:t>
            </w:r>
          </w:p>
        </w:tc>
        <w:tc>
          <w:tcPr>
            <w:tcW w:w="1361" w:type="dxa"/>
            <w:vAlign w:val="center"/>
          </w:tcPr>
          <w:p>
            <w:pPr>
              <w:pStyle w:val="13"/>
            </w:pPr>
            <w:r>
              <w:t>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80.89</w:t>
            </w:r>
          </w:p>
        </w:tc>
        <w:tc>
          <w:tcPr>
            <w:tcW w:w="1361" w:type="dxa"/>
            <w:vAlign w:val="center"/>
          </w:tcPr>
          <w:p>
            <w:pPr>
              <w:pStyle w:val="13"/>
            </w:pPr>
            <w:r>
              <w:t>80.89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79.93</w:t>
            </w:r>
          </w:p>
        </w:tc>
        <w:tc>
          <w:tcPr>
            <w:tcW w:w="1361" w:type="dxa"/>
            <w:vAlign w:val="center"/>
          </w:tcPr>
          <w:p>
            <w:pPr>
              <w:pStyle w:val="13"/>
            </w:pPr>
            <w:r>
              <w:t>79.93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49.56</w:t>
            </w:r>
          </w:p>
        </w:tc>
        <w:tc>
          <w:tcPr>
            <w:tcW w:w="1361" w:type="dxa"/>
            <w:vAlign w:val="center"/>
          </w:tcPr>
          <w:p>
            <w:pPr>
              <w:pStyle w:val="13"/>
            </w:pPr>
            <w:r>
              <w:t>49.56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30.37</w:t>
            </w:r>
          </w:p>
        </w:tc>
        <w:tc>
          <w:tcPr>
            <w:tcW w:w="1361" w:type="dxa"/>
            <w:vAlign w:val="center"/>
          </w:tcPr>
          <w:p>
            <w:pPr>
              <w:pStyle w:val="13"/>
            </w:pPr>
            <w:r>
              <w:t>30.37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0.95</w:t>
            </w:r>
          </w:p>
        </w:tc>
        <w:tc>
          <w:tcPr>
            <w:tcW w:w="1361" w:type="dxa"/>
            <w:vAlign w:val="center"/>
          </w:tcPr>
          <w:p>
            <w:pPr>
              <w:pStyle w:val="13"/>
            </w:pPr>
            <w:r>
              <w:t>0.95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25.60</w:t>
            </w:r>
          </w:p>
        </w:tc>
        <w:tc>
          <w:tcPr>
            <w:tcW w:w="1361" w:type="dxa"/>
            <w:vAlign w:val="center"/>
          </w:tcPr>
          <w:p>
            <w:pPr>
              <w:pStyle w:val="13"/>
            </w:pPr>
            <w:r>
              <w:t>25.60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25.60</w:t>
            </w:r>
          </w:p>
        </w:tc>
        <w:tc>
          <w:tcPr>
            <w:tcW w:w="1361" w:type="dxa"/>
            <w:vAlign w:val="center"/>
          </w:tcPr>
          <w:p>
            <w:pPr>
              <w:pStyle w:val="13"/>
            </w:pPr>
            <w:r>
              <w:t>25.60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12.13</w:t>
            </w:r>
          </w:p>
        </w:tc>
        <w:tc>
          <w:tcPr>
            <w:tcW w:w="1361" w:type="dxa"/>
            <w:vAlign w:val="center"/>
          </w:tcPr>
          <w:p>
            <w:pPr>
              <w:pStyle w:val="13"/>
            </w:pPr>
            <w:r>
              <w:t>12.13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13.47</w:t>
            </w:r>
          </w:p>
        </w:tc>
        <w:tc>
          <w:tcPr>
            <w:tcW w:w="1361" w:type="dxa"/>
            <w:vAlign w:val="center"/>
          </w:tcPr>
          <w:p>
            <w:pPr>
              <w:pStyle w:val="13"/>
            </w:pPr>
            <w:r>
              <w:t>13.47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23.11</w:t>
            </w:r>
          </w:p>
        </w:tc>
        <w:tc>
          <w:tcPr>
            <w:tcW w:w="1361" w:type="dxa"/>
            <w:vAlign w:val="center"/>
          </w:tcPr>
          <w:p>
            <w:pPr>
              <w:pStyle w:val="13"/>
            </w:pPr>
            <w:r>
              <w:t>23.11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23.11</w:t>
            </w:r>
          </w:p>
        </w:tc>
        <w:tc>
          <w:tcPr>
            <w:tcW w:w="1361" w:type="dxa"/>
            <w:vAlign w:val="center"/>
          </w:tcPr>
          <w:p>
            <w:pPr>
              <w:pStyle w:val="13"/>
            </w:pPr>
            <w:r>
              <w:t>23.11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23.11</w:t>
            </w:r>
          </w:p>
        </w:tc>
        <w:tc>
          <w:tcPr>
            <w:tcW w:w="1361" w:type="dxa"/>
            <w:vAlign w:val="center"/>
          </w:tcPr>
          <w:p>
            <w:pPr>
              <w:pStyle w:val="13"/>
            </w:pPr>
            <w:r>
              <w:t>23.11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433.29</w:t>
            </w:r>
          </w:p>
        </w:tc>
        <w:tc>
          <w:tcPr>
            <w:tcW w:w="3402" w:type="dxa"/>
            <w:vAlign w:val="center"/>
          </w:tcPr>
          <w:p>
            <w:pPr>
              <w:pStyle w:val="14"/>
            </w:pPr>
            <w:r>
              <w:t>一、一般公共服务支出</w:t>
            </w:r>
          </w:p>
        </w:tc>
        <w:tc>
          <w:tcPr>
            <w:tcW w:w="1474" w:type="dxa"/>
            <w:vAlign w:val="center"/>
          </w:tcPr>
          <w:p>
            <w:pPr>
              <w:pStyle w:val="13"/>
            </w:pPr>
            <w:r>
              <w:t>303.69</w:t>
            </w:r>
          </w:p>
        </w:tc>
        <w:tc>
          <w:tcPr>
            <w:tcW w:w="1474" w:type="dxa"/>
            <w:vAlign w:val="center"/>
          </w:tcPr>
          <w:p>
            <w:pPr>
              <w:pStyle w:val="13"/>
            </w:pPr>
            <w:r>
              <w:t>303.69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80.89</w:t>
            </w:r>
          </w:p>
        </w:tc>
        <w:tc>
          <w:tcPr>
            <w:tcW w:w="1474" w:type="dxa"/>
            <w:vAlign w:val="center"/>
          </w:tcPr>
          <w:p>
            <w:pPr>
              <w:pStyle w:val="13"/>
            </w:pPr>
            <w:r>
              <w:t>80.89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25.60</w:t>
            </w:r>
          </w:p>
        </w:tc>
        <w:tc>
          <w:tcPr>
            <w:tcW w:w="1474" w:type="dxa"/>
            <w:vAlign w:val="center"/>
          </w:tcPr>
          <w:p>
            <w:pPr>
              <w:pStyle w:val="13"/>
            </w:pPr>
            <w:r>
              <w:t>25.60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23.11</w:t>
            </w:r>
          </w:p>
        </w:tc>
        <w:tc>
          <w:tcPr>
            <w:tcW w:w="1474" w:type="dxa"/>
            <w:vAlign w:val="center"/>
          </w:tcPr>
          <w:p>
            <w:pPr>
              <w:pStyle w:val="13"/>
            </w:pPr>
            <w:r>
              <w:t>23.11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433.29</w:t>
            </w:r>
          </w:p>
        </w:tc>
        <w:tc>
          <w:tcPr>
            <w:tcW w:w="3402" w:type="dxa"/>
            <w:vAlign w:val="center"/>
          </w:tcPr>
          <w:p>
            <w:pPr>
              <w:pStyle w:val="16"/>
            </w:pPr>
            <w:r>
              <w:t>本年支出合计</w:t>
            </w:r>
          </w:p>
        </w:tc>
        <w:tc>
          <w:tcPr>
            <w:tcW w:w="1474" w:type="dxa"/>
            <w:vAlign w:val="center"/>
          </w:tcPr>
          <w:p>
            <w:pPr>
              <w:pStyle w:val="17"/>
            </w:pPr>
            <w:r>
              <w:t>433.29</w:t>
            </w:r>
          </w:p>
        </w:tc>
        <w:tc>
          <w:tcPr>
            <w:tcW w:w="1474" w:type="dxa"/>
            <w:vAlign w:val="center"/>
          </w:tcPr>
          <w:p>
            <w:pPr>
              <w:pStyle w:val="17"/>
            </w:pPr>
            <w:r>
              <w:t>433.29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433.29</w:t>
            </w:r>
          </w:p>
        </w:tc>
        <w:tc>
          <w:tcPr>
            <w:tcW w:w="3402" w:type="dxa"/>
            <w:vAlign w:val="center"/>
          </w:tcPr>
          <w:p>
            <w:pPr>
              <w:pStyle w:val="16"/>
            </w:pPr>
            <w:r>
              <w:t>支出总计</w:t>
            </w:r>
          </w:p>
        </w:tc>
        <w:tc>
          <w:tcPr>
            <w:tcW w:w="1474" w:type="dxa"/>
            <w:vAlign w:val="center"/>
          </w:tcPr>
          <w:p>
            <w:pPr>
              <w:pStyle w:val="17"/>
            </w:pPr>
            <w:r>
              <w:t>433.29</w:t>
            </w:r>
          </w:p>
        </w:tc>
        <w:tc>
          <w:tcPr>
            <w:tcW w:w="1474" w:type="dxa"/>
            <w:vAlign w:val="center"/>
          </w:tcPr>
          <w:p>
            <w:pPr>
              <w:pStyle w:val="17"/>
            </w:pPr>
            <w:r>
              <w:t>433.29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433.29</w:t>
            </w:r>
          </w:p>
        </w:tc>
        <w:tc>
          <w:tcPr>
            <w:tcW w:w="2551" w:type="dxa"/>
            <w:vAlign w:val="center"/>
          </w:tcPr>
          <w:p>
            <w:pPr>
              <w:pStyle w:val="17"/>
            </w:pPr>
            <w:r>
              <w:t>371.69</w:t>
            </w:r>
          </w:p>
        </w:tc>
        <w:tc>
          <w:tcPr>
            <w:tcW w:w="2551" w:type="dxa"/>
            <w:vAlign w:val="center"/>
          </w:tcPr>
          <w:p>
            <w:pPr>
              <w:pStyle w:val="17"/>
            </w:pPr>
            <w: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303.69</w:t>
            </w:r>
          </w:p>
        </w:tc>
        <w:tc>
          <w:tcPr>
            <w:tcW w:w="2551" w:type="dxa"/>
            <w:vAlign w:val="center"/>
          </w:tcPr>
          <w:p>
            <w:pPr>
              <w:pStyle w:val="13"/>
            </w:pPr>
            <w:r>
              <w:t>242.09</w:t>
            </w:r>
          </w:p>
        </w:tc>
        <w:tc>
          <w:tcPr>
            <w:tcW w:w="2551" w:type="dxa"/>
            <w:vAlign w:val="center"/>
          </w:tcPr>
          <w:p>
            <w:pPr>
              <w:pStyle w:val="13"/>
            </w:pPr>
            <w: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303.69</w:t>
            </w:r>
          </w:p>
        </w:tc>
        <w:tc>
          <w:tcPr>
            <w:tcW w:w="2551" w:type="dxa"/>
            <w:vAlign w:val="center"/>
          </w:tcPr>
          <w:p>
            <w:pPr>
              <w:pStyle w:val="13"/>
            </w:pPr>
            <w:r>
              <w:t>242.09</w:t>
            </w:r>
          </w:p>
        </w:tc>
        <w:tc>
          <w:tcPr>
            <w:tcW w:w="2551" w:type="dxa"/>
            <w:vAlign w:val="center"/>
          </w:tcPr>
          <w:p>
            <w:pPr>
              <w:pStyle w:val="13"/>
            </w:pPr>
            <w:r>
              <w:t>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243.69</w:t>
            </w:r>
          </w:p>
        </w:tc>
        <w:tc>
          <w:tcPr>
            <w:tcW w:w="2551" w:type="dxa"/>
            <w:vAlign w:val="center"/>
          </w:tcPr>
          <w:p>
            <w:pPr>
              <w:pStyle w:val="13"/>
            </w:pPr>
            <w:r>
              <w:t>242.09</w:t>
            </w: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80.89</w:t>
            </w:r>
          </w:p>
        </w:tc>
        <w:tc>
          <w:tcPr>
            <w:tcW w:w="2551" w:type="dxa"/>
            <w:vAlign w:val="center"/>
          </w:tcPr>
          <w:p>
            <w:pPr>
              <w:pStyle w:val="13"/>
            </w:pPr>
            <w:r>
              <w:t>80.89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79.93</w:t>
            </w:r>
          </w:p>
        </w:tc>
        <w:tc>
          <w:tcPr>
            <w:tcW w:w="2551" w:type="dxa"/>
            <w:vAlign w:val="center"/>
          </w:tcPr>
          <w:p>
            <w:pPr>
              <w:pStyle w:val="13"/>
            </w:pPr>
            <w:r>
              <w:t>79.93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30.37</w:t>
            </w:r>
          </w:p>
        </w:tc>
        <w:tc>
          <w:tcPr>
            <w:tcW w:w="2551" w:type="dxa"/>
            <w:vAlign w:val="center"/>
          </w:tcPr>
          <w:p>
            <w:pPr>
              <w:pStyle w:val="13"/>
            </w:pPr>
            <w:r>
              <w:t>30.37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25.60</w:t>
            </w:r>
          </w:p>
        </w:tc>
        <w:tc>
          <w:tcPr>
            <w:tcW w:w="2551" w:type="dxa"/>
            <w:vAlign w:val="center"/>
          </w:tcPr>
          <w:p>
            <w:pPr>
              <w:pStyle w:val="13"/>
            </w:pPr>
            <w:r>
              <w:t>25.60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25.60</w:t>
            </w:r>
          </w:p>
        </w:tc>
        <w:tc>
          <w:tcPr>
            <w:tcW w:w="2551" w:type="dxa"/>
            <w:vAlign w:val="center"/>
          </w:tcPr>
          <w:p>
            <w:pPr>
              <w:pStyle w:val="13"/>
            </w:pPr>
            <w:r>
              <w:t>25.60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12.13</w:t>
            </w:r>
          </w:p>
        </w:tc>
        <w:tc>
          <w:tcPr>
            <w:tcW w:w="2551" w:type="dxa"/>
            <w:vAlign w:val="center"/>
          </w:tcPr>
          <w:p>
            <w:pPr>
              <w:pStyle w:val="13"/>
            </w:pPr>
            <w:r>
              <w:t>12.13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13.47</w:t>
            </w:r>
          </w:p>
        </w:tc>
        <w:tc>
          <w:tcPr>
            <w:tcW w:w="2551" w:type="dxa"/>
            <w:vAlign w:val="center"/>
          </w:tcPr>
          <w:p>
            <w:pPr>
              <w:pStyle w:val="13"/>
            </w:pPr>
            <w:r>
              <w:t>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371.69</w:t>
            </w:r>
          </w:p>
        </w:tc>
        <w:tc>
          <w:tcPr>
            <w:tcW w:w="2551" w:type="dxa"/>
            <w:vAlign w:val="center"/>
          </w:tcPr>
          <w:p>
            <w:pPr>
              <w:pStyle w:val="17"/>
            </w:pPr>
            <w:r>
              <w:t>334.16</w:t>
            </w:r>
          </w:p>
        </w:tc>
        <w:tc>
          <w:tcPr>
            <w:tcW w:w="2551" w:type="dxa"/>
            <w:vAlign w:val="center"/>
          </w:tcPr>
          <w:p>
            <w:pPr>
              <w:pStyle w:val="17"/>
            </w:pPr>
            <w:r>
              <w:t>37.53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287.25</w:t>
            </w:r>
          </w:p>
        </w:tc>
        <w:tc>
          <w:tcPr>
            <w:tcW w:w="2551" w:type="dxa"/>
            <w:vAlign w:val="center"/>
          </w:tcPr>
          <w:p>
            <w:pPr>
              <w:pStyle w:val="13"/>
            </w:pPr>
            <w:r>
              <w:t>287.25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103.57</w:t>
            </w:r>
          </w:p>
        </w:tc>
        <w:tc>
          <w:tcPr>
            <w:tcW w:w="2551" w:type="dxa"/>
            <w:vAlign w:val="center"/>
          </w:tcPr>
          <w:p>
            <w:pPr>
              <w:pStyle w:val="13"/>
            </w:pPr>
            <w:r>
              <w:t>103.57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82.14</w:t>
            </w:r>
          </w:p>
        </w:tc>
        <w:tc>
          <w:tcPr>
            <w:tcW w:w="2551" w:type="dxa"/>
            <w:vAlign w:val="center"/>
          </w:tcPr>
          <w:p>
            <w:pPr>
              <w:pStyle w:val="13"/>
            </w:pPr>
            <w:r>
              <w:t>82.14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21.56</w:t>
            </w:r>
          </w:p>
        </w:tc>
        <w:tc>
          <w:tcPr>
            <w:tcW w:w="2551" w:type="dxa"/>
            <w:vAlign w:val="center"/>
          </w:tcPr>
          <w:p>
            <w:pPr>
              <w:pStyle w:val="13"/>
            </w:pPr>
            <w:r>
              <w:t>21.56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30.37</w:t>
            </w:r>
          </w:p>
        </w:tc>
        <w:tc>
          <w:tcPr>
            <w:tcW w:w="2551" w:type="dxa"/>
            <w:vAlign w:val="center"/>
          </w:tcPr>
          <w:p>
            <w:pPr>
              <w:pStyle w:val="13"/>
            </w:pPr>
            <w:r>
              <w:t>30.37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12.13</w:t>
            </w:r>
          </w:p>
        </w:tc>
        <w:tc>
          <w:tcPr>
            <w:tcW w:w="2551" w:type="dxa"/>
            <w:vAlign w:val="center"/>
          </w:tcPr>
          <w:p>
            <w:pPr>
              <w:pStyle w:val="13"/>
            </w:pPr>
            <w:r>
              <w:t>12.13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13.47</w:t>
            </w:r>
          </w:p>
        </w:tc>
        <w:tc>
          <w:tcPr>
            <w:tcW w:w="2551" w:type="dxa"/>
            <w:vAlign w:val="center"/>
          </w:tcPr>
          <w:p>
            <w:pPr>
              <w:pStyle w:val="13"/>
            </w:pPr>
            <w:r>
              <w:t>13.47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0.90</w:t>
            </w:r>
          </w:p>
        </w:tc>
        <w:tc>
          <w:tcPr>
            <w:tcW w:w="2551" w:type="dxa"/>
            <w:vAlign w:val="center"/>
          </w:tcPr>
          <w:p>
            <w:pPr>
              <w:pStyle w:val="13"/>
            </w:pPr>
            <w:r>
              <w:t>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23.11</w:t>
            </w:r>
          </w:p>
        </w:tc>
        <w:tc>
          <w:tcPr>
            <w:tcW w:w="2551" w:type="dxa"/>
            <w:vAlign w:val="center"/>
          </w:tcPr>
          <w:p>
            <w:pPr>
              <w:pStyle w:val="13"/>
            </w:pPr>
            <w:r>
              <w:t>23.11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37.24</w:t>
            </w:r>
          </w:p>
        </w:tc>
        <w:tc>
          <w:tcPr>
            <w:tcW w:w="2551" w:type="dxa"/>
            <w:vAlign w:val="center"/>
          </w:tcPr>
          <w:p>
            <w:pPr>
              <w:pStyle w:val="13"/>
            </w:pPr>
          </w:p>
        </w:tc>
        <w:tc>
          <w:tcPr>
            <w:tcW w:w="2551" w:type="dxa"/>
            <w:vAlign w:val="center"/>
          </w:tcPr>
          <w:p>
            <w:pPr>
              <w:pStyle w:val="13"/>
            </w:pPr>
            <w:r>
              <w:t>37.24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3.10</w:t>
            </w:r>
          </w:p>
        </w:tc>
        <w:tc>
          <w:tcPr>
            <w:tcW w:w="2551" w:type="dxa"/>
            <w:vAlign w:val="center"/>
          </w:tcPr>
          <w:p>
            <w:pPr>
              <w:pStyle w:val="13"/>
            </w:pPr>
          </w:p>
        </w:tc>
        <w:tc>
          <w:tcPr>
            <w:tcW w:w="2551"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0.44</w:t>
            </w:r>
          </w:p>
        </w:tc>
        <w:tc>
          <w:tcPr>
            <w:tcW w:w="2551" w:type="dxa"/>
            <w:vAlign w:val="center"/>
          </w:tcPr>
          <w:p>
            <w:pPr>
              <w:pStyle w:val="13"/>
            </w:pPr>
          </w:p>
        </w:tc>
        <w:tc>
          <w:tcPr>
            <w:tcW w:w="2551" w:type="dxa"/>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3.59</w:t>
            </w:r>
          </w:p>
        </w:tc>
        <w:tc>
          <w:tcPr>
            <w:tcW w:w="2551" w:type="dxa"/>
            <w:vAlign w:val="center"/>
          </w:tcPr>
          <w:p>
            <w:pPr>
              <w:pStyle w:val="13"/>
            </w:pPr>
          </w:p>
        </w:tc>
        <w:tc>
          <w:tcPr>
            <w:tcW w:w="2551" w:type="dxa"/>
            <w:vAlign w:val="center"/>
          </w:tcPr>
          <w:p>
            <w:pPr>
              <w:pStyle w:val="13"/>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2.59</w:t>
            </w:r>
          </w:p>
        </w:tc>
        <w:tc>
          <w:tcPr>
            <w:tcW w:w="2551" w:type="dxa"/>
            <w:vAlign w:val="center"/>
          </w:tcPr>
          <w:p>
            <w:pPr>
              <w:pStyle w:val="13"/>
            </w:pPr>
          </w:p>
        </w:tc>
        <w:tc>
          <w:tcPr>
            <w:tcW w:w="2551" w:type="dxa"/>
            <w:vAlign w:val="center"/>
          </w:tcPr>
          <w:p>
            <w:pPr>
              <w:pStyle w:val="13"/>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16.13</w:t>
            </w:r>
          </w:p>
        </w:tc>
        <w:tc>
          <w:tcPr>
            <w:tcW w:w="2551" w:type="dxa"/>
            <w:vAlign w:val="center"/>
          </w:tcPr>
          <w:p>
            <w:pPr>
              <w:pStyle w:val="13"/>
            </w:pPr>
          </w:p>
        </w:tc>
        <w:tc>
          <w:tcPr>
            <w:tcW w:w="2551" w:type="dxa"/>
            <w:vAlign w:val="center"/>
          </w:tcPr>
          <w:p>
            <w:pPr>
              <w:pStyle w:val="13"/>
            </w:pPr>
            <w:r>
              <w:t>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4.25</w:t>
            </w:r>
          </w:p>
        </w:tc>
        <w:tc>
          <w:tcPr>
            <w:tcW w:w="2551" w:type="dxa"/>
            <w:vAlign w:val="center"/>
          </w:tcPr>
          <w:p>
            <w:pPr>
              <w:pStyle w:val="13"/>
            </w:pPr>
          </w:p>
        </w:tc>
        <w:tc>
          <w:tcPr>
            <w:tcW w:w="2551" w:type="dxa"/>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46.91</w:t>
            </w:r>
          </w:p>
        </w:tc>
        <w:tc>
          <w:tcPr>
            <w:tcW w:w="2551" w:type="dxa"/>
            <w:vAlign w:val="center"/>
          </w:tcPr>
          <w:p>
            <w:pPr>
              <w:pStyle w:val="13"/>
            </w:pPr>
            <w:r>
              <w:t>46.91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13.66</w:t>
            </w:r>
          </w:p>
        </w:tc>
        <w:tc>
          <w:tcPr>
            <w:tcW w:w="2551" w:type="dxa"/>
            <w:vAlign w:val="center"/>
          </w:tcPr>
          <w:p>
            <w:pPr>
              <w:pStyle w:val="13"/>
            </w:pPr>
            <w:r>
              <w:t>13.66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0.95</w:t>
            </w:r>
          </w:p>
        </w:tc>
        <w:tc>
          <w:tcPr>
            <w:tcW w:w="2551" w:type="dxa"/>
            <w:vAlign w:val="center"/>
          </w:tcPr>
          <w:p>
            <w:pPr>
              <w:pStyle w:val="13"/>
            </w:pPr>
            <w:r>
              <w:t>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秦皇岛市山海关区人民代表大会常务委员会本级2023年单位预算信息公开情况说明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》、《地方预决算公开操作规程》和《关于进一步推进预算公开工作的实施意见》规定，现将人大部门秦皇岛市山海关区人民代表大会常务委员会本级2023年单位预算公开如下：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（一）在本行政区域内，保证宪法、法律、行政法规和上级人民代表大会及其常务委员会决议的遵守和执行。</w:t>
      </w:r>
    </w:p>
    <w:p>
      <w:pPr>
        <w:pStyle w:val="27"/>
      </w:pPr>
      <w:r>
        <w:t>（二）领导或主持本级人民代表大会代表的选举。</w:t>
      </w:r>
    </w:p>
    <w:p>
      <w:pPr>
        <w:pStyle w:val="27"/>
      </w:pPr>
      <w:r>
        <w:t>（三）召开本级人民代表大会会议。</w:t>
      </w:r>
    </w:p>
    <w:p>
      <w:pPr>
        <w:pStyle w:val="27"/>
      </w:pPr>
      <w:r>
        <w:t>（四）讨论、决定本行政区域内的政法、经济、教育、科学、文化、卫生、环境和资源保护、民政、民族等工作的重大事项。</w:t>
      </w:r>
    </w:p>
    <w:p>
      <w:pPr>
        <w:pStyle w:val="27"/>
      </w:pPr>
      <w:r>
        <w:t>（五）根据本级人民政府的建议，决定对本行政区域内的国民经济和社会发展计划、预算的部分变更。</w:t>
      </w:r>
    </w:p>
    <w:p>
      <w:pPr>
        <w:pStyle w:val="27"/>
      </w:pPr>
      <w:r>
        <w:t>（六）监督本级人民政府、人民法院和人民检察院的工作，联系本级人民代表大会代表，受理人民群众对上述机关和国家工作人员的申诉工作和意见。</w:t>
      </w:r>
    </w:p>
    <w:p>
      <w:pPr>
        <w:pStyle w:val="27"/>
      </w:pPr>
      <w:r>
        <w:t>（七）撤销下一级人民代表大会及其常务委员会不适当的决议。</w:t>
      </w:r>
    </w:p>
    <w:p>
      <w:pPr>
        <w:pStyle w:val="27"/>
      </w:pPr>
      <w:r>
        <w:t>（八）撤销本级人民政府不适当的决定和命令。</w:t>
      </w:r>
    </w:p>
    <w:p>
      <w:pPr>
        <w:pStyle w:val="27"/>
      </w:pPr>
      <w:r>
        <w:t>（九）在本级人民代表大会闭会期间，决定副区长的个别任免；在区长和人民法院院长、人民检察院检察长因故不能提任职务时，从本级人民政府、人民法院、人民检察院副职领导人员中决定代理人选；决定代理检察长，经报上一级检察院和人民代表大会常务委员会备案。</w:t>
      </w:r>
    </w:p>
    <w:p>
      <w:pPr>
        <w:pStyle w:val="27"/>
      </w:pPr>
      <w:r>
        <w:t>（十）根据区长的提名，决定本级人民政府办公室主任、局长、委员会主任的任免，报上一级人民政府备案。</w:t>
      </w:r>
    </w:p>
    <w:p>
      <w:pPr>
        <w:pStyle w:val="27"/>
      </w:pPr>
      <w:r>
        <w:t>（十一）按照人民法院组织法和人民检察院组织法的规定，任免人民法院副院长、庭长、副庭长、审判委员会委员、审判长，任免人民检察院副检察长、监察委员会委员、检察员。</w:t>
      </w:r>
    </w:p>
    <w:p>
      <w:pPr>
        <w:pStyle w:val="27"/>
      </w:pPr>
      <w:r>
        <w:t>（十二）在本级人民代表大会闭会期间，决定撤销个别副区长的职务；决定撤销由它任命的本级人民政府其他组成人员和人民法院副院长、庭长、副庭长、审判委员会委员、审判员，人民检察院副检察长、检查委员会委员、检察员的职务。</w:t>
      </w:r>
    </w:p>
    <w:p>
      <w:pPr>
        <w:pStyle w:val="27"/>
      </w:pPr>
      <w:r>
        <w:t>（十三）在本级人民代表大会闭会期间，补选上一级人民代表大会缺额的代表和罢免个别代表。</w:t>
      </w:r>
    </w:p>
    <w:p>
      <w:pPr>
        <w:pStyle w:val="27"/>
      </w:pPr>
      <w:r>
        <w:t>（十四）决定授予地方的荣誉称号。</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秦皇岛市山海关区人民代表大会常务委员会本级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w:t>
      </w:r>
      <w:r>
        <w:rPr>
          <w:rFonts w:hint="eastAsia"/>
          <w:lang w:val="en-US" w:eastAsia="zh-CN"/>
        </w:rPr>
        <w:t>单位</w:t>
      </w:r>
      <w:r>
        <w:t>当年全部收入。2023年预算收入为433.29万元。本年收入为433.29万元，其中：一般公共预算拨款433.29万元，基金预算拨款0万元，国有资本经营预算拨款0万元；上年结转结余为0万元，其中：一般公共预算拨款0万元，基金预算拨款0万元，国有资本经营预算拨款0万元 。</w:t>
      </w:r>
    </w:p>
    <w:p>
      <w:pPr>
        <w:pStyle w:val="28"/>
      </w:pPr>
      <w:r>
        <w:t>2、支出说明</w:t>
      </w:r>
    </w:p>
    <w:p>
      <w:pPr>
        <w:pStyle w:val="28"/>
      </w:pPr>
      <w:r>
        <w:t>收支预算总表支出栏、基本支出表、项目支出表按经济分类和支出功能分类科目编制，反映山海关区2023年度部门预算中支出预算的总体情况。2023年预算支出为433.29万元，其中：基本支出371.69万元，主要是人员经费334.16万元和日常公用经费37.53万元；项目支出61.6万元，主要为主要为代表活动费10.00万元；人大会议20.00万元；车辆保险费1.60万元；综合事务管理费30.00万元。</w:t>
      </w:r>
    </w:p>
    <w:p>
      <w:pPr>
        <w:pStyle w:val="28"/>
      </w:pPr>
      <w:r>
        <w:t>3、比上年增减情况</w:t>
      </w:r>
    </w:p>
    <w:p>
      <w:pPr>
        <w:pStyle w:val="28"/>
      </w:pPr>
      <w:r>
        <w:t>2023年预算支出安排433.29万元，较2022年预算减少56.82万元，其中：基本支出减少55.67万元，主要为日常人员经费减少；项目支出减少1.15万元，主要为市拨人大代表活动费减少。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37.53万元，主要用于机关办公区的办公及印刷费、邮电费、公务用车运行维护费等日常运行支出。其中：办公及印刷费3.24万元、邮电费1.44万元、福利费2.59万元、公务交通补贴16.13万元，培训费1.55万元，离退休干部经费3.85万元，工会经费2.16万元，公务用车运行维护费以及其他费用6.57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w:t>
      </w:r>
      <w:r>
        <w:rPr>
          <w:rFonts w:hint="eastAsia"/>
          <w:lang w:eastAsia="zh-CN"/>
        </w:rPr>
        <w:t>我单位</w:t>
      </w:r>
      <w:r>
        <w:t>财政拨款“三公”经费预算安排8.48万元，与上年相比，减少0.02万元。其中：因公出国（境）费0万元，与上年持平，无增减变化；公务用车购置及运行维护费8.00万元（其中：公务用车购置费为0万元，公务用车运行维护费8.00万元），公务用车购置费与上年持平，无增减变化；公务用车运行维护费8.00万元，与上年持平，无增减变化；公务接待费0.48万元，与上年相比，减少0.02万元，主要是厉行节约，压缩经费。</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ind w:firstLine="560"/>
        <w:jc w:val="left"/>
        <w:outlineLvl w:val="1"/>
        <w:rPr>
          <w:rFonts w:ascii="方正黑体_GBK" w:hAnsi="方正黑体_GBK" w:eastAsia="方正黑体_GBK" w:cs="方正黑体_GBK"/>
          <w:color w:val="000000"/>
          <w:sz w:val="28"/>
        </w:rPr>
      </w:pPr>
      <w:r>
        <w:rPr>
          <w:rFonts w:ascii="方正黑体_GBK" w:hAnsi="方正黑体_GBK" w:eastAsia="方正黑体_GBK" w:cs="方正黑体_GBK"/>
          <w:color w:val="000000"/>
          <w:sz w:val="28"/>
        </w:rPr>
        <w:t>第一部分整体绩效目标</w:t>
      </w:r>
      <w:bookmarkStart w:id="1" w:name="_Toc_2_2_0000000001"/>
    </w:p>
    <w:p>
      <w:pPr>
        <w:spacing w:before="10" w:after="10"/>
        <w:ind w:firstLine="560"/>
        <w:jc w:val="left"/>
        <w:outlineLvl w:val="1"/>
      </w:pPr>
      <w:r>
        <w:rPr>
          <w:rFonts w:ascii="方正黑体_GBK" w:hAnsi="方正黑体_GBK" w:eastAsia="方正黑体_GBK" w:cs="方正黑体_GBK"/>
          <w:color w:val="000000"/>
          <w:sz w:val="28"/>
        </w:rPr>
        <w:t>一、总体绩效目标</w:t>
      </w:r>
      <w:bookmarkEnd w:id="1"/>
    </w:p>
    <w:p>
      <w:pPr>
        <w:pStyle w:val="23"/>
      </w:pPr>
      <w:r>
        <w:t xml:space="preserve">1、加强对权力运行的制约监督，推动区委重大决策部署的贯彻落实。 </w:t>
      </w:r>
    </w:p>
    <w:p>
      <w:pPr>
        <w:pStyle w:val="23"/>
      </w:pPr>
      <w:r>
        <w:t>2、做好会议的服务保障工作，确保会议顺利进行，达到预期目标。</w:t>
      </w:r>
    </w:p>
    <w:p>
      <w:pPr>
        <w:pStyle w:val="23"/>
      </w:pPr>
      <w:r>
        <w:t>3、发挥好常委会组成人员、专门委员会委员和代表的履职积极性。密切对代表的联系，组织专门委员会成员、代表列席常委会会议，坚持向代表通报常委会会议情况。</w:t>
      </w:r>
    </w:p>
    <w:p>
      <w:pPr>
        <w:pStyle w:val="23"/>
      </w:pPr>
      <w:r>
        <w:t>4、改进文风会风，提高常委会议事质量。常委会会议议题要在听取群众意见的基础上依法确定，加强会前的视察调研，严格落实议事规则，完善审议程序，切实提出有针对性的意见建议。</w:t>
      </w:r>
    </w:p>
    <w:p>
      <w:pPr>
        <w:pStyle w:val="23"/>
      </w:pPr>
      <w:r>
        <w:t>5、全面推进机关思想建设、组织建设、作风建设、制度建设和廉政建设，提高机关管理的科学化水平。</w:t>
      </w:r>
    </w:p>
    <w:p>
      <w:pPr>
        <w:spacing w:before="10" w:after="10"/>
        <w:ind w:firstLine="560"/>
        <w:jc w:val="left"/>
        <w:outlineLvl w:val="1"/>
      </w:pPr>
      <w:bookmarkStart w:id="2" w:name="_Toc_2_2_0000000002"/>
      <w:r>
        <w:rPr>
          <w:rFonts w:ascii="方正黑体_GBK" w:hAnsi="方正黑体_GBK" w:eastAsia="方正黑体_GBK" w:cs="方正黑体_GBK"/>
          <w:color w:val="000000"/>
          <w:sz w:val="28"/>
        </w:rPr>
        <w:t>二、分项绩效目标</w:t>
      </w:r>
      <w:bookmarkEnd w:id="2"/>
    </w:p>
    <w:p>
      <w:pPr>
        <w:pStyle w:val="24"/>
      </w:pPr>
      <w:r>
        <w:t>职责分类绩效目标情况说明：</w:t>
      </w:r>
    </w:p>
    <w:p>
      <w:pPr>
        <w:pStyle w:val="24"/>
      </w:pPr>
      <w:r>
        <w:rPr>
          <w:rFonts w:hint="eastAsia"/>
          <w:lang w:eastAsia="zh-CN"/>
        </w:rPr>
        <w:t>（</w:t>
      </w:r>
      <w:r>
        <w:rPr>
          <w:rFonts w:hint="eastAsia"/>
          <w:lang w:val="en-US" w:eastAsia="zh-CN"/>
        </w:rPr>
        <w:t>一</w:t>
      </w:r>
      <w:r>
        <w:rPr>
          <w:rFonts w:hint="eastAsia"/>
          <w:lang w:eastAsia="zh-CN"/>
        </w:rPr>
        <w:t>）</w:t>
      </w:r>
      <w:r>
        <w:t>保障宪法和法律有效实施；发挥常委及代表的桥梁纽带作用，集中反映民意，促进依法履职。</w:t>
      </w:r>
    </w:p>
    <w:p>
      <w:pPr>
        <w:pStyle w:val="24"/>
      </w:pPr>
      <w:r>
        <w:t>重要工作参与率：反映重要工作的参与情况</w:t>
      </w:r>
    </w:p>
    <w:p>
      <w:pPr>
        <w:pStyle w:val="24"/>
        <w:rPr>
          <w:rFonts w:hint="eastAsia" w:eastAsia="方正仿宋_GBK"/>
          <w:lang w:eastAsia="zh-CN"/>
        </w:rPr>
      </w:pPr>
      <w:r>
        <w:t>执法检查、视察等监督工作完成率</w:t>
      </w:r>
      <w:r>
        <w:tab/>
      </w:r>
      <w:r>
        <w:t>：反映年度执法检查和集中视察等监督工作完成情况</w:t>
      </w:r>
      <w:r>
        <w:rPr>
          <w:rFonts w:hint="eastAsia"/>
          <w:lang w:eastAsia="zh-CN"/>
        </w:rPr>
        <w:t>。</w:t>
      </w:r>
    </w:p>
    <w:p>
      <w:pPr>
        <w:pStyle w:val="24"/>
      </w:pPr>
      <w:r>
        <w:t>建议督办完成率</w:t>
      </w:r>
      <w:r>
        <w:tab/>
      </w:r>
      <w:r>
        <w:t>：反映建议督办的完成情况。</w:t>
      </w:r>
    </w:p>
    <w:p>
      <w:pPr>
        <w:pStyle w:val="24"/>
        <w:rPr>
          <w:rFonts w:hint="eastAsia" w:eastAsia="方正仿宋_GBK"/>
          <w:lang w:eastAsia="zh-CN"/>
        </w:rPr>
      </w:pPr>
      <w:r>
        <w:t>调研计划完成率</w:t>
      </w:r>
      <w:r>
        <w:tab/>
      </w:r>
      <w:r>
        <w:t>：反映调研计划完成情况</w:t>
      </w:r>
      <w:r>
        <w:rPr>
          <w:rFonts w:hint="eastAsia"/>
          <w:lang w:eastAsia="zh-CN"/>
        </w:rPr>
        <w:t>。</w:t>
      </w:r>
    </w:p>
    <w:p>
      <w:pPr>
        <w:pStyle w:val="24"/>
        <w:rPr>
          <w:rFonts w:hint="eastAsia" w:eastAsia="方正仿宋_GBK"/>
          <w:lang w:eastAsia="zh-CN"/>
        </w:rPr>
      </w:pPr>
      <w:r>
        <w:t>培训计划完成率</w:t>
      </w:r>
      <w:r>
        <w:tab/>
      </w:r>
      <w:r>
        <w:t xml:space="preserve">：反映代表培训和机关人员培训的情况 </w:t>
      </w:r>
      <w:r>
        <w:rPr>
          <w:rFonts w:hint="eastAsia"/>
          <w:lang w:eastAsia="zh-CN"/>
        </w:rPr>
        <w:t>。</w:t>
      </w:r>
    </w:p>
    <w:p>
      <w:pPr>
        <w:pStyle w:val="24"/>
        <w:rPr>
          <w:rFonts w:hint="eastAsia" w:eastAsia="方正仿宋_GBK"/>
          <w:lang w:eastAsia="zh-CN"/>
        </w:rPr>
      </w:pPr>
      <w:r>
        <w:t>各项指标完成100%为优，完成95%为良，完成90%为中，达不到90%为差</w:t>
      </w:r>
      <w:r>
        <w:rPr>
          <w:rFonts w:hint="eastAsia"/>
          <w:lang w:eastAsia="zh-CN"/>
        </w:rPr>
        <w:t>。</w:t>
      </w:r>
    </w:p>
    <w:p>
      <w:pPr>
        <w:pStyle w:val="24"/>
      </w:pPr>
      <w:r>
        <w:rPr>
          <w:rFonts w:hint="eastAsia"/>
          <w:lang w:eastAsia="zh-CN"/>
        </w:rPr>
        <w:t>（</w:t>
      </w:r>
      <w:r>
        <w:rPr>
          <w:rFonts w:hint="eastAsia"/>
          <w:lang w:val="en-US" w:eastAsia="zh-CN"/>
        </w:rPr>
        <w:t>二</w:t>
      </w:r>
      <w:r>
        <w:rPr>
          <w:rFonts w:hint="eastAsia"/>
          <w:lang w:eastAsia="zh-CN"/>
        </w:rPr>
        <w:t>）</w:t>
      </w:r>
      <w:r>
        <w:t>保障会议顺利召开，完成会议议程。</w:t>
      </w:r>
    </w:p>
    <w:p>
      <w:pPr>
        <w:pStyle w:val="24"/>
        <w:rPr>
          <w:rFonts w:hint="eastAsia" w:eastAsia="方正仿宋_GBK"/>
          <w:lang w:eastAsia="zh-CN"/>
        </w:rPr>
      </w:pPr>
      <w:r>
        <w:t>会务工作完成率</w:t>
      </w:r>
      <w:r>
        <w:tab/>
      </w:r>
      <w:r>
        <w:t>：反映会务工作完成情况</w:t>
      </w:r>
      <w:r>
        <w:rPr>
          <w:rFonts w:hint="eastAsia"/>
          <w:lang w:eastAsia="zh-CN"/>
        </w:rPr>
        <w:t>。</w:t>
      </w:r>
    </w:p>
    <w:p>
      <w:pPr>
        <w:pStyle w:val="24"/>
        <w:rPr>
          <w:rFonts w:hint="eastAsia" w:eastAsia="方正仿宋_GBK"/>
          <w:lang w:eastAsia="zh-CN"/>
        </w:rPr>
      </w:pPr>
      <w:r>
        <w:t>会议筹备工作完成率：反映会议筹备工作完成情况</w:t>
      </w:r>
      <w:r>
        <w:rPr>
          <w:rFonts w:hint="eastAsia"/>
          <w:lang w:eastAsia="zh-CN"/>
        </w:rPr>
        <w:t>。</w:t>
      </w:r>
    </w:p>
    <w:p>
      <w:pPr>
        <w:pStyle w:val="24"/>
        <w:rPr>
          <w:rFonts w:hint="eastAsia" w:eastAsia="方正仿宋_GBK"/>
          <w:lang w:eastAsia="zh-CN"/>
        </w:rPr>
      </w:pPr>
      <w:r>
        <w:t>政治任务实现率</w:t>
      </w:r>
      <w:r>
        <w:tab/>
      </w:r>
      <w:r>
        <w:t>：反映政治任务实现情况</w:t>
      </w:r>
      <w:r>
        <w:rPr>
          <w:rFonts w:hint="eastAsia"/>
          <w:lang w:eastAsia="zh-CN"/>
        </w:rPr>
        <w:t>。</w:t>
      </w:r>
    </w:p>
    <w:p>
      <w:pPr>
        <w:pStyle w:val="24"/>
        <w:rPr>
          <w:rFonts w:hint="eastAsia" w:eastAsia="方正仿宋_GBK"/>
          <w:lang w:eastAsia="zh-CN"/>
        </w:rPr>
      </w:pPr>
      <w:r>
        <w:t>各项指标完成100%为优，完成95%为良，完成90%为中，达不到90%为差</w:t>
      </w:r>
      <w:r>
        <w:rPr>
          <w:rFonts w:hint="eastAsia"/>
          <w:lang w:eastAsia="zh-CN"/>
        </w:rPr>
        <w:t>。</w:t>
      </w:r>
    </w:p>
    <w:p>
      <w:pPr>
        <w:pStyle w:val="24"/>
      </w:pPr>
      <w:r>
        <w:t>确保区、镇（乡）人大换届选举工作顺利完成，提高组织换届选举工作水平；高质量完成国家机关领导人选举和常委会人事任免服务工作；监督一府两院工作人员依法履行职务。</w:t>
      </w:r>
      <w:r>
        <w:tab/>
      </w:r>
    </w:p>
    <w:p>
      <w:pPr>
        <w:pStyle w:val="24"/>
        <w:rPr>
          <w:rFonts w:hint="eastAsia" w:eastAsia="方正仿宋_GBK"/>
          <w:lang w:eastAsia="zh-CN"/>
        </w:rPr>
      </w:pPr>
      <w:r>
        <w:t>常委会人事任免工作完成率：反映常委会人事任免工作完成情况</w:t>
      </w:r>
      <w:r>
        <w:rPr>
          <w:rFonts w:hint="eastAsia"/>
          <w:lang w:eastAsia="zh-CN"/>
        </w:rPr>
        <w:t>。</w:t>
      </w:r>
    </w:p>
    <w:p>
      <w:pPr>
        <w:pStyle w:val="24"/>
        <w:rPr>
          <w:rFonts w:hint="eastAsia" w:eastAsia="方正仿宋_GBK"/>
          <w:lang w:eastAsia="zh-CN"/>
        </w:rPr>
      </w:pPr>
      <w:r>
        <w:t>换届选举工作完成率：反映换届选举工作完成情况</w:t>
      </w:r>
      <w:r>
        <w:rPr>
          <w:rFonts w:hint="eastAsia"/>
          <w:lang w:eastAsia="zh-CN"/>
        </w:rPr>
        <w:t>。</w:t>
      </w:r>
    </w:p>
    <w:p>
      <w:pPr>
        <w:pStyle w:val="24"/>
        <w:rPr>
          <w:rFonts w:hint="eastAsia" w:eastAsia="方正仿宋_GBK"/>
          <w:lang w:eastAsia="zh-CN"/>
        </w:rPr>
      </w:pPr>
      <w:r>
        <w:t>政治任务实现率：反映政治任务实现情况</w:t>
      </w:r>
      <w:r>
        <w:rPr>
          <w:rFonts w:hint="eastAsia"/>
          <w:lang w:eastAsia="zh-CN"/>
        </w:rPr>
        <w:t>。</w:t>
      </w:r>
    </w:p>
    <w:p>
      <w:pPr>
        <w:pStyle w:val="24"/>
        <w:rPr>
          <w:rFonts w:hint="eastAsia" w:eastAsia="方正仿宋_GBK"/>
          <w:lang w:eastAsia="zh-CN"/>
        </w:rPr>
      </w:pPr>
      <w:r>
        <w:t>各项指标完成100%为优，完成95%为良，完成90%为中，达不到90%为差</w:t>
      </w:r>
      <w:r>
        <w:rPr>
          <w:rFonts w:hint="eastAsia"/>
          <w:lang w:eastAsia="zh-CN"/>
        </w:rPr>
        <w:t>。</w:t>
      </w:r>
    </w:p>
    <w:p>
      <w:pPr>
        <w:pStyle w:val="24"/>
        <w:rPr>
          <w:rFonts w:hint="eastAsia" w:eastAsia="方正仿宋_GBK"/>
          <w:lang w:eastAsia="zh-CN"/>
        </w:rPr>
      </w:pPr>
      <w:r>
        <w:rPr>
          <w:rFonts w:hint="eastAsia"/>
          <w:lang w:eastAsia="zh-CN"/>
        </w:rPr>
        <w:t>（</w:t>
      </w:r>
      <w:r>
        <w:rPr>
          <w:rFonts w:hint="eastAsia"/>
          <w:lang w:val="en-US" w:eastAsia="zh-CN"/>
        </w:rPr>
        <w:t>三</w:t>
      </w:r>
      <w:r>
        <w:rPr>
          <w:rFonts w:hint="eastAsia"/>
          <w:lang w:eastAsia="zh-CN"/>
        </w:rPr>
        <w:t>）</w:t>
      </w:r>
      <w:r>
        <w:t>保障新闻宣传与新闻发布工作正常开展，提高人大信息透明度和影响力，加强人大对内、对外交流。保障会议正常运转；网络与办公平台正常运行；促进社会和谐稳定。</w:t>
      </w:r>
      <w:r>
        <w:tab/>
      </w:r>
      <w:r>
        <w:t xml:space="preserve">    社情民意反映率:反映社情民意回应情况</w:t>
      </w:r>
      <w:r>
        <w:rPr>
          <w:rFonts w:hint="eastAsia"/>
          <w:lang w:eastAsia="zh-CN"/>
        </w:rPr>
        <w:t>。</w:t>
      </w:r>
    </w:p>
    <w:p>
      <w:pPr>
        <w:pStyle w:val="24"/>
        <w:rPr>
          <w:rFonts w:hint="eastAsia" w:eastAsia="方正仿宋_GBK"/>
          <w:lang w:eastAsia="zh-CN"/>
        </w:rPr>
      </w:pPr>
      <w:r>
        <w:t>新闻宣传任务完成率:反映年度新闻宣传任务完成情况</w:t>
      </w:r>
      <w:r>
        <w:rPr>
          <w:rFonts w:hint="eastAsia"/>
          <w:lang w:eastAsia="zh-CN"/>
        </w:rPr>
        <w:t>。</w:t>
      </w:r>
      <w:r>
        <w:t xml:space="preserve">     政治任务实现率:反映完成政治任务完成情况</w:t>
      </w:r>
      <w:r>
        <w:rPr>
          <w:rFonts w:hint="eastAsia"/>
          <w:lang w:eastAsia="zh-CN"/>
        </w:rPr>
        <w:t>。</w:t>
      </w:r>
    </w:p>
    <w:p>
      <w:pPr>
        <w:pStyle w:val="24"/>
        <w:rPr>
          <w:rFonts w:hint="eastAsia" w:eastAsia="方正仿宋_GBK"/>
          <w:lang w:eastAsia="zh-CN"/>
        </w:rPr>
      </w:pPr>
      <w:r>
        <w:t>重要课题和专项调研完成率:反映重点和专题调研完成情况</w:t>
      </w:r>
      <w:r>
        <w:rPr>
          <w:rFonts w:hint="eastAsia"/>
          <w:lang w:eastAsia="zh-CN"/>
        </w:rPr>
        <w:t>。</w:t>
      </w:r>
    </w:p>
    <w:p>
      <w:pPr>
        <w:pStyle w:val="24"/>
        <w:rPr>
          <w:rFonts w:hint="eastAsia" w:eastAsia="方正仿宋_GBK"/>
          <w:lang w:eastAsia="zh-CN"/>
        </w:rPr>
      </w:pPr>
      <w:r>
        <w:t>各项指标完成100%为优，完成95%为良，完成90%为中，达不到90%为差</w:t>
      </w:r>
      <w:r>
        <w:rPr>
          <w:rFonts w:hint="eastAsia"/>
          <w:lang w:eastAsia="zh-CN"/>
        </w:rPr>
        <w:t>。</w:t>
      </w:r>
    </w:p>
    <w:p>
      <w:pPr>
        <w:spacing w:before="10" w:after="10"/>
        <w:ind w:firstLine="560"/>
        <w:jc w:val="left"/>
        <w:outlineLvl w:val="1"/>
      </w:pPr>
      <w:bookmarkStart w:id="3" w:name="_Toc_2_2_0000000003"/>
      <w:r>
        <w:rPr>
          <w:rFonts w:ascii="方正黑体_GBK" w:hAnsi="方正黑体_GBK" w:eastAsia="方正黑体_GBK" w:cs="方正黑体_GBK"/>
          <w:color w:val="000000"/>
          <w:sz w:val="28"/>
        </w:rPr>
        <w:t>三、工作保障措施</w:t>
      </w:r>
      <w:bookmarkEnd w:id="3"/>
    </w:p>
    <w:p>
      <w:pPr>
        <w:pStyle w:val="25"/>
      </w:pPr>
      <w:r>
        <w:t>1、监督方面。听取计划预算执行情况报告、决算报告和审计工作报告，审查批准决算，推动省人代会计划预算决议的落实。听取区政府专项工作报告。对社会普遍关心的问题组织开展专题询问。组织开展代表旁听评议人民法院庭审活动，督促司法机关完善内部监督制约机制，促进司法公正。提高法规质量，保障其有效实施；发挥常委及代表的桥梁纽带作用，集中反映民意，促进依法履职。</w:t>
      </w:r>
    </w:p>
    <w:p>
      <w:pPr>
        <w:pStyle w:val="25"/>
      </w:pPr>
      <w:r>
        <w:t>2、人大会议方面。确保会议按照议程顺利进行，达到预期目的，圆满完成各项任务。完善各项会议制度，规范会议程序，提高会议质量，提高人大代表及常委会审议水平。</w:t>
      </w:r>
    </w:p>
    <w:p>
      <w:pPr>
        <w:pStyle w:val="25"/>
        <w:rPr>
          <w:rFonts w:hint="eastAsia" w:eastAsia="方正仿宋_GBK"/>
          <w:lang w:eastAsia="zh-CN"/>
        </w:rPr>
      </w:pPr>
      <w:r>
        <w:t>3、选举和任免方面。严格遵循法律法规规定，严格规范工作程序，做好人事任免工作。确保区人大和镇（街）人大换届选举工作顺利完成，提高组织换届选举工作水平；高质量完成国家机关领导人选举和常委会人事任免服务工作；高效督办有关部门负责人的目标责任书和述职报告</w:t>
      </w:r>
      <w:r>
        <w:rPr>
          <w:rFonts w:hint="eastAsia"/>
          <w:lang w:eastAsia="zh-CN"/>
        </w:rPr>
        <w:t>。</w:t>
      </w:r>
    </w:p>
    <w:p>
      <w:pPr>
        <w:pStyle w:val="25"/>
      </w:pPr>
      <w:r>
        <w:t>4、人大事务管理方面。保障新闻宣传与新闻发布工作正常开展，提高人大信息透明度和影响力，加强人大对内、对外交流。保障会议表决系统正常运转，网络与办公平台正常运行，促进社会和谐稳定。机关基础设施设备正常运转，信息化保障、老干部服务保障能力进一步提高。</w:t>
      </w:r>
    </w:p>
    <w:p>
      <w:pPr>
        <w:spacing w:before="0" w:after="0" w:line="240" w:lineRule="auto"/>
        <w:ind w:firstLine="0"/>
        <w:jc w:val="both"/>
        <w:outlineLvl w:val="9"/>
        <w:rPr>
          <w:rFonts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sectPr>
      </w:pPr>
      <w:r>
        <w:rPr>
          <w:rFonts w:ascii="Times New Roman" w:hAnsi="Times New Roman" w:eastAsia="方正仿宋_GBK" w:cs="Times New Roman"/>
          <w:sz w:val="28"/>
          <w:szCs w:val="24"/>
          <w:lang w:val="en-US" w:eastAsia="uk-UA" w:bidi="ar-SA"/>
        </w:rPr>
        <w:t>第二部分预算项目绩效目标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6.保证公车正常运转。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车辆正常使用情况</w:t>
            </w:r>
          </w:p>
        </w:tc>
        <w:tc>
          <w:tcPr>
            <w:tcW w:w="2835" w:type="dxa"/>
            <w:vAlign w:val="center"/>
          </w:tcPr>
          <w:p>
            <w:pPr>
              <w:pStyle w:val="14"/>
            </w:pPr>
            <w:r>
              <w:t>车辆正常使用情况</w:t>
            </w:r>
          </w:p>
        </w:tc>
        <w:tc>
          <w:tcPr>
            <w:tcW w:w="2551" w:type="dxa"/>
            <w:vAlign w:val="center"/>
          </w:tcPr>
          <w:p>
            <w:pPr>
              <w:pStyle w:val="14"/>
            </w:pPr>
            <w:r>
              <w:t>≥75百分比</w:t>
            </w:r>
          </w:p>
        </w:tc>
        <w:tc>
          <w:tcPr>
            <w:tcW w:w="2268" w:type="dxa"/>
            <w:vAlign w:val="center"/>
          </w:tcPr>
          <w:p>
            <w:pPr>
              <w:pStyle w:val="14"/>
            </w:pPr>
            <w:r>
              <w:t>车辆正常使用情况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完成车辆续保数量</w:t>
            </w:r>
          </w:p>
        </w:tc>
        <w:tc>
          <w:tcPr>
            <w:tcW w:w="2835" w:type="dxa"/>
            <w:vAlign w:val="center"/>
          </w:tcPr>
          <w:p>
            <w:pPr>
              <w:pStyle w:val="14"/>
            </w:pPr>
            <w:r>
              <w:t>完成车辆续保数量</w:t>
            </w:r>
          </w:p>
        </w:tc>
        <w:tc>
          <w:tcPr>
            <w:tcW w:w="2551" w:type="dxa"/>
            <w:vAlign w:val="center"/>
          </w:tcPr>
          <w:p>
            <w:pPr>
              <w:pStyle w:val="14"/>
            </w:pPr>
            <w:r>
              <w:t>4辆</w:t>
            </w:r>
          </w:p>
        </w:tc>
        <w:tc>
          <w:tcPr>
            <w:tcW w:w="2268" w:type="dxa"/>
            <w:vAlign w:val="center"/>
          </w:tcPr>
          <w:p>
            <w:pPr>
              <w:pStyle w:val="14"/>
            </w:pPr>
            <w:r>
              <w:t>完成车辆续保数量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完成车辆续保比率</w:t>
            </w:r>
          </w:p>
        </w:tc>
        <w:tc>
          <w:tcPr>
            <w:tcW w:w="2551" w:type="dxa"/>
            <w:vAlign w:val="center"/>
          </w:tcPr>
          <w:p>
            <w:pPr>
              <w:pStyle w:val="14"/>
            </w:pPr>
            <w:r>
              <w:t>100百分比</w:t>
            </w:r>
          </w:p>
        </w:tc>
        <w:tc>
          <w:tcPr>
            <w:tcW w:w="2268" w:type="dxa"/>
            <w:vAlign w:val="center"/>
          </w:tcPr>
          <w:p>
            <w:pPr>
              <w:pStyle w:val="14"/>
            </w:pPr>
            <w:r>
              <w:t>完成车辆续保比率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节约车辆保险费</w:t>
            </w:r>
          </w:p>
        </w:tc>
        <w:tc>
          <w:tcPr>
            <w:tcW w:w="2835" w:type="dxa"/>
            <w:vAlign w:val="center"/>
          </w:tcPr>
          <w:p>
            <w:pPr>
              <w:pStyle w:val="14"/>
            </w:pPr>
            <w:r>
              <w:t>节约车辆保险费</w:t>
            </w:r>
          </w:p>
        </w:tc>
        <w:tc>
          <w:tcPr>
            <w:tcW w:w="2551" w:type="dxa"/>
            <w:vAlign w:val="center"/>
          </w:tcPr>
          <w:p>
            <w:pPr>
              <w:pStyle w:val="14"/>
            </w:pPr>
            <w:r>
              <w:t>100百分比</w:t>
            </w:r>
          </w:p>
        </w:tc>
        <w:tc>
          <w:tcPr>
            <w:tcW w:w="2268" w:type="dxa"/>
            <w:vAlign w:val="center"/>
          </w:tcPr>
          <w:p>
            <w:pPr>
              <w:pStyle w:val="14"/>
            </w:pPr>
            <w:r>
              <w:t>节约车辆保险费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做好日常维护</w:t>
            </w:r>
          </w:p>
        </w:tc>
        <w:tc>
          <w:tcPr>
            <w:tcW w:w="2835" w:type="dxa"/>
            <w:vAlign w:val="center"/>
          </w:tcPr>
          <w:p>
            <w:pPr>
              <w:pStyle w:val="14"/>
            </w:pPr>
            <w:r>
              <w:t>做好日常维护</w:t>
            </w:r>
          </w:p>
        </w:tc>
        <w:tc>
          <w:tcPr>
            <w:tcW w:w="2551" w:type="dxa"/>
            <w:vAlign w:val="center"/>
          </w:tcPr>
          <w:p>
            <w:pPr>
              <w:pStyle w:val="14"/>
            </w:pPr>
            <w:r>
              <w:t>≥90百分比</w:t>
            </w:r>
          </w:p>
        </w:tc>
        <w:tc>
          <w:tcPr>
            <w:tcW w:w="2268" w:type="dxa"/>
            <w:vAlign w:val="center"/>
          </w:tcPr>
          <w:p>
            <w:pPr>
              <w:pStyle w:val="14"/>
            </w:pPr>
            <w:r>
              <w:t>做好日常维护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≥90百分比</w:t>
            </w:r>
          </w:p>
        </w:tc>
        <w:tc>
          <w:tcPr>
            <w:tcW w:w="2268" w:type="dxa"/>
            <w:vAlign w:val="center"/>
          </w:tcPr>
          <w:p>
            <w:pPr>
              <w:pStyle w:val="14"/>
            </w:pPr>
            <w:r>
              <w:t>保障业务工作情况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2、综合事务管理费绩效目标表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1.保障人大工作正常运转。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支付办公经费人数</w:t>
            </w:r>
          </w:p>
        </w:tc>
        <w:tc>
          <w:tcPr>
            <w:tcW w:w="2835" w:type="dxa"/>
            <w:vAlign w:val="center"/>
          </w:tcPr>
          <w:p>
            <w:pPr>
              <w:pStyle w:val="14"/>
            </w:pPr>
            <w:r>
              <w:t>支付办公经费人数</w:t>
            </w:r>
          </w:p>
        </w:tc>
        <w:tc>
          <w:tcPr>
            <w:tcW w:w="2551" w:type="dxa"/>
            <w:vAlign w:val="center"/>
          </w:tcPr>
          <w:p>
            <w:pPr>
              <w:pStyle w:val="14"/>
            </w:pPr>
            <w:r>
              <w:t>≥90百分比</w:t>
            </w:r>
          </w:p>
        </w:tc>
        <w:tc>
          <w:tcPr>
            <w:tcW w:w="2268" w:type="dxa"/>
            <w:vAlign w:val="center"/>
          </w:tcPr>
          <w:p>
            <w:pPr>
              <w:pStyle w:val="14"/>
            </w:pPr>
            <w:r>
              <w:t>单位实际人数占比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办公设备运行率</w:t>
            </w:r>
          </w:p>
        </w:tc>
        <w:tc>
          <w:tcPr>
            <w:tcW w:w="2835" w:type="dxa"/>
            <w:vAlign w:val="center"/>
          </w:tcPr>
          <w:p>
            <w:pPr>
              <w:pStyle w:val="14"/>
            </w:pPr>
            <w:r>
              <w:t>办公设备正常运行率</w:t>
            </w:r>
          </w:p>
        </w:tc>
        <w:tc>
          <w:tcPr>
            <w:tcW w:w="2551" w:type="dxa"/>
            <w:vAlign w:val="center"/>
          </w:tcPr>
          <w:p>
            <w:pPr>
              <w:pStyle w:val="14"/>
            </w:pPr>
            <w:r>
              <w:t>≥90百分比</w:t>
            </w:r>
          </w:p>
        </w:tc>
        <w:tc>
          <w:tcPr>
            <w:tcW w:w="2268" w:type="dxa"/>
            <w:vAlign w:val="center"/>
          </w:tcPr>
          <w:p>
            <w:pPr>
              <w:pStyle w:val="14"/>
            </w:pPr>
            <w:r>
              <w:t>实际办公设备占比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保障综合事务工作完成及时率</w:t>
            </w:r>
          </w:p>
        </w:tc>
        <w:tc>
          <w:tcPr>
            <w:tcW w:w="2835" w:type="dxa"/>
            <w:vAlign w:val="center"/>
          </w:tcPr>
          <w:p>
            <w:pPr>
              <w:pStyle w:val="14"/>
            </w:pPr>
            <w:r>
              <w:t>保障综合事务工作完成及时率</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100百分比</w:t>
            </w:r>
          </w:p>
        </w:tc>
        <w:tc>
          <w:tcPr>
            <w:tcW w:w="2268" w:type="dxa"/>
            <w:vAlign w:val="center"/>
          </w:tcPr>
          <w:p>
            <w:pPr>
              <w:pStyle w:val="14"/>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100百分比</w:t>
            </w:r>
          </w:p>
        </w:tc>
        <w:tc>
          <w:tcPr>
            <w:tcW w:w="2268" w:type="dxa"/>
            <w:vAlign w:val="center"/>
          </w:tcPr>
          <w:p>
            <w:pPr>
              <w:pStyle w:val="14"/>
            </w:pPr>
            <w:r>
              <w:t>促进社会稳定水平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3、代表活动费绩效目标表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6.保障代表工作正常开展。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开展社会服务活动次数</w:t>
            </w:r>
          </w:p>
        </w:tc>
        <w:tc>
          <w:tcPr>
            <w:tcW w:w="2835" w:type="dxa"/>
            <w:vAlign w:val="center"/>
          </w:tcPr>
          <w:p>
            <w:pPr>
              <w:pStyle w:val="14"/>
            </w:pPr>
            <w:r>
              <w:t>开展社会服务活动次数</w:t>
            </w:r>
          </w:p>
        </w:tc>
        <w:tc>
          <w:tcPr>
            <w:tcW w:w="2551" w:type="dxa"/>
            <w:vAlign w:val="center"/>
          </w:tcPr>
          <w:p>
            <w:pPr>
              <w:pStyle w:val="14"/>
            </w:pPr>
            <w:r>
              <w:t>≥6次</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社情民意</w:t>
            </w:r>
            <w:r>
              <w:rPr>
                <w:rFonts w:hint="eastAsia"/>
                <w:lang w:eastAsia="zh-CN"/>
              </w:rPr>
              <w:t>反映</w:t>
            </w:r>
            <w:r>
              <w:t>率</w:t>
            </w:r>
          </w:p>
        </w:tc>
        <w:tc>
          <w:tcPr>
            <w:tcW w:w="2835" w:type="dxa"/>
            <w:vAlign w:val="center"/>
          </w:tcPr>
          <w:p>
            <w:pPr>
              <w:pStyle w:val="14"/>
            </w:pPr>
            <w:r>
              <w:t>社情民意</w:t>
            </w:r>
            <w:r>
              <w:rPr>
                <w:rFonts w:hint="eastAsia"/>
                <w:lang w:eastAsia="zh-CN"/>
              </w:rPr>
              <w:t>反映</w:t>
            </w:r>
            <w:r>
              <w:t>情况</w:t>
            </w:r>
          </w:p>
        </w:tc>
        <w:tc>
          <w:tcPr>
            <w:tcW w:w="2551" w:type="dxa"/>
            <w:vAlign w:val="center"/>
          </w:tcPr>
          <w:p>
            <w:pPr>
              <w:pStyle w:val="14"/>
            </w:pPr>
            <w:r>
              <w:t>≥90百分比</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≥90百分比</w:t>
            </w:r>
          </w:p>
        </w:tc>
        <w:tc>
          <w:tcPr>
            <w:tcW w:w="2268" w:type="dxa"/>
            <w:vAlign w:val="center"/>
          </w:tcPr>
          <w:p>
            <w:pPr>
              <w:pStyle w:val="14"/>
            </w:pPr>
            <w:r>
              <w:t>专项调研完成率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100百分比</w:t>
            </w:r>
          </w:p>
        </w:tc>
        <w:tc>
          <w:tcPr>
            <w:tcW w:w="2268" w:type="dxa"/>
            <w:vAlign w:val="center"/>
          </w:tcPr>
          <w:p>
            <w:pPr>
              <w:pStyle w:val="14"/>
            </w:pPr>
            <w: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100百分比</w:t>
            </w:r>
          </w:p>
        </w:tc>
        <w:tc>
          <w:tcPr>
            <w:tcW w:w="2268"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≥90百分比</w:t>
            </w:r>
          </w:p>
        </w:tc>
        <w:tc>
          <w:tcPr>
            <w:tcW w:w="2268" w:type="dxa"/>
            <w:vAlign w:val="center"/>
          </w:tcPr>
          <w:p>
            <w:pPr>
              <w:pStyle w:val="14"/>
            </w:pPr>
            <w:r>
              <w:t>业务工作正常开展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4、人大会议费绩效目标表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6.保障会议顺利召开，完成会议议程。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常委会召开次数</w:t>
            </w:r>
          </w:p>
        </w:tc>
        <w:tc>
          <w:tcPr>
            <w:tcW w:w="2835" w:type="dxa"/>
            <w:vAlign w:val="center"/>
          </w:tcPr>
          <w:p>
            <w:pPr>
              <w:pStyle w:val="14"/>
            </w:pPr>
            <w:r>
              <w:t>常委会召开次数</w:t>
            </w:r>
          </w:p>
        </w:tc>
        <w:tc>
          <w:tcPr>
            <w:tcW w:w="2551" w:type="dxa"/>
            <w:vAlign w:val="center"/>
          </w:tcPr>
          <w:p>
            <w:pPr>
              <w:pStyle w:val="14"/>
            </w:pPr>
            <w:r>
              <w:t>≥6次</w:t>
            </w:r>
          </w:p>
        </w:tc>
        <w:tc>
          <w:tcPr>
            <w:tcW w:w="2268" w:type="dxa"/>
            <w:vAlign w:val="center"/>
          </w:tcPr>
          <w:p>
            <w:pPr>
              <w:pStyle w:val="14"/>
            </w:pPr>
            <w:r>
              <w:t>宪法和法律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政治任务实现率</w:t>
            </w:r>
          </w:p>
        </w:tc>
        <w:tc>
          <w:tcPr>
            <w:tcW w:w="2835" w:type="dxa"/>
            <w:vAlign w:val="center"/>
          </w:tcPr>
          <w:p>
            <w:pPr>
              <w:pStyle w:val="14"/>
            </w:pPr>
            <w:r>
              <w:t>政治任务实现率</w:t>
            </w:r>
          </w:p>
        </w:tc>
        <w:tc>
          <w:tcPr>
            <w:tcW w:w="2551" w:type="dxa"/>
            <w:vAlign w:val="center"/>
          </w:tcPr>
          <w:p>
            <w:pPr>
              <w:pStyle w:val="14"/>
            </w:pPr>
            <w:r>
              <w:t>≥80百分比</w:t>
            </w:r>
          </w:p>
        </w:tc>
        <w:tc>
          <w:tcPr>
            <w:tcW w:w="2268" w:type="dxa"/>
            <w:vAlign w:val="center"/>
          </w:tcPr>
          <w:p>
            <w:pPr>
              <w:pStyle w:val="14"/>
            </w:pPr>
            <w:r>
              <w:t>实际完成政治任务占计划实现的政治任务的比例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会议时间</w:t>
            </w:r>
          </w:p>
        </w:tc>
        <w:tc>
          <w:tcPr>
            <w:tcW w:w="2835" w:type="dxa"/>
            <w:vAlign w:val="center"/>
          </w:tcPr>
          <w:p>
            <w:pPr>
              <w:pStyle w:val="14"/>
            </w:pPr>
            <w:r>
              <w:t>会议计划完成的具体时间</w:t>
            </w:r>
          </w:p>
        </w:tc>
        <w:tc>
          <w:tcPr>
            <w:tcW w:w="2551" w:type="dxa"/>
            <w:vAlign w:val="center"/>
          </w:tcPr>
          <w:p>
            <w:pPr>
              <w:pStyle w:val="14"/>
            </w:pPr>
            <w:r>
              <w:t>100百分比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≥80百分比</w:t>
            </w:r>
          </w:p>
        </w:tc>
        <w:tc>
          <w:tcPr>
            <w:tcW w:w="2268" w:type="dxa"/>
            <w:vAlign w:val="center"/>
          </w:tcPr>
          <w:p>
            <w:pPr>
              <w:pStyle w:val="14"/>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100百分比</w:t>
            </w:r>
          </w:p>
        </w:tc>
        <w:tc>
          <w:tcPr>
            <w:tcW w:w="2268"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100百分比</w:t>
            </w:r>
          </w:p>
        </w:tc>
        <w:tc>
          <w:tcPr>
            <w:tcW w:w="2268" w:type="dxa"/>
            <w:vAlign w:val="center"/>
          </w:tcPr>
          <w:p>
            <w:pPr>
              <w:pStyle w:val="14"/>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参会人员满意率</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2023年，人大部门秦皇岛市山海关区人民代表大会常务委员会本级安排政府采购预算0.00万元。具体内容见下表。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人大部门秦皇岛市山海关区人民代表大会常务委员会本级上年末固定资产金额为48.96万元（详见下表）。本年度拟购置固定资产总额为0.00万元，已按要求列入政府采购预算，详见政府采购预算表。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101001人大部门秦皇岛市山海关区人民代表大会常务委员会本级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211</w:t>
            </w:r>
          </w:p>
        </w:tc>
        <w:tc>
          <w:tcPr>
            <w:tcW w:w="2835" w:type="dxa"/>
            <w:vAlign w:val="center"/>
          </w:tcPr>
          <w:p>
            <w:pPr>
              <w:pStyle w:val="13"/>
            </w:pPr>
            <w:r>
              <w:t>21.48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3A6A"/>
    <w:multiLevelType w:val="singleLevel"/>
    <w:tmpl w:val="14A23A6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601F1"/>
    <w:rsid w:val="08AB0045"/>
    <w:rsid w:val="0B873024"/>
    <w:rsid w:val="0C066C11"/>
    <w:rsid w:val="0D35703E"/>
    <w:rsid w:val="0DA60D52"/>
    <w:rsid w:val="3B9750A6"/>
    <w:rsid w:val="45DF0A95"/>
    <w:rsid w:val="5F506742"/>
    <w:rsid w:val="6C0B1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2023-01-28T15:41:58Z</dcterms:created>
  <dcterms:modified xsi:type="dcterms:W3CDTF">2023-01-28T07:41:58Z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2023-01-28T15:41:58Z</dcterms:created>
  <dcterms:modified xsi:type="dcterms:W3CDTF">2023-01-28T07:41:58Z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2023-01-28T15:41:58Z</dcterms:created>
  <dcterms:modified xsi:type="dcterms:W3CDTF">2023-01-28T07:41:58Z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2023-01-28T15:41:59Z</dcterms:created>
  <dcterms:modified xsi:type="dcterms:W3CDTF">2023-01-28T07:41:59Z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2023-01-28T15:41:59Z</dcterms:created>
  <dcterms:modified xsi:type="dcterms:W3CDTF">2023-01-28T07:41:59Z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2023-01-28T15:41:59Z</dcterms:created>
  <dcterms:modified xsi:type="dcterms:W3CDTF">2023-01-28T07:41:59Z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2023-01-28T15:41:54Z</dcterms:created>
  <dcterms:modified xsi:type="dcterms:W3CDTF">2023-01-28T07:41:54Z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2023-01-28T15:41:55Z</dcterms:created>
  <dcterms:modified xsi:type="dcterms:W3CDTF">2023-01-28T07:41:55Z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7b5ccbd-06a3-4564-9d35-7fc8ce101081}">
  <ds:schemaRefs/>
</ds:datastoreItem>
</file>

<file path=customXml/itemProps11.xml><?xml version="1.0" encoding="utf-8"?>
<ds:datastoreItem xmlns:ds="http://schemas.openxmlformats.org/officeDocument/2006/customXml" ds:itemID="{2bf30f29-f191-4b58-afa0-f9b5ff33743c}">
  <ds:schemaRefs/>
</ds:datastoreItem>
</file>

<file path=customXml/itemProps12.xml><?xml version="1.0" encoding="utf-8"?>
<ds:datastoreItem xmlns:ds="http://schemas.openxmlformats.org/officeDocument/2006/customXml" ds:itemID="{38f07bc0-ac04-4f2a-8832-84b6b7e58572}">
  <ds:schemaRefs/>
</ds:datastoreItem>
</file>

<file path=customXml/itemProps13.xml><?xml version="1.0" encoding="utf-8"?>
<ds:datastoreItem xmlns:ds="http://schemas.openxmlformats.org/officeDocument/2006/customXml" ds:itemID="{10f05fea-67f1-41b9-8532-e529f7f7408e}">
  <ds:schemaRefs/>
</ds:datastoreItem>
</file>

<file path=customXml/itemProps14.xml><?xml version="1.0" encoding="utf-8"?>
<ds:datastoreItem xmlns:ds="http://schemas.openxmlformats.org/officeDocument/2006/customXml" ds:itemID="{4a081e62-8903-4c63-b6dc-718a1ecd254f}">
  <ds:schemaRefs/>
</ds:datastoreItem>
</file>

<file path=customXml/itemProps15.xml><?xml version="1.0" encoding="utf-8"?>
<ds:datastoreItem xmlns:ds="http://schemas.openxmlformats.org/officeDocument/2006/customXml" ds:itemID="{76163a91-9b2a-47ed-b5cb-ccfaff1eb5c7}">
  <ds:schemaRefs/>
</ds:datastoreItem>
</file>

<file path=customXml/itemProps16.xml><?xml version="1.0" encoding="utf-8"?>
<ds:datastoreItem xmlns:ds="http://schemas.openxmlformats.org/officeDocument/2006/customXml" ds:itemID="{261a0e57-bf22-4973-9d38-a6693048789a}">
  <ds:schemaRefs/>
</ds:datastoreItem>
</file>

<file path=customXml/itemProps17.xml><?xml version="1.0" encoding="utf-8"?>
<ds:datastoreItem xmlns:ds="http://schemas.openxmlformats.org/officeDocument/2006/customXml" ds:itemID="{aebbba66-ddfb-4cc0-870b-87e547a92dfb}">
  <ds:schemaRefs/>
</ds:datastoreItem>
</file>

<file path=customXml/itemProps18.xml><?xml version="1.0" encoding="utf-8"?>
<ds:datastoreItem xmlns:ds="http://schemas.openxmlformats.org/officeDocument/2006/customXml" ds:itemID="{5b478adf-0f4e-4b99-9326-5b7742edf75f}">
  <ds:schemaRefs/>
</ds:datastoreItem>
</file>

<file path=customXml/itemProps19.xml><?xml version="1.0" encoding="utf-8"?>
<ds:datastoreItem xmlns:ds="http://schemas.openxmlformats.org/officeDocument/2006/customXml" ds:itemID="{561b3d91-e975-40fc-8615-04d90cfc7ec9}">
  <ds:schemaRefs/>
</ds:datastoreItem>
</file>

<file path=customXml/itemProps2.xml><?xml version="1.0" encoding="utf-8"?>
<ds:datastoreItem xmlns:ds="http://schemas.openxmlformats.org/officeDocument/2006/customXml" ds:itemID="{b858d3ee-a8c3-4f7e-b045-368bd07d860c}">
  <ds:schemaRefs/>
</ds:datastoreItem>
</file>

<file path=customXml/itemProps20.xml><?xml version="1.0" encoding="utf-8"?>
<ds:datastoreItem xmlns:ds="http://schemas.openxmlformats.org/officeDocument/2006/customXml" ds:itemID="{a77de53f-29a0-4445-8d60-096f0773e358}">
  <ds:schemaRefs/>
</ds:datastoreItem>
</file>

<file path=customXml/itemProps21.xml><?xml version="1.0" encoding="utf-8"?>
<ds:datastoreItem xmlns:ds="http://schemas.openxmlformats.org/officeDocument/2006/customXml" ds:itemID="{06207a01-a123-4a73-a6d4-f5c52e34854d}">
  <ds:schemaRefs/>
</ds:datastoreItem>
</file>

<file path=customXml/itemProps22.xml><?xml version="1.0" encoding="utf-8"?>
<ds:datastoreItem xmlns:ds="http://schemas.openxmlformats.org/officeDocument/2006/customXml" ds:itemID="{4188d2a1-88ea-4a0e-8cd5-fdec96b9b1d1}">
  <ds:schemaRefs/>
</ds:datastoreItem>
</file>

<file path=customXml/itemProps23.xml><?xml version="1.0" encoding="utf-8"?>
<ds:datastoreItem xmlns:ds="http://schemas.openxmlformats.org/officeDocument/2006/customXml" ds:itemID="{e8252221-0488-4320-b449-3c39e4dd6ff8}">
  <ds:schemaRefs/>
</ds:datastoreItem>
</file>

<file path=customXml/itemProps24.xml><?xml version="1.0" encoding="utf-8"?>
<ds:datastoreItem xmlns:ds="http://schemas.openxmlformats.org/officeDocument/2006/customXml" ds:itemID="{ce46c81f-c721-4735-a1a4-b0c95b8803de}">
  <ds:schemaRefs/>
</ds:datastoreItem>
</file>

<file path=customXml/itemProps25.xml><?xml version="1.0" encoding="utf-8"?>
<ds:datastoreItem xmlns:ds="http://schemas.openxmlformats.org/officeDocument/2006/customXml" ds:itemID="{4524df05-cb34-437c-9cb6-10e3bd668cc2}">
  <ds:schemaRefs/>
</ds:datastoreItem>
</file>

<file path=customXml/itemProps26.xml><?xml version="1.0" encoding="utf-8"?>
<ds:datastoreItem xmlns:ds="http://schemas.openxmlformats.org/officeDocument/2006/customXml" ds:itemID="{12d26e7a-070b-4525-ac2b-4b642c8b363b}">
  <ds:schemaRefs/>
</ds:datastoreItem>
</file>

<file path=customXml/itemProps27.xml><?xml version="1.0" encoding="utf-8"?>
<ds:datastoreItem xmlns:ds="http://schemas.openxmlformats.org/officeDocument/2006/customXml" ds:itemID="{afee73fa-2592-478c-8238-38f437942dfb}">
  <ds:schemaRefs/>
</ds:datastoreItem>
</file>

<file path=customXml/itemProps3.xml><?xml version="1.0" encoding="utf-8"?>
<ds:datastoreItem xmlns:ds="http://schemas.openxmlformats.org/officeDocument/2006/customXml" ds:itemID="{de2403b6-3d8e-4ed0-bf18-a043e18bc844}">
  <ds:schemaRefs/>
</ds:datastoreItem>
</file>

<file path=customXml/itemProps4.xml><?xml version="1.0" encoding="utf-8"?>
<ds:datastoreItem xmlns:ds="http://schemas.openxmlformats.org/officeDocument/2006/customXml" ds:itemID="{f00fef3e-fdb6-414a-8731-794f2cbd33a1}">
  <ds:schemaRefs/>
</ds:datastoreItem>
</file>

<file path=customXml/itemProps5.xml><?xml version="1.0" encoding="utf-8"?>
<ds:datastoreItem xmlns:ds="http://schemas.openxmlformats.org/officeDocument/2006/customXml" ds:itemID="{71b13a47-1c84-47f4-806d-5c3361979935}">
  <ds:schemaRefs/>
</ds:datastoreItem>
</file>

<file path=customXml/itemProps6.xml><?xml version="1.0" encoding="utf-8"?>
<ds:datastoreItem xmlns:ds="http://schemas.openxmlformats.org/officeDocument/2006/customXml" ds:itemID="{3023e67f-9ec4-4009-89a9-0946cc72cdc5}">
  <ds:schemaRefs/>
</ds:datastoreItem>
</file>

<file path=customXml/itemProps7.xml><?xml version="1.0" encoding="utf-8"?>
<ds:datastoreItem xmlns:ds="http://schemas.openxmlformats.org/officeDocument/2006/customXml" ds:itemID="{016e82ba-2e05-4d06-b67e-c2bfadc155aa}">
  <ds:schemaRefs/>
</ds:datastoreItem>
</file>

<file path=customXml/itemProps8.xml><?xml version="1.0" encoding="utf-8"?>
<ds:datastoreItem xmlns:ds="http://schemas.openxmlformats.org/officeDocument/2006/customXml" ds:itemID="{191d5610-9a62-4311-9a86-2e97913450ea}">
  <ds:schemaRefs/>
</ds:datastoreItem>
</file>

<file path=customXml/itemProps9.xml><?xml version="1.0" encoding="utf-8"?>
<ds:datastoreItem xmlns:ds="http://schemas.openxmlformats.org/officeDocument/2006/customXml" ds:itemID="{a3aff121-f735-47e2-ac6e-3e2882403b65}">
  <ds:schemaRefs/>
</ds:datastoreItem>
</file>

<file path=docProps/app.xml><?xml version="1.0" encoding="utf-8"?>
<Properties xmlns="http://schemas.openxmlformats.org/officeDocument/2006/extended-properties" xmlns:vt="http://schemas.openxmlformats.org/officeDocument/2006/docPropsVTypes">
  <TotalTime>41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2023-01-28T15:41:00Z</dcterms:created>
  <dc:creator>lenovo</dc:creator>
  <cp:lastModifiedBy>lenovo</cp:lastModifiedBy>
  <cp:lastPrinted>2023-06-30T02:38:00Z</cp:lastPrinted>
  <dcterms:modified xsi:type="dcterms:W3CDTF">2024-01-25T01:47:01Z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