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财政部门</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财政部门编制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山海关区财政局审核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6</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1.财政信息化建设绩效目标表</w:t>
      </w:r>
      <w:r>
        <w:tab/>
      </w:r>
      <w:r>
        <w:fldChar w:fldCharType="begin"/>
      </w:r>
      <w:r>
        <w:instrText xml:space="preserve">PAGEREF _Toc_4_4_0000000004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2.决算工作经费、国库支付电子化前置系统技术服务费绩效目标表</w:t>
      </w:r>
      <w:r>
        <w:tab/>
      </w:r>
      <w:r>
        <w:fldChar w:fldCharType="begin"/>
      </w:r>
      <w:r>
        <w:instrText xml:space="preserve">PAGEREF _Toc_4_4_0000000005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3.人事代理专项补助绩效目标表</w:t>
      </w:r>
      <w:r>
        <w:tab/>
      </w:r>
      <w:r>
        <w:fldChar w:fldCharType="begin"/>
      </w:r>
      <w:r>
        <w:instrText xml:space="preserve">PAGEREF _Toc_4_4_0000000006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4.提前下达2021年省级农村财会人员培训一般转移支付指标绩效目标表</w:t>
      </w:r>
      <w:r>
        <w:tab/>
      </w:r>
      <w:r>
        <w:fldChar w:fldCharType="begin"/>
      </w:r>
      <w:r>
        <w:instrText xml:space="preserve">PAGEREF _Toc_4_4_0000000007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5.一体化服务维护等费、非预算单位资产管理系统运维费绩效目标表</w:t>
      </w:r>
      <w:r>
        <w:tab/>
      </w:r>
      <w:r>
        <w:fldChar w:fldCharType="begin"/>
      </w:r>
      <w:r>
        <w:instrText xml:space="preserve">PAGEREF _Toc_4_4_0000000008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6.专项补助绩效目标表</w:t>
      </w:r>
      <w:r>
        <w:tab/>
      </w:r>
      <w:r>
        <w:fldChar w:fldCharType="begin"/>
      </w:r>
      <w:r>
        <w:instrText xml:space="preserve">PAGEREF _Toc_4_4_0000000009 \h</w:instrText>
      </w:r>
      <w:r>
        <w:fldChar w:fldCharType="separate"/>
      </w:r>
      <w:r>
        <w:t>15</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pStyle w:val="8"/>
      </w:pPr>
      <w:bookmarkStart w:id="6" w:name="_GoBack"/>
      <w:bookmarkEnd w:id="6"/>
      <w:r>
        <w:t>一、总体绩效目标</w:t>
      </w:r>
    </w:p>
    <w:p>
      <w:pPr>
        <w:pStyle w:val="8"/>
      </w:pPr>
      <w:r>
        <w:t>总体目标</w:t>
      </w:r>
    </w:p>
    <w:p>
      <w:pPr>
        <w:pStyle w:val="8"/>
      </w:pPr>
      <w:r>
        <w:t>贯彻执行国家财政、税收的发展战略、方针、政策；根据全区国民经济和社会发展规划，拟订财税发展战略、规划、政策和改革方案并组织实施；分析预测宏观经济形势，参与</w:t>
      </w:r>
      <w:r>
        <w:rPr>
          <w:rFonts w:hint="eastAsia"/>
          <w:lang w:eastAsia="zh-CN"/>
        </w:rPr>
        <w:t>制订</w:t>
      </w:r>
      <w:r>
        <w:t>各项宏观经济政策，提出运用财税政策实施宏观调控和综合平衡社会财力的建议。贯彻执行国家和省、市财政、税收、预算、财务、会计管理的各项法律法规；</w:t>
      </w:r>
      <w:r>
        <w:rPr>
          <w:rFonts w:hint="eastAsia"/>
          <w:lang w:eastAsia="zh-CN"/>
        </w:rPr>
        <w:t>制订</w:t>
      </w:r>
      <w:r>
        <w:t>财政、预算、财务、会计管理的有关规章制度并监督实施。</w:t>
      </w:r>
    </w:p>
    <w:p>
      <w:pPr>
        <w:pStyle w:val="8"/>
      </w:pPr>
      <w:r>
        <w:t>建立全面规范透明、标准科学、约束有力的预算制度要求，坚持稳中求进工作总基调和新发展理念，以更高的站位、更精确的举措、更创新的思维，主动对标区委、区政府重大决策部署，实现党委、政府政策部署推进到哪里，财政服务保障就跟进到哪里，全力配合各领域机制改革，对重点领域、关键环节和民生投入发挥更多支出效益，统筹推动全区经济社会向更高质量跃进。</w:t>
      </w:r>
    </w:p>
    <w:p>
      <w:pPr>
        <w:pStyle w:val="8"/>
      </w:pPr>
      <w:r>
        <w:t>二、分项绩效目标</w:t>
      </w:r>
    </w:p>
    <w:p>
      <w:pPr>
        <w:pStyle w:val="8"/>
        <w:ind w:left="0" w:leftChars="0" w:firstLine="280" w:firstLineChars="100"/>
      </w:pPr>
      <w:r>
        <w:rPr>
          <w:rFonts w:hint="eastAsia"/>
          <w:lang w:eastAsia="zh-CN"/>
        </w:rPr>
        <w:t>（</w:t>
      </w:r>
      <w:r>
        <w:t>一</w:t>
      </w:r>
      <w:r>
        <w:rPr>
          <w:rFonts w:hint="eastAsia"/>
          <w:lang w:eastAsia="zh-CN"/>
        </w:rPr>
        <w:t>）</w:t>
      </w:r>
      <w:r>
        <w:t>、财政收入管理</w:t>
      </w:r>
    </w:p>
    <w:p>
      <w:pPr>
        <w:pStyle w:val="8"/>
      </w:pPr>
      <w:r>
        <w:t>绩效目标：研究并向区提出税目税率调整、减免和地方税收政策等重大事项的建议；对地方承担出口退税事务实施监管，监督检查税收政策执行情况；</w:t>
      </w:r>
      <w:r>
        <w:rPr>
          <w:rFonts w:hint="eastAsia"/>
          <w:lang w:eastAsia="zh-CN"/>
        </w:rPr>
        <w:t>制订</w:t>
      </w:r>
      <w:r>
        <w:t>非税收入管理政策，加强非税收入征管；贯彻国家税收政策，负责</w:t>
      </w:r>
      <w:r>
        <w:rPr>
          <w:rFonts w:hint="eastAsia"/>
          <w:lang w:eastAsia="zh-CN"/>
        </w:rPr>
        <w:t>制订</w:t>
      </w:r>
      <w:r>
        <w:t>全区财政和预算收入计划，管理和监督各项财政收入；负责政府非税收入管理，按规定管理行政事业性收费、政府性基金及其他非税收入；管理财政票据。</w:t>
      </w:r>
    </w:p>
    <w:p>
      <w:pPr>
        <w:pStyle w:val="8"/>
      </w:pPr>
      <w:r>
        <w:rPr>
          <w:rFonts w:hint="eastAsia"/>
          <w:lang w:eastAsia="zh-CN"/>
        </w:rPr>
        <w:t>（</w:t>
      </w:r>
      <w:r>
        <w:t>二</w:t>
      </w:r>
      <w:r>
        <w:rPr>
          <w:rFonts w:hint="eastAsia"/>
          <w:lang w:eastAsia="zh-CN"/>
        </w:rPr>
        <w:t>）</w:t>
      </w:r>
      <w:r>
        <w:t>、财政资源配置管理</w:t>
      </w:r>
    </w:p>
    <w:p>
      <w:pPr>
        <w:pStyle w:val="8"/>
      </w:pPr>
      <w:r>
        <w:t>绩效目标：作好财政资金使用监管，确保全年预算平衡和社会发展需要。</w:t>
      </w:r>
    </w:p>
    <w:p>
      <w:pPr>
        <w:pStyle w:val="8"/>
      </w:pPr>
      <w:r>
        <w:rPr>
          <w:rFonts w:hint="eastAsia"/>
          <w:lang w:eastAsia="zh-CN"/>
        </w:rPr>
        <w:t>（</w:t>
      </w:r>
      <w:r>
        <w:t>三</w:t>
      </w:r>
      <w:r>
        <w:rPr>
          <w:rFonts w:hint="eastAsia"/>
          <w:lang w:eastAsia="zh-CN"/>
        </w:rPr>
        <w:t>）</w:t>
      </w:r>
      <w:r>
        <w:t>、预算管理</w:t>
      </w:r>
    </w:p>
    <w:p>
      <w:pPr>
        <w:pStyle w:val="8"/>
      </w:pPr>
      <w:r>
        <w:t>绩效目标：贯彻执行新预算法，确保预算执行到位。汇总编报决算及时准确。预算公开及时、真实准确。</w:t>
      </w:r>
    </w:p>
    <w:p>
      <w:pPr>
        <w:pStyle w:val="8"/>
      </w:pPr>
      <w:r>
        <w:rPr>
          <w:rFonts w:hint="eastAsia"/>
          <w:lang w:eastAsia="zh-CN"/>
        </w:rPr>
        <w:t>（</w:t>
      </w:r>
      <w:r>
        <w:t>四</w:t>
      </w:r>
      <w:r>
        <w:rPr>
          <w:rFonts w:hint="eastAsia"/>
          <w:lang w:eastAsia="zh-CN"/>
        </w:rPr>
        <w:t>）</w:t>
      </w:r>
      <w:r>
        <w:t>、财政监督管理</w:t>
      </w:r>
    </w:p>
    <w:p>
      <w:pPr>
        <w:pStyle w:val="8"/>
      </w:pPr>
      <w:r>
        <w:t>绩效目标：1、好对全区行政事业单位资金的监管。2、建立好效预算评价系统。3、开展财政监督检查活动，查处重点违反财经纪律案件；组织对财政部门内部财经制度执行情况的监督检查</w:t>
      </w:r>
    </w:p>
    <w:p>
      <w:pPr>
        <w:pStyle w:val="8"/>
      </w:pPr>
      <w:r>
        <w:rPr>
          <w:rFonts w:hint="eastAsia"/>
          <w:lang w:eastAsia="zh-CN"/>
        </w:rPr>
        <w:t>（</w:t>
      </w:r>
      <w:r>
        <w:t>五</w:t>
      </w:r>
      <w:r>
        <w:rPr>
          <w:rFonts w:hint="eastAsia"/>
          <w:lang w:eastAsia="zh-CN"/>
        </w:rPr>
        <w:t>）</w:t>
      </w:r>
      <w:r>
        <w:t>、财务会计管理</w:t>
      </w:r>
    </w:p>
    <w:p>
      <w:pPr>
        <w:pStyle w:val="8"/>
      </w:pPr>
      <w:r>
        <w:t>绩效目标：1、继续教育培训预计2022年继续教育培训学员有所增多，我们将分层次进行培训，把行政事业、企业单位会计主管和一般会计人员分开组织培训，更有针对性的规划、整理培训内容，设置高端的教学环境，聘请相应的资深老师授课，并将鼓励有条件的单位自行开展培训内容具有针对性的专题培训，经财政部门批准后可视同继续教育的培训模式。2、2022年培训计划拟举办全区行政事业单位、乡镇财政所会计基础规范化培训。</w:t>
      </w:r>
      <w:r>
        <w:rPr>
          <w:rFonts w:hint="eastAsia"/>
          <w:lang w:val="en-US" w:eastAsia="zh-CN"/>
        </w:rPr>
        <w:t>3</w:t>
      </w:r>
      <w:r>
        <w:t>、结合农村生产、生活和工作实际，对各乡镇财政所会计、村会计、农经会计组织培训。</w:t>
      </w:r>
      <w:r>
        <w:rPr>
          <w:rFonts w:hint="eastAsia"/>
          <w:lang w:val="en-US" w:eastAsia="zh-CN"/>
        </w:rPr>
        <w:t>4</w:t>
      </w:r>
      <w:r>
        <w:t>、拟举办乡镇财政所长专题培训班，针对财务管理、三资管理方面存在的问题对财政所长组织开展调研工作，积极记录采纳各所长提出的建议及会计工作的新思路。</w:t>
      </w:r>
      <w:r>
        <w:rPr>
          <w:rFonts w:hint="eastAsia"/>
          <w:lang w:val="en-US" w:eastAsia="zh-CN"/>
        </w:rPr>
        <w:t>5</w:t>
      </w:r>
      <w:r>
        <w:t>、开展2022年全区各行政事业单位内部控制建设专题培训。</w:t>
      </w:r>
      <w:r>
        <w:rPr>
          <w:rFonts w:hint="eastAsia"/>
          <w:lang w:val="en-US" w:eastAsia="zh-CN"/>
        </w:rPr>
        <w:t>6</w:t>
      </w:r>
      <w:r>
        <w:t>、开展2022年会计执法检查及会计信息质量检。</w:t>
      </w:r>
    </w:p>
    <w:p>
      <w:pPr>
        <w:pStyle w:val="8"/>
      </w:pPr>
      <w:r>
        <w:rPr>
          <w:rFonts w:hint="eastAsia"/>
          <w:lang w:eastAsia="zh-CN"/>
        </w:rPr>
        <w:t>（</w:t>
      </w:r>
      <w:r>
        <w:t>六</w:t>
      </w:r>
      <w:r>
        <w:rPr>
          <w:rFonts w:hint="eastAsia"/>
          <w:lang w:eastAsia="zh-CN"/>
        </w:rPr>
        <w:t>）</w:t>
      </w:r>
      <w:r>
        <w:t>、国有资产管理</w:t>
      </w:r>
    </w:p>
    <w:p>
      <w:pPr>
        <w:pStyle w:val="8"/>
      </w:pPr>
      <w:r>
        <w:t>绩效目标：加强对公有资产进行经营管理和资本运营，对占有和使用国有资产的行政企事业单位进行产权登记、界定、纠纷处理，推动公有资产的合理流动、优化增量、提高公有资产的运营效益，负责对公有资产的产权经营和产权转让进行管理监督。通过对我区行政事业单位的资产管理，掌握全区资产的现存状况，对国有资产的安全完整起到有效的监督管理作用。对发现的问题，及时解决，为现有资产更加合理的分配使用提供可靠数据。</w:t>
      </w:r>
    </w:p>
    <w:p>
      <w:pPr>
        <w:pStyle w:val="8"/>
      </w:pPr>
      <w:r>
        <w:rPr>
          <w:rFonts w:hint="eastAsia"/>
          <w:lang w:eastAsia="zh-CN"/>
        </w:rPr>
        <w:t>（</w:t>
      </w:r>
      <w:r>
        <w:t>七</w:t>
      </w:r>
      <w:r>
        <w:rPr>
          <w:rFonts w:hint="eastAsia"/>
          <w:lang w:eastAsia="zh-CN"/>
        </w:rPr>
        <w:t>）</w:t>
      </w:r>
      <w:r>
        <w:t>、政府专项工作服务与管理</w:t>
      </w:r>
    </w:p>
    <w:p>
      <w:pPr>
        <w:pStyle w:val="8"/>
      </w:pPr>
      <w:r>
        <w:t>绩效目标：1、加强政府采购管理。2、更好的指导和推动村级公益事业建设一事一议财政奖补。3、加强政府债务管理。4、建立综合治税体系。</w:t>
      </w:r>
    </w:p>
    <w:p>
      <w:pPr>
        <w:pStyle w:val="8"/>
      </w:pPr>
      <w:r>
        <w:rPr>
          <w:rFonts w:hint="eastAsia"/>
          <w:lang w:eastAsia="zh-CN"/>
        </w:rPr>
        <w:t>（</w:t>
      </w:r>
      <w:r>
        <w:t>八</w:t>
      </w:r>
      <w:r>
        <w:rPr>
          <w:rFonts w:hint="eastAsia"/>
          <w:lang w:eastAsia="zh-CN"/>
        </w:rPr>
        <w:t>）</w:t>
      </w:r>
      <w:r>
        <w:t>、综合业务管理</w:t>
      </w:r>
    </w:p>
    <w:p>
      <w:pPr>
        <w:pStyle w:val="8"/>
      </w:pPr>
      <w:r>
        <w:t>绩效目标：作好各项财政业务管理工作</w:t>
      </w:r>
    </w:p>
    <w:p>
      <w:pPr>
        <w:pStyle w:val="8"/>
      </w:pPr>
      <w:r>
        <w:rPr>
          <w:rFonts w:hint="eastAsia"/>
          <w:lang w:eastAsia="zh-CN"/>
        </w:rPr>
        <w:t>（</w:t>
      </w:r>
      <w:r>
        <w:t>九</w:t>
      </w:r>
      <w:r>
        <w:rPr>
          <w:rFonts w:hint="eastAsia"/>
          <w:lang w:eastAsia="zh-CN"/>
        </w:rPr>
        <w:t>）</w:t>
      </w:r>
      <w:r>
        <w:t>、农业开发管理</w:t>
      </w:r>
    </w:p>
    <w:p>
      <w:pPr>
        <w:pStyle w:val="8"/>
      </w:pPr>
      <w:r>
        <w:t>绩效目标：扶持农业龙头企业和新型经营主体，带动农业特色主导产业发展，提高我区农业产业化整体水平。</w:t>
      </w:r>
    </w:p>
    <w:p>
      <w:pPr>
        <w:pStyle w:val="8"/>
      </w:pPr>
      <w:r>
        <w:rPr>
          <w:rFonts w:hint="eastAsia"/>
          <w:lang w:eastAsia="zh-CN"/>
        </w:rPr>
        <w:t>（</w:t>
      </w:r>
      <w:r>
        <w:t>十</w:t>
      </w:r>
      <w:r>
        <w:rPr>
          <w:rFonts w:hint="eastAsia"/>
          <w:lang w:eastAsia="zh-CN"/>
        </w:rPr>
        <w:t>）</w:t>
      </w:r>
      <w:r>
        <w:t>、综合事物管理</w:t>
      </w:r>
    </w:p>
    <w:p>
      <w:pPr>
        <w:pStyle w:val="8"/>
      </w:pPr>
      <w:r>
        <w:t>绩效目标：保障机关正常高效运转，圆满完成局领导交办的各类事项。</w:t>
      </w:r>
    </w:p>
    <w:p>
      <w:pPr>
        <w:pStyle w:val="8"/>
      </w:pPr>
      <w:r>
        <w:rPr>
          <w:rFonts w:hint="eastAsia"/>
          <w:lang w:eastAsia="zh-CN"/>
        </w:rPr>
        <w:t>（</w:t>
      </w:r>
      <w:r>
        <w:t>十一</w:t>
      </w:r>
      <w:r>
        <w:rPr>
          <w:rFonts w:hint="eastAsia"/>
          <w:lang w:eastAsia="zh-CN"/>
        </w:rPr>
        <w:t>）</w:t>
      </w:r>
      <w:r>
        <w:t>、国库管理</w:t>
      </w:r>
    </w:p>
    <w:p>
      <w:pPr>
        <w:pStyle w:val="8"/>
      </w:pPr>
      <w:r>
        <w:t>绩效目标：1、拟订国库管理制度、国库集中收付制度；组织实施总预算会计、行政单位会计及政府会计制度。2、安排区级预算单位用款计划及额度的审核下达，办理好区级国库集中支付资金的清算工作；办理非国库集中支付单位的资金拨付；办理好财政专户的资金拨付。3、作好全区预算执行的统计报送，分析和报告支出预算执行情况，提出政策建议。4、作好区本级财政总预算工作，承办区本级财政各项收支、资金调拨、往来款项的会计核算管理。5、汇总编制全区和区本级财政总预算、部门决算和政府财务报告，组织批复部门决算；开展综合性财政统计和分析工作。6、加强国库单一帐户和区本级财政专户的管理；管理核算区本级财政专户资金；按规定开展财政专户资金增殖运作。</w:t>
      </w:r>
    </w:p>
    <w:p>
      <w:pPr>
        <w:pStyle w:val="8"/>
      </w:pPr>
    </w:p>
    <w:p>
      <w:pPr>
        <w:pStyle w:val="8"/>
      </w:pPr>
      <w:r>
        <w:t>三、工作保障措施</w:t>
      </w:r>
    </w:p>
    <w:p>
      <w:pPr>
        <w:pStyle w:val="8"/>
      </w:pPr>
      <w:r>
        <w:t>财政部门在区委、区政府的正确领导下，认真落实新发展理念，积极适应和引领经济发展新常态，围绕“改革统揽、绩效导向、科学规范、善治有为”的总体理财思路，以支持供给侧结构性改革为主线，深化财政改革，强化财政管理，防范财政风险，推进依法理财，充分发挥财政的基础和重要支柱作用。</w:t>
      </w:r>
    </w:p>
    <w:p>
      <w:pPr>
        <w:pStyle w:val="8"/>
      </w:pPr>
      <w:r>
        <w:t>2022年，财政部门将根据区委、区政府的安排部署，结合财政工作实际，认真梳理、深刻分析当前财政工作面临的机遇与挑战，积极谋划，科学拟定2022年工作思路，确保工作有的放矢，突出抓好以下重点工作：</w:t>
      </w:r>
    </w:p>
    <w:p>
      <w:pPr>
        <w:pStyle w:val="8"/>
      </w:pPr>
      <w:r>
        <w:t>1.积极组织收入调度。继续把组织财政收入作为财政工作的重中之重，健全综合治税平台，实现税源信息共享，大力培植财源，狠抓收入征管，做到应收尽收，实现财税收入平稳较快增长。</w:t>
      </w:r>
    </w:p>
    <w:p>
      <w:pPr>
        <w:pStyle w:val="8"/>
      </w:pPr>
      <w:r>
        <w:t>2.科学编制预决算。精心准备做好财政预算的编制，切实强化绩效管理，把绩效管理的理念贯穿财政工作的全过程，按照“预算编制有目标、预算执行有监督、执行结果有评价,评价结果有运用”的理念做好重点支出项目绩效评价,切实增强预算的约束力，努力提高财政资金的使用效益。</w:t>
      </w:r>
    </w:p>
    <w:p>
      <w:pPr>
        <w:pStyle w:val="8"/>
      </w:pPr>
      <w:r>
        <w:t>3.着力保障和改善民生。统筹有限财力，抓重点、兜底线、补短板、强弱项，既尽力而为，又量力而行。有效落实各项惠民支农政策，加大教育事业、就业创业、社会保障、医疗卫生等民生领域的投入力度，加快民生资金、项目资金的拨付进度，确保资金落实到位。</w:t>
      </w:r>
    </w:p>
    <w:p>
      <w:pPr>
        <w:pStyle w:val="8"/>
      </w:pPr>
      <w:r>
        <w:t>4.强化财政资金监管。充分利用专项资金监控平台，对各项专项资金进行监管，同时灵活结合各项专项行动对专项资金进行检查，全面推行“双随机、一公开”工作机制和推进内控体系建设，确保财政资金安全有效运转。</w:t>
      </w:r>
    </w:p>
    <w:p>
      <w:pPr>
        <w:pStyle w:val="8"/>
      </w:pPr>
      <w:r>
        <w:t>5.大力推进预决算公开。实施全面规范、公开透明的预算制度。除涉密信息外，确保所有使用财政资金的部门对本部门预决算，尤其是财政资金安排的“三公”经费均予以公开。</w:t>
      </w:r>
    </w:p>
    <w:p>
      <w:pPr>
        <w:pStyle w:val="8"/>
      </w:pPr>
      <w:r>
        <w:t>6.深化财政体制改革。一是深化预算管理改革，致力于建立规范的预算管理结构和绩效目标指标体系，全面、规范编制政府预算和部门预算，加强绩效监控和监督评价。二是积极对接落实中央与地方财政事权和支出责任划分改革以及中央和省推进收入分配体制改革，推进区乡财政体制改革。三是防范地方政府债务风险，摸索财政与金融双赢互动方式，规范引导社会资本投入运行模式。四是坚持去产能、去库存、去杠杆、降成本、补短板，助力供给侧结构性改革。五是配合其他各项改革完成规定性动作。</w:t>
      </w:r>
    </w:p>
    <w:p>
      <w:pPr>
        <w:spacing w:before="0" w:after="0" w:line="240" w:lineRule="auto"/>
        <w:ind w:firstLine="3520" w:firstLineChars="800"/>
        <w:jc w:val="both"/>
        <w:outlineLvl w:val="9"/>
        <w:rPr>
          <w:rFonts w:ascii="方正小标宋_GBK" w:hAnsi="方正小标宋_GBK" w:eastAsia="方正小标宋_GBK" w:cs="方正小标宋_GBK"/>
          <w:color w:val="000000"/>
          <w:sz w:val="44"/>
        </w:rPr>
      </w:pPr>
    </w:p>
    <w:p>
      <w:pPr>
        <w:spacing w:before="0" w:after="0" w:line="240" w:lineRule="auto"/>
        <w:ind w:firstLine="3520" w:firstLineChars="800"/>
        <w:jc w:val="both"/>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color w:val="000000"/>
          <w:sz w:val="28"/>
        </w:rPr>
        <w:t>1.财政信息化建设绩效目标表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318001财政部门秦皇岛市山海关区财政局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13030322P00409510001X</w:t>
            </w:r>
          </w:p>
        </w:tc>
        <w:tc>
          <w:tcPr>
            <w:tcW w:w="1587" w:type="dxa"/>
            <w:vAlign w:val="center"/>
          </w:tcPr>
          <w:p>
            <w:pPr>
              <w:pStyle w:val="14"/>
            </w:pPr>
            <w:r>
              <w:t>项目名称</w:t>
            </w:r>
          </w:p>
        </w:tc>
        <w:tc>
          <w:tcPr>
            <w:tcW w:w="4422" w:type="dxa"/>
            <w:gridSpan w:val="3"/>
            <w:vAlign w:val="center"/>
          </w:tcPr>
          <w:p>
            <w:pPr>
              <w:pStyle w:val="13"/>
            </w:pPr>
            <w:r>
              <w:t>财政信息化建设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w:t>
            </w:r>
          </w:p>
        </w:tc>
        <w:tc>
          <w:tcPr>
            <w:tcW w:w="1587" w:type="dxa"/>
            <w:vAlign w:val="center"/>
          </w:tcPr>
          <w:p>
            <w:pPr>
              <w:pStyle w:val="14"/>
            </w:pPr>
            <w:r>
              <w:t>其中：财政    资金</w:t>
            </w:r>
          </w:p>
        </w:tc>
        <w:tc>
          <w:tcPr>
            <w:tcW w:w="1304" w:type="dxa"/>
            <w:vAlign w:val="center"/>
          </w:tcPr>
          <w:p>
            <w:pPr>
              <w:pStyle w:val="13"/>
            </w:pPr>
            <w:r>
              <w:t>50.00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财政信息化建设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1.财政信息化建设</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工作完成数量</w:t>
            </w:r>
          </w:p>
        </w:tc>
        <w:tc>
          <w:tcPr>
            <w:tcW w:w="2891" w:type="dxa"/>
            <w:vAlign w:val="center"/>
          </w:tcPr>
          <w:p>
            <w:pPr>
              <w:pStyle w:val="13"/>
            </w:pPr>
            <w:r>
              <w:t>工作完成数量</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按照省市要求升级维护</w:t>
            </w:r>
          </w:p>
        </w:tc>
        <w:tc>
          <w:tcPr>
            <w:tcW w:w="2891" w:type="dxa"/>
            <w:vAlign w:val="center"/>
          </w:tcPr>
          <w:p>
            <w:pPr>
              <w:pStyle w:val="13"/>
            </w:pPr>
            <w:r>
              <w:t>按照省市要求升级维护</w:t>
            </w:r>
          </w:p>
        </w:tc>
        <w:tc>
          <w:tcPr>
            <w:tcW w:w="1276" w:type="dxa"/>
            <w:vAlign w:val="center"/>
          </w:tcPr>
          <w:p>
            <w:pPr>
              <w:pStyle w:val="13"/>
            </w:pPr>
            <w:r>
              <w:t>实时更新</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及时维护系统解决问题</w:t>
            </w:r>
          </w:p>
        </w:tc>
        <w:tc>
          <w:tcPr>
            <w:tcW w:w="2891" w:type="dxa"/>
            <w:vAlign w:val="center"/>
          </w:tcPr>
          <w:p>
            <w:pPr>
              <w:pStyle w:val="13"/>
            </w:pPr>
            <w:r>
              <w:t>及时维护系统解决问题</w:t>
            </w:r>
          </w:p>
        </w:tc>
        <w:tc>
          <w:tcPr>
            <w:tcW w:w="1276" w:type="dxa"/>
            <w:vAlign w:val="center"/>
          </w:tcPr>
          <w:p>
            <w:pPr>
              <w:pStyle w:val="13"/>
            </w:pPr>
            <w:r>
              <w:t>及时处理解决问题</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执行预算指标</w:t>
            </w:r>
          </w:p>
        </w:tc>
        <w:tc>
          <w:tcPr>
            <w:tcW w:w="2891" w:type="dxa"/>
            <w:vAlign w:val="center"/>
          </w:tcPr>
          <w:p>
            <w:pPr>
              <w:pStyle w:val="13"/>
            </w:pPr>
            <w:r>
              <w:t>执行预算指标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保障系统稳定正常运行</w:t>
            </w:r>
          </w:p>
        </w:tc>
        <w:tc>
          <w:tcPr>
            <w:tcW w:w="2891" w:type="dxa"/>
            <w:vAlign w:val="center"/>
          </w:tcPr>
          <w:p>
            <w:pPr>
              <w:pStyle w:val="13"/>
            </w:pPr>
            <w:r>
              <w:t>保障系统稳定正常运行</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组织培训讲解</w:t>
            </w:r>
          </w:p>
        </w:tc>
        <w:tc>
          <w:tcPr>
            <w:tcW w:w="2891" w:type="dxa"/>
            <w:vAlign w:val="center"/>
          </w:tcPr>
          <w:p>
            <w:pPr>
              <w:pStyle w:val="13"/>
            </w:pPr>
            <w:r>
              <w:t>组织培训讲解</w:t>
            </w:r>
          </w:p>
        </w:tc>
        <w:tc>
          <w:tcPr>
            <w:tcW w:w="1276" w:type="dxa"/>
            <w:vAlign w:val="center"/>
          </w:tcPr>
          <w:p>
            <w:pPr>
              <w:pStyle w:val="13"/>
            </w:pPr>
            <w:r>
              <w:t>组织培训讲解</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及时解决相关问题</w:t>
            </w:r>
          </w:p>
        </w:tc>
        <w:tc>
          <w:tcPr>
            <w:tcW w:w="2891" w:type="dxa"/>
            <w:vAlign w:val="center"/>
          </w:tcPr>
          <w:p>
            <w:pPr>
              <w:pStyle w:val="13"/>
            </w:pPr>
            <w:r>
              <w:t>及时解决相关问题</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持续维护系统正常运转</w:t>
            </w:r>
          </w:p>
        </w:tc>
        <w:tc>
          <w:tcPr>
            <w:tcW w:w="2891" w:type="dxa"/>
            <w:vAlign w:val="center"/>
          </w:tcPr>
          <w:p>
            <w:pPr>
              <w:pStyle w:val="13"/>
            </w:pPr>
            <w:r>
              <w:t>持续维护系统正常运转</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color w:val="000000"/>
          <w:sz w:val="28"/>
        </w:rPr>
        <w:t>2.决算工作经费、国库支付电子化前置系统技术服务费绩效目标表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318001财政部门秦皇岛市山海关区财政局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13030322P00409810001Y</w:t>
            </w:r>
          </w:p>
        </w:tc>
        <w:tc>
          <w:tcPr>
            <w:tcW w:w="1587" w:type="dxa"/>
            <w:vAlign w:val="center"/>
          </w:tcPr>
          <w:p>
            <w:pPr>
              <w:pStyle w:val="14"/>
            </w:pPr>
            <w:r>
              <w:t>项目名称</w:t>
            </w:r>
          </w:p>
        </w:tc>
        <w:tc>
          <w:tcPr>
            <w:tcW w:w="4422" w:type="dxa"/>
            <w:gridSpan w:val="3"/>
            <w:vAlign w:val="center"/>
          </w:tcPr>
          <w:p>
            <w:pPr>
              <w:pStyle w:val="13"/>
            </w:pPr>
            <w:r>
              <w:t>决算工作经费、国库支付电子化前置系统技术服务费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8.05</w:t>
            </w:r>
          </w:p>
        </w:tc>
        <w:tc>
          <w:tcPr>
            <w:tcW w:w="1587" w:type="dxa"/>
            <w:vAlign w:val="center"/>
          </w:tcPr>
          <w:p>
            <w:pPr>
              <w:pStyle w:val="14"/>
            </w:pPr>
            <w:r>
              <w:t>其中：财政    资金</w:t>
            </w:r>
          </w:p>
        </w:tc>
        <w:tc>
          <w:tcPr>
            <w:tcW w:w="1304" w:type="dxa"/>
            <w:vAlign w:val="center"/>
          </w:tcPr>
          <w:p>
            <w:pPr>
              <w:pStyle w:val="13"/>
            </w:pPr>
            <w:r>
              <w:t>8.05</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决算工作经费、国库支付电子化前置系统技术服务费</w:t>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1.开展决算工作经费、国库支付电子化前置系统技术服务费</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年度预算单位数量</w:t>
            </w:r>
          </w:p>
        </w:tc>
        <w:tc>
          <w:tcPr>
            <w:tcW w:w="2891" w:type="dxa"/>
            <w:vAlign w:val="center"/>
          </w:tcPr>
          <w:p>
            <w:pPr>
              <w:pStyle w:val="13"/>
            </w:pPr>
            <w:r>
              <w:t>年度预算单位数量</w:t>
            </w:r>
          </w:p>
        </w:tc>
        <w:tc>
          <w:tcPr>
            <w:tcW w:w="1276" w:type="dxa"/>
            <w:vAlign w:val="center"/>
          </w:tcPr>
          <w:p>
            <w:pPr>
              <w:pStyle w:val="13"/>
            </w:pPr>
            <w:r>
              <w:t>≥100</w:t>
            </w:r>
          </w:p>
        </w:tc>
        <w:tc>
          <w:tcPr>
            <w:tcW w:w="1843" w:type="dxa"/>
            <w:vAlign w:val="center"/>
          </w:tcPr>
          <w:p>
            <w:pPr>
              <w:pStyle w:val="13"/>
            </w:pPr>
            <w:r>
              <w:t>年度工计划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组织完成全区预算单位部门决算编报</w:t>
            </w:r>
          </w:p>
        </w:tc>
        <w:tc>
          <w:tcPr>
            <w:tcW w:w="2891" w:type="dxa"/>
            <w:vAlign w:val="center"/>
          </w:tcPr>
          <w:p>
            <w:pPr>
              <w:pStyle w:val="13"/>
            </w:pPr>
            <w:r>
              <w:t>组织完成全区预算单位部门决算编报</w:t>
            </w:r>
          </w:p>
        </w:tc>
        <w:tc>
          <w:tcPr>
            <w:tcW w:w="1276" w:type="dxa"/>
            <w:vAlign w:val="center"/>
          </w:tcPr>
          <w:p>
            <w:pPr>
              <w:pStyle w:val="13"/>
            </w:pPr>
            <w:r>
              <w:t>100</w:t>
            </w:r>
          </w:p>
        </w:tc>
        <w:tc>
          <w:tcPr>
            <w:tcW w:w="1843" w:type="dxa"/>
            <w:vAlign w:val="center"/>
          </w:tcPr>
          <w:p>
            <w:pPr>
              <w:pStyle w:val="13"/>
            </w:pPr>
            <w:r>
              <w:t>年度工计划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按照时间要求，提高工作效率</w:t>
            </w:r>
          </w:p>
        </w:tc>
        <w:tc>
          <w:tcPr>
            <w:tcW w:w="2891" w:type="dxa"/>
            <w:vAlign w:val="center"/>
          </w:tcPr>
          <w:p>
            <w:pPr>
              <w:pStyle w:val="13"/>
            </w:pPr>
            <w:r>
              <w:t>按照时间要求，提高工作效率</w:t>
            </w:r>
          </w:p>
        </w:tc>
        <w:tc>
          <w:tcPr>
            <w:tcW w:w="1276" w:type="dxa"/>
            <w:vAlign w:val="center"/>
          </w:tcPr>
          <w:p>
            <w:pPr>
              <w:pStyle w:val="13"/>
            </w:pPr>
            <w:r>
              <w:t>按当年工作时间要求</w:t>
            </w:r>
          </w:p>
        </w:tc>
        <w:tc>
          <w:tcPr>
            <w:tcW w:w="1843" w:type="dxa"/>
            <w:vAlign w:val="center"/>
          </w:tcPr>
          <w:p>
            <w:pPr>
              <w:pStyle w:val="13"/>
            </w:pPr>
            <w:r>
              <w:t>年度工计划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执行预算指标</w:t>
            </w:r>
          </w:p>
        </w:tc>
        <w:tc>
          <w:tcPr>
            <w:tcW w:w="2891" w:type="dxa"/>
            <w:vAlign w:val="center"/>
          </w:tcPr>
          <w:p>
            <w:pPr>
              <w:pStyle w:val="13"/>
            </w:pPr>
            <w:r>
              <w:t>执行预算指标</w:t>
            </w:r>
          </w:p>
        </w:tc>
        <w:tc>
          <w:tcPr>
            <w:tcW w:w="1276" w:type="dxa"/>
            <w:vAlign w:val="center"/>
          </w:tcPr>
          <w:p>
            <w:pPr>
              <w:pStyle w:val="13"/>
            </w:pPr>
            <w:r>
              <w:t>≤100</w:t>
            </w:r>
          </w:p>
        </w:tc>
        <w:tc>
          <w:tcPr>
            <w:tcW w:w="1843" w:type="dxa"/>
            <w:vAlign w:val="center"/>
          </w:tcPr>
          <w:p>
            <w:pPr>
              <w:pStyle w:val="13"/>
            </w:pPr>
            <w:r>
              <w:t>年度工计划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提高工作质量高效率完成工作要求</w:t>
            </w:r>
          </w:p>
        </w:tc>
        <w:tc>
          <w:tcPr>
            <w:tcW w:w="2891" w:type="dxa"/>
            <w:vAlign w:val="center"/>
          </w:tcPr>
          <w:p>
            <w:pPr>
              <w:pStyle w:val="13"/>
            </w:pPr>
            <w:r>
              <w:t>提高工作质量高效率完成工作要求</w:t>
            </w:r>
          </w:p>
        </w:tc>
        <w:tc>
          <w:tcPr>
            <w:tcW w:w="1276" w:type="dxa"/>
            <w:vAlign w:val="center"/>
          </w:tcPr>
          <w:p>
            <w:pPr>
              <w:pStyle w:val="13"/>
            </w:pPr>
            <w:r>
              <w:t>≥90</w:t>
            </w:r>
          </w:p>
        </w:tc>
        <w:tc>
          <w:tcPr>
            <w:tcW w:w="1843" w:type="dxa"/>
            <w:vAlign w:val="center"/>
          </w:tcPr>
          <w:p>
            <w:pPr>
              <w:pStyle w:val="13"/>
            </w:pPr>
            <w:r>
              <w:t>年度工计划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对预算单位进行培训辅导</w:t>
            </w:r>
          </w:p>
        </w:tc>
        <w:tc>
          <w:tcPr>
            <w:tcW w:w="2891" w:type="dxa"/>
            <w:vAlign w:val="center"/>
          </w:tcPr>
          <w:p>
            <w:pPr>
              <w:pStyle w:val="13"/>
            </w:pPr>
            <w:r>
              <w:t>对预算单位进行培训辅导</w:t>
            </w:r>
          </w:p>
        </w:tc>
        <w:tc>
          <w:tcPr>
            <w:tcW w:w="1276" w:type="dxa"/>
            <w:vAlign w:val="center"/>
          </w:tcPr>
          <w:p>
            <w:pPr>
              <w:pStyle w:val="13"/>
            </w:pPr>
            <w:r>
              <w:t>≤100</w:t>
            </w:r>
          </w:p>
        </w:tc>
        <w:tc>
          <w:tcPr>
            <w:tcW w:w="1843" w:type="dxa"/>
            <w:vAlign w:val="center"/>
          </w:tcPr>
          <w:p>
            <w:pPr>
              <w:pStyle w:val="13"/>
            </w:pPr>
            <w:r>
              <w:t>年度工计划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维护网络解决系统运行问题</w:t>
            </w:r>
          </w:p>
        </w:tc>
        <w:tc>
          <w:tcPr>
            <w:tcW w:w="2891" w:type="dxa"/>
            <w:vAlign w:val="center"/>
          </w:tcPr>
          <w:p>
            <w:pPr>
              <w:pStyle w:val="13"/>
            </w:pPr>
            <w:r>
              <w:t>维护网络解决系统运行问题</w:t>
            </w:r>
          </w:p>
        </w:tc>
        <w:tc>
          <w:tcPr>
            <w:tcW w:w="1276" w:type="dxa"/>
            <w:vAlign w:val="center"/>
          </w:tcPr>
          <w:p>
            <w:pPr>
              <w:pStyle w:val="13"/>
            </w:pPr>
            <w:r>
              <w:t>≤100</w:t>
            </w:r>
          </w:p>
        </w:tc>
        <w:tc>
          <w:tcPr>
            <w:tcW w:w="1843" w:type="dxa"/>
            <w:vAlign w:val="center"/>
          </w:tcPr>
          <w:p>
            <w:pPr>
              <w:pStyle w:val="13"/>
            </w:pPr>
            <w:r>
              <w:t>年度工计划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持续维护电子前置系统，确保国库集中支付安全高效</w:t>
            </w:r>
          </w:p>
        </w:tc>
        <w:tc>
          <w:tcPr>
            <w:tcW w:w="2891" w:type="dxa"/>
            <w:vAlign w:val="center"/>
          </w:tcPr>
          <w:p>
            <w:pPr>
              <w:pStyle w:val="13"/>
            </w:pPr>
            <w:r>
              <w:t>持续维护电子前置系统，确保国库集中支付安全高效</w:t>
            </w:r>
          </w:p>
        </w:tc>
        <w:tc>
          <w:tcPr>
            <w:tcW w:w="1276" w:type="dxa"/>
            <w:vAlign w:val="center"/>
          </w:tcPr>
          <w:p>
            <w:pPr>
              <w:pStyle w:val="13"/>
            </w:pPr>
            <w:r>
              <w:t>≥90</w:t>
            </w:r>
          </w:p>
        </w:tc>
        <w:tc>
          <w:tcPr>
            <w:tcW w:w="1843" w:type="dxa"/>
            <w:vAlign w:val="center"/>
          </w:tcPr>
          <w:p>
            <w:pPr>
              <w:pStyle w:val="13"/>
            </w:pPr>
            <w:r>
              <w:t>年度工计划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满意率</w:t>
            </w:r>
          </w:p>
        </w:tc>
        <w:tc>
          <w:tcPr>
            <w:tcW w:w="2891" w:type="dxa"/>
            <w:vAlign w:val="center"/>
          </w:tcPr>
          <w:p>
            <w:pPr>
              <w:pStyle w:val="13"/>
            </w:pPr>
            <w:r>
              <w:t>满意率</w:t>
            </w:r>
          </w:p>
        </w:tc>
        <w:tc>
          <w:tcPr>
            <w:tcW w:w="1276" w:type="dxa"/>
            <w:vAlign w:val="center"/>
          </w:tcPr>
          <w:p>
            <w:pPr>
              <w:pStyle w:val="13"/>
            </w:pPr>
            <w:r>
              <w:t>≥90</w:t>
            </w:r>
          </w:p>
        </w:tc>
        <w:tc>
          <w:tcPr>
            <w:tcW w:w="1843" w:type="dxa"/>
            <w:vAlign w:val="center"/>
          </w:tcPr>
          <w:p>
            <w:pPr>
              <w:pStyle w:val="13"/>
            </w:pPr>
            <w:r>
              <w:t>年度工计划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color w:val="000000"/>
          <w:sz w:val="28"/>
        </w:rPr>
        <w:t>3.人事代理专项补助绩效目标表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318001财政部门秦皇岛市山海关区财政局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13030322P003975100149</w:t>
            </w:r>
          </w:p>
        </w:tc>
        <w:tc>
          <w:tcPr>
            <w:tcW w:w="1587" w:type="dxa"/>
            <w:vAlign w:val="center"/>
          </w:tcPr>
          <w:p>
            <w:pPr>
              <w:pStyle w:val="14"/>
            </w:pPr>
            <w:r>
              <w:t>项目名称</w:t>
            </w:r>
          </w:p>
        </w:tc>
        <w:tc>
          <w:tcPr>
            <w:tcW w:w="4422" w:type="dxa"/>
            <w:gridSpan w:val="3"/>
            <w:vAlign w:val="center"/>
          </w:tcPr>
          <w:p>
            <w:pPr>
              <w:pStyle w:val="13"/>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22.00</w:t>
            </w:r>
          </w:p>
        </w:tc>
        <w:tc>
          <w:tcPr>
            <w:tcW w:w="1587" w:type="dxa"/>
            <w:vAlign w:val="center"/>
          </w:tcPr>
          <w:p>
            <w:pPr>
              <w:pStyle w:val="14"/>
            </w:pPr>
            <w:r>
              <w:t>其中：财政    资金</w:t>
            </w:r>
          </w:p>
        </w:tc>
        <w:tc>
          <w:tcPr>
            <w:tcW w:w="1304" w:type="dxa"/>
            <w:vAlign w:val="center"/>
          </w:tcPr>
          <w:p>
            <w:pPr>
              <w:pStyle w:val="13"/>
            </w:pPr>
            <w:r>
              <w:t>22.00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人事代理专项补助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1.人事代理专项补助</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支付工资及保险人员数量</w:t>
            </w:r>
          </w:p>
        </w:tc>
        <w:tc>
          <w:tcPr>
            <w:tcW w:w="2891" w:type="dxa"/>
            <w:vAlign w:val="center"/>
          </w:tcPr>
          <w:p>
            <w:pPr>
              <w:pStyle w:val="13"/>
            </w:pPr>
            <w:r>
              <w:t>支付工资及保险人员数量</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工资及保险发放准确率</w:t>
            </w:r>
          </w:p>
        </w:tc>
        <w:tc>
          <w:tcPr>
            <w:tcW w:w="2891" w:type="dxa"/>
            <w:vAlign w:val="center"/>
          </w:tcPr>
          <w:p>
            <w:pPr>
              <w:pStyle w:val="13"/>
            </w:pPr>
            <w:r>
              <w:t>工资及保险发放准确率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资金支付及时率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控制在预算资金内</w:t>
            </w:r>
          </w:p>
        </w:tc>
        <w:tc>
          <w:tcPr>
            <w:tcW w:w="2891" w:type="dxa"/>
            <w:vAlign w:val="center"/>
          </w:tcPr>
          <w:p>
            <w:pPr>
              <w:pStyle w:val="13"/>
            </w:pPr>
            <w:r>
              <w:t>控制在预算资金内</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业务工作稳定性</w:t>
            </w:r>
          </w:p>
        </w:tc>
        <w:tc>
          <w:tcPr>
            <w:tcW w:w="2891" w:type="dxa"/>
            <w:vAlign w:val="center"/>
          </w:tcPr>
          <w:p>
            <w:pPr>
              <w:pStyle w:val="13"/>
            </w:pPr>
            <w:r>
              <w:t>通过日常工作稳定运转</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有效提供后勤保障</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保障工作完成</w:t>
            </w:r>
          </w:p>
        </w:tc>
        <w:tc>
          <w:tcPr>
            <w:tcW w:w="2891" w:type="dxa"/>
            <w:vAlign w:val="center"/>
          </w:tcPr>
          <w:p>
            <w:pPr>
              <w:pStyle w:val="13"/>
            </w:pPr>
            <w:r>
              <w:t>保障工作顺利完成</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职工满意度</w:t>
            </w:r>
          </w:p>
        </w:tc>
        <w:tc>
          <w:tcPr>
            <w:tcW w:w="2891" w:type="dxa"/>
            <w:vAlign w:val="center"/>
          </w:tcPr>
          <w:p>
            <w:pPr>
              <w:pStyle w:val="13"/>
            </w:pPr>
            <w:r>
              <w:t>满意度人员占总职工人数</w:t>
            </w:r>
          </w:p>
        </w:tc>
        <w:tc>
          <w:tcPr>
            <w:tcW w:w="1276" w:type="dxa"/>
            <w:vAlign w:val="center"/>
          </w:tcPr>
          <w:p>
            <w:pPr>
              <w:pStyle w:val="13"/>
            </w:pPr>
            <w:r>
              <w:t>100</w:t>
            </w:r>
          </w:p>
        </w:tc>
        <w:tc>
          <w:tcPr>
            <w:tcW w:w="1843" w:type="dxa"/>
            <w:vAlign w:val="center"/>
          </w:tcPr>
          <w:p>
            <w:pPr>
              <w:pStyle w:val="13"/>
            </w:pPr>
            <w:r>
              <w:t>年度工作计划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color w:val="000000"/>
          <w:sz w:val="28"/>
        </w:rPr>
        <w:t>4.提前下达2021年省级农村财会人员培训一般转移支付指标绩效目标表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318001财政部门秦皇岛市山海关区财政局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13030321YF1RNMIZ941D5</w:t>
            </w:r>
          </w:p>
        </w:tc>
        <w:tc>
          <w:tcPr>
            <w:tcW w:w="1587" w:type="dxa"/>
            <w:vAlign w:val="center"/>
          </w:tcPr>
          <w:p>
            <w:pPr>
              <w:pStyle w:val="14"/>
            </w:pPr>
            <w:r>
              <w:t>项目名称</w:t>
            </w:r>
          </w:p>
        </w:tc>
        <w:tc>
          <w:tcPr>
            <w:tcW w:w="4422" w:type="dxa"/>
            <w:gridSpan w:val="3"/>
            <w:vAlign w:val="center"/>
          </w:tcPr>
          <w:p>
            <w:pPr>
              <w:pStyle w:val="13"/>
            </w:pPr>
            <w:r>
              <w:t>提前下达2021年省级农村财会人员培训一般转移支付指标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w:t>
            </w:r>
          </w:p>
        </w:tc>
        <w:tc>
          <w:tcPr>
            <w:tcW w:w="1587" w:type="dxa"/>
            <w:vAlign w:val="center"/>
          </w:tcPr>
          <w:p>
            <w:pPr>
              <w:pStyle w:val="14"/>
            </w:pPr>
            <w:r>
              <w:t>其中：财政    资金</w:t>
            </w:r>
          </w:p>
        </w:tc>
        <w:tc>
          <w:tcPr>
            <w:tcW w:w="1304" w:type="dxa"/>
            <w:vAlign w:val="center"/>
          </w:tcPr>
          <w:p>
            <w:pPr>
              <w:pStyle w:val="13"/>
            </w:pPr>
            <w:r>
              <w:t>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确保农村财会人员培训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1.确保农村财会人员培训</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质量指标</w:t>
            </w:r>
          </w:p>
        </w:tc>
        <w:tc>
          <w:tcPr>
            <w:tcW w:w="1332" w:type="dxa"/>
            <w:vAlign w:val="center"/>
          </w:tcPr>
          <w:p>
            <w:pPr>
              <w:pStyle w:val="13"/>
            </w:pPr>
            <w:r>
              <w:t>培训合格率</w:t>
            </w:r>
          </w:p>
        </w:tc>
        <w:tc>
          <w:tcPr>
            <w:tcW w:w="2891" w:type="dxa"/>
            <w:vAlign w:val="center"/>
          </w:tcPr>
          <w:p>
            <w:pPr>
              <w:pStyle w:val="13"/>
            </w:pPr>
            <w:r>
              <w:t>培训合格率</w:t>
            </w:r>
          </w:p>
        </w:tc>
        <w:tc>
          <w:tcPr>
            <w:tcW w:w="1276" w:type="dxa"/>
            <w:vAlign w:val="center"/>
          </w:tcPr>
          <w:p>
            <w:pPr>
              <w:pStyle w:val="13"/>
            </w:pPr>
            <w:r>
              <w:t>≥90%</w:t>
            </w:r>
          </w:p>
        </w:tc>
        <w:tc>
          <w:tcPr>
            <w:tcW w:w="1843" w:type="dxa"/>
            <w:vAlign w:val="center"/>
          </w:tcPr>
          <w:p>
            <w:pPr>
              <w:pStyle w:val="13"/>
            </w:pPr>
            <w:r>
              <w:t>实际培训情况</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培训参加人次</w:t>
            </w:r>
          </w:p>
        </w:tc>
        <w:tc>
          <w:tcPr>
            <w:tcW w:w="2891" w:type="dxa"/>
            <w:vAlign w:val="center"/>
          </w:tcPr>
          <w:p>
            <w:pPr>
              <w:pStyle w:val="13"/>
            </w:pPr>
            <w:r>
              <w:t>培训参加人次</w:t>
            </w:r>
          </w:p>
        </w:tc>
        <w:tc>
          <w:tcPr>
            <w:tcW w:w="1276" w:type="dxa"/>
            <w:vAlign w:val="center"/>
          </w:tcPr>
          <w:p>
            <w:pPr>
              <w:pStyle w:val="13"/>
            </w:pPr>
            <w:r>
              <w:t>≥90%</w:t>
            </w:r>
          </w:p>
        </w:tc>
        <w:tc>
          <w:tcPr>
            <w:tcW w:w="1843" w:type="dxa"/>
            <w:vAlign w:val="center"/>
          </w:tcPr>
          <w:p>
            <w:pPr>
              <w:pStyle w:val="13"/>
            </w:pPr>
            <w:r>
              <w:t>实际培训人数</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项目总成本</w:t>
            </w:r>
          </w:p>
        </w:tc>
        <w:tc>
          <w:tcPr>
            <w:tcW w:w="2891" w:type="dxa"/>
            <w:vAlign w:val="center"/>
          </w:tcPr>
          <w:p>
            <w:pPr>
              <w:pStyle w:val="13"/>
            </w:pPr>
            <w:r>
              <w:t>项目预算执行情况</w:t>
            </w:r>
          </w:p>
        </w:tc>
        <w:tc>
          <w:tcPr>
            <w:tcW w:w="1276" w:type="dxa"/>
            <w:vAlign w:val="center"/>
          </w:tcPr>
          <w:p>
            <w:pPr>
              <w:pStyle w:val="13"/>
            </w:pPr>
            <w:r>
              <w:t>≥90%</w:t>
            </w:r>
          </w:p>
        </w:tc>
        <w:tc>
          <w:tcPr>
            <w:tcW w:w="1843" w:type="dxa"/>
            <w:vAlign w:val="center"/>
          </w:tcPr>
          <w:p>
            <w:pPr>
              <w:pStyle w:val="13"/>
            </w:pPr>
            <w:r>
              <w:t>实际情况</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培训按期完成率</w:t>
            </w:r>
          </w:p>
        </w:tc>
        <w:tc>
          <w:tcPr>
            <w:tcW w:w="2891" w:type="dxa"/>
            <w:vAlign w:val="center"/>
          </w:tcPr>
          <w:p>
            <w:pPr>
              <w:pStyle w:val="13"/>
            </w:pPr>
            <w:r>
              <w:t>培训按期完成率</w:t>
            </w:r>
          </w:p>
        </w:tc>
        <w:tc>
          <w:tcPr>
            <w:tcW w:w="1276" w:type="dxa"/>
            <w:vAlign w:val="center"/>
          </w:tcPr>
          <w:p>
            <w:pPr>
              <w:pStyle w:val="13"/>
            </w:pPr>
            <w:r>
              <w:t>是</w:t>
            </w:r>
          </w:p>
        </w:tc>
        <w:tc>
          <w:tcPr>
            <w:tcW w:w="1843" w:type="dxa"/>
            <w:vAlign w:val="center"/>
          </w:tcPr>
          <w:p>
            <w:pPr>
              <w:pStyle w:val="13"/>
            </w:pPr>
            <w:r>
              <w:t>工作计划</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能力提升率</w:t>
            </w:r>
          </w:p>
        </w:tc>
        <w:tc>
          <w:tcPr>
            <w:tcW w:w="2891" w:type="dxa"/>
            <w:vAlign w:val="center"/>
          </w:tcPr>
          <w:p>
            <w:pPr>
              <w:pStyle w:val="13"/>
            </w:pPr>
            <w:r>
              <w:t>参训会计人员能力提升</w:t>
            </w:r>
          </w:p>
        </w:tc>
        <w:tc>
          <w:tcPr>
            <w:tcW w:w="1276" w:type="dxa"/>
            <w:vAlign w:val="center"/>
          </w:tcPr>
          <w:p>
            <w:pPr>
              <w:pStyle w:val="13"/>
            </w:pPr>
            <w:r>
              <w:t>不断提高</w:t>
            </w:r>
          </w:p>
        </w:tc>
        <w:tc>
          <w:tcPr>
            <w:tcW w:w="1843" w:type="dxa"/>
            <w:vAlign w:val="center"/>
          </w:tcPr>
          <w:p>
            <w:pPr>
              <w:pStyle w:val="13"/>
            </w:pPr>
            <w:r>
              <w:t>参训人员能力提高</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color w:val="000000"/>
          <w:sz w:val="28"/>
        </w:rPr>
        <w:t>5.一体化服务维护等费、非预算单位资产管理系统运维费绩效目标表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318001财政部门秦皇岛市山海关区财政局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13030322P00410210001K</w:t>
            </w:r>
          </w:p>
        </w:tc>
        <w:tc>
          <w:tcPr>
            <w:tcW w:w="1587" w:type="dxa"/>
            <w:vAlign w:val="center"/>
          </w:tcPr>
          <w:p>
            <w:pPr>
              <w:pStyle w:val="14"/>
            </w:pPr>
            <w:r>
              <w:t>项目名称</w:t>
            </w:r>
          </w:p>
        </w:tc>
        <w:tc>
          <w:tcPr>
            <w:tcW w:w="4422" w:type="dxa"/>
            <w:gridSpan w:val="3"/>
            <w:vAlign w:val="center"/>
          </w:tcPr>
          <w:p>
            <w:pPr>
              <w:pStyle w:val="13"/>
            </w:pPr>
            <w:r>
              <w:t>一体化服务维护等费、非预算单位资产管理系统运维费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34.00</w:t>
            </w:r>
          </w:p>
        </w:tc>
        <w:tc>
          <w:tcPr>
            <w:tcW w:w="1587" w:type="dxa"/>
            <w:vAlign w:val="center"/>
          </w:tcPr>
          <w:p>
            <w:pPr>
              <w:pStyle w:val="14"/>
            </w:pPr>
            <w:r>
              <w:t>其中：财政    资金</w:t>
            </w:r>
          </w:p>
        </w:tc>
        <w:tc>
          <w:tcPr>
            <w:tcW w:w="1304" w:type="dxa"/>
            <w:vAlign w:val="center"/>
          </w:tcPr>
          <w:p>
            <w:pPr>
              <w:pStyle w:val="13"/>
            </w:pPr>
            <w:r>
              <w:t>34.00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用于一体化运维服务费用及资产管理系统日常使用与维护费用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1.开展一体化平台服务</w:t>
            </w:r>
          </w:p>
          <w:p>
            <w:pPr>
              <w:pStyle w:val="13"/>
            </w:pPr>
            <w:r>
              <w:t>2.按照省市要求升级维护</w:t>
            </w:r>
          </w:p>
          <w:p>
            <w:pPr>
              <w:pStyle w:val="13"/>
            </w:pPr>
            <w:r>
              <w:t>3.及时维护系统解决问题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全区预算单位或非预算单位数量</w:t>
            </w:r>
          </w:p>
        </w:tc>
        <w:tc>
          <w:tcPr>
            <w:tcW w:w="2891" w:type="dxa"/>
            <w:vAlign w:val="center"/>
          </w:tcPr>
          <w:p>
            <w:pPr>
              <w:pStyle w:val="13"/>
            </w:pPr>
            <w:r>
              <w:t>全区预算单位或非预算单位数量</w:t>
            </w:r>
          </w:p>
        </w:tc>
        <w:tc>
          <w:tcPr>
            <w:tcW w:w="1276" w:type="dxa"/>
            <w:vAlign w:val="center"/>
          </w:tcPr>
          <w:p>
            <w:pPr>
              <w:pStyle w:val="13"/>
            </w:pPr>
            <w:r>
              <w:t>一体化系统为全区预算单位，国资系统为全区非预算单位</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按照省市要求升级维护</w:t>
            </w:r>
          </w:p>
        </w:tc>
        <w:tc>
          <w:tcPr>
            <w:tcW w:w="2891" w:type="dxa"/>
            <w:vAlign w:val="center"/>
          </w:tcPr>
          <w:p>
            <w:pPr>
              <w:pStyle w:val="13"/>
            </w:pPr>
            <w:r>
              <w:t>按照省市要求升级维护</w:t>
            </w:r>
          </w:p>
        </w:tc>
        <w:tc>
          <w:tcPr>
            <w:tcW w:w="1276" w:type="dxa"/>
            <w:vAlign w:val="center"/>
          </w:tcPr>
          <w:p>
            <w:pPr>
              <w:pStyle w:val="13"/>
            </w:pPr>
            <w:r>
              <w:t>实时更新</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及时维护系统解决问题</w:t>
            </w:r>
          </w:p>
        </w:tc>
        <w:tc>
          <w:tcPr>
            <w:tcW w:w="2891" w:type="dxa"/>
            <w:vAlign w:val="center"/>
          </w:tcPr>
          <w:p>
            <w:pPr>
              <w:pStyle w:val="13"/>
            </w:pPr>
            <w:r>
              <w:t>及时维护系统解决问题</w:t>
            </w:r>
          </w:p>
        </w:tc>
        <w:tc>
          <w:tcPr>
            <w:tcW w:w="1276" w:type="dxa"/>
            <w:vAlign w:val="center"/>
          </w:tcPr>
          <w:p>
            <w:pPr>
              <w:pStyle w:val="13"/>
            </w:pPr>
            <w:r>
              <w:t>及时处理解决问题</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执行预算指标</w:t>
            </w:r>
          </w:p>
        </w:tc>
        <w:tc>
          <w:tcPr>
            <w:tcW w:w="2891" w:type="dxa"/>
            <w:vAlign w:val="center"/>
          </w:tcPr>
          <w:p>
            <w:pPr>
              <w:pStyle w:val="13"/>
            </w:pPr>
            <w:r>
              <w:t>执行预算指标</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保障系统稳定正常运行</w:t>
            </w:r>
          </w:p>
        </w:tc>
        <w:tc>
          <w:tcPr>
            <w:tcW w:w="2891" w:type="dxa"/>
            <w:vAlign w:val="center"/>
          </w:tcPr>
          <w:p>
            <w:pPr>
              <w:pStyle w:val="13"/>
            </w:pPr>
            <w:r>
              <w:t>保障系统稳定正常运行</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组织培训讲解</w:t>
            </w:r>
          </w:p>
        </w:tc>
        <w:tc>
          <w:tcPr>
            <w:tcW w:w="2891" w:type="dxa"/>
            <w:vAlign w:val="center"/>
          </w:tcPr>
          <w:p>
            <w:pPr>
              <w:pStyle w:val="13"/>
            </w:pPr>
            <w:r>
              <w:t>组织培训讲解</w:t>
            </w:r>
          </w:p>
        </w:tc>
        <w:tc>
          <w:tcPr>
            <w:tcW w:w="1276" w:type="dxa"/>
            <w:vAlign w:val="center"/>
          </w:tcPr>
          <w:p>
            <w:pPr>
              <w:pStyle w:val="13"/>
            </w:pPr>
            <w:r>
              <w:t>组织培训讲解</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及时解决相关问题</w:t>
            </w:r>
          </w:p>
        </w:tc>
        <w:tc>
          <w:tcPr>
            <w:tcW w:w="2891" w:type="dxa"/>
            <w:vAlign w:val="center"/>
          </w:tcPr>
          <w:p>
            <w:pPr>
              <w:pStyle w:val="13"/>
            </w:pPr>
            <w:r>
              <w:t>及时解决相关问题</w:t>
            </w:r>
          </w:p>
        </w:tc>
        <w:tc>
          <w:tcPr>
            <w:tcW w:w="1276" w:type="dxa"/>
            <w:vAlign w:val="center"/>
          </w:tcPr>
          <w:p>
            <w:pPr>
              <w:pStyle w:val="13"/>
            </w:pPr>
            <w:r>
              <w:t>≤100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持续维护系统正常运转</w:t>
            </w:r>
          </w:p>
        </w:tc>
        <w:tc>
          <w:tcPr>
            <w:tcW w:w="2891" w:type="dxa"/>
            <w:vAlign w:val="center"/>
          </w:tcPr>
          <w:p>
            <w:pPr>
              <w:pStyle w:val="13"/>
            </w:pPr>
            <w:r>
              <w:t>持续维护系统正常运转</w:t>
            </w:r>
          </w:p>
        </w:tc>
        <w:tc>
          <w:tcPr>
            <w:tcW w:w="1276" w:type="dxa"/>
            <w:vAlign w:val="center"/>
          </w:tcPr>
          <w:p>
            <w:pPr>
              <w:pStyle w:val="13"/>
            </w:pPr>
            <w:r>
              <w:t>≥90</w:t>
            </w:r>
          </w:p>
        </w:tc>
        <w:tc>
          <w:tcPr>
            <w:tcW w:w="1843"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≥90</w:t>
            </w:r>
          </w:p>
        </w:tc>
        <w:tc>
          <w:tcPr>
            <w:tcW w:w="1843" w:type="dxa"/>
            <w:vAlign w:val="center"/>
          </w:tcPr>
          <w:p>
            <w:pPr>
              <w:pStyle w:val="13"/>
            </w:pPr>
            <w:r>
              <w:t>工作计划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color w:val="000000"/>
          <w:sz w:val="28"/>
        </w:rPr>
        <w:t>6.专项补助绩效目标表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318001财政部门秦皇岛市山海关区财政局</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13030322P004103100019</w:t>
            </w:r>
          </w:p>
        </w:tc>
        <w:tc>
          <w:tcPr>
            <w:tcW w:w="1587" w:type="dxa"/>
            <w:vAlign w:val="center"/>
          </w:tcPr>
          <w:p>
            <w:pPr>
              <w:pStyle w:val="14"/>
            </w:pPr>
            <w:r>
              <w:t>项目名称</w:t>
            </w:r>
          </w:p>
        </w:tc>
        <w:tc>
          <w:tcPr>
            <w:tcW w:w="4422" w:type="dxa"/>
            <w:gridSpan w:val="3"/>
            <w:vAlign w:val="center"/>
          </w:tcPr>
          <w:p>
            <w:pPr>
              <w:pStyle w:val="13"/>
            </w:pPr>
            <w: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23.00</w:t>
            </w:r>
          </w:p>
        </w:tc>
        <w:tc>
          <w:tcPr>
            <w:tcW w:w="1587" w:type="dxa"/>
            <w:vAlign w:val="center"/>
          </w:tcPr>
          <w:p>
            <w:pPr>
              <w:pStyle w:val="14"/>
            </w:pPr>
            <w:r>
              <w:t>其中：财政    资金</w:t>
            </w:r>
          </w:p>
        </w:tc>
        <w:tc>
          <w:tcPr>
            <w:tcW w:w="1304" w:type="dxa"/>
            <w:vAlign w:val="center"/>
          </w:tcPr>
          <w:p>
            <w:pPr>
              <w:pStyle w:val="13"/>
            </w:pPr>
            <w:r>
              <w:t>23.00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1.专项补助</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支付工资及保险人员数量</w:t>
            </w:r>
          </w:p>
        </w:tc>
        <w:tc>
          <w:tcPr>
            <w:tcW w:w="2891" w:type="dxa"/>
            <w:vAlign w:val="center"/>
          </w:tcPr>
          <w:p>
            <w:pPr>
              <w:pStyle w:val="13"/>
            </w:pPr>
            <w:r>
              <w:t>支付工资及保险人员数量</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工资及保险发放准确率</w:t>
            </w:r>
          </w:p>
        </w:tc>
        <w:tc>
          <w:tcPr>
            <w:tcW w:w="2891" w:type="dxa"/>
            <w:vAlign w:val="center"/>
          </w:tcPr>
          <w:p>
            <w:pPr>
              <w:pStyle w:val="13"/>
            </w:pPr>
            <w:r>
              <w:t>工资及保险发放准确率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资金支付及时率</w:t>
            </w:r>
          </w:p>
        </w:tc>
        <w:tc>
          <w:tcPr>
            <w:tcW w:w="2891" w:type="dxa"/>
            <w:vAlign w:val="center"/>
          </w:tcPr>
          <w:p>
            <w:pPr>
              <w:pStyle w:val="13"/>
            </w:pPr>
            <w:r>
              <w:t>资金支付及时率</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控制在预算资金内</w:t>
            </w:r>
          </w:p>
        </w:tc>
        <w:tc>
          <w:tcPr>
            <w:tcW w:w="2891" w:type="dxa"/>
            <w:vAlign w:val="center"/>
          </w:tcPr>
          <w:p>
            <w:pPr>
              <w:pStyle w:val="13"/>
            </w:pPr>
            <w:r>
              <w:t>控制在预算资金内</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资金使用效益</w:t>
            </w:r>
          </w:p>
        </w:tc>
        <w:tc>
          <w:tcPr>
            <w:tcW w:w="2891" w:type="dxa"/>
            <w:vAlign w:val="center"/>
          </w:tcPr>
          <w:p>
            <w:pPr>
              <w:pStyle w:val="13"/>
            </w:pPr>
            <w:r>
              <w:t>资金支出情况</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业务工作稳定性</w:t>
            </w:r>
          </w:p>
        </w:tc>
        <w:tc>
          <w:tcPr>
            <w:tcW w:w="2891" w:type="dxa"/>
            <w:vAlign w:val="center"/>
          </w:tcPr>
          <w:p>
            <w:pPr>
              <w:pStyle w:val="13"/>
            </w:pPr>
            <w:r>
              <w:t>通过日常工作稳定运转</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保障社会发展</w:t>
            </w:r>
          </w:p>
        </w:tc>
        <w:tc>
          <w:tcPr>
            <w:tcW w:w="2891" w:type="dxa"/>
            <w:vAlign w:val="center"/>
          </w:tcPr>
          <w:p>
            <w:pPr>
              <w:pStyle w:val="13"/>
            </w:pPr>
            <w:r>
              <w:t>有效提供后勤保障</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保障工作完成</w:t>
            </w:r>
          </w:p>
        </w:tc>
        <w:tc>
          <w:tcPr>
            <w:tcW w:w="2891" w:type="dxa"/>
            <w:vAlign w:val="center"/>
          </w:tcPr>
          <w:p>
            <w:pPr>
              <w:pStyle w:val="13"/>
            </w:pPr>
            <w:r>
              <w:t>保障工作顺利完成</w:t>
            </w:r>
          </w:p>
        </w:tc>
        <w:tc>
          <w:tcPr>
            <w:tcW w:w="1276" w:type="dxa"/>
            <w:vAlign w:val="center"/>
          </w:tcPr>
          <w:p>
            <w:pPr>
              <w:pStyle w:val="13"/>
            </w:pPr>
            <w:r>
              <w:t>100</w:t>
            </w:r>
          </w:p>
        </w:tc>
        <w:tc>
          <w:tcPr>
            <w:tcW w:w="1843"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职工满意度</w:t>
            </w:r>
          </w:p>
        </w:tc>
        <w:tc>
          <w:tcPr>
            <w:tcW w:w="2891" w:type="dxa"/>
            <w:vAlign w:val="center"/>
          </w:tcPr>
          <w:p>
            <w:pPr>
              <w:pStyle w:val="13"/>
            </w:pPr>
            <w:r>
              <w:t>满意度人员占总职工人数</w:t>
            </w:r>
          </w:p>
        </w:tc>
        <w:tc>
          <w:tcPr>
            <w:tcW w:w="1276" w:type="dxa"/>
            <w:vAlign w:val="center"/>
          </w:tcPr>
          <w:p>
            <w:pPr>
              <w:pStyle w:val="13"/>
            </w:pPr>
            <w:r>
              <w:t>100</w:t>
            </w:r>
          </w:p>
        </w:tc>
        <w:tc>
          <w:tcPr>
            <w:tcW w:w="1843" w:type="dxa"/>
            <w:vAlign w:val="center"/>
          </w:tcPr>
          <w:p>
            <w:pPr>
              <w:pStyle w:val="13"/>
            </w:pPr>
            <w:r>
              <w:t>年度工作计划</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ZjM4MWRhMmFhMjQxODg2YjYzZTkzMWUwMDQ0ZTIifQ=="/>
  </w:docVars>
  <w:rsids>
    <w:rsidRoot w:val="00000000"/>
    <w:rsid w:val="0DBA76D8"/>
    <w:rsid w:val="1F5E7B07"/>
    <w:rsid w:val="2C7F4209"/>
    <w:rsid w:val="2F1145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2022-01-18T16:24:42Z</dcterms:created>
  <dcterms:modified xsi:type="dcterms:W3CDTF">2022-01-18T08:24:41Z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2022-01-18T16:24:42Z</dcterms:created>
  <dcterms:modified xsi:type="dcterms:W3CDTF">2022-01-18T08:24:42Z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2022-01-18T16:24:41Z</dcterms:created>
  <dcterms:modified xsi:type="dcterms:W3CDTF">2022-01-18T08:24:41Z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2022-01-18T16:24:41Z</dcterms:created>
  <dcterms:modified xsi:type="dcterms:W3CDTF">2022-01-18T08:24:41Z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2022-01-18T16:24:42Z</dcterms:created>
  <dcterms:modified xsi:type="dcterms:W3CDTF">2022-01-18T08:24:42Z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2022-01-18T16:24:41Z</dcterms:created>
  <dcterms:modified xsi:type="dcterms:W3CDTF">2022-01-18T08:24:41Z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2022-01-18T16:24:42Z</dcterms:created>
  <dcterms:modified xsi:type="dcterms:W3CDTF">2022-01-18T08:24:42Z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2022-01-18T16:24:42Z</dcterms:created>
  <dcterms:modified xsi:type="dcterms:W3CDTF">2022-01-18T08:24:42Z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f9504e4-168b-4628-98b6-fc0990622341}">
  <ds:schemaRefs/>
</ds:datastoreItem>
</file>

<file path=customXml/itemProps10.xml><?xml version="1.0" encoding="utf-8"?>
<ds:datastoreItem xmlns:ds="http://schemas.openxmlformats.org/officeDocument/2006/customXml" ds:itemID="{53a3cdd6-2546-4bde-a73d-a05ca1f90835}">
  <ds:schemaRefs/>
</ds:datastoreItem>
</file>

<file path=customXml/itemProps11.xml><?xml version="1.0" encoding="utf-8"?>
<ds:datastoreItem xmlns:ds="http://schemas.openxmlformats.org/officeDocument/2006/customXml" ds:itemID="{467055cc-b45e-4e50-a33c-7b752e41fcb2}">
  <ds:schemaRefs/>
</ds:datastoreItem>
</file>

<file path=customXml/itemProps12.xml><?xml version="1.0" encoding="utf-8"?>
<ds:datastoreItem xmlns:ds="http://schemas.openxmlformats.org/officeDocument/2006/customXml" ds:itemID="{c17f8cfa-6204-4cd0-8987-e2324a619e89}">
  <ds:schemaRefs/>
</ds:datastoreItem>
</file>

<file path=customXml/itemProps13.xml><?xml version="1.0" encoding="utf-8"?>
<ds:datastoreItem xmlns:ds="http://schemas.openxmlformats.org/officeDocument/2006/customXml" ds:itemID="{4ace9abb-b046-44b2-a83b-60958194313a}">
  <ds:schemaRefs/>
</ds:datastoreItem>
</file>

<file path=customXml/itemProps14.xml><?xml version="1.0" encoding="utf-8"?>
<ds:datastoreItem xmlns:ds="http://schemas.openxmlformats.org/officeDocument/2006/customXml" ds:itemID="{2cd08e97-8630-48bb-81f8-2c76d21c6319}">
  <ds:schemaRefs/>
</ds:datastoreItem>
</file>

<file path=customXml/itemProps15.xml><?xml version="1.0" encoding="utf-8"?>
<ds:datastoreItem xmlns:ds="http://schemas.openxmlformats.org/officeDocument/2006/customXml" ds:itemID="{7be56156-1878-445c-af59-c6cc95240b14}">
  <ds:schemaRefs/>
</ds:datastoreItem>
</file>

<file path=customXml/itemProps16.xml><?xml version="1.0" encoding="utf-8"?>
<ds:datastoreItem xmlns:ds="http://schemas.openxmlformats.org/officeDocument/2006/customXml" ds:itemID="{74206beb-a05a-4404-a35d-6e8990eddc1d}">
  <ds:schemaRefs/>
</ds:datastoreItem>
</file>

<file path=customXml/itemProps2.xml><?xml version="1.0" encoding="utf-8"?>
<ds:datastoreItem xmlns:ds="http://schemas.openxmlformats.org/officeDocument/2006/customXml" ds:itemID="{74fd94b7-941b-4d93-bb54-4b35d626448f}">
  <ds:schemaRefs/>
</ds:datastoreItem>
</file>

<file path=customXml/itemProps3.xml><?xml version="1.0" encoding="utf-8"?>
<ds:datastoreItem xmlns:ds="http://schemas.openxmlformats.org/officeDocument/2006/customXml" ds:itemID="{bee87988-1b88-418c-8622-a3306577c111}">
  <ds:schemaRefs/>
</ds:datastoreItem>
</file>

<file path=customXml/itemProps4.xml><?xml version="1.0" encoding="utf-8"?>
<ds:datastoreItem xmlns:ds="http://schemas.openxmlformats.org/officeDocument/2006/customXml" ds:itemID="{e6a0cb7c-2b99-4c9a-929a-bf7e4dcb8238}">
  <ds:schemaRefs/>
</ds:datastoreItem>
</file>

<file path=customXml/itemProps5.xml><?xml version="1.0" encoding="utf-8"?>
<ds:datastoreItem xmlns:ds="http://schemas.openxmlformats.org/officeDocument/2006/customXml" ds:itemID="{2bb84ebe-8ac3-4a66-8ed5-adaa60234d06}">
  <ds:schemaRefs/>
</ds:datastoreItem>
</file>

<file path=customXml/itemProps6.xml><?xml version="1.0" encoding="utf-8"?>
<ds:datastoreItem xmlns:ds="http://schemas.openxmlformats.org/officeDocument/2006/customXml" ds:itemID="{4f00bc78-583b-45f6-9419-6af8ebedd719}">
  <ds:schemaRefs/>
</ds:datastoreItem>
</file>

<file path=customXml/itemProps7.xml><?xml version="1.0" encoding="utf-8"?>
<ds:datastoreItem xmlns:ds="http://schemas.openxmlformats.org/officeDocument/2006/customXml" ds:itemID="{aa27e50e-f0e4-4572-9081-055143622fae}">
  <ds:schemaRefs/>
</ds:datastoreItem>
</file>

<file path=customXml/itemProps8.xml><?xml version="1.0" encoding="utf-8"?>
<ds:datastoreItem xmlns:ds="http://schemas.openxmlformats.org/officeDocument/2006/customXml" ds:itemID="{08993c4c-c17b-41f3-aa76-a84fc2fe2684}">
  <ds:schemaRefs/>
</ds:datastoreItem>
</file>

<file path=customXml/itemProps9.xml><?xml version="1.0" encoding="utf-8"?>
<ds:datastoreItem xmlns:ds="http://schemas.openxmlformats.org/officeDocument/2006/customXml" ds:itemID="{ee5521ee-86d9-4a9c-a959-f6bbbb1a7ca3}">
  <ds:schemaRefs/>
</ds:datastoreItem>
</file>

<file path=docProps/app.xml><?xml version="1.0" encoding="utf-8"?>
<Properties xmlns="http://schemas.openxmlformats.org/officeDocument/2006/extended-properties" xmlns:vt="http://schemas.openxmlformats.org/officeDocument/2006/docPropsVTypes">
  <TotalTime>23</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2022-01-18T16:24:00Z</dcterms:created>
  <dc:creator>Administrator</dc:creator>
  <cp:lastModifiedBy>柠檬水</cp:lastModifiedBy>
  <dcterms:modified xsi:type="dcterms:W3CDTF">2024-01-19T04:02:36Z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F51EFEDBB7E440F488E1C3E4D8B4D0F8_12</vt:lpwstr>
  </property>
</Properties>
</file>