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山海关区住房保障和房产管理局关于批复2020年单位预算及绩效文本的通知</w:t>
      </w:r>
    </w:p>
    <w:p>
      <w:pPr>
        <w:rPr>
          <w:rFonts w:hint="eastAsia"/>
          <w:sz w:val="30"/>
          <w:szCs w:val="30"/>
          <w:lang w:val="en-US" w:eastAsia="zh-CN"/>
        </w:rPr>
      </w:pPr>
      <w:r>
        <w:rPr>
          <w:rFonts w:hint="eastAsia"/>
          <w:sz w:val="30"/>
          <w:szCs w:val="30"/>
          <w:lang w:val="en-US" w:eastAsia="zh-CN"/>
        </w:rPr>
        <w:t>房产部门各单位：</w:t>
      </w:r>
    </w:p>
    <w:p>
      <w:pPr>
        <w:ind w:firstLine="600" w:firstLineChars="200"/>
        <w:rPr>
          <w:rFonts w:hint="eastAsia"/>
          <w:sz w:val="30"/>
          <w:szCs w:val="30"/>
          <w:lang w:val="en-US" w:eastAsia="zh-CN"/>
        </w:rPr>
      </w:pPr>
      <w:r>
        <w:rPr>
          <w:rFonts w:hint="eastAsia"/>
          <w:sz w:val="30"/>
          <w:szCs w:val="30"/>
          <w:lang w:val="en-US" w:eastAsia="zh-CN"/>
        </w:rPr>
        <w:t>2020年区级部门预算已经区十五届人大四次会议审议通过，现将你单位2020年单位预算及绩效文本（详见附件）予以批复，请认真遵照执行，并就做好2020年预算及绩效文本公开和执行工作提出如下要求：</w:t>
      </w:r>
    </w:p>
    <w:p>
      <w:pPr>
        <w:numPr>
          <w:numId w:val="0"/>
        </w:numPr>
        <w:ind w:firstLine="602" w:firstLineChars="200"/>
        <w:rPr>
          <w:rFonts w:hint="eastAsia"/>
          <w:b/>
          <w:bCs/>
          <w:sz w:val="30"/>
          <w:szCs w:val="30"/>
          <w:lang w:val="en-US" w:eastAsia="zh-CN"/>
        </w:rPr>
      </w:pPr>
      <w:r>
        <w:rPr>
          <w:rFonts w:hint="eastAsia"/>
          <w:b/>
          <w:bCs/>
          <w:sz w:val="30"/>
          <w:szCs w:val="30"/>
          <w:lang w:val="en-US" w:eastAsia="zh-CN"/>
        </w:rPr>
        <w:t>一、硬化预算约束，提升预算严肃性和约束力</w:t>
      </w:r>
    </w:p>
    <w:p>
      <w:pPr>
        <w:numPr>
          <w:numId w:val="0"/>
        </w:numPr>
        <w:ind w:firstLine="600" w:firstLineChars="200"/>
        <w:rPr>
          <w:rFonts w:hint="eastAsia"/>
          <w:sz w:val="30"/>
          <w:szCs w:val="30"/>
          <w:lang w:val="en-US" w:eastAsia="zh-CN"/>
        </w:rPr>
      </w:pPr>
      <w:r>
        <w:rPr>
          <w:rFonts w:hint="eastAsia"/>
          <w:sz w:val="30"/>
          <w:szCs w:val="30"/>
          <w:lang w:val="en-US" w:eastAsia="zh-CN"/>
        </w:rPr>
        <w:t>各单位要按照《预算法》要求，严格执行区十五届人大四次会议审议通过的年度预算及绩效，不得擅自改变预算支出用途、扩大支出范围、提高支出标准、修改绩效目标及指标。各单位的支出必须以经批准的预算为依据，未列入预算的不得支出。</w:t>
      </w:r>
    </w:p>
    <w:p>
      <w:pPr>
        <w:numPr>
          <w:numId w:val="0"/>
        </w:numPr>
        <w:ind w:firstLine="602" w:firstLineChars="200"/>
        <w:rPr>
          <w:rFonts w:hint="eastAsia"/>
          <w:b/>
          <w:bCs/>
          <w:sz w:val="30"/>
          <w:szCs w:val="30"/>
          <w:lang w:val="en-US" w:eastAsia="zh-CN"/>
        </w:rPr>
      </w:pPr>
      <w:r>
        <w:rPr>
          <w:rFonts w:hint="eastAsia"/>
          <w:b/>
          <w:bCs/>
          <w:sz w:val="30"/>
          <w:szCs w:val="30"/>
          <w:lang w:val="en-US" w:eastAsia="zh-CN"/>
        </w:rPr>
        <w:t>二、公开预算信息，保障公众知情权</w:t>
      </w:r>
    </w:p>
    <w:p>
      <w:pPr>
        <w:numPr>
          <w:numId w:val="0"/>
        </w:numPr>
        <w:ind w:leftChars="0" w:firstLine="600" w:firstLineChars="200"/>
        <w:rPr>
          <w:rFonts w:hint="eastAsia"/>
          <w:sz w:val="30"/>
          <w:szCs w:val="30"/>
          <w:lang w:val="en-US" w:eastAsia="zh-CN"/>
        </w:rPr>
      </w:pPr>
      <w:r>
        <w:rPr>
          <w:rFonts w:hint="eastAsia"/>
          <w:sz w:val="30"/>
          <w:szCs w:val="30"/>
          <w:lang w:val="en-US" w:eastAsia="zh-CN"/>
        </w:rPr>
        <w:t>按照《预算法》的有关要求，各单位应根据《河北省预决算公开操作规程实施细则》的要求，将本级财政部门批复的部门预算及绩效文本在批复后二十日内在政府门户网站和部门门户网站“预决算公开专栏”以规范格式同步向</w:t>
      </w:r>
      <w:bookmarkStart w:id="0" w:name="_GoBack"/>
      <w:bookmarkEnd w:id="0"/>
      <w:r>
        <w:rPr>
          <w:rFonts w:hint="eastAsia"/>
          <w:sz w:val="30"/>
          <w:szCs w:val="30"/>
          <w:lang w:val="en-US" w:eastAsia="zh-CN"/>
        </w:rPr>
        <w:t>社会公开（依法确认为国家秘密的信息除处）。同时各单位要密切关注社会反响，做好应对预案和宣传解释工作。</w:t>
      </w:r>
    </w:p>
    <w:p>
      <w:pPr>
        <w:numPr>
          <w:numId w:val="0"/>
        </w:numPr>
        <w:ind w:leftChars="0"/>
        <w:rPr>
          <w:rFonts w:hint="eastAsia"/>
          <w:sz w:val="30"/>
          <w:szCs w:val="30"/>
          <w:lang w:val="en-US" w:eastAsia="zh-CN"/>
        </w:rPr>
      </w:pPr>
    </w:p>
    <w:p>
      <w:pPr>
        <w:numPr>
          <w:numId w:val="0"/>
        </w:numPr>
        <w:ind w:leftChars="0"/>
        <w:rPr>
          <w:rFonts w:hint="eastAsia"/>
          <w:sz w:val="30"/>
          <w:szCs w:val="30"/>
          <w:lang w:val="en-US" w:eastAsia="zh-CN"/>
        </w:rPr>
      </w:pPr>
      <w:r>
        <w:rPr>
          <w:rFonts w:hint="eastAsia"/>
          <w:sz w:val="30"/>
          <w:szCs w:val="30"/>
          <w:lang w:val="en-US" w:eastAsia="zh-CN"/>
        </w:rPr>
        <w:t>附注：1、2020年单位预算</w:t>
      </w:r>
    </w:p>
    <w:p>
      <w:pPr>
        <w:numPr>
          <w:numId w:val="0"/>
        </w:numPr>
        <w:ind w:leftChars="0"/>
        <w:rPr>
          <w:rFonts w:hint="default"/>
          <w:sz w:val="30"/>
          <w:szCs w:val="30"/>
          <w:lang w:val="en-US" w:eastAsia="zh-CN"/>
        </w:rPr>
      </w:pPr>
      <w:r>
        <w:rPr>
          <w:rFonts w:hint="eastAsia"/>
          <w:sz w:val="30"/>
          <w:szCs w:val="30"/>
          <w:lang w:val="en-US" w:eastAsia="zh-CN"/>
        </w:rPr>
        <w:t xml:space="preserve">      2、2020单位预算绩效文本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3"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A4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2020-01-24T06:45:54Z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