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CD" w:rsidRDefault="00D938CD" w:rsidP="009831B5">
      <w:pPr>
        <w:spacing w:line="360" w:lineRule="auto"/>
        <w:jc w:val="center"/>
        <w:rPr>
          <w:b/>
          <w:sz w:val="52"/>
          <w:szCs w:val="52"/>
        </w:rPr>
      </w:pPr>
      <w:r>
        <w:rPr>
          <w:rFonts w:hint="eastAsia"/>
          <w:b/>
          <w:sz w:val="52"/>
          <w:szCs w:val="52"/>
        </w:rPr>
        <w:t>山海关区</w:t>
      </w:r>
      <w:r w:rsidR="00411F3A">
        <w:rPr>
          <w:rFonts w:hint="eastAsia"/>
          <w:b/>
          <w:sz w:val="52"/>
          <w:szCs w:val="52"/>
        </w:rPr>
        <w:t>市场监督</w:t>
      </w:r>
      <w:r>
        <w:rPr>
          <w:rFonts w:hint="eastAsia"/>
          <w:b/>
          <w:sz w:val="52"/>
          <w:szCs w:val="52"/>
        </w:rPr>
        <w:t>管理</w:t>
      </w:r>
      <w:r w:rsidR="00F775EC">
        <w:rPr>
          <w:rFonts w:hint="eastAsia"/>
          <w:b/>
          <w:sz w:val="52"/>
          <w:szCs w:val="52"/>
        </w:rPr>
        <w:t>部门</w:t>
      </w:r>
    </w:p>
    <w:p w:rsidR="00D82053" w:rsidRDefault="00F775EC" w:rsidP="009831B5">
      <w:pPr>
        <w:spacing w:line="360" w:lineRule="auto"/>
        <w:jc w:val="center"/>
        <w:rPr>
          <w:b/>
          <w:sz w:val="52"/>
          <w:szCs w:val="52"/>
        </w:rPr>
      </w:pPr>
      <w:r>
        <w:rPr>
          <w:rFonts w:hint="eastAsia"/>
          <w:b/>
          <w:sz w:val="52"/>
          <w:szCs w:val="52"/>
        </w:rPr>
        <w:t>201</w:t>
      </w:r>
      <w:r w:rsidR="008B6F03">
        <w:rPr>
          <w:rFonts w:hint="eastAsia"/>
          <w:b/>
          <w:sz w:val="52"/>
          <w:szCs w:val="52"/>
        </w:rPr>
        <w:t>7</w:t>
      </w:r>
      <w:r>
        <w:rPr>
          <w:rFonts w:hint="eastAsia"/>
          <w:b/>
          <w:sz w:val="52"/>
          <w:szCs w:val="52"/>
        </w:rPr>
        <w:t>年</w:t>
      </w:r>
      <w:r w:rsidR="00D938CD" w:rsidRPr="00D938CD">
        <w:rPr>
          <w:rFonts w:hint="eastAsia"/>
          <w:b/>
          <w:sz w:val="52"/>
          <w:szCs w:val="52"/>
        </w:rPr>
        <w:t>预算公开</w:t>
      </w:r>
      <w:r>
        <w:rPr>
          <w:rFonts w:hint="eastAsia"/>
          <w:b/>
          <w:sz w:val="52"/>
          <w:szCs w:val="52"/>
        </w:rPr>
        <w:t>信息</w:t>
      </w:r>
    </w:p>
    <w:p w:rsidR="00D938CD" w:rsidRPr="00D938CD" w:rsidRDefault="00D938CD" w:rsidP="009831B5">
      <w:pPr>
        <w:spacing w:line="360" w:lineRule="auto"/>
        <w:jc w:val="left"/>
        <w:rPr>
          <w:b/>
          <w:sz w:val="28"/>
          <w:szCs w:val="28"/>
        </w:rPr>
      </w:pPr>
      <w:r w:rsidRPr="00D938CD">
        <w:rPr>
          <w:rFonts w:hint="eastAsia"/>
          <w:b/>
          <w:sz w:val="28"/>
          <w:szCs w:val="28"/>
        </w:rPr>
        <w:t>1.</w:t>
      </w:r>
      <w:r w:rsidRPr="00D938CD">
        <w:rPr>
          <w:rFonts w:hint="eastAsia"/>
          <w:b/>
          <w:sz w:val="28"/>
          <w:szCs w:val="28"/>
        </w:rPr>
        <w:t>部门职责、机构设置基本情况</w:t>
      </w:r>
    </w:p>
    <w:p w:rsidR="00D938CD" w:rsidRPr="00D938CD" w:rsidRDefault="00D938CD" w:rsidP="009831B5">
      <w:pPr>
        <w:spacing w:line="360" w:lineRule="auto"/>
        <w:jc w:val="left"/>
        <w:rPr>
          <w:b/>
          <w:sz w:val="28"/>
          <w:szCs w:val="28"/>
        </w:rPr>
      </w:pPr>
      <w:r w:rsidRPr="00D938CD">
        <w:rPr>
          <w:rFonts w:hint="eastAsia"/>
          <w:b/>
          <w:sz w:val="28"/>
          <w:szCs w:val="28"/>
        </w:rPr>
        <w:t>（</w:t>
      </w:r>
      <w:r w:rsidRPr="00D938CD">
        <w:rPr>
          <w:rFonts w:hint="eastAsia"/>
          <w:b/>
          <w:sz w:val="28"/>
          <w:szCs w:val="28"/>
        </w:rPr>
        <w:t>1</w:t>
      </w:r>
      <w:r w:rsidRPr="00D938CD">
        <w:rPr>
          <w:rFonts w:hint="eastAsia"/>
          <w:b/>
          <w:sz w:val="28"/>
          <w:szCs w:val="28"/>
        </w:rPr>
        <w:t>）部门职责</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负责宣传、贯彻、执行有关工商行政管理工作的法律、法规及规章。依法负责全区各类市场监督管理和行政执法工作。</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依法组织全区各类市场主体的登记注册和监督管理，依法查处取缔无照经营行为。依法负责全区工商行政管理方面的行政许可，承担上级机关下放和委托事项。</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依法规范和维护全区各类市场的经营秩序，监督管理市场交易行为和网络商品交易及有关服务的行为。根据授权依法负责垄断协议、滥用市场支配地位、滥用行政权力排除限制竞争方面的反垄断执法工作（价格垄断行为除外）。依法查处不正当竞争、商业贿赂等经济违法行为。依法打击传销规范直销工作。</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组织开展全区商品和相关服务领域消费维权工作，负责查处侵害消费者权益、制售假冒伪劣产品等违法行为，依法处置产品质量投诉举报，承担消费者咨询、投诉、举报的受理处理和网络体系建设等工作。承担消费教育引导，推动经营者自律。</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依法实施全区合同的行政监督管理，负责管理动产抵押物登记，监督管理拍卖行为，依法查处合同欺诈等违法行为。依法监督管理经纪人、经纪机构及经纪活动。</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lastRenderedPageBreak/>
        <w:t>组织推动商标和名牌产品工作，监督管理商标的印制和使用，依法保护商标专用权和查处商标侵权行为，负责驰名商标、著名商标、知名商标的培育推荐保护和特殊标志、官方标志的保护工作。指导广告业发展，负责广告活动的监督管理工作。</w:t>
      </w:r>
    </w:p>
    <w:p w:rsid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加强全区各类市场主体诚信体系建设，指导全区企业、个体工商户、商品交易市场的信用分类管理，落实企业信用信息公示制度。</w:t>
      </w:r>
    </w:p>
    <w:p w:rsidR="00E31F2A" w:rsidRPr="00E31F2A" w:rsidRDefault="00E31F2A" w:rsidP="00E31F2A">
      <w:pPr>
        <w:pStyle w:val="a5"/>
        <w:numPr>
          <w:ilvl w:val="0"/>
          <w:numId w:val="1"/>
        </w:numPr>
        <w:spacing w:line="360" w:lineRule="auto"/>
        <w:ind w:leftChars="-1" w:left="424" w:hangingChars="152" w:hanging="426"/>
        <w:jc w:val="left"/>
        <w:rPr>
          <w:sz w:val="28"/>
          <w:szCs w:val="28"/>
        </w:rPr>
      </w:pPr>
      <w:r w:rsidRPr="00E31F2A">
        <w:rPr>
          <w:rFonts w:hint="eastAsia"/>
          <w:sz w:val="28"/>
          <w:szCs w:val="28"/>
        </w:rPr>
        <w:t>负责拟订提高全区质量水平的发展规划及政策措施并组织实施，负责与质量技术监督有关的技术规范工作。组织有关科研和技术引进工作。</w:t>
      </w:r>
    </w:p>
    <w:p w:rsidR="00E31F2A" w:rsidRPr="00E31F2A" w:rsidRDefault="00E31F2A" w:rsidP="00E31F2A">
      <w:pPr>
        <w:pStyle w:val="a5"/>
        <w:numPr>
          <w:ilvl w:val="0"/>
          <w:numId w:val="1"/>
        </w:numPr>
        <w:spacing w:line="360" w:lineRule="auto"/>
        <w:ind w:leftChars="-1" w:left="424" w:hangingChars="152" w:hanging="426"/>
        <w:jc w:val="left"/>
        <w:rPr>
          <w:sz w:val="28"/>
          <w:szCs w:val="28"/>
        </w:rPr>
      </w:pPr>
      <w:r w:rsidRPr="00E31F2A">
        <w:rPr>
          <w:rFonts w:hint="eastAsia"/>
          <w:sz w:val="28"/>
          <w:szCs w:val="28"/>
        </w:rPr>
        <w:t>负责全区质量宏观管理工作，拟订并组织实施当地质量发展规划，推进名牌发展战略，承担全区产品质量诚信体系建设工作，会同有关部门组织实施重大工程设备质量监理制度，组织重大产品质量事故调查，实施缺陷产品和不安全食品召回制度，监督管理产品防伪工作。</w:t>
      </w:r>
    </w:p>
    <w:p w:rsidR="00E31F2A" w:rsidRPr="00E31F2A" w:rsidRDefault="00E31F2A" w:rsidP="00E31F2A">
      <w:pPr>
        <w:pStyle w:val="a5"/>
        <w:numPr>
          <w:ilvl w:val="0"/>
          <w:numId w:val="1"/>
        </w:numPr>
        <w:spacing w:line="360" w:lineRule="auto"/>
        <w:ind w:leftChars="-1" w:left="424" w:hangingChars="152" w:hanging="426"/>
        <w:jc w:val="left"/>
        <w:rPr>
          <w:sz w:val="28"/>
          <w:szCs w:val="28"/>
        </w:rPr>
      </w:pPr>
      <w:r w:rsidRPr="00E31F2A">
        <w:rPr>
          <w:rFonts w:hint="eastAsia"/>
          <w:sz w:val="28"/>
          <w:szCs w:val="28"/>
        </w:rPr>
        <w:t>负责本辖区产品质量监督工作，组织开展辖区内产品质量安全强制检验、监督抽查等工作，负责辖区内工业产品生产许可证管理工作，监督管理产品质量仲裁检验、鉴定，组织开展产品质量安全专项整治工作，依法查处产品质量违法行为。</w:t>
      </w:r>
    </w:p>
    <w:p w:rsidR="00E31F2A" w:rsidRPr="00E31F2A" w:rsidRDefault="00E31F2A" w:rsidP="00E31F2A">
      <w:pPr>
        <w:pStyle w:val="a5"/>
        <w:numPr>
          <w:ilvl w:val="0"/>
          <w:numId w:val="1"/>
        </w:numPr>
        <w:spacing w:line="360" w:lineRule="auto"/>
        <w:ind w:leftChars="-1" w:left="424" w:hangingChars="152" w:hanging="426"/>
        <w:jc w:val="left"/>
        <w:rPr>
          <w:sz w:val="28"/>
          <w:szCs w:val="28"/>
        </w:rPr>
      </w:pPr>
      <w:r w:rsidRPr="00E31F2A">
        <w:rPr>
          <w:rFonts w:hint="eastAsia"/>
          <w:sz w:val="28"/>
          <w:szCs w:val="28"/>
        </w:rPr>
        <w:t>统一监督管理本辖区标准化工作，贯彻有关标准化工作的法律、法规、方针、政策，并</w:t>
      </w:r>
      <w:r w:rsidR="006851FB">
        <w:rPr>
          <w:rFonts w:hint="eastAsia"/>
          <w:sz w:val="28"/>
          <w:szCs w:val="28"/>
        </w:rPr>
        <w:t>制订</w:t>
      </w:r>
      <w:r w:rsidRPr="00E31F2A">
        <w:rPr>
          <w:rFonts w:hint="eastAsia"/>
          <w:sz w:val="28"/>
          <w:szCs w:val="28"/>
        </w:rPr>
        <w:t>本辖区的具体实施办法；指导本辖区有关行政主管部门的标准化工作；在本辖区内组织实施标准，并进行监督；管理企业产品标准备案，监督企业按标准组织生产；</w:t>
      </w:r>
      <w:r w:rsidRPr="00E31F2A">
        <w:rPr>
          <w:rFonts w:hint="eastAsia"/>
          <w:sz w:val="28"/>
          <w:szCs w:val="28"/>
        </w:rPr>
        <w:lastRenderedPageBreak/>
        <w:t>管理辖区内组织机构代码和商品条码工作。</w:t>
      </w:r>
    </w:p>
    <w:p w:rsidR="00E31F2A" w:rsidRPr="00E31F2A" w:rsidRDefault="00E31F2A" w:rsidP="00E31F2A">
      <w:pPr>
        <w:pStyle w:val="a5"/>
        <w:numPr>
          <w:ilvl w:val="0"/>
          <w:numId w:val="1"/>
        </w:numPr>
        <w:spacing w:line="360" w:lineRule="auto"/>
        <w:ind w:leftChars="-1" w:left="424" w:hangingChars="152" w:hanging="426"/>
        <w:jc w:val="left"/>
        <w:rPr>
          <w:sz w:val="28"/>
          <w:szCs w:val="28"/>
        </w:rPr>
      </w:pPr>
      <w:r w:rsidRPr="00E31F2A">
        <w:rPr>
          <w:rFonts w:hint="eastAsia"/>
          <w:sz w:val="28"/>
          <w:szCs w:val="28"/>
        </w:rPr>
        <w:t>负责统一管理本辖区计量工作，推行法定计量单位和国家计量制度，建立和管理社会公用计量标准，依法管理计量器具，组织本地量值传递和比对工作，监督管理商品量、市场计量行为和计量仲裁检定。</w:t>
      </w:r>
    </w:p>
    <w:p w:rsidR="00E31F2A" w:rsidRPr="00E31F2A" w:rsidRDefault="00E31F2A" w:rsidP="00E31F2A">
      <w:pPr>
        <w:pStyle w:val="a5"/>
        <w:numPr>
          <w:ilvl w:val="0"/>
          <w:numId w:val="1"/>
        </w:numPr>
        <w:spacing w:line="360" w:lineRule="auto"/>
        <w:ind w:leftChars="-1" w:left="424" w:hangingChars="152" w:hanging="426"/>
        <w:jc w:val="left"/>
        <w:rPr>
          <w:sz w:val="28"/>
          <w:szCs w:val="28"/>
        </w:rPr>
      </w:pPr>
      <w:r w:rsidRPr="00E31F2A">
        <w:rPr>
          <w:rFonts w:hint="eastAsia"/>
          <w:sz w:val="28"/>
          <w:szCs w:val="28"/>
        </w:rPr>
        <w:t>负责统一监督管理和协调本辖区认证认可工作，依法对辖区内实验室和检查机构进行监督管理，对认证认可相关的社会中介服务机构进行监督管理，协调和监督强制性认证和自愿性认证工作，引导企业按国际惯例进行各种认证。</w:t>
      </w:r>
    </w:p>
    <w:p w:rsidR="00E31F2A" w:rsidRPr="00D938CD" w:rsidRDefault="00E31F2A" w:rsidP="00E31F2A">
      <w:pPr>
        <w:pStyle w:val="a5"/>
        <w:numPr>
          <w:ilvl w:val="0"/>
          <w:numId w:val="1"/>
        </w:numPr>
        <w:spacing w:line="360" w:lineRule="auto"/>
        <w:ind w:firstLineChars="0"/>
        <w:jc w:val="left"/>
        <w:rPr>
          <w:sz w:val="28"/>
          <w:szCs w:val="28"/>
        </w:rPr>
      </w:pPr>
      <w:r w:rsidRPr="00E31F2A">
        <w:rPr>
          <w:rFonts w:hint="eastAsia"/>
          <w:sz w:val="28"/>
          <w:szCs w:val="28"/>
        </w:rPr>
        <w:t>承担综合管理本辖区特种设备安全监察、监督工作的责任，监督检查高耗能特种设备节能标准的执行情况。</w:t>
      </w:r>
    </w:p>
    <w:p w:rsidR="00D938CD" w:rsidRP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负责个体工商户、私营企业经营行为的服务和监督管理。组织指导消费者协会、私营企业协会、个体劳动者协会、民用品维修行业协会等有关社团的工作。</w:t>
      </w:r>
    </w:p>
    <w:p w:rsidR="00D938CD" w:rsidRDefault="00D938CD" w:rsidP="009831B5">
      <w:pPr>
        <w:pStyle w:val="a5"/>
        <w:numPr>
          <w:ilvl w:val="0"/>
          <w:numId w:val="1"/>
        </w:numPr>
        <w:spacing w:line="360" w:lineRule="auto"/>
        <w:ind w:firstLineChars="0"/>
        <w:jc w:val="left"/>
        <w:rPr>
          <w:sz w:val="28"/>
          <w:szCs w:val="28"/>
        </w:rPr>
      </w:pPr>
      <w:r w:rsidRPr="00D938CD">
        <w:rPr>
          <w:rFonts w:hint="eastAsia"/>
          <w:sz w:val="28"/>
          <w:szCs w:val="28"/>
        </w:rPr>
        <w:t>承办上级主管部门、区委、区政府交办的其他事项。</w:t>
      </w:r>
    </w:p>
    <w:p w:rsidR="00D938CD" w:rsidRDefault="00D938CD" w:rsidP="009831B5">
      <w:pPr>
        <w:pStyle w:val="a5"/>
        <w:spacing w:line="360" w:lineRule="auto"/>
        <w:ind w:left="420" w:firstLineChars="0" w:firstLine="0"/>
        <w:jc w:val="left"/>
        <w:rPr>
          <w:sz w:val="28"/>
          <w:szCs w:val="28"/>
        </w:rPr>
      </w:pPr>
    </w:p>
    <w:p w:rsidR="00D938CD" w:rsidRPr="00D938CD" w:rsidRDefault="00D938CD" w:rsidP="009831B5">
      <w:pPr>
        <w:pStyle w:val="a5"/>
        <w:spacing w:line="360" w:lineRule="auto"/>
        <w:ind w:firstLineChars="0" w:firstLine="0"/>
        <w:jc w:val="left"/>
        <w:rPr>
          <w:b/>
          <w:sz w:val="28"/>
          <w:szCs w:val="28"/>
        </w:rPr>
      </w:pPr>
      <w:r w:rsidRPr="00D938CD">
        <w:rPr>
          <w:rFonts w:hint="eastAsia"/>
          <w:b/>
          <w:sz w:val="28"/>
          <w:szCs w:val="28"/>
        </w:rPr>
        <w:t>（</w:t>
      </w:r>
      <w:r w:rsidRPr="00D938CD">
        <w:rPr>
          <w:rFonts w:hint="eastAsia"/>
          <w:b/>
          <w:sz w:val="28"/>
          <w:szCs w:val="28"/>
        </w:rPr>
        <w:t>2</w:t>
      </w:r>
      <w:r w:rsidRPr="00D938CD">
        <w:rPr>
          <w:rFonts w:hint="eastAsia"/>
          <w:b/>
          <w:sz w:val="28"/>
          <w:szCs w:val="28"/>
        </w:rPr>
        <w:t>）机构设置</w:t>
      </w:r>
    </w:p>
    <w:p w:rsidR="00D938CD" w:rsidRDefault="00D938CD" w:rsidP="009831B5">
      <w:pPr>
        <w:pStyle w:val="a5"/>
        <w:spacing w:line="360" w:lineRule="auto"/>
        <w:ind w:firstLineChars="0" w:firstLine="0"/>
        <w:jc w:val="left"/>
        <w:rPr>
          <w:sz w:val="28"/>
          <w:szCs w:val="28"/>
        </w:rPr>
      </w:pPr>
      <w:r>
        <w:rPr>
          <w:rFonts w:hint="eastAsia"/>
          <w:sz w:val="28"/>
          <w:szCs w:val="28"/>
        </w:rPr>
        <w:t xml:space="preserve">    </w:t>
      </w:r>
      <w:r w:rsidRPr="00D938CD">
        <w:rPr>
          <w:rFonts w:hint="eastAsia"/>
          <w:sz w:val="28"/>
          <w:szCs w:val="28"/>
        </w:rPr>
        <w:t>我单位独立编制机构数</w:t>
      </w:r>
      <w:r w:rsidRPr="00D938CD">
        <w:rPr>
          <w:rFonts w:hint="eastAsia"/>
          <w:sz w:val="28"/>
          <w:szCs w:val="28"/>
        </w:rPr>
        <w:t>1</w:t>
      </w:r>
      <w:r w:rsidRPr="00D938CD">
        <w:rPr>
          <w:rFonts w:hint="eastAsia"/>
          <w:sz w:val="28"/>
          <w:szCs w:val="28"/>
        </w:rPr>
        <w:t>个，独立核算机构数</w:t>
      </w:r>
      <w:r w:rsidRPr="00D938CD">
        <w:rPr>
          <w:rFonts w:hint="eastAsia"/>
          <w:sz w:val="28"/>
          <w:szCs w:val="28"/>
        </w:rPr>
        <w:t>1</w:t>
      </w:r>
      <w:r w:rsidRPr="00D938CD">
        <w:rPr>
          <w:rFonts w:hint="eastAsia"/>
          <w:sz w:val="28"/>
          <w:szCs w:val="28"/>
        </w:rPr>
        <w:t>个。</w:t>
      </w: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781F46" w:rsidRPr="00A71767" w:rsidRDefault="00D72B82" w:rsidP="009831B5">
      <w:pPr>
        <w:pStyle w:val="a5"/>
        <w:spacing w:line="360" w:lineRule="auto"/>
        <w:ind w:firstLineChars="0" w:firstLine="0"/>
        <w:jc w:val="left"/>
        <w:rPr>
          <w:b/>
          <w:sz w:val="28"/>
          <w:szCs w:val="28"/>
        </w:rPr>
      </w:pPr>
      <w:r>
        <w:rPr>
          <w:rFonts w:hint="eastAsia"/>
          <w:b/>
          <w:sz w:val="28"/>
          <w:szCs w:val="28"/>
        </w:rPr>
        <w:lastRenderedPageBreak/>
        <w:t>2</w:t>
      </w:r>
      <w:r w:rsidR="00A71767" w:rsidRPr="00A71767">
        <w:rPr>
          <w:rFonts w:hint="eastAsia"/>
          <w:b/>
          <w:sz w:val="28"/>
          <w:szCs w:val="28"/>
        </w:rPr>
        <w:t>.</w:t>
      </w:r>
      <w:r w:rsidR="00A71767" w:rsidRPr="00A71767">
        <w:rPr>
          <w:rFonts w:hint="eastAsia"/>
          <w:b/>
          <w:sz w:val="28"/>
          <w:szCs w:val="28"/>
        </w:rPr>
        <w:t>收支总体情况表</w:t>
      </w:r>
    </w:p>
    <w:tbl>
      <w:tblPr>
        <w:tblW w:w="5000" w:type="pct"/>
        <w:tblLook w:val="04A0"/>
      </w:tblPr>
      <w:tblGrid>
        <w:gridCol w:w="83"/>
        <w:gridCol w:w="741"/>
        <w:gridCol w:w="2353"/>
        <w:gridCol w:w="330"/>
        <w:gridCol w:w="628"/>
        <w:gridCol w:w="218"/>
        <w:gridCol w:w="2688"/>
        <w:gridCol w:w="191"/>
        <w:gridCol w:w="1148"/>
        <w:gridCol w:w="142"/>
      </w:tblGrid>
      <w:tr w:rsidR="0002590F" w:rsidRPr="0002590F" w:rsidTr="00300E9A">
        <w:trPr>
          <w:gridAfter w:val="1"/>
          <w:wAfter w:w="84" w:type="pct"/>
          <w:trHeight w:val="312"/>
        </w:trPr>
        <w:tc>
          <w:tcPr>
            <w:tcW w:w="1868" w:type="pct"/>
            <w:gridSpan w:val="3"/>
            <w:tcBorders>
              <w:top w:val="nil"/>
              <w:left w:val="nil"/>
              <w:bottom w:val="nil"/>
              <w:right w:val="nil"/>
            </w:tcBorders>
            <w:shd w:val="clear" w:color="auto" w:fill="auto"/>
            <w:noWrap/>
            <w:vAlign w:val="center"/>
            <w:hideMark/>
          </w:tcPr>
          <w:p w:rsidR="0002590F" w:rsidRPr="0002590F" w:rsidRDefault="0002590F" w:rsidP="0002590F">
            <w:pPr>
              <w:widowControl/>
              <w:jc w:val="left"/>
              <w:rPr>
                <w:rFonts w:ascii="Times New Roman" w:eastAsia="宋体" w:hAnsi="Times New Roman" w:cs="Times New Roman"/>
                <w:kern w:val="0"/>
                <w:sz w:val="22"/>
              </w:rPr>
            </w:pPr>
            <w:r w:rsidRPr="0002590F">
              <w:rPr>
                <w:rFonts w:ascii="黑体" w:eastAsia="黑体" w:hAnsi="黑体" w:cs="Times New Roman" w:hint="eastAsia"/>
                <w:kern w:val="0"/>
                <w:sz w:val="22"/>
              </w:rPr>
              <w:t>附表</w:t>
            </w:r>
            <w:r w:rsidRPr="0002590F">
              <w:rPr>
                <w:rFonts w:ascii="Times New Roman" w:eastAsia="宋体" w:hAnsi="Times New Roman" w:cs="Times New Roman"/>
                <w:kern w:val="0"/>
                <w:sz w:val="22"/>
              </w:rPr>
              <w:t>3-1</w:t>
            </w:r>
          </w:p>
        </w:tc>
        <w:tc>
          <w:tcPr>
            <w:tcW w:w="557" w:type="pct"/>
            <w:gridSpan w:val="2"/>
            <w:tcBorders>
              <w:top w:val="nil"/>
              <w:left w:val="nil"/>
              <w:bottom w:val="nil"/>
              <w:right w:val="nil"/>
            </w:tcBorders>
            <w:shd w:val="clear" w:color="auto" w:fill="auto"/>
            <w:noWrap/>
            <w:vAlign w:val="center"/>
            <w:hideMark/>
          </w:tcPr>
          <w:p w:rsidR="0002590F" w:rsidRPr="0002590F" w:rsidRDefault="0002590F" w:rsidP="0002590F">
            <w:pPr>
              <w:widowControl/>
              <w:jc w:val="right"/>
              <w:rPr>
                <w:rFonts w:ascii="Times New Roman" w:eastAsia="宋体" w:hAnsi="Times New Roman" w:cs="Times New Roman"/>
                <w:kern w:val="0"/>
                <w:sz w:val="24"/>
                <w:szCs w:val="24"/>
              </w:rPr>
            </w:pPr>
          </w:p>
        </w:tc>
        <w:tc>
          <w:tcPr>
            <w:tcW w:w="1817" w:type="pct"/>
            <w:gridSpan w:val="3"/>
            <w:tcBorders>
              <w:top w:val="nil"/>
              <w:left w:val="nil"/>
              <w:bottom w:val="nil"/>
              <w:right w:val="nil"/>
            </w:tcBorders>
            <w:shd w:val="clear" w:color="auto" w:fill="auto"/>
            <w:noWrap/>
            <w:vAlign w:val="center"/>
            <w:hideMark/>
          </w:tcPr>
          <w:p w:rsidR="0002590F" w:rsidRPr="0002590F" w:rsidRDefault="0002590F" w:rsidP="0002590F">
            <w:pPr>
              <w:widowControl/>
              <w:jc w:val="right"/>
              <w:rPr>
                <w:rFonts w:ascii="Times New Roman" w:eastAsia="宋体" w:hAnsi="Times New Roman" w:cs="Times New Roman"/>
                <w:kern w:val="0"/>
                <w:sz w:val="24"/>
                <w:szCs w:val="24"/>
              </w:rPr>
            </w:pPr>
          </w:p>
        </w:tc>
        <w:tc>
          <w:tcPr>
            <w:tcW w:w="674" w:type="pct"/>
            <w:tcBorders>
              <w:top w:val="nil"/>
              <w:left w:val="nil"/>
              <w:bottom w:val="nil"/>
              <w:right w:val="nil"/>
            </w:tcBorders>
            <w:shd w:val="clear" w:color="auto" w:fill="auto"/>
            <w:noWrap/>
            <w:vAlign w:val="center"/>
            <w:hideMark/>
          </w:tcPr>
          <w:p w:rsidR="0002590F" w:rsidRPr="0002590F" w:rsidRDefault="0002590F" w:rsidP="0002590F">
            <w:pPr>
              <w:widowControl/>
              <w:jc w:val="right"/>
              <w:rPr>
                <w:rFonts w:ascii="Times New Roman" w:eastAsia="宋体" w:hAnsi="Times New Roman" w:cs="Times New Roman"/>
                <w:kern w:val="0"/>
                <w:sz w:val="24"/>
                <w:szCs w:val="24"/>
              </w:rPr>
            </w:pPr>
          </w:p>
        </w:tc>
      </w:tr>
      <w:tr w:rsidR="00300E9A" w:rsidRPr="00300E9A" w:rsidTr="00300E9A">
        <w:trPr>
          <w:gridBefore w:val="1"/>
          <w:wBefore w:w="50" w:type="pct"/>
          <w:trHeight w:val="750"/>
        </w:trPr>
        <w:tc>
          <w:tcPr>
            <w:tcW w:w="4950" w:type="pct"/>
            <w:gridSpan w:val="9"/>
            <w:tcBorders>
              <w:top w:val="nil"/>
              <w:left w:val="nil"/>
              <w:bottom w:val="nil"/>
              <w:right w:val="nil"/>
            </w:tcBorders>
            <w:shd w:val="clear" w:color="auto" w:fill="auto"/>
            <w:vAlign w:val="center"/>
            <w:hideMark/>
          </w:tcPr>
          <w:p w:rsidR="00300E9A" w:rsidRPr="00300E9A" w:rsidRDefault="00300E9A" w:rsidP="00300E9A">
            <w:pPr>
              <w:widowControl/>
              <w:jc w:val="center"/>
              <w:rPr>
                <w:rFonts w:ascii="宋体" w:eastAsia="宋体" w:hAnsi="宋体" w:cs="宋体"/>
                <w:b/>
                <w:bCs/>
                <w:kern w:val="0"/>
                <w:sz w:val="44"/>
                <w:szCs w:val="44"/>
              </w:rPr>
            </w:pPr>
            <w:r w:rsidRPr="00300E9A">
              <w:rPr>
                <w:rFonts w:ascii="宋体" w:eastAsia="宋体" w:hAnsi="宋体" w:cs="宋体" w:hint="eastAsia"/>
                <w:b/>
                <w:bCs/>
                <w:kern w:val="0"/>
                <w:sz w:val="44"/>
                <w:szCs w:val="44"/>
              </w:rPr>
              <w:t>部门预算收支总表</w:t>
            </w:r>
          </w:p>
        </w:tc>
      </w:tr>
      <w:tr w:rsidR="00300E9A" w:rsidRPr="00300E9A" w:rsidTr="00300E9A">
        <w:trPr>
          <w:gridBefore w:val="1"/>
          <w:wBefore w:w="50" w:type="pct"/>
          <w:trHeight w:val="300"/>
        </w:trPr>
        <w:tc>
          <w:tcPr>
            <w:tcW w:w="2501" w:type="pct"/>
            <w:gridSpan w:val="5"/>
            <w:tcBorders>
              <w:top w:val="nil"/>
              <w:left w:val="nil"/>
              <w:bottom w:val="nil"/>
              <w:right w:val="nil"/>
            </w:tcBorders>
            <w:shd w:val="clear" w:color="auto" w:fill="auto"/>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部门编码及名称：[414]市场监督管理部门</w:t>
            </w:r>
          </w:p>
        </w:tc>
        <w:tc>
          <w:tcPr>
            <w:tcW w:w="1578" w:type="pct"/>
            <w:tcBorders>
              <w:top w:val="nil"/>
              <w:left w:val="nil"/>
              <w:bottom w:val="nil"/>
              <w:right w:val="nil"/>
            </w:tcBorders>
            <w:shd w:val="clear" w:color="auto" w:fill="auto"/>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预算年度：2017</w:t>
            </w:r>
          </w:p>
        </w:tc>
        <w:tc>
          <w:tcPr>
            <w:tcW w:w="871" w:type="pct"/>
            <w:gridSpan w:val="3"/>
            <w:tcBorders>
              <w:top w:val="nil"/>
              <w:left w:val="nil"/>
              <w:bottom w:val="nil"/>
              <w:right w:val="nil"/>
            </w:tcBorders>
            <w:shd w:val="clear" w:color="auto" w:fill="auto"/>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金额单位：万元</w:t>
            </w:r>
          </w:p>
        </w:tc>
      </w:tr>
      <w:tr w:rsidR="00300E9A" w:rsidRPr="00300E9A" w:rsidTr="00300E9A">
        <w:trPr>
          <w:gridBefore w:val="1"/>
          <w:wBefore w:w="50" w:type="pct"/>
          <w:trHeight w:val="300"/>
        </w:trPr>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序号</w:t>
            </w:r>
          </w:p>
        </w:tc>
        <w:tc>
          <w:tcPr>
            <w:tcW w:w="2065" w:type="pct"/>
            <w:gridSpan w:val="4"/>
            <w:tcBorders>
              <w:top w:val="single" w:sz="4" w:space="0" w:color="auto"/>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收入</w:t>
            </w:r>
          </w:p>
        </w:tc>
        <w:tc>
          <w:tcPr>
            <w:tcW w:w="2450" w:type="pct"/>
            <w:gridSpan w:val="4"/>
            <w:tcBorders>
              <w:top w:val="single" w:sz="4" w:space="0" w:color="auto"/>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支出</w:t>
            </w:r>
          </w:p>
        </w:tc>
      </w:tr>
      <w:tr w:rsidR="00300E9A" w:rsidRPr="00300E9A" w:rsidTr="00300E9A">
        <w:trPr>
          <w:gridBefore w:val="1"/>
          <w:wBefore w:w="50" w:type="pct"/>
          <w:trHeight w:val="300"/>
        </w:trPr>
        <w:tc>
          <w:tcPr>
            <w:tcW w:w="436" w:type="pct"/>
            <w:vMerge/>
            <w:tcBorders>
              <w:top w:val="single" w:sz="4" w:space="0" w:color="auto"/>
              <w:left w:val="single" w:sz="4" w:space="0" w:color="auto"/>
              <w:bottom w:val="single" w:sz="4" w:space="0" w:color="auto"/>
              <w:right w:val="single" w:sz="4" w:space="0" w:color="auto"/>
            </w:tcBorders>
            <w:vAlign w:val="center"/>
            <w:hideMark/>
          </w:tcPr>
          <w:p w:rsidR="00300E9A" w:rsidRPr="00300E9A" w:rsidRDefault="00300E9A" w:rsidP="00300E9A">
            <w:pPr>
              <w:widowControl/>
              <w:jc w:val="left"/>
              <w:rPr>
                <w:rFonts w:ascii="宋体" w:eastAsia="宋体" w:hAnsi="宋体" w:cs="宋体"/>
                <w:kern w:val="0"/>
                <w:sz w:val="18"/>
                <w:szCs w:val="18"/>
              </w:rPr>
            </w:pPr>
          </w:p>
        </w:tc>
        <w:tc>
          <w:tcPr>
            <w:tcW w:w="1577" w:type="pct"/>
            <w:gridSpan w:val="2"/>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项    目</w:t>
            </w:r>
          </w:p>
        </w:tc>
        <w:tc>
          <w:tcPr>
            <w:tcW w:w="488" w:type="pct"/>
            <w:gridSpan w:val="2"/>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预算数</w:t>
            </w:r>
          </w:p>
        </w:tc>
        <w:tc>
          <w:tcPr>
            <w:tcW w:w="1578" w:type="pct"/>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项    目</w:t>
            </w:r>
          </w:p>
        </w:tc>
        <w:tc>
          <w:tcPr>
            <w:tcW w:w="871" w:type="pct"/>
            <w:gridSpan w:val="3"/>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预算数</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栏次</w:t>
            </w:r>
          </w:p>
        </w:tc>
        <w:tc>
          <w:tcPr>
            <w:tcW w:w="1577" w:type="pct"/>
            <w:gridSpan w:val="2"/>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w:t>
            </w:r>
          </w:p>
        </w:tc>
        <w:tc>
          <w:tcPr>
            <w:tcW w:w="488" w:type="pct"/>
            <w:gridSpan w:val="2"/>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w:t>
            </w:r>
          </w:p>
        </w:tc>
        <w:tc>
          <w:tcPr>
            <w:tcW w:w="1578" w:type="pct"/>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3</w:t>
            </w:r>
          </w:p>
        </w:tc>
        <w:tc>
          <w:tcPr>
            <w:tcW w:w="871" w:type="pct"/>
            <w:gridSpan w:val="3"/>
            <w:tcBorders>
              <w:top w:val="nil"/>
              <w:left w:val="nil"/>
              <w:bottom w:val="single" w:sz="4" w:space="0" w:color="auto"/>
              <w:right w:val="single" w:sz="4" w:space="0" w:color="auto"/>
            </w:tcBorders>
            <w:shd w:val="clear" w:color="auto" w:fill="auto"/>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4</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6</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一、财政拨款收入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1896.61</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一、一般公共服务支出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1294.81</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7</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二、上级拨款收入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二、外交支出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8</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三、事业收入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三、国防支出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9</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其中：财政专户收入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四、公共安全支出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10</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四、经营收入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五、教育支出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11</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五、附属单位上缴收入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六、科学技术支出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12</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六、其他收入</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七、文化体育与传媒支出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13</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八、社会保障和就业支出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346.47</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14</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九、医疗卫生与计划生育支出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151.71</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15</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十、节能环保支出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16</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十一、城乡社区支出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17</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十二、农林水支出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18</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十三、交通运输支出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19</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十四、资源勘探信息等支出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20</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十五、商业服务业等支出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21</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十六、金融支出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22</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十七、援助其他地区支出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23</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十八、国土海洋气候等支出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24</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十九、住房保障支出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103.62</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25</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二十、粮油物资储备支出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26</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二十一、国债还本付息支出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27</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 xml:space="preserve">　</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二十二、其他支出</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28</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本年收入合计</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1896.61</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本年支出合计</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1896.61</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29</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用事业基金弥补收支差额</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结余分配</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30</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年初结转和结余</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年末结转和结余</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0.00</w:t>
            </w:r>
          </w:p>
        </w:tc>
      </w:tr>
      <w:tr w:rsidR="00300E9A" w:rsidRPr="00300E9A" w:rsidTr="00300E9A">
        <w:trPr>
          <w:gridBefore w:val="1"/>
          <w:wBefore w:w="50" w:type="pct"/>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300E9A" w:rsidRPr="00300E9A" w:rsidRDefault="00300E9A" w:rsidP="00300E9A">
            <w:pPr>
              <w:widowControl/>
              <w:jc w:val="center"/>
              <w:rPr>
                <w:rFonts w:ascii="宋体" w:eastAsia="宋体" w:hAnsi="宋体" w:cs="宋体"/>
                <w:kern w:val="0"/>
                <w:sz w:val="18"/>
                <w:szCs w:val="18"/>
              </w:rPr>
            </w:pPr>
            <w:r w:rsidRPr="00300E9A">
              <w:rPr>
                <w:rFonts w:ascii="宋体" w:eastAsia="宋体" w:hAnsi="宋体" w:cs="宋体" w:hint="eastAsia"/>
                <w:kern w:val="0"/>
                <w:sz w:val="18"/>
                <w:szCs w:val="18"/>
              </w:rPr>
              <w:t>31</w:t>
            </w:r>
          </w:p>
        </w:tc>
        <w:tc>
          <w:tcPr>
            <w:tcW w:w="1577"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合计</w:t>
            </w:r>
          </w:p>
        </w:tc>
        <w:tc>
          <w:tcPr>
            <w:tcW w:w="488" w:type="pct"/>
            <w:gridSpan w:val="2"/>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1896.61</w:t>
            </w:r>
          </w:p>
        </w:tc>
        <w:tc>
          <w:tcPr>
            <w:tcW w:w="1578" w:type="pct"/>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left"/>
              <w:rPr>
                <w:rFonts w:ascii="宋体" w:eastAsia="宋体" w:hAnsi="宋体" w:cs="宋体"/>
                <w:kern w:val="0"/>
                <w:sz w:val="18"/>
                <w:szCs w:val="18"/>
              </w:rPr>
            </w:pPr>
            <w:r w:rsidRPr="00300E9A">
              <w:rPr>
                <w:rFonts w:ascii="宋体" w:eastAsia="宋体" w:hAnsi="宋体" w:cs="宋体" w:hint="eastAsia"/>
                <w:kern w:val="0"/>
                <w:sz w:val="18"/>
                <w:szCs w:val="18"/>
              </w:rPr>
              <w:t xml:space="preserve">            合计</w:t>
            </w:r>
          </w:p>
        </w:tc>
        <w:tc>
          <w:tcPr>
            <w:tcW w:w="871" w:type="pct"/>
            <w:gridSpan w:val="3"/>
            <w:tcBorders>
              <w:top w:val="nil"/>
              <w:left w:val="nil"/>
              <w:bottom w:val="single" w:sz="4" w:space="0" w:color="auto"/>
              <w:right w:val="single" w:sz="4" w:space="0" w:color="auto"/>
            </w:tcBorders>
            <w:shd w:val="clear" w:color="auto" w:fill="auto"/>
            <w:noWrap/>
            <w:vAlign w:val="center"/>
            <w:hideMark/>
          </w:tcPr>
          <w:p w:rsidR="00300E9A" w:rsidRPr="00300E9A" w:rsidRDefault="00300E9A" w:rsidP="00300E9A">
            <w:pPr>
              <w:widowControl/>
              <w:jc w:val="right"/>
              <w:rPr>
                <w:rFonts w:ascii="宋体" w:eastAsia="宋体" w:hAnsi="宋体" w:cs="宋体"/>
                <w:kern w:val="0"/>
                <w:sz w:val="18"/>
                <w:szCs w:val="18"/>
              </w:rPr>
            </w:pPr>
            <w:r w:rsidRPr="00300E9A">
              <w:rPr>
                <w:rFonts w:ascii="宋体" w:eastAsia="宋体" w:hAnsi="宋体" w:cs="宋体" w:hint="eastAsia"/>
                <w:kern w:val="0"/>
                <w:sz w:val="18"/>
                <w:szCs w:val="18"/>
              </w:rPr>
              <w:t>1896.61</w:t>
            </w:r>
          </w:p>
        </w:tc>
      </w:tr>
    </w:tbl>
    <w:p w:rsidR="00E05273" w:rsidRDefault="00E05273" w:rsidP="009831B5">
      <w:pPr>
        <w:pStyle w:val="a5"/>
        <w:spacing w:line="360" w:lineRule="auto"/>
        <w:ind w:firstLineChars="0" w:firstLine="0"/>
        <w:jc w:val="left"/>
        <w:rPr>
          <w:sz w:val="28"/>
          <w:szCs w:val="28"/>
        </w:rPr>
      </w:pPr>
    </w:p>
    <w:p w:rsidR="00300E9A" w:rsidRDefault="00300E9A" w:rsidP="009831B5">
      <w:pPr>
        <w:pStyle w:val="a5"/>
        <w:spacing w:line="360" w:lineRule="auto"/>
        <w:ind w:firstLineChars="0" w:firstLine="0"/>
        <w:jc w:val="left"/>
        <w:rPr>
          <w:sz w:val="28"/>
          <w:szCs w:val="28"/>
        </w:rPr>
      </w:pPr>
    </w:p>
    <w:p w:rsidR="00300E9A" w:rsidRDefault="00300E9A" w:rsidP="009831B5">
      <w:pPr>
        <w:pStyle w:val="a5"/>
        <w:spacing w:line="360" w:lineRule="auto"/>
        <w:ind w:firstLineChars="0" w:firstLine="0"/>
        <w:jc w:val="left"/>
        <w:rPr>
          <w:sz w:val="28"/>
          <w:szCs w:val="28"/>
        </w:rPr>
      </w:pPr>
    </w:p>
    <w:p w:rsidR="00300E9A" w:rsidRDefault="00300E9A" w:rsidP="009831B5">
      <w:pPr>
        <w:pStyle w:val="a5"/>
        <w:spacing w:line="360" w:lineRule="auto"/>
        <w:ind w:firstLineChars="0" w:firstLine="0"/>
        <w:jc w:val="left"/>
        <w:rPr>
          <w:sz w:val="28"/>
          <w:szCs w:val="28"/>
        </w:rPr>
      </w:pPr>
    </w:p>
    <w:tbl>
      <w:tblPr>
        <w:tblW w:w="5000" w:type="pct"/>
        <w:tblLook w:val="04A0"/>
      </w:tblPr>
      <w:tblGrid>
        <w:gridCol w:w="421"/>
        <w:gridCol w:w="416"/>
        <w:gridCol w:w="216"/>
        <w:gridCol w:w="216"/>
        <w:gridCol w:w="216"/>
        <w:gridCol w:w="216"/>
        <w:gridCol w:w="216"/>
        <w:gridCol w:w="326"/>
        <w:gridCol w:w="551"/>
        <w:gridCol w:w="1336"/>
        <w:gridCol w:w="259"/>
        <w:gridCol w:w="231"/>
        <w:gridCol w:w="429"/>
        <w:gridCol w:w="659"/>
        <w:gridCol w:w="469"/>
        <w:gridCol w:w="469"/>
        <w:gridCol w:w="469"/>
        <w:gridCol w:w="469"/>
        <w:gridCol w:w="469"/>
        <w:gridCol w:w="469"/>
      </w:tblGrid>
      <w:tr w:rsidR="001A49A4" w:rsidRPr="00B749F4" w:rsidTr="001A49A4">
        <w:trPr>
          <w:gridAfter w:val="8"/>
          <w:wAfter w:w="2576" w:type="pct"/>
          <w:trHeight w:val="405"/>
        </w:trPr>
        <w:tc>
          <w:tcPr>
            <w:tcW w:w="487" w:type="pct"/>
            <w:gridSpan w:val="2"/>
            <w:tcBorders>
              <w:top w:val="nil"/>
              <w:left w:val="nil"/>
              <w:bottom w:val="nil"/>
              <w:right w:val="nil"/>
            </w:tcBorders>
            <w:shd w:val="clear" w:color="auto" w:fill="auto"/>
            <w:noWrap/>
            <w:vAlign w:val="center"/>
            <w:hideMark/>
          </w:tcPr>
          <w:p w:rsidR="00B749F4" w:rsidRPr="00B749F4" w:rsidRDefault="00B749F4" w:rsidP="00B749F4">
            <w:pPr>
              <w:widowControl/>
              <w:jc w:val="left"/>
              <w:rPr>
                <w:rFonts w:ascii="Times New Roman" w:eastAsia="宋体" w:hAnsi="Times New Roman" w:cs="Times New Roman"/>
                <w:kern w:val="0"/>
                <w:sz w:val="22"/>
              </w:rPr>
            </w:pPr>
            <w:r w:rsidRPr="00B749F4">
              <w:rPr>
                <w:rFonts w:ascii="黑体" w:eastAsia="黑体" w:hAnsi="黑体" w:cs="Times New Roman" w:hint="eastAsia"/>
                <w:kern w:val="0"/>
                <w:sz w:val="22"/>
              </w:rPr>
              <w:lastRenderedPageBreak/>
              <w:t>附表</w:t>
            </w:r>
            <w:r w:rsidRPr="00B749F4">
              <w:rPr>
                <w:rFonts w:ascii="Times New Roman" w:eastAsia="宋体" w:hAnsi="Times New Roman" w:cs="Times New Roman"/>
                <w:kern w:val="0"/>
                <w:sz w:val="22"/>
              </w:rPr>
              <w:t>3-2</w:t>
            </w:r>
          </w:p>
        </w:tc>
        <w:tc>
          <w:tcPr>
            <w:tcW w:w="207" w:type="pct"/>
            <w:gridSpan w:val="2"/>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140" w:type="pct"/>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140" w:type="pct"/>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142" w:type="pct"/>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175" w:type="pct"/>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242" w:type="pct"/>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633" w:type="pct"/>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c>
          <w:tcPr>
            <w:tcW w:w="259" w:type="pct"/>
            <w:gridSpan w:val="2"/>
            <w:tcBorders>
              <w:top w:val="nil"/>
              <w:left w:val="nil"/>
              <w:bottom w:val="nil"/>
              <w:right w:val="nil"/>
            </w:tcBorders>
            <w:shd w:val="clear" w:color="auto" w:fill="auto"/>
            <w:noWrap/>
            <w:vAlign w:val="center"/>
            <w:hideMark/>
          </w:tcPr>
          <w:p w:rsidR="00B749F4" w:rsidRPr="00B749F4" w:rsidRDefault="00B749F4" w:rsidP="00B749F4">
            <w:pPr>
              <w:widowControl/>
              <w:jc w:val="right"/>
              <w:rPr>
                <w:rFonts w:ascii="Times New Roman" w:eastAsia="宋体" w:hAnsi="Times New Roman" w:cs="Times New Roman"/>
                <w:kern w:val="0"/>
                <w:sz w:val="22"/>
              </w:rPr>
            </w:pPr>
          </w:p>
        </w:tc>
      </w:tr>
      <w:tr w:rsidR="001A49A4" w:rsidRPr="001A49A4" w:rsidTr="001A49A4">
        <w:trPr>
          <w:gridBefore w:val="1"/>
          <w:wBefore w:w="245" w:type="pct"/>
          <w:trHeight w:val="750"/>
        </w:trPr>
        <w:tc>
          <w:tcPr>
            <w:tcW w:w="4755" w:type="pct"/>
            <w:gridSpan w:val="19"/>
            <w:tcBorders>
              <w:top w:val="nil"/>
              <w:left w:val="nil"/>
              <w:bottom w:val="nil"/>
              <w:right w:val="nil"/>
            </w:tcBorders>
            <w:shd w:val="clear" w:color="auto" w:fill="auto"/>
            <w:vAlign w:val="center"/>
            <w:hideMark/>
          </w:tcPr>
          <w:p w:rsidR="001A49A4" w:rsidRPr="001A49A4" w:rsidRDefault="001A49A4" w:rsidP="001A49A4">
            <w:pPr>
              <w:widowControl/>
              <w:jc w:val="center"/>
              <w:rPr>
                <w:rFonts w:ascii="宋体" w:eastAsia="宋体" w:hAnsi="宋体" w:cs="宋体"/>
                <w:b/>
                <w:bCs/>
                <w:kern w:val="0"/>
                <w:sz w:val="44"/>
                <w:szCs w:val="44"/>
              </w:rPr>
            </w:pPr>
            <w:r w:rsidRPr="001A49A4">
              <w:rPr>
                <w:rFonts w:ascii="宋体" w:eastAsia="宋体" w:hAnsi="宋体" w:cs="宋体" w:hint="eastAsia"/>
                <w:b/>
                <w:bCs/>
                <w:kern w:val="0"/>
                <w:sz w:val="44"/>
                <w:szCs w:val="44"/>
              </w:rPr>
              <w:t>部门预算收入总表</w:t>
            </w:r>
          </w:p>
        </w:tc>
      </w:tr>
      <w:tr w:rsidR="001A49A4" w:rsidRPr="001A49A4" w:rsidTr="001A49A4">
        <w:trPr>
          <w:gridBefore w:val="1"/>
          <w:wBefore w:w="245" w:type="pct"/>
          <w:trHeight w:val="300"/>
        </w:trPr>
        <w:tc>
          <w:tcPr>
            <w:tcW w:w="3654" w:type="pct"/>
            <w:gridSpan w:val="15"/>
            <w:tcBorders>
              <w:top w:val="nil"/>
              <w:left w:val="nil"/>
              <w:bottom w:val="nil"/>
              <w:right w:val="nil"/>
            </w:tcBorders>
            <w:shd w:val="clear" w:color="auto" w:fill="auto"/>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部门编码及名称：[414]市场监督管理部门</w:t>
            </w:r>
          </w:p>
        </w:tc>
        <w:tc>
          <w:tcPr>
            <w:tcW w:w="555" w:type="pct"/>
            <w:gridSpan w:val="2"/>
            <w:tcBorders>
              <w:top w:val="nil"/>
              <w:left w:val="nil"/>
              <w:bottom w:val="nil"/>
              <w:right w:val="nil"/>
            </w:tcBorders>
            <w:shd w:val="clear" w:color="auto" w:fill="auto"/>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预算年度：2017</w:t>
            </w:r>
          </w:p>
        </w:tc>
        <w:tc>
          <w:tcPr>
            <w:tcW w:w="547" w:type="pct"/>
            <w:gridSpan w:val="2"/>
            <w:tcBorders>
              <w:top w:val="nil"/>
              <w:left w:val="nil"/>
              <w:bottom w:val="nil"/>
              <w:right w:val="nil"/>
            </w:tcBorders>
            <w:shd w:val="clear" w:color="auto" w:fill="auto"/>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金额单位：万元</w:t>
            </w:r>
          </w:p>
        </w:tc>
      </w:tr>
      <w:tr w:rsidR="001A49A4" w:rsidRPr="001A49A4" w:rsidTr="001A49A4">
        <w:trPr>
          <w:gridBefore w:val="1"/>
          <w:wBefore w:w="245" w:type="pct"/>
          <w:trHeight w:val="300"/>
        </w:trPr>
        <w:tc>
          <w:tcPr>
            <w:tcW w:w="3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序号</w:t>
            </w:r>
          </w:p>
        </w:tc>
        <w:tc>
          <w:tcPr>
            <w:tcW w:w="1692" w:type="pct"/>
            <w:gridSpan w:val="8"/>
            <w:tcBorders>
              <w:top w:val="single" w:sz="4" w:space="0" w:color="auto"/>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科目</w:t>
            </w:r>
          </w:p>
        </w:tc>
        <w:tc>
          <w:tcPr>
            <w:tcW w:w="5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本年收入合计</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财政拨款收入</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上级补助收入</w:t>
            </w:r>
          </w:p>
        </w:tc>
        <w:tc>
          <w:tcPr>
            <w:tcW w:w="555" w:type="pct"/>
            <w:gridSpan w:val="2"/>
            <w:tcBorders>
              <w:top w:val="single" w:sz="4" w:space="0" w:color="auto"/>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事业收入</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经营收入</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附属单位上缴收入</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其他收入</w:t>
            </w:r>
          </w:p>
        </w:tc>
      </w:tr>
      <w:tr w:rsidR="001A49A4" w:rsidRPr="001A49A4" w:rsidTr="001A49A4">
        <w:trPr>
          <w:gridBefore w:val="1"/>
          <w:wBefore w:w="245" w:type="pct"/>
          <w:trHeight w:val="300"/>
        </w:trPr>
        <w:tc>
          <w:tcPr>
            <w:tcW w:w="326" w:type="pct"/>
            <w:gridSpan w:val="2"/>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544" w:type="pct"/>
            <w:gridSpan w:val="4"/>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功能分类科目编码</w:t>
            </w:r>
          </w:p>
        </w:tc>
        <w:tc>
          <w:tcPr>
            <w:tcW w:w="1147" w:type="pct"/>
            <w:gridSpan w:val="4"/>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科目名称</w:t>
            </w:r>
          </w:p>
        </w:tc>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27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小计</w:t>
            </w:r>
          </w:p>
        </w:tc>
        <w:tc>
          <w:tcPr>
            <w:tcW w:w="278"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其中：财政专户收入</w:t>
            </w: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栏次</w:t>
            </w:r>
          </w:p>
        </w:tc>
        <w:tc>
          <w:tcPr>
            <w:tcW w:w="544" w:type="pct"/>
            <w:gridSpan w:val="4"/>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w:t>
            </w:r>
          </w:p>
        </w:tc>
        <w:tc>
          <w:tcPr>
            <w:tcW w:w="1147" w:type="pct"/>
            <w:gridSpan w:val="4"/>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w:t>
            </w:r>
          </w:p>
        </w:tc>
        <w:tc>
          <w:tcPr>
            <w:tcW w:w="577" w:type="pct"/>
            <w:gridSpan w:val="2"/>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3</w:t>
            </w:r>
          </w:p>
        </w:tc>
        <w:tc>
          <w:tcPr>
            <w:tcW w:w="505"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4</w:t>
            </w:r>
          </w:p>
        </w:tc>
        <w:tc>
          <w:tcPr>
            <w:tcW w:w="27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5</w:t>
            </w:r>
          </w:p>
        </w:tc>
        <w:tc>
          <w:tcPr>
            <w:tcW w:w="27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6</w:t>
            </w:r>
          </w:p>
        </w:tc>
        <w:tc>
          <w:tcPr>
            <w:tcW w:w="278"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7</w:t>
            </w:r>
          </w:p>
        </w:tc>
        <w:tc>
          <w:tcPr>
            <w:tcW w:w="27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8</w:t>
            </w:r>
          </w:p>
        </w:tc>
        <w:tc>
          <w:tcPr>
            <w:tcW w:w="27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9</w:t>
            </w:r>
          </w:p>
        </w:tc>
        <w:tc>
          <w:tcPr>
            <w:tcW w:w="270"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6</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合计</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7</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一般公共服务支出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1294.81</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1294.81</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8</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工商行政管理事务</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1250.61</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1250.61</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9</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行政运行</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1148.59</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1148.59</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10</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2011502</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一般行政管理事务</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15.00</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11</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2011503</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机关服务</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28.00</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28.00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12</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2011504</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工商行政管理专项</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30.02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30.02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13</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2011505</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执法办案专项</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29.00</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29.00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14</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质量技术监督与检验检疫事务</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44.20</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44.20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15</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2011701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行政运行</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16</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2011706</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质量技术监督行政执法及业务管理</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41.88</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41.88</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17</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2011709</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标准化管理</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1.00</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18</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社会保障和就业支出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346.47</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346.47</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lastRenderedPageBreak/>
              <w:t>19</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20805</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行政事业单位离退休</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345.15</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345.15</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20</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2080501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归口管理的行政单位离退休</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121.70</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121.70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21</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2080505</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机关事业单位基本养老保险缴费支出★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223.45</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223.45</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22</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20808</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抚恤</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23</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2080899</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其他优抚支出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24</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医疗卫生与计划生育支出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25</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21011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行政事业单位医疗</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26</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2101101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行政单位医疗</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66.93</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66.93</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27</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2101103</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公务员医疗补助</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84.78</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84.78</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28</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221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住房保障支出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29</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22102</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住房改革支出</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245" w:type="pct"/>
          <w:trHeight w:val="300"/>
        </w:trPr>
        <w:tc>
          <w:tcPr>
            <w:tcW w:w="326"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30</w:t>
            </w:r>
          </w:p>
        </w:tc>
        <w:tc>
          <w:tcPr>
            <w:tcW w:w="544"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2210201</w:t>
            </w:r>
          </w:p>
        </w:tc>
        <w:tc>
          <w:tcPr>
            <w:tcW w:w="1147" w:type="pct"/>
            <w:gridSpan w:val="4"/>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住房公积金</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505"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27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bl>
    <w:p w:rsidR="0002590F" w:rsidRDefault="0002590F"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tbl>
      <w:tblPr>
        <w:tblW w:w="5000" w:type="pct"/>
        <w:tblLook w:val="04A0"/>
      </w:tblPr>
      <w:tblGrid>
        <w:gridCol w:w="397"/>
        <w:gridCol w:w="473"/>
        <w:gridCol w:w="138"/>
        <w:gridCol w:w="133"/>
        <w:gridCol w:w="221"/>
        <w:gridCol w:w="221"/>
        <w:gridCol w:w="221"/>
        <w:gridCol w:w="221"/>
        <w:gridCol w:w="221"/>
        <w:gridCol w:w="221"/>
        <w:gridCol w:w="2557"/>
        <w:gridCol w:w="698"/>
        <w:gridCol w:w="698"/>
        <w:gridCol w:w="629"/>
        <w:gridCol w:w="491"/>
        <w:gridCol w:w="491"/>
        <w:gridCol w:w="491"/>
      </w:tblGrid>
      <w:tr w:rsidR="000C5DDE" w:rsidRPr="000C5DDE" w:rsidTr="001A49A4">
        <w:trPr>
          <w:gridAfter w:val="7"/>
          <w:wAfter w:w="4011" w:type="pct"/>
          <w:trHeight w:val="465"/>
        </w:trPr>
        <w:tc>
          <w:tcPr>
            <w:tcW w:w="373" w:type="pct"/>
            <w:gridSpan w:val="2"/>
            <w:tcBorders>
              <w:top w:val="nil"/>
              <w:left w:val="nil"/>
              <w:bottom w:val="nil"/>
              <w:right w:val="nil"/>
            </w:tcBorders>
            <w:shd w:val="clear" w:color="auto" w:fill="auto"/>
            <w:noWrap/>
            <w:vAlign w:val="center"/>
            <w:hideMark/>
          </w:tcPr>
          <w:p w:rsidR="000C5DDE" w:rsidRPr="000C5DDE" w:rsidRDefault="000C5DDE" w:rsidP="000C5DDE">
            <w:pPr>
              <w:widowControl/>
              <w:jc w:val="left"/>
              <w:rPr>
                <w:rFonts w:ascii="Times New Roman" w:eastAsia="宋体" w:hAnsi="Times New Roman" w:cs="Times New Roman"/>
                <w:kern w:val="0"/>
                <w:sz w:val="22"/>
              </w:rPr>
            </w:pPr>
            <w:r w:rsidRPr="000C5DDE">
              <w:rPr>
                <w:rFonts w:ascii="黑体" w:eastAsia="黑体" w:hAnsi="黑体" w:cs="Times New Roman" w:hint="eastAsia"/>
                <w:kern w:val="0"/>
                <w:sz w:val="22"/>
              </w:rPr>
              <w:lastRenderedPageBreak/>
              <w:t>附表</w:t>
            </w:r>
            <w:r w:rsidRPr="000C5DDE">
              <w:rPr>
                <w:rFonts w:ascii="Times New Roman" w:eastAsia="宋体" w:hAnsi="Times New Roman" w:cs="Times New Roman"/>
                <w:kern w:val="0"/>
                <w:sz w:val="22"/>
              </w:rPr>
              <w:t>3-3</w:t>
            </w:r>
          </w:p>
        </w:tc>
        <w:tc>
          <w:tcPr>
            <w:tcW w:w="90" w:type="pct"/>
            <w:gridSpan w:val="2"/>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c>
          <w:tcPr>
            <w:tcW w:w="88" w:type="pct"/>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c>
          <w:tcPr>
            <w:tcW w:w="88" w:type="pct"/>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c>
          <w:tcPr>
            <w:tcW w:w="88" w:type="pct"/>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c>
          <w:tcPr>
            <w:tcW w:w="88" w:type="pct"/>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c>
          <w:tcPr>
            <w:tcW w:w="88" w:type="pct"/>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c>
          <w:tcPr>
            <w:tcW w:w="87" w:type="pct"/>
            <w:tcBorders>
              <w:top w:val="nil"/>
              <w:left w:val="nil"/>
              <w:bottom w:val="nil"/>
              <w:right w:val="nil"/>
            </w:tcBorders>
            <w:shd w:val="clear" w:color="auto" w:fill="auto"/>
            <w:noWrap/>
            <w:vAlign w:val="center"/>
            <w:hideMark/>
          </w:tcPr>
          <w:p w:rsidR="000C5DDE" w:rsidRPr="000C5DDE" w:rsidRDefault="000C5DDE" w:rsidP="000C5DDE">
            <w:pPr>
              <w:widowControl/>
              <w:jc w:val="right"/>
              <w:rPr>
                <w:rFonts w:ascii="Times New Roman" w:eastAsia="宋体" w:hAnsi="Times New Roman" w:cs="Times New Roman"/>
                <w:kern w:val="0"/>
                <w:sz w:val="22"/>
              </w:rPr>
            </w:pPr>
          </w:p>
        </w:tc>
      </w:tr>
      <w:tr w:rsidR="001A49A4" w:rsidRPr="001A49A4" w:rsidTr="001A49A4">
        <w:trPr>
          <w:gridBefore w:val="1"/>
          <w:wBefore w:w="168" w:type="pct"/>
          <w:trHeight w:val="750"/>
        </w:trPr>
        <w:tc>
          <w:tcPr>
            <w:tcW w:w="4832" w:type="pct"/>
            <w:gridSpan w:val="16"/>
            <w:tcBorders>
              <w:top w:val="nil"/>
              <w:left w:val="nil"/>
              <w:bottom w:val="nil"/>
              <w:right w:val="nil"/>
            </w:tcBorders>
            <w:shd w:val="clear" w:color="auto" w:fill="auto"/>
            <w:vAlign w:val="center"/>
            <w:hideMark/>
          </w:tcPr>
          <w:p w:rsidR="001A49A4" w:rsidRPr="001A49A4" w:rsidRDefault="001A49A4" w:rsidP="001A49A4">
            <w:pPr>
              <w:widowControl/>
              <w:jc w:val="center"/>
              <w:rPr>
                <w:rFonts w:ascii="宋体" w:eastAsia="宋体" w:hAnsi="宋体" w:cs="宋体"/>
                <w:b/>
                <w:bCs/>
                <w:kern w:val="0"/>
                <w:sz w:val="44"/>
                <w:szCs w:val="44"/>
              </w:rPr>
            </w:pPr>
            <w:r w:rsidRPr="001A49A4">
              <w:rPr>
                <w:rFonts w:ascii="宋体" w:eastAsia="宋体" w:hAnsi="宋体" w:cs="宋体" w:hint="eastAsia"/>
                <w:b/>
                <w:bCs/>
                <w:kern w:val="0"/>
                <w:sz w:val="44"/>
                <w:szCs w:val="44"/>
              </w:rPr>
              <w:t>部门预算支出总表</w:t>
            </w:r>
          </w:p>
        </w:tc>
      </w:tr>
      <w:tr w:rsidR="001A49A4" w:rsidRPr="001A49A4" w:rsidTr="001A49A4">
        <w:trPr>
          <w:gridBefore w:val="1"/>
          <w:wBefore w:w="168" w:type="pct"/>
          <w:trHeight w:val="300"/>
        </w:trPr>
        <w:tc>
          <w:tcPr>
            <w:tcW w:w="2848" w:type="pct"/>
            <w:gridSpan w:val="12"/>
            <w:tcBorders>
              <w:top w:val="nil"/>
              <w:left w:val="nil"/>
              <w:bottom w:val="nil"/>
              <w:right w:val="nil"/>
            </w:tcBorders>
            <w:shd w:val="clear" w:color="auto" w:fill="auto"/>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部门编码及名称：[414]市场监督管理部门</w:t>
            </w:r>
          </w:p>
        </w:tc>
        <w:tc>
          <w:tcPr>
            <w:tcW w:w="992" w:type="pct"/>
            <w:gridSpan w:val="2"/>
            <w:tcBorders>
              <w:top w:val="nil"/>
              <w:left w:val="nil"/>
              <w:bottom w:val="nil"/>
              <w:right w:val="nil"/>
            </w:tcBorders>
            <w:shd w:val="clear" w:color="auto" w:fill="auto"/>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预算年度：2017</w:t>
            </w:r>
          </w:p>
        </w:tc>
        <w:tc>
          <w:tcPr>
            <w:tcW w:w="992" w:type="pct"/>
            <w:gridSpan w:val="2"/>
            <w:tcBorders>
              <w:top w:val="nil"/>
              <w:left w:val="nil"/>
              <w:bottom w:val="nil"/>
              <w:right w:val="nil"/>
            </w:tcBorders>
            <w:shd w:val="clear" w:color="auto" w:fill="auto"/>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金额单位：万元</w:t>
            </w:r>
          </w:p>
        </w:tc>
      </w:tr>
      <w:tr w:rsidR="001A49A4" w:rsidRPr="001A49A4" w:rsidTr="001A49A4">
        <w:trPr>
          <w:gridBefore w:val="1"/>
          <w:wBefore w:w="168" w:type="pct"/>
          <w:trHeight w:val="300"/>
        </w:trPr>
        <w:tc>
          <w:tcPr>
            <w:tcW w:w="2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序号</w:t>
            </w:r>
          </w:p>
        </w:tc>
        <w:tc>
          <w:tcPr>
            <w:tcW w:w="1602" w:type="pct"/>
            <w:gridSpan w:val="8"/>
            <w:tcBorders>
              <w:top w:val="single" w:sz="4" w:space="0" w:color="auto"/>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科目</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本年支出合计</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基本支出</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项目支出</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上缴上级支出</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经营支出</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对附属单位补助支出</w:t>
            </w:r>
          </w:p>
        </w:tc>
      </w:tr>
      <w:tr w:rsidR="001A49A4" w:rsidRPr="001A49A4" w:rsidTr="001A49A4">
        <w:trPr>
          <w:gridBefore w:val="1"/>
          <w:wBefore w:w="168" w:type="pct"/>
          <w:trHeight w:val="300"/>
        </w:trPr>
        <w:tc>
          <w:tcPr>
            <w:tcW w:w="251" w:type="pct"/>
            <w:gridSpan w:val="2"/>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570" w:type="pct"/>
            <w:gridSpan w:val="7"/>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功能分类科目编码</w:t>
            </w:r>
          </w:p>
        </w:tc>
        <w:tc>
          <w:tcPr>
            <w:tcW w:w="1033"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科目名称</w:t>
            </w: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栏次</w:t>
            </w:r>
          </w:p>
        </w:tc>
        <w:tc>
          <w:tcPr>
            <w:tcW w:w="570" w:type="pct"/>
            <w:gridSpan w:val="7"/>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w:t>
            </w:r>
          </w:p>
        </w:tc>
        <w:tc>
          <w:tcPr>
            <w:tcW w:w="1033"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w:t>
            </w:r>
          </w:p>
        </w:tc>
        <w:tc>
          <w:tcPr>
            <w:tcW w:w="49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3</w:t>
            </w:r>
          </w:p>
        </w:tc>
        <w:tc>
          <w:tcPr>
            <w:tcW w:w="49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4</w:t>
            </w:r>
          </w:p>
        </w:tc>
        <w:tc>
          <w:tcPr>
            <w:tcW w:w="497"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5</w:t>
            </w:r>
          </w:p>
        </w:tc>
        <w:tc>
          <w:tcPr>
            <w:tcW w:w="496"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6</w:t>
            </w:r>
          </w:p>
        </w:tc>
        <w:tc>
          <w:tcPr>
            <w:tcW w:w="496"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7</w:t>
            </w:r>
          </w:p>
        </w:tc>
        <w:tc>
          <w:tcPr>
            <w:tcW w:w="496"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8</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6</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合计</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1750.11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146.50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7</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一般公共服务支出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1294.81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1148.31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146.50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8</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工商行政管理事务</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1250.61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1148.31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102.30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9</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行政运行</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1148.59</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1148.31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0.28</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10</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2011502</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一般行政管理事务</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11</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2011503</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机关服务</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28.00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28.00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12</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2011504</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工商行政管理专项</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30.02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30.02</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13</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2011505</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执法办案专项</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29.00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29.00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14</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质量技术监督与检验检疫事务</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44.20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44.20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15</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2011701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行政运行</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16</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2011706</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质量技术监督行政执法及业务管理</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41.88</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41.88</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17</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2011709</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标准化管理</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18</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社会保障和就业支出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346.47</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346.47</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19</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20805</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行政事业单位离退休</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345.1</w:t>
            </w:r>
            <w:r w:rsidRPr="001A49A4">
              <w:rPr>
                <w:rFonts w:ascii="宋体" w:eastAsia="宋体" w:hAnsi="宋体" w:cs="宋体" w:hint="eastAsia"/>
                <w:kern w:val="0"/>
                <w:sz w:val="18"/>
                <w:szCs w:val="18"/>
              </w:rPr>
              <w:lastRenderedPageBreak/>
              <w:t>5</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lastRenderedPageBreak/>
              <w:t>345.1</w:t>
            </w:r>
            <w:r w:rsidRPr="001A49A4">
              <w:rPr>
                <w:rFonts w:ascii="宋体" w:eastAsia="宋体" w:hAnsi="宋体" w:cs="宋体" w:hint="eastAsia"/>
                <w:kern w:val="0"/>
                <w:sz w:val="18"/>
                <w:szCs w:val="18"/>
              </w:rPr>
              <w:lastRenderedPageBreak/>
              <w:t>5</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lastRenderedPageBreak/>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w:t>
            </w:r>
            <w:r w:rsidRPr="001A49A4">
              <w:rPr>
                <w:rFonts w:ascii="宋体" w:eastAsia="宋体" w:hAnsi="宋体" w:cs="宋体" w:hint="eastAsia"/>
                <w:kern w:val="0"/>
                <w:sz w:val="18"/>
                <w:szCs w:val="18"/>
              </w:rPr>
              <w:lastRenderedPageBreak/>
              <w:t>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lastRenderedPageBreak/>
              <w:t>0.0</w:t>
            </w:r>
            <w:r w:rsidRPr="001A49A4">
              <w:rPr>
                <w:rFonts w:ascii="宋体" w:eastAsia="宋体" w:hAnsi="宋体" w:cs="宋体" w:hint="eastAsia"/>
                <w:kern w:val="0"/>
                <w:sz w:val="18"/>
                <w:szCs w:val="18"/>
              </w:rPr>
              <w:lastRenderedPageBreak/>
              <w:t>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lastRenderedPageBreak/>
              <w:t>0.0</w:t>
            </w:r>
            <w:r w:rsidRPr="001A49A4">
              <w:rPr>
                <w:rFonts w:ascii="宋体" w:eastAsia="宋体" w:hAnsi="宋体" w:cs="宋体" w:hint="eastAsia"/>
                <w:kern w:val="0"/>
                <w:sz w:val="18"/>
                <w:szCs w:val="18"/>
              </w:rPr>
              <w:lastRenderedPageBreak/>
              <w:t>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lastRenderedPageBreak/>
              <w:t>20</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2080501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归口管理的行政单位离退休</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121.70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121.70</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21</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2080505</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机关事业单位基本养老保险缴费支出★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223.45</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223.45</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22</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20808</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抚恤</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23</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2080899</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其他优抚支出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1.32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24</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医疗卫生与计划生育支出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25</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21011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行政事业单位医疗</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26</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2101101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行政单位医疗</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66.93</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66.93</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27</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2101103</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公务员医疗补助</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84.78</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84.78</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28</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221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住房保障支出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29</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22102</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住房改革支出</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1A49A4" w:rsidRPr="001A49A4" w:rsidTr="001A49A4">
        <w:trPr>
          <w:gridBefore w:val="1"/>
          <w:wBefore w:w="168" w:type="pct"/>
          <w:trHeight w:val="300"/>
        </w:trPr>
        <w:tc>
          <w:tcPr>
            <w:tcW w:w="251" w:type="pct"/>
            <w:gridSpan w:val="2"/>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30</w:t>
            </w:r>
          </w:p>
        </w:tc>
        <w:tc>
          <w:tcPr>
            <w:tcW w:w="570" w:type="pct"/>
            <w:gridSpan w:val="7"/>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2210201</w:t>
            </w:r>
          </w:p>
        </w:tc>
        <w:tc>
          <w:tcPr>
            <w:tcW w:w="1033"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住房公积金</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97"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bl>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1A49A4" w:rsidRDefault="001A49A4" w:rsidP="009831B5">
      <w:pPr>
        <w:pStyle w:val="a5"/>
        <w:spacing w:line="360" w:lineRule="auto"/>
        <w:ind w:firstLineChars="0" w:firstLine="0"/>
        <w:jc w:val="left"/>
        <w:rPr>
          <w:sz w:val="28"/>
          <w:szCs w:val="28"/>
        </w:rPr>
      </w:pPr>
    </w:p>
    <w:p w:rsidR="00D72B82" w:rsidRPr="00D72B82" w:rsidRDefault="00D72B82" w:rsidP="009831B5">
      <w:pPr>
        <w:pStyle w:val="a5"/>
        <w:spacing w:line="360" w:lineRule="auto"/>
        <w:ind w:firstLineChars="0" w:firstLine="0"/>
        <w:jc w:val="left"/>
        <w:rPr>
          <w:b/>
          <w:sz w:val="28"/>
          <w:szCs w:val="28"/>
        </w:rPr>
      </w:pPr>
      <w:r w:rsidRPr="00D72B82">
        <w:rPr>
          <w:rFonts w:hint="eastAsia"/>
          <w:b/>
          <w:sz w:val="28"/>
          <w:szCs w:val="28"/>
        </w:rPr>
        <w:lastRenderedPageBreak/>
        <w:t>3.</w:t>
      </w:r>
      <w:r w:rsidRPr="00D72B82">
        <w:rPr>
          <w:rFonts w:hint="eastAsia"/>
          <w:b/>
          <w:sz w:val="28"/>
          <w:szCs w:val="28"/>
        </w:rPr>
        <w:t>财政拨款收支情况表</w:t>
      </w:r>
    </w:p>
    <w:tbl>
      <w:tblPr>
        <w:tblW w:w="4913" w:type="pct"/>
        <w:tblLayout w:type="fixed"/>
        <w:tblLook w:val="04A0"/>
      </w:tblPr>
      <w:tblGrid>
        <w:gridCol w:w="676"/>
        <w:gridCol w:w="256"/>
        <w:gridCol w:w="273"/>
        <w:gridCol w:w="591"/>
        <w:gridCol w:w="588"/>
        <w:gridCol w:w="419"/>
        <w:gridCol w:w="167"/>
        <w:gridCol w:w="327"/>
        <w:gridCol w:w="226"/>
        <w:gridCol w:w="1836"/>
        <w:gridCol w:w="717"/>
        <w:gridCol w:w="718"/>
        <w:gridCol w:w="687"/>
        <w:gridCol w:w="893"/>
      </w:tblGrid>
      <w:tr w:rsidR="00EF1C1A" w:rsidRPr="005D1C48" w:rsidTr="00EF1C1A">
        <w:trPr>
          <w:gridAfter w:val="6"/>
          <w:wAfter w:w="3031" w:type="pct"/>
          <w:trHeight w:val="360"/>
        </w:trPr>
        <w:tc>
          <w:tcPr>
            <w:tcW w:w="404" w:type="pct"/>
            <w:tcBorders>
              <w:top w:val="nil"/>
              <w:left w:val="nil"/>
              <w:bottom w:val="nil"/>
              <w:right w:val="nil"/>
            </w:tcBorders>
            <w:shd w:val="clear" w:color="auto" w:fill="auto"/>
            <w:noWrap/>
            <w:vAlign w:val="center"/>
            <w:hideMark/>
          </w:tcPr>
          <w:p w:rsidR="005D1C48" w:rsidRPr="005D1C48" w:rsidRDefault="005D1C48" w:rsidP="005D1C48">
            <w:pPr>
              <w:widowControl/>
              <w:jc w:val="left"/>
              <w:rPr>
                <w:rFonts w:ascii="Times New Roman" w:eastAsia="宋体" w:hAnsi="Times New Roman" w:cs="Times New Roman"/>
                <w:kern w:val="0"/>
                <w:sz w:val="22"/>
              </w:rPr>
            </w:pPr>
            <w:bookmarkStart w:id="0" w:name="RANGE!A1:G31"/>
            <w:r w:rsidRPr="005D1C48">
              <w:rPr>
                <w:rFonts w:ascii="黑体" w:eastAsia="黑体" w:hAnsi="黑体" w:cs="Times New Roman" w:hint="eastAsia"/>
                <w:kern w:val="0"/>
                <w:sz w:val="22"/>
              </w:rPr>
              <w:t>附表</w:t>
            </w:r>
            <w:r w:rsidRPr="005D1C48">
              <w:rPr>
                <w:rFonts w:ascii="Times New Roman" w:eastAsia="宋体" w:hAnsi="Times New Roman" w:cs="Times New Roman"/>
                <w:kern w:val="0"/>
                <w:sz w:val="22"/>
              </w:rPr>
              <w:t>3-4</w:t>
            </w:r>
            <w:bookmarkEnd w:id="0"/>
          </w:p>
        </w:tc>
        <w:tc>
          <w:tcPr>
            <w:tcW w:w="153" w:type="pct"/>
            <w:tcBorders>
              <w:top w:val="nil"/>
              <w:left w:val="nil"/>
              <w:bottom w:val="nil"/>
              <w:right w:val="nil"/>
            </w:tcBorders>
            <w:shd w:val="clear" w:color="auto" w:fill="auto"/>
            <w:noWrap/>
            <w:vAlign w:val="center"/>
            <w:hideMark/>
          </w:tcPr>
          <w:p w:rsidR="005D1C48" w:rsidRPr="005D1C48" w:rsidRDefault="005D1C48" w:rsidP="005D1C48">
            <w:pPr>
              <w:widowControl/>
              <w:jc w:val="center"/>
              <w:rPr>
                <w:rFonts w:ascii="Times New Roman" w:eastAsia="宋体" w:hAnsi="Times New Roman" w:cs="Times New Roman"/>
                <w:kern w:val="0"/>
                <w:sz w:val="22"/>
              </w:rPr>
            </w:pPr>
          </w:p>
        </w:tc>
        <w:tc>
          <w:tcPr>
            <w:tcW w:w="163"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353"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351"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350" w:type="pct"/>
            <w:gridSpan w:val="2"/>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195"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r>
      <w:tr w:rsidR="001A49A4" w:rsidRPr="001A49A4" w:rsidTr="00EF1C1A">
        <w:trPr>
          <w:trHeight w:val="750"/>
        </w:trPr>
        <w:tc>
          <w:tcPr>
            <w:tcW w:w="5000" w:type="pct"/>
            <w:gridSpan w:val="14"/>
            <w:tcBorders>
              <w:top w:val="nil"/>
              <w:left w:val="nil"/>
              <w:bottom w:val="nil"/>
              <w:right w:val="nil"/>
            </w:tcBorders>
            <w:shd w:val="clear" w:color="auto" w:fill="auto"/>
            <w:vAlign w:val="center"/>
            <w:hideMark/>
          </w:tcPr>
          <w:p w:rsidR="001A49A4" w:rsidRPr="001A49A4" w:rsidRDefault="001A49A4" w:rsidP="001A49A4">
            <w:pPr>
              <w:widowControl/>
              <w:jc w:val="center"/>
              <w:rPr>
                <w:rFonts w:ascii="宋体" w:eastAsia="宋体" w:hAnsi="宋体" w:cs="宋体"/>
                <w:b/>
                <w:bCs/>
                <w:kern w:val="0"/>
                <w:sz w:val="44"/>
                <w:szCs w:val="44"/>
              </w:rPr>
            </w:pPr>
            <w:r w:rsidRPr="001A49A4">
              <w:rPr>
                <w:rFonts w:ascii="宋体" w:eastAsia="宋体" w:hAnsi="宋体" w:cs="宋体" w:hint="eastAsia"/>
                <w:b/>
                <w:bCs/>
                <w:kern w:val="0"/>
                <w:sz w:val="44"/>
                <w:szCs w:val="44"/>
              </w:rPr>
              <w:t>部门预算财政拨款收支总表</w:t>
            </w:r>
          </w:p>
        </w:tc>
      </w:tr>
      <w:tr w:rsidR="001A49A4" w:rsidRPr="001A49A4" w:rsidTr="00EF1C1A">
        <w:trPr>
          <w:trHeight w:val="300"/>
        </w:trPr>
        <w:tc>
          <w:tcPr>
            <w:tcW w:w="3200" w:type="pct"/>
            <w:gridSpan w:val="10"/>
            <w:tcBorders>
              <w:top w:val="nil"/>
              <w:left w:val="nil"/>
              <w:bottom w:val="nil"/>
              <w:right w:val="nil"/>
            </w:tcBorders>
            <w:shd w:val="clear" w:color="auto" w:fill="auto"/>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部门编码及名称：[414]市场监督管理部门</w:t>
            </w:r>
          </w:p>
        </w:tc>
        <w:tc>
          <w:tcPr>
            <w:tcW w:w="856" w:type="pct"/>
            <w:gridSpan w:val="2"/>
            <w:tcBorders>
              <w:top w:val="nil"/>
              <w:left w:val="nil"/>
              <w:bottom w:val="nil"/>
              <w:right w:val="nil"/>
            </w:tcBorders>
            <w:shd w:val="clear" w:color="auto" w:fill="auto"/>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预算年度：2017</w:t>
            </w:r>
          </w:p>
        </w:tc>
        <w:tc>
          <w:tcPr>
            <w:tcW w:w="944" w:type="pct"/>
            <w:gridSpan w:val="2"/>
            <w:tcBorders>
              <w:top w:val="nil"/>
              <w:left w:val="nil"/>
              <w:bottom w:val="nil"/>
              <w:right w:val="nil"/>
            </w:tcBorders>
            <w:shd w:val="clear" w:color="auto" w:fill="auto"/>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金额单位：万元</w:t>
            </w:r>
          </w:p>
        </w:tc>
      </w:tr>
      <w:tr w:rsidR="001A49A4" w:rsidRPr="001A49A4" w:rsidTr="00EF1C1A">
        <w:trPr>
          <w:trHeight w:val="300"/>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序号</w:t>
            </w:r>
          </w:p>
        </w:tc>
        <w:tc>
          <w:tcPr>
            <w:tcW w:w="1700" w:type="pct"/>
            <w:gridSpan w:val="8"/>
            <w:tcBorders>
              <w:top w:val="single" w:sz="4" w:space="0" w:color="auto"/>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收入</w:t>
            </w:r>
          </w:p>
        </w:tc>
        <w:tc>
          <w:tcPr>
            <w:tcW w:w="2896" w:type="pct"/>
            <w:gridSpan w:val="5"/>
            <w:tcBorders>
              <w:top w:val="single" w:sz="4" w:space="0" w:color="auto"/>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支出</w:t>
            </w:r>
          </w:p>
        </w:tc>
      </w:tr>
      <w:tr w:rsidR="00EF1C1A" w:rsidRPr="001A49A4" w:rsidTr="00EF1C1A">
        <w:trPr>
          <w:trHeight w:val="600"/>
        </w:trPr>
        <w:tc>
          <w:tcPr>
            <w:tcW w:w="404" w:type="pct"/>
            <w:vMerge/>
            <w:tcBorders>
              <w:top w:val="single" w:sz="4" w:space="0" w:color="auto"/>
              <w:left w:val="single" w:sz="4" w:space="0" w:color="auto"/>
              <w:bottom w:val="single" w:sz="4" w:space="0" w:color="auto"/>
              <w:right w:val="single" w:sz="4" w:space="0" w:color="auto"/>
            </w:tcBorders>
            <w:vAlign w:val="center"/>
            <w:hideMark/>
          </w:tcPr>
          <w:p w:rsidR="001A49A4" w:rsidRPr="001A49A4" w:rsidRDefault="001A49A4" w:rsidP="001A49A4">
            <w:pPr>
              <w:widowControl/>
              <w:jc w:val="left"/>
              <w:rPr>
                <w:rFonts w:ascii="宋体" w:eastAsia="宋体" w:hAnsi="宋体" w:cs="宋体"/>
                <w:kern w:val="0"/>
                <w:sz w:val="18"/>
                <w:szCs w:val="18"/>
              </w:rPr>
            </w:pPr>
          </w:p>
        </w:tc>
        <w:tc>
          <w:tcPr>
            <w:tcW w:w="1270" w:type="pct"/>
            <w:gridSpan w:val="5"/>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项    目</w:t>
            </w:r>
          </w:p>
        </w:tc>
        <w:tc>
          <w:tcPr>
            <w:tcW w:w="430" w:type="pct"/>
            <w:gridSpan w:val="3"/>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金额</w:t>
            </w:r>
          </w:p>
        </w:tc>
        <w:tc>
          <w:tcPr>
            <w:tcW w:w="1096"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项    目</w:t>
            </w:r>
          </w:p>
        </w:tc>
        <w:tc>
          <w:tcPr>
            <w:tcW w:w="428"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合计</w:t>
            </w:r>
          </w:p>
        </w:tc>
        <w:tc>
          <w:tcPr>
            <w:tcW w:w="429"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一般公共预算财政拨款</w:t>
            </w:r>
          </w:p>
        </w:tc>
        <w:tc>
          <w:tcPr>
            <w:tcW w:w="410"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政府性基金预算财政拨款</w:t>
            </w:r>
          </w:p>
        </w:tc>
        <w:tc>
          <w:tcPr>
            <w:tcW w:w="534"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国有资本经营预算财政拨款</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栏次</w:t>
            </w:r>
          </w:p>
        </w:tc>
        <w:tc>
          <w:tcPr>
            <w:tcW w:w="1270" w:type="pct"/>
            <w:gridSpan w:val="5"/>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w:t>
            </w:r>
          </w:p>
        </w:tc>
        <w:tc>
          <w:tcPr>
            <w:tcW w:w="430" w:type="pct"/>
            <w:gridSpan w:val="3"/>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w:t>
            </w:r>
          </w:p>
        </w:tc>
        <w:tc>
          <w:tcPr>
            <w:tcW w:w="1096"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3</w:t>
            </w:r>
          </w:p>
        </w:tc>
        <w:tc>
          <w:tcPr>
            <w:tcW w:w="428"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4</w:t>
            </w:r>
          </w:p>
        </w:tc>
        <w:tc>
          <w:tcPr>
            <w:tcW w:w="429"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5</w:t>
            </w:r>
          </w:p>
        </w:tc>
        <w:tc>
          <w:tcPr>
            <w:tcW w:w="410"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7</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6</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一、一般公共预算财政拨款</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一、一般公共服务支出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1294.81</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1294.81</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7</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二、政府性基金预算财政拨款</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二、外交支出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8</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三、国有资本经营预算财政拨款</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三、国防支出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9</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四、公共安全支出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10</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五、教育支出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11</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六、科学技术支出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12</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七、文化体育与传媒支出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13</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八、社会保障和就业支出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346.47</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346.47</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14</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九、医疗卫生与计划生育支出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151.71</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15</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十、节能环保支出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16</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十一、城乡社区支出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17</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十二、农林水支出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18</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十三、交通运输支出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19</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十四、资源勘探信息等支出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20</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十五、商业服务业等支出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21</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十六、金融支出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22</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十七、援助其他地区支出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23</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十八、国土海洋气候等支出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lastRenderedPageBreak/>
              <w:t>24</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十九、住房保障支出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103.62</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25</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二十、粮油物资储备支出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26</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二十一、国债还本付息支出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27</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 xml:space="preserve">　</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二十二、其他支出</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28</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本年收入合计</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本年支出合计</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29</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年初财政拨款结转和结余</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年末结转和结余</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r w:rsidR="00EF1C1A" w:rsidRPr="001A49A4" w:rsidTr="00EF1C1A">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A49A4" w:rsidRPr="001A49A4" w:rsidRDefault="001A49A4" w:rsidP="001A49A4">
            <w:pPr>
              <w:widowControl/>
              <w:jc w:val="center"/>
              <w:rPr>
                <w:rFonts w:ascii="宋体" w:eastAsia="宋体" w:hAnsi="宋体" w:cs="宋体"/>
                <w:kern w:val="0"/>
                <w:sz w:val="18"/>
                <w:szCs w:val="18"/>
              </w:rPr>
            </w:pPr>
            <w:r w:rsidRPr="001A49A4">
              <w:rPr>
                <w:rFonts w:ascii="宋体" w:eastAsia="宋体" w:hAnsi="宋体" w:cs="宋体" w:hint="eastAsia"/>
                <w:kern w:val="0"/>
                <w:sz w:val="18"/>
                <w:szCs w:val="18"/>
              </w:rPr>
              <w:t>30</w:t>
            </w:r>
          </w:p>
        </w:tc>
        <w:tc>
          <w:tcPr>
            <w:tcW w:w="1270" w:type="pct"/>
            <w:gridSpan w:val="5"/>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合计</w:t>
            </w:r>
          </w:p>
        </w:tc>
        <w:tc>
          <w:tcPr>
            <w:tcW w:w="430" w:type="pct"/>
            <w:gridSpan w:val="3"/>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1096"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left"/>
              <w:rPr>
                <w:rFonts w:ascii="宋体" w:eastAsia="宋体" w:hAnsi="宋体" w:cs="宋体"/>
                <w:kern w:val="0"/>
                <w:sz w:val="18"/>
                <w:szCs w:val="18"/>
              </w:rPr>
            </w:pPr>
            <w:r w:rsidRPr="001A49A4">
              <w:rPr>
                <w:rFonts w:ascii="宋体" w:eastAsia="宋体" w:hAnsi="宋体" w:cs="宋体" w:hint="eastAsia"/>
                <w:kern w:val="0"/>
                <w:sz w:val="18"/>
                <w:szCs w:val="18"/>
              </w:rPr>
              <w:t xml:space="preserve">            合计</w:t>
            </w:r>
          </w:p>
        </w:tc>
        <w:tc>
          <w:tcPr>
            <w:tcW w:w="428"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429"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1896.61</w:t>
            </w:r>
          </w:p>
        </w:tc>
        <w:tc>
          <w:tcPr>
            <w:tcW w:w="410"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c>
          <w:tcPr>
            <w:tcW w:w="534" w:type="pct"/>
            <w:tcBorders>
              <w:top w:val="nil"/>
              <w:left w:val="nil"/>
              <w:bottom w:val="single" w:sz="4" w:space="0" w:color="auto"/>
              <w:right w:val="single" w:sz="4" w:space="0" w:color="auto"/>
            </w:tcBorders>
            <w:shd w:val="clear" w:color="auto" w:fill="auto"/>
            <w:noWrap/>
            <w:vAlign w:val="center"/>
            <w:hideMark/>
          </w:tcPr>
          <w:p w:rsidR="001A49A4" w:rsidRPr="001A49A4" w:rsidRDefault="001A49A4" w:rsidP="001A49A4">
            <w:pPr>
              <w:widowControl/>
              <w:jc w:val="right"/>
              <w:rPr>
                <w:rFonts w:ascii="宋体" w:eastAsia="宋体" w:hAnsi="宋体" w:cs="宋体"/>
                <w:kern w:val="0"/>
                <w:sz w:val="18"/>
                <w:szCs w:val="18"/>
              </w:rPr>
            </w:pPr>
            <w:r w:rsidRPr="001A49A4">
              <w:rPr>
                <w:rFonts w:ascii="宋体" w:eastAsia="宋体" w:hAnsi="宋体" w:cs="宋体" w:hint="eastAsia"/>
                <w:kern w:val="0"/>
                <w:sz w:val="18"/>
                <w:szCs w:val="18"/>
              </w:rPr>
              <w:t>0.00</w:t>
            </w:r>
          </w:p>
        </w:tc>
      </w:tr>
    </w:tbl>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2"/>
        </w:rPr>
      </w:pPr>
    </w:p>
    <w:p w:rsidR="00EF1C1A" w:rsidRDefault="00EF1C1A" w:rsidP="009831B5">
      <w:pPr>
        <w:pStyle w:val="a5"/>
        <w:spacing w:line="360" w:lineRule="auto"/>
        <w:ind w:firstLineChars="0" w:firstLine="0"/>
        <w:jc w:val="left"/>
        <w:rPr>
          <w:sz w:val="22"/>
        </w:rPr>
      </w:pPr>
    </w:p>
    <w:p w:rsidR="00EF1C1A" w:rsidRPr="00EF1C1A" w:rsidRDefault="00EF1C1A" w:rsidP="009831B5">
      <w:pPr>
        <w:pStyle w:val="a5"/>
        <w:spacing w:line="360" w:lineRule="auto"/>
        <w:ind w:firstLineChars="0" w:firstLine="0"/>
        <w:jc w:val="left"/>
        <w:rPr>
          <w:sz w:val="22"/>
        </w:rPr>
      </w:pPr>
    </w:p>
    <w:p w:rsidR="00EF1C1A" w:rsidRPr="00EF1C1A" w:rsidRDefault="00EF1C1A" w:rsidP="009831B5">
      <w:pPr>
        <w:pStyle w:val="a5"/>
        <w:spacing w:line="360" w:lineRule="auto"/>
        <w:ind w:firstLineChars="0" w:firstLine="0"/>
        <w:jc w:val="left"/>
        <w:rPr>
          <w:sz w:val="22"/>
        </w:rPr>
      </w:pPr>
    </w:p>
    <w:p w:rsidR="00EF1C1A" w:rsidRPr="00EF1C1A" w:rsidRDefault="00EF1C1A" w:rsidP="009831B5">
      <w:pPr>
        <w:pStyle w:val="a5"/>
        <w:spacing w:line="360" w:lineRule="auto"/>
        <w:ind w:firstLineChars="0" w:firstLine="0"/>
        <w:jc w:val="left"/>
        <w:rPr>
          <w:sz w:val="22"/>
        </w:rPr>
      </w:pPr>
    </w:p>
    <w:tbl>
      <w:tblPr>
        <w:tblW w:w="5000" w:type="pct"/>
        <w:tblLook w:val="04A0"/>
      </w:tblPr>
      <w:tblGrid>
        <w:gridCol w:w="1005"/>
        <w:gridCol w:w="250"/>
        <w:gridCol w:w="249"/>
        <w:gridCol w:w="249"/>
        <w:gridCol w:w="251"/>
        <w:gridCol w:w="3276"/>
        <w:gridCol w:w="846"/>
        <w:gridCol w:w="1198"/>
        <w:gridCol w:w="1198"/>
      </w:tblGrid>
      <w:tr w:rsidR="005D1C48" w:rsidRPr="005D1C48" w:rsidTr="00EF1C1A">
        <w:trPr>
          <w:gridAfter w:val="4"/>
          <w:wAfter w:w="3824" w:type="pct"/>
          <w:trHeight w:val="420"/>
        </w:trPr>
        <w:tc>
          <w:tcPr>
            <w:tcW w:w="590" w:type="pct"/>
            <w:tcBorders>
              <w:top w:val="nil"/>
              <w:left w:val="nil"/>
              <w:bottom w:val="nil"/>
              <w:right w:val="nil"/>
            </w:tcBorders>
            <w:shd w:val="clear" w:color="auto" w:fill="auto"/>
            <w:noWrap/>
            <w:vAlign w:val="center"/>
            <w:hideMark/>
          </w:tcPr>
          <w:p w:rsidR="005D1C48" w:rsidRPr="005D1C48" w:rsidRDefault="005D1C48" w:rsidP="005D1C48">
            <w:pPr>
              <w:widowControl/>
              <w:jc w:val="left"/>
              <w:rPr>
                <w:rFonts w:ascii="Times New Roman" w:eastAsia="宋体" w:hAnsi="Times New Roman" w:cs="Times New Roman"/>
                <w:kern w:val="0"/>
                <w:sz w:val="22"/>
              </w:rPr>
            </w:pPr>
            <w:bookmarkStart w:id="1" w:name="RANGE!A1:F15"/>
            <w:r w:rsidRPr="005D1C48">
              <w:rPr>
                <w:rFonts w:ascii="黑体" w:eastAsia="黑体" w:hAnsi="黑体" w:cs="Times New Roman" w:hint="eastAsia"/>
                <w:kern w:val="0"/>
                <w:sz w:val="22"/>
              </w:rPr>
              <w:lastRenderedPageBreak/>
              <w:t>附表</w:t>
            </w:r>
            <w:r w:rsidRPr="005D1C48">
              <w:rPr>
                <w:rFonts w:ascii="Times New Roman" w:eastAsia="宋体" w:hAnsi="Times New Roman" w:cs="Times New Roman"/>
                <w:kern w:val="0"/>
                <w:sz w:val="22"/>
              </w:rPr>
              <w:t>3-5</w:t>
            </w:r>
            <w:bookmarkEnd w:id="1"/>
          </w:p>
        </w:tc>
        <w:tc>
          <w:tcPr>
            <w:tcW w:w="147"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146"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146"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147" w:type="pct"/>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r>
      <w:tr w:rsidR="00EF1C1A" w:rsidRPr="00EF1C1A" w:rsidTr="00EF1C1A">
        <w:trPr>
          <w:trHeight w:val="750"/>
        </w:trPr>
        <w:tc>
          <w:tcPr>
            <w:tcW w:w="5000" w:type="pct"/>
            <w:gridSpan w:val="9"/>
            <w:tcBorders>
              <w:top w:val="nil"/>
              <w:left w:val="nil"/>
              <w:bottom w:val="nil"/>
              <w:right w:val="nil"/>
            </w:tcBorders>
            <w:shd w:val="clear" w:color="auto" w:fill="auto"/>
            <w:vAlign w:val="center"/>
            <w:hideMark/>
          </w:tcPr>
          <w:p w:rsidR="00EF1C1A" w:rsidRPr="00EF1C1A" w:rsidRDefault="00EF1C1A" w:rsidP="00EF1C1A">
            <w:pPr>
              <w:widowControl/>
              <w:jc w:val="center"/>
              <w:rPr>
                <w:rFonts w:ascii="宋体" w:eastAsia="宋体" w:hAnsi="宋体" w:cs="宋体"/>
                <w:b/>
                <w:bCs/>
                <w:kern w:val="0"/>
                <w:sz w:val="44"/>
                <w:szCs w:val="44"/>
              </w:rPr>
            </w:pPr>
            <w:r w:rsidRPr="00EF1C1A">
              <w:rPr>
                <w:rFonts w:ascii="宋体" w:eastAsia="宋体" w:hAnsi="宋体" w:cs="宋体" w:hint="eastAsia"/>
                <w:b/>
                <w:bCs/>
                <w:kern w:val="0"/>
                <w:sz w:val="44"/>
                <w:szCs w:val="44"/>
              </w:rPr>
              <w:t>部门预算一般公共预算财政拨款支出表</w:t>
            </w:r>
          </w:p>
        </w:tc>
      </w:tr>
      <w:tr w:rsidR="00EF1C1A" w:rsidRPr="00EF1C1A" w:rsidTr="00EF1C1A">
        <w:trPr>
          <w:trHeight w:val="300"/>
        </w:trPr>
        <w:tc>
          <w:tcPr>
            <w:tcW w:w="3594" w:type="pct"/>
            <w:gridSpan w:val="7"/>
            <w:tcBorders>
              <w:top w:val="nil"/>
              <w:left w:val="nil"/>
              <w:bottom w:val="nil"/>
              <w:right w:val="nil"/>
            </w:tcBorders>
            <w:shd w:val="clear" w:color="auto" w:fill="auto"/>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部门编码及名称：[414]市场监督管理部门</w:t>
            </w:r>
          </w:p>
        </w:tc>
        <w:tc>
          <w:tcPr>
            <w:tcW w:w="703" w:type="pct"/>
            <w:tcBorders>
              <w:top w:val="nil"/>
              <w:left w:val="nil"/>
              <w:bottom w:val="nil"/>
              <w:right w:val="nil"/>
            </w:tcBorders>
            <w:shd w:val="clear" w:color="auto" w:fill="auto"/>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预算年度：2017</w:t>
            </w:r>
          </w:p>
        </w:tc>
        <w:tc>
          <w:tcPr>
            <w:tcW w:w="703" w:type="pct"/>
            <w:tcBorders>
              <w:top w:val="nil"/>
              <w:left w:val="nil"/>
              <w:bottom w:val="nil"/>
              <w:right w:val="nil"/>
            </w:tcBorders>
            <w:shd w:val="clear" w:color="auto" w:fill="auto"/>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金额单位：万元</w:t>
            </w:r>
          </w:p>
        </w:tc>
      </w:tr>
      <w:tr w:rsidR="00EF1C1A" w:rsidRPr="00EF1C1A" w:rsidTr="00EF1C1A">
        <w:trPr>
          <w:trHeight w:val="300"/>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序号</w:t>
            </w:r>
          </w:p>
        </w:tc>
        <w:tc>
          <w:tcPr>
            <w:tcW w:w="2508" w:type="pct"/>
            <w:gridSpan w:val="5"/>
            <w:tcBorders>
              <w:top w:val="single" w:sz="4" w:space="0" w:color="auto"/>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科目</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合计</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基本支出</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项目支出</w:t>
            </w:r>
          </w:p>
        </w:tc>
      </w:tr>
      <w:tr w:rsidR="00EF1C1A" w:rsidRPr="00EF1C1A" w:rsidTr="00EF1C1A">
        <w:trPr>
          <w:trHeight w:val="300"/>
        </w:trPr>
        <w:tc>
          <w:tcPr>
            <w:tcW w:w="590" w:type="pct"/>
            <w:vMerge/>
            <w:tcBorders>
              <w:top w:val="single" w:sz="4" w:space="0" w:color="auto"/>
              <w:left w:val="single" w:sz="4" w:space="0" w:color="auto"/>
              <w:bottom w:val="single" w:sz="4" w:space="0" w:color="auto"/>
              <w:right w:val="single" w:sz="4" w:space="0" w:color="auto"/>
            </w:tcBorders>
            <w:vAlign w:val="center"/>
            <w:hideMark/>
          </w:tcPr>
          <w:p w:rsidR="00EF1C1A" w:rsidRPr="00EF1C1A" w:rsidRDefault="00EF1C1A" w:rsidP="00EF1C1A">
            <w:pPr>
              <w:widowControl/>
              <w:jc w:val="left"/>
              <w:rPr>
                <w:rFonts w:ascii="宋体" w:eastAsia="宋体" w:hAnsi="宋体" w:cs="宋体"/>
                <w:kern w:val="0"/>
                <w:sz w:val="18"/>
                <w:szCs w:val="18"/>
              </w:rPr>
            </w:pPr>
          </w:p>
        </w:tc>
        <w:tc>
          <w:tcPr>
            <w:tcW w:w="586" w:type="pct"/>
            <w:gridSpan w:val="4"/>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功能分类科目编码</w:t>
            </w:r>
          </w:p>
        </w:tc>
        <w:tc>
          <w:tcPr>
            <w:tcW w:w="1922"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科目名称</w:t>
            </w: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EF1C1A" w:rsidRPr="00EF1C1A" w:rsidRDefault="00EF1C1A" w:rsidP="00EF1C1A">
            <w:pPr>
              <w:widowControl/>
              <w:jc w:val="left"/>
              <w:rPr>
                <w:rFonts w:ascii="宋体" w:eastAsia="宋体" w:hAnsi="宋体" w:cs="宋体"/>
                <w:kern w:val="0"/>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F1C1A" w:rsidRPr="00EF1C1A" w:rsidRDefault="00EF1C1A" w:rsidP="00EF1C1A">
            <w:pPr>
              <w:widowControl/>
              <w:jc w:val="left"/>
              <w:rPr>
                <w:rFonts w:ascii="宋体" w:eastAsia="宋体" w:hAnsi="宋体" w:cs="宋体"/>
                <w:kern w:val="0"/>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F1C1A" w:rsidRPr="00EF1C1A" w:rsidRDefault="00EF1C1A" w:rsidP="00EF1C1A">
            <w:pPr>
              <w:widowControl/>
              <w:jc w:val="left"/>
              <w:rPr>
                <w:rFonts w:ascii="宋体" w:eastAsia="宋体" w:hAnsi="宋体" w:cs="宋体"/>
                <w:kern w:val="0"/>
                <w:sz w:val="18"/>
                <w:szCs w:val="18"/>
              </w:rPr>
            </w:pP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栏次</w:t>
            </w:r>
          </w:p>
        </w:tc>
        <w:tc>
          <w:tcPr>
            <w:tcW w:w="586" w:type="pct"/>
            <w:gridSpan w:val="4"/>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w:t>
            </w:r>
          </w:p>
        </w:tc>
        <w:tc>
          <w:tcPr>
            <w:tcW w:w="1922"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w:t>
            </w:r>
          </w:p>
        </w:tc>
        <w:tc>
          <w:tcPr>
            <w:tcW w:w="496"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w:t>
            </w:r>
          </w:p>
        </w:tc>
        <w:tc>
          <w:tcPr>
            <w:tcW w:w="703"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4</w:t>
            </w:r>
          </w:p>
        </w:tc>
        <w:tc>
          <w:tcPr>
            <w:tcW w:w="703"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5</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6</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 xml:space="preserve">　</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合计</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1896.61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1750.11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146.50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7</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一般公共服务支出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1294.81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1148.31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146.50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8</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20115</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工商行政管理事务</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1250.61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1148.31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102.30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9</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2011501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行政运行</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1148.59</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1148.31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0.28</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10</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2011502</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一般行政管理事务</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11</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2011503</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机关服务</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28.00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28.00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12</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2011504</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工商行政管理专项</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30.02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30.02</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13</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2011505</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执法办案专项</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29.00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29.00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14</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20117</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质量技术监督与检验检疫事务</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44.20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44.20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15</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2011701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行政运行</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16</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2011706</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质量技术监督行政执法及业务管理</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41.88</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41.88</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17</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2011709</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标准化管理</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18</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208</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社会保障和就业支出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346.47</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346.47</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19</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20805</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行政事业单位离退休</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345.15</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345.15</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20</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2080501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归口管理的行政单位离退休</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121.70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121.70</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21</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2080505</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机关事业单位基本养老保险缴费支出★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223.45</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223.45</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22</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20808</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抚恤</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23</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2080899</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其他优抚支出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24</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210</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医疗卫生与计划生育支出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151.71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151.71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25</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21011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行政事业单位医疗</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151.71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151.71</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26</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2101101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行政单位医疗</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66.93</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66.93</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27</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2101103</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公务员医疗补助</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84.78</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84.78</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28</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221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住房保障支出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29</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22102</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住房改革支出</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90"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30</w:t>
            </w:r>
          </w:p>
        </w:tc>
        <w:tc>
          <w:tcPr>
            <w:tcW w:w="586"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2210201</w:t>
            </w:r>
          </w:p>
        </w:tc>
        <w:tc>
          <w:tcPr>
            <w:tcW w:w="1922"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住房公积金</w:t>
            </w:r>
          </w:p>
        </w:tc>
        <w:tc>
          <w:tcPr>
            <w:tcW w:w="496"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70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bl>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tbl>
      <w:tblPr>
        <w:tblW w:w="5000" w:type="pct"/>
        <w:tblLook w:val="04A0"/>
      </w:tblPr>
      <w:tblGrid>
        <w:gridCol w:w="1005"/>
        <w:gridCol w:w="299"/>
        <w:gridCol w:w="272"/>
        <w:gridCol w:w="253"/>
        <w:gridCol w:w="115"/>
        <w:gridCol w:w="2916"/>
        <w:gridCol w:w="846"/>
        <w:gridCol w:w="1408"/>
        <w:gridCol w:w="1408"/>
      </w:tblGrid>
      <w:tr w:rsidR="0042056F" w:rsidRPr="0042056F" w:rsidTr="00EF1C1A">
        <w:trPr>
          <w:gridAfter w:val="3"/>
          <w:wAfter w:w="2156" w:type="pct"/>
          <w:trHeight w:val="435"/>
        </w:trPr>
        <w:tc>
          <w:tcPr>
            <w:tcW w:w="558" w:type="pct"/>
            <w:tcBorders>
              <w:top w:val="nil"/>
              <w:left w:val="nil"/>
              <w:bottom w:val="nil"/>
              <w:right w:val="nil"/>
            </w:tcBorders>
            <w:shd w:val="clear" w:color="auto" w:fill="auto"/>
            <w:noWrap/>
            <w:vAlign w:val="center"/>
            <w:hideMark/>
          </w:tcPr>
          <w:p w:rsidR="0042056F" w:rsidRPr="0042056F" w:rsidRDefault="0042056F" w:rsidP="0042056F">
            <w:pPr>
              <w:widowControl/>
              <w:jc w:val="left"/>
              <w:rPr>
                <w:rFonts w:ascii="Times New Roman" w:eastAsia="宋体" w:hAnsi="Times New Roman" w:cs="Times New Roman"/>
                <w:kern w:val="0"/>
                <w:sz w:val="22"/>
              </w:rPr>
            </w:pPr>
            <w:r w:rsidRPr="0042056F">
              <w:rPr>
                <w:rFonts w:ascii="黑体" w:eastAsia="黑体" w:hAnsi="黑体" w:cs="Times New Roman" w:hint="eastAsia"/>
                <w:kern w:val="0"/>
                <w:sz w:val="22"/>
              </w:rPr>
              <w:lastRenderedPageBreak/>
              <w:t>附表</w:t>
            </w:r>
            <w:r w:rsidRPr="0042056F">
              <w:rPr>
                <w:rFonts w:ascii="Times New Roman" w:eastAsia="宋体" w:hAnsi="Times New Roman" w:cs="Times New Roman"/>
                <w:kern w:val="0"/>
                <w:sz w:val="22"/>
              </w:rPr>
              <w:t>3-6</w:t>
            </w:r>
          </w:p>
        </w:tc>
        <w:tc>
          <w:tcPr>
            <w:tcW w:w="193" w:type="pct"/>
            <w:tcBorders>
              <w:top w:val="nil"/>
              <w:left w:val="nil"/>
              <w:bottom w:val="nil"/>
              <w:right w:val="nil"/>
            </w:tcBorders>
            <w:shd w:val="clear" w:color="auto" w:fill="auto"/>
            <w:noWrap/>
            <w:vAlign w:val="center"/>
            <w:hideMark/>
          </w:tcPr>
          <w:p w:rsidR="0042056F" w:rsidRPr="0042056F" w:rsidRDefault="0042056F" w:rsidP="0042056F">
            <w:pPr>
              <w:widowControl/>
              <w:jc w:val="right"/>
              <w:rPr>
                <w:rFonts w:ascii="Times New Roman" w:eastAsia="宋体" w:hAnsi="Times New Roman" w:cs="Times New Roman"/>
                <w:kern w:val="0"/>
                <w:sz w:val="22"/>
              </w:rPr>
            </w:pPr>
          </w:p>
        </w:tc>
        <w:tc>
          <w:tcPr>
            <w:tcW w:w="177" w:type="pct"/>
            <w:tcBorders>
              <w:top w:val="nil"/>
              <w:left w:val="nil"/>
              <w:bottom w:val="nil"/>
              <w:right w:val="nil"/>
            </w:tcBorders>
            <w:shd w:val="clear" w:color="auto" w:fill="auto"/>
            <w:noWrap/>
            <w:vAlign w:val="center"/>
            <w:hideMark/>
          </w:tcPr>
          <w:p w:rsidR="0042056F" w:rsidRPr="0042056F" w:rsidRDefault="0042056F" w:rsidP="0042056F">
            <w:pPr>
              <w:widowControl/>
              <w:jc w:val="right"/>
              <w:rPr>
                <w:rFonts w:ascii="Times New Roman" w:eastAsia="宋体" w:hAnsi="Times New Roman" w:cs="Times New Roman"/>
                <w:kern w:val="0"/>
                <w:sz w:val="22"/>
              </w:rPr>
            </w:pPr>
          </w:p>
        </w:tc>
        <w:tc>
          <w:tcPr>
            <w:tcW w:w="166" w:type="pct"/>
            <w:tcBorders>
              <w:top w:val="nil"/>
              <w:left w:val="nil"/>
              <w:bottom w:val="nil"/>
              <w:right w:val="nil"/>
            </w:tcBorders>
            <w:shd w:val="clear" w:color="auto" w:fill="auto"/>
            <w:noWrap/>
            <w:vAlign w:val="center"/>
            <w:hideMark/>
          </w:tcPr>
          <w:p w:rsidR="0042056F" w:rsidRPr="0042056F" w:rsidRDefault="0042056F" w:rsidP="0042056F">
            <w:pPr>
              <w:widowControl/>
              <w:jc w:val="right"/>
              <w:rPr>
                <w:rFonts w:ascii="Times New Roman" w:eastAsia="宋体" w:hAnsi="Times New Roman" w:cs="Times New Roman"/>
                <w:kern w:val="0"/>
                <w:sz w:val="22"/>
              </w:rPr>
            </w:pPr>
          </w:p>
        </w:tc>
        <w:tc>
          <w:tcPr>
            <w:tcW w:w="1751" w:type="pct"/>
            <w:gridSpan w:val="2"/>
            <w:tcBorders>
              <w:top w:val="nil"/>
              <w:left w:val="nil"/>
              <w:bottom w:val="nil"/>
              <w:right w:val="nil"/>
            </w:tcBorders>
            <w:shd w:val="clear" w:color="auto" w:fill="auto"/>
            <w:noWrap/>
            <w:vAlign w:val="center"/>
            <w:hideMark/>
          </w:tcPr>
          <w:p w:rsidR="0042056F" w:rsidRPr="0042056F" w:rsidRDefault="0042056F" w:rsidP="0042056F">
            <w:pPr>
              <w:widowControl/>
              <w:jc w:val="right"/>
              <w:rPr>
                <w:rFonts w:ascii="Times New Roman" w:eastAsia="宋体" w:hAnsi="Times New Roman" w:cs="Times New Roman"/>
                <w:kern w:val="0"/>
                <w:sz w:val="22"/>
              </w:rPr>
            </w:pPr>
          </w:p>
        </w:tc>
      </w:tr>
      <w:tr w:rsidR="00EF1C1A" w:rsidRPr="00EF1C1A" w:rsidTr="00EF1C1A">
        <w:trPr>
          <w:trHeight w:val="750"/>
        </w:trPr>
        <w:tc>
          <w:tcPr>
            <w:tcW w:w="5000" w:type="pct"/>
            <w:gridSpan w:val="9"/>
            <w:tcBorders>
              <w:top w:val="nil"/>
              <w:left w:val="nil"/>
              <w:bottom w:val="nil"/>
              <w:right w:val="nil"/>
            </w:tcBorders>
            <w:shd w:val="clear" w:color="auto" w:fill="auto"/>
            <w:vAlign w:val="center"/>
            <w:hideMark/>
          </w:tcPr>
          <w:p w:rsidR="00EF1C1A" w:rsidRDefault="00EF1C1A" w:rsidP="00EF1C1A">
            <w:pPr>
              <w:widowControl/>
              <w:jc w:val="center"/>
              <w:rPr>
                <w:rFonts w:ascii="宋体" w:eastAsia="宋体" w:hAnsi="宋体" w:cs="宋体"/>
                <w:b/>
                <w:bCs/>
                <w:kern w:val="0"/>
                <w:sz w:val="44"/>
                <w:szCs w:val="44"/>
              </w:rPr>
            </w:pPr>
            <w:r w:rsidRPr="00EF1C1A">
              <w:rPr>
                <w:rFonts w:ascii="宋体" w:eastAsia="宋体" w:hAnsi="宋体" w:cs="宋体" w:hint="eastAsia"/>
                <w:b/>
                <w:bCs/>
                <w:kern w:val="0"/>
                <w:sz w:val="44"/>
                <w:szCs w:val="44"/>
              </w:rPr>
              <w:t>部门预算一般公共预算财政拨款</w:t>
            </w:r>
          </w:p>
          <w:p w:rsidR="00EF1C1A" w:rsidRPr="00EF1C1A" w:rsidRDefault="00EF1C1A" w:rsidP="00EF1C1A">
            <w:pPr>
              <w:widowControl/>
              <w:jc w:val="center"/>
              <w:rPr>
                <w:rFonts w:ascii="宋体" w:eastAsia="宋体" w:hAnsi="宋体" w:cs="宋体"/>
                <w:b/>
                <w:bCs/>
                <w:kern w:val="0"/>
                <w:sz w:val="44"/>
                <w:szCs w:val="44"/>
              </w:rPr>
            </w:pPr>
            <w:r w:rsidRPr="00EF1C1A">
              <w:rPr>
                <w:rFonts w:ascii="宋体" w:eastAsia="宋体" w:hAnsi="宋体" w:cs="宋体" w:hint="eastAsia"/>
                <w:b/>
                <w:bCs/>
                <w:kern w:val="0"/>
                <w:sz w:val="44"/>
                <w:szCs w:val="44"/>
              </w:rPr>
              <w:t>基本支出表</w:t>
            </w:r>
          </w:p>
        </w:tc>
      </w:tr>
      <w:tr w:rsidR="00EF1C1A" w:rsidRPr="00EF1C1A" w:rsidTr="00EF1C1A">
        <w:trPr>
          <w:trHeight w:val="300"/>
        </w:trPr>
        <w:tc>
          <w:tcPr>
            <w:tcW w:w="3313" w:type="pct"/>
            <w:gridSpan w:val="7"/>
            <w:tcBorders>
              <w:top w:val="nil"/>
              <w:left w:val="nil"/>
              <w:bottom w:val="nil"/>
              <w:right w:val="nil"/>
            </w:tcBorders>
            <w:shd w:val="clear" w:color="auto" w:fill="auto"/>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部门编码及名称：[414]市场监督管理部门</w:t>
            </w:r>
          </w:p>
        </w:tc>
        <w:tc>
          <w:tcPr>
            <w:tcW w:w="843" w:type="pct"/>
            <w:tcBorders>
              <w:top w:val="nil"/>
              <w:left w:val="nil"/>
              <w:bottom w:val="nil"/>
              <w:right w:val="nil"/>
            </w:tcBorders>
            <w:shd w:val="clear" w:color="auto" w:fill="auto"/>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预算年度：2017</w:t>
            </w:r>
          </w:p>
        </w:tc>
        <w:tc>
          <w:tcPr>
            <w:tcW w:w="843" w:type="pct"/>
            <w:tcBorders>
              <w:top w:val="nil"/>
              <w:left w:val="nil"/>
              <w:bottom w:val="nil"/>
              <w:right w:val="nil"/>
            </w:tcBorders>
            <w:shd w:val="clear" w:color="auto" w:fill="auto"/>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金额单位：万元</w:t>
            </w:r>
          </w:p>
        </w:tc>
      </w:tr>
      <w:tr w:rsidR="00EF1C1A" w:rsidRPr="00EF1C1A" w:rsidTr="00EF1C1A">
        <w:trPr>
          <w:trHeight w:val="300"/>
        </w:trPr>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序号</w:t>
            </w:r>
          </w:p>
        </w:tc>
        <w:tc>
          <w:tcPr>
            <w:tcW w:w="2286" w:type="pct"/>
            <w:gridSpan w:val="5"/>
            <w:tcBorders>
              <w:top w:val="single" w:sz="4" w:space="0" w:color="auto"/>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科目</w:t>
            </w:r>
          </w:p>
        </w:tc>
        <w:tc>
          <w:tcPr>
            <w:tcW w:w="2156" w:type="pct"/>
            <w:gridSpan w:val="3"/>
            <w:tcBorders>
              <w:top w:val="single" w:sz="4" w:space="0" w:color="auto"/>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基本支出</w:t>
            </w:r>
          </w:p>
        </w:tc>
      </w:tr>
      <w:tr w:rsidR="00EF1C1A" w:rsidRPr="00EF1C1A" w:rsidTr="00EF1C1A">
        <w:trPr>
          <w:trHeight w:val="300"/>
        </w:trPr>
        <w:tc>
          <w:tcPr>
            <w:tcW w:w="558" w:type="pct"/>
            <w:vMerge/>
            <w:tcBorders>
              <w:top w:val="single" w:sz="4" w:space="0" w:color="auto"/>
              <w:left w:val="single" w:sz="4" w:space="0" w:color="auto"/>
              <w:bottom w:val="single" w:sz="4" w:space="0" w:color="auto"/>
              <w:right w:val="single" w:sz="4" w:space="0" w:color="auto"/>
            </w:tcBorders>
            <w:vAlign w:val="center"/>
            <w:hideMark/>
          </w:tcPr>
          <w:p w:rsidR="00EF1C1A" w:rsidRPr="00EF1C1A" w:rsidRDefault="00EF1C1A" w:rsidP="00EF1C1A">
            <w:pPr>
              <w:widowControl/>
              <w:jc w:val="left"/>
              <w:rPr>
                <w:rFonts w:ascii="宋体" w:eastAsia="宋体" w:hAnsi="宋体" w:cs="宋体"/>
                <w:kern w:val="0"/>
                <w:sz w:val="18"/>
                <w:szCs w:val="18"/>
              </w:rPr>
            </w:pPr>
          </w:p>
        </w:tc>
        <w:tc>
          <w:tcPr>
            <w:tcW w:w="621" w:type="pct"/>
            <w:gridSpan w:val="4"/>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经济分类科目编码</w:t>
            </w:r>
          </w:p>
        </w:tc>
        <w:tc>
          <w:tcPr>
            <w:tcW w:w="1665"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科目名称</w:t>
            </w:r>
          </w:p>
        </w:tc>
        <w:tc>
          <w:tcPr>
            <w:tcW w:w="469"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合计</w:t>
            </w:r>
          </w:p>
        </w:tc>
        <w:tc>
          <w:tcPr>
            <w:tcW w:w="843"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人员经费</w:t>
            </w:r>
          </w:p>
        </w:tc>
        <w:tc>
          <w:tcPr>
            <w:tcW w:w="843"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公用经费</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栏次</w:t>
            </w:r>
          </w:p>
        </w:tc>
        <w:tc>
          <w:tcPr>
            <w:tcW w:w="621" w:type="pct"/>
            <w:gridSpan w:val="4"/>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w:t>
            </w:r>
          </w:p>
        </w:tc>
        <w:tc>
          <w:tcPr>
            <w:tcW w:w="1665"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w:t>
            </w:r>
          </w:p>
        </w:tc>
        <w:tc>
          <w:tcPr>
            <w:tcW w:w="469"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w:t>
            </w:r>
          </w:p>
        </w:tc>
        <w:tc>
          <w:tcPr>
            <w:tcW w:w="843"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4</w:t>
            </w:r>
          </w:p>
        </w:tc>
        <w:tc>
          <w:tcPr>
            <w:tcW w:w="843" w:type="pct"/>
            <w:tcBorders>
              <w:top w:val="nil"/>
              <w:left w:val="nil"/>
              <w:bottom w:val="single" w:sz="4" w:space="0" w:color="auto"/>
              <w:right w:val="single" w:sz="4" w:space="0" w:color="auto"/>
            </w:tcBorders>
            <w:shd w:val="clear" w:color="auto" w:fill="auto"/>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5</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6</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 xml:space="preserve">　</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合计</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1750.11</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1618.68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131.43</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7</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工资福利支出</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1328.03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1328.03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8</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30101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基本工资</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433.18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433.18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9</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30102</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津贴补贴★</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381.45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381.45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10</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30103</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奖金</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27.82</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27.82</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11</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30104</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其他社会保障缴费★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154.10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154.10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12</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30107</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绩效工资</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108.03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108.03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13</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30108</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机关事业单位基本养老保险缴费★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223.45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223.45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14</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商品和服务支出</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131.43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131.43</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15</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30201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办公费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15.29</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15.29</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16</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30202</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印刷费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17</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30207</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邮电费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6.11</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6.11</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18</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30208</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取暖费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10.18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10.18</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19</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30211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差旅费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20</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30213</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维修(护)费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21</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30215</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会议费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0.50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0.50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22</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30216</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培训费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2.70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2.70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23</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30217</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公务接待费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2.15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2.15</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24</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30228</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工会经费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15.99</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15.99</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25</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30229</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福利费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10.83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10.83</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26</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30231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公务用车运行维护费★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7.80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7.80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27</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30239</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其他交通费用★</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50.04</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50.04</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28</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30299</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其他商品和服务支出</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6.84</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6.84</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29</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对个人和家庭的补助</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290.65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290.65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30</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30301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离休费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2.57</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2.57</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31</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30302</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退休费</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89.38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89.38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32</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30305</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生活补助</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1.32</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33</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30309</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奖励金</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0.55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0.55</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34</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30311</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住房公积金</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103.62</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35</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30314</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采暖补贴</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91.88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91.88</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r w:rsidR="00EF1C1A" w:rsidRPr="00EF1C1A" w:rsidTr="00EF1C1A">
        <w:trPr>
          <w:trHeight w:val="300"/>
        </w:trPr>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EF1C1A" w:rsidRPr="00EF1C1A" w:rsidRDefault="00EF1C1A" w:rsidP="00EF1C1A">
            <w:pPr>
              <w:widowControl/>
              <w:jc w:val="center"/>
              <w:rPr>
                <w:rFonts w:ascii="宋体" w:eastAsia="宋体" w:hAnsi="宋体" w:cs="宋体"/>
                <w:kern w:val="0"/>
                <w:sz w:val="18"/>
                <w:szCs w:val="18"/>
              </w:rPr>
            </w:pPr>
            <w:r w:rsidRPr="00EF1C1A">
              <w:rPr>
                <w:rFonts w:ascii="宋体" w:eastAsia="宋体" w:hAnsi="宋体" w:cs="宋体" w:hint="eastAsia"/>
                <w:kern w:val="0"/>
                <w:sz w:val="18"/>
                <w:szCs w:val="18"/>
              </w:rPr>
              <w:t>36</w:t>
            </w:r>
          </w:p>
        </w:tc>
        <w:tc>
          <w:tcPr>
            <w:tcW w:w="621" w:type="pct"/>
            <w:gridSpan w:val="4"/>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30399</w:t>
            </w:r>
          </w:p>
        </w:tc>
        <w:tc>
          <w:tcPr>
            <w:tcW w:w="1665"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left"/>
              <w:rPr>
                <w:rFonts w:ascii="宋体" w:eastAsia="宋体" w:hAnsi="宋体" w:cs="宋体"/>
                <w:kern w:val="0"/>
                <w:sz w:val="18"/>
                <w:szCs w:val="18"/>
              </w:rPr>
            </w:pPr>
            <w:r w:rsidRPr="00EF1C1A">
              <w:rPr>
                <w:rFonts w:ascii="宋体" w:eastAsia="宋体" w:hAnsi="宋体" w:cs="宋体" w:hint="eastAsia"/>
                <w:kern w:val="0"/>
                <w:sz w:val="18"/>
                <w:szCs w:val="18"/>
              </w:rPr>
              <w:t>其他对个人和家庭的补助支出</w:t>
            </w:r>
          </w:p>
        </w:tc>
        <w:tc>
          <w:tcPr>
            <w:tcW w:w="469"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1.33</w:t>
            </w:r>
          </w:p>
        </w:tc>
        <w:tc>
          <w:tcPr>
            <w:tcW w:w="843" w:type="pct"/>
            <w:tcBorders>
              <w:top w:val="nil"/>
              <w:left w:val="nil"/>
              <w:bottom w:val="single" w:sz="4" w:space="0" w:color="auto"/>
              <w:right w:val="single" w:sz="4" w:space="0" w:color="auto"/>
            </w:tcBorders>
            <w:shd w:val="clear" w:color="auto" w:fill="auto"/>
            <w:noWrap/>
            <w:vAlign w:val="center"/>
            <w:hideMark/>
          </w:tcPr>
          <w:p w:rsidR="00EF1C1A" w:rsidRPr="00EF1C1A" w:rsidRDefault="00EF1C1A" w:rsidP="00EF1C1A">
            <w:pPr>
              <w:widowControl/>
              <w:jc w:val="right"/>
              <w:rPr>
                <w:rFonts w:ascii="宋体" w:eastAsia="宋体" w:hAnsi="宋体" w:cs="宋体"/>
                <w:kern w:val="0"/>
                <w:sz w:val="18"/>
                <w:szCs w:val="18"/>
              </w:rPr>
            </w:pPr>
            <w:r w:rsidRPr="00EF1C1A">
              <w:rPr>
                <w:rFonts w:ascii="宋体" w:eastAsia="宋体" w:hAnsi="宋体" w:cs="宋体" w:hint="eastAsia"/>
                <w:kern w:val="0"/>
                <w:sz w:val="18"/>
                <w:szCs w:val="18"/>
              </w:rPr>
              <w:t>0.00</w:t>
            </w:r>
          </w:p>
        </w:tc>
      </w:tr>
    </w:tbl>
    <w:p w:rsidR="00E05273" w:rsidRDefault="00E05273" w:rsidP="009831B5">
      <w:pPr>
        <w:pStyle w:val="a5"/>
        <w:spacing w:line="360" w:lineRule="auto"/>
        <w:ind w:firstLineChars="0" w:firstLine="0"/>
        <w:jc w:val="left"/>
        <w:rPr>
          <w:sz w:val="28"/>
          <w:szCs w:val="28"/>
        </w:rPr>
      </w:pPr>
    </w:p>
    <w:tbl>
      <w:tblPr>
        <w:tblW w:w="0" w:type="auto"/>
        <w:tblInd w:w="96" w:type="dxa"/>
        <w:tblLook w:val="04A0"/>
      </w:tblPr>
      <w:tblGrid>
        <w:gridCol w:w="992"/>
        <w:gridCol w:w="992"/>
        <w:gridCol w:w="1422"/>
        <w:gridCol w:w="851"/>
        <w:gridCol w:w="1422"/>
        <w:gridCol w:w="1701"/>
      </w:tblGrid>
      <w:tr w:rsidR="005D1C48" w:rsidRPr="005D1C48" w:rsidTr="00E05273">
        <w:trPr>
          <w:trHeight w:val="420"/>
        </w:trPr>
        <w:tc>
          <w:tcPr>
            <w:tcW w:w="0" w:type="auto"/>
            <w:gridSpan w:val="2"/>
            <w:tcBorders>
              <w:top w:val="nil"/>
              <w:left w:val="nil"/>
              <w:bottom w:val="nil"/>
              <w:right w:val="nil"/>
            </w:tcBorders>
            <w:shd w:val="clear" w:color="auto" w:fill="auto"/>
            <w:noWrap/>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黑体" w:eastAsia="黑体" w:hAnsi="黑体" w:cs="Times New Roman" w:hint="eastAsia"/>
                <w:kern w:val="0"/>
                <w:sz w:val="22"/>
              </w:rPr>
              <w:lastRenderedPageBreak/>
              <w:t>附表</w:t>
            </w:r>
            <w:r w:rsidRPr="005D1C48">
              <w:rPr>
                <w:rFonts w:ascii="Times New Roman" w:eastAsia="宋体" w:hAnsi="Times New Roman" w:cs="Times New Roman"/>
                <w:kern w:val="0"/>
                <w:sz w:val="22"/>
              </w:rPr>
              <w:t>3-7</w:t>
            </w: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r>
      <w:tr w:rsidR="005D1C48" w:rsidRPr="005D1C48" w:rsidTr="00E05273">
        <w:trPr>
          <w:trHeight w:val="600"/>
        </w:trPr>
        <w:tc>
          <w:tcPr>
            <w:tcW w:w="0" w:type="auto"/>
            <w:gridSpan w:val="6"/>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方正小标宋_GBK" w:eastAsia="方正小标宋_GBK" w:hAnsi="宋体" w:cs="宋体"/>
                <w:kern w:val="0"/>
                <w:sz w:val="36"/>
                <w:szCs w:val="36"/>
              </w:rPr>
            </w:pPr>
            <w:r w:rsidRPr="005D1C48">
              <w:rPr>
                <w:rFonts w:ascii="方正小标宋_GBK" w:eastAsia="方正小标宋_GBK" w:hAnsi="宋体" w:cs="宋体" w:hint="eastAsia"/>
                <w:kern w:val="0"/>
                <w:sz w:val="36"/>
                <w:szCs w:val="36"/>
              </w:rPr>
              <w:t>部门预算政府性基金预算财政拨款支出表</w:t>
            </w:r>
          </w:p>
        </w:tc>
      </w:tr>
      <w:tr w:rsidR="005D1C48" w:rsidRPr="005D1C48" w:rsidTr="00E05273">
        <w:trPr>
          <w:trHeight w:val="300"/>
        </w:trPr>
        <w:tc>
          <w:tcPr>
            <w:tcW w:w="0" w:type="auto"/>
            <w:tcBorders>
              <w:top w:val="nil"/>
              <w:left w:val="nil"/>
              <w:bottom w:val="nil"/>
              <w:right w:val="nil"/>
            </w:tcBorders>
            <w:shd w:val="clear" w:color="000000" w:fill="FFFFFF"/>
            <w:noWrap/>
            <w:vAlign w:val="center"/>
            <w:hideMark/>
          </w:tcPr>
          <w:p w:rsidR="005D1C48" w:rsidRPr="005D1C48" w:rsidRDefault="005D1C48" w:rsidP="005D1C48">
            <w:pPr>
              <w:widowControl/>
              <w:jc w:val="left"/>
              <w:rPr>
                <w:rFonts w:ascii="Times New Roman" w:eastAsia="宋体" w:hAnsi="Times New Roman" w:cs="Times New Roman"/>
                <w:color w:val="000000"/>
                <w:kern w:val="0"/>
                <w:sz w:val="22"/>
              </w:rPr>
            </w:pPr>
            <w:r w:rsidRPr="005D1C48">
              <w:rPr>
                <w:rFonts w:ascii="Times New Roman" w:eastAsia="宋体" w:hAnsi="Times New Roman" w:cs="Times New Roman"/>
                <w:color w:val="000000"/>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noWrap/>
            <w:vAlign w:val="center"/>
            <w:hideMark/>
          </w:tcPr>
          <w:p w:rsidR="005D1C48" w:rsidRPr="005D1C48" w:rsidRDefault="005D1C48" w:rsidP="005D1C48">
            <w:pPr>
              <w:widowControl/>
              <w:jc w:val="right"/>
              <w:rPr>
                <w:rFonts w:ascii="Times New Roman" w:eastAsia="宋体" w:hAnsi="Times New Roman" w:cs="Times New Roman"/>
                <w:color w:val="000000"/>
                <w:kern w:val="0"/>
                <w:sz w:val="22"/>
              </w:rPr>
            </w:pPr>
            <w:r w:rsidRPr="005D1C48">
              <w:rPr>
                <w:rFonts w:ascii="方正仿宋_GBK" w:eastAsia="方正仿宋_GBK" w:hAnsi="Times New Roman" w:cs="Times New Roman" w:hint="eastAsia"/>
                <w:color w:val="000000"/>
                <w:kern w:val="0"/>
                <w:sz w:val="22"/>
              </w:rPr>
              <w:t>单位：万元</w:t>
            </w:r>
          </w:p>
        </w:tc>
      </w:tr>
      <w:tr w:rsidR="005D1C48" w:rsidRPr="005D1C48" w:rsidTr="00E05273">
        <w:trPr>
          <w:trHeight w:val="4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方正书宋_GBK" w:eastAsia="方正书宋_GBK" w:hAnsi="宋体" w:cs="宋体"/>
                <w:b/>
                <w:bCs/>
                <w:kern w:val="0"/>
                <w:sz w:val="22"/>
              </w:rPr>
            </w:pPr>
            <w:r w:rsidRPr="005D1C48">
              <w:rPr>
                <w:rFonts w:ascii="方正书宋_GBK" w:eastAsia="方正书宋_GBK" w:hAnsi="宋体" w:cs="宋体" w:hint="eastAsia"/>
                <w:b/>
                <w:bCs/>
                <w:kern w:val="0"/>
                <w:sz w:val="22"/>
              </w:rPr>
              <w:t>科目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方正书宋_GBK" w:eastAsia="方正书宋_GBK" w:hAnsi="宋体" w:cs="宋体"/>
                <w:b/>
                <w:bCs/>
                <w:kern w:val="0"/>
                <w:sz w:val="22"/>
              </w:rPr>
            </w:pPr>
            <w:r w:rsidRPr="005D1C48">
              <w:rPr>
                <w:rFonts w:ascii="方正书宋_GBK" w:eastAsia="方正书宋_GBK" w:hAnsi="宋体" w:cs="宋体" w:hint="eastAsia"/>
                <w:b/>
                <w:bCs/>
                <w:kern w:val="0"/>
                <w:sz w:val="22"/>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基本支出</w:t>
            </w:r>
            <w:r w:rsidRPr="005D1C48">
              <w:rPr>
                <w:rFonts w:ascii="Times New Roman" w:eastAsia="宋体" w:hAnsi="Times New Roman" w:cs="Times New Roman"/>
                <w:b/>
                <w:bCs/>
                <w:kern w:val="0"/>
                <w:sz w:val="22"/>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项目支出</w:t>
            </w:r>
          </w:p>
        </w:tc>
      </w:tr>
      <w:tr w:rsidR="005D1C48" w:rsidRPr="005D1C48" w:rsidTr="00E05273">
        <w:trPr>
          <w:trHeight w:val="54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r>
      <w:tr w:rsidR="005D1C48" w:rsidRPr="005D1C48" w:rsidTr="00E05273">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r>
      <w:tr w:rsidR="005D1C48" w:rsidRPr="005D1C48" w:rsidTr="00E05273">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r>
      <w:tr w:rsidR="005D1C48" w:rsidRPr="005D1C48" w:rsidTr="00E05273">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方正仿宋_GBK" w:eastAsia="方正仿宋_GBK" w:hAnsi="Times New Roman" w:cs="Times New Roman" w:hint="eastAsia"/>
                <w:kern w:val="0"/>
                <w:sz w:val="22"/>
              </w:rPr>
              <w:t>合计</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312"/>
        </w:trPr>
        <w:tc>
          <w:tcPr>
            <w:tcW w:w="0" w:type="auto"/>
            <w:gridSpan w:val="6"/>
            <w:tcBorders>
              <w:top w:val="single" w:sz="4" w:space="0" w:color="auto"/>
              <w:left w:val="nil"/>
              <w:bottom w:val="nil"/>
              <w:right w:val="nil"/>
            </w:tcBorders>
            <w:shd w:val="clear" w:color="auto" w:fill="auto"/>
            <w:noWrap/>
            <w:vAlign w:val="center"/>
            <w:hideMark/>
          </w:tcPr>
          <w:p w:rsidR="005D1C48" w:rsidRPr="005D1C48" w:rsidRDefault="005D1C48" w:rsidP="005D1C48">
            <w:pPr>
              <w:widowControl/>
              <w:jc w:val="left"/>
              <w:rPr>
                <w:rFonts w:ascii="宋体" w:eastAsia="宋体" w:hAnsi="宋体" w:cs="宋体"/>
                <w:kern w:val="0"/>
                <w:sz w:val="24"/>
                <w:szCs w:val="24"/>
              </w:rPr>
            </w:pPr>
            <w:r w:rsidRPr="005D1C48">
              <w:rPr>
                <w:rFonts w:ascii="宋体" w:eastAsia="宋体" w:hAnsi="宋体" w:cs="宋体" w:hint="eastAsia"/>
                <w:kern w:val="0"/>
                <w:sz w:val="24"/>
                <w:szCs w:val="24"/>
              </w:rPr>
              <w:t>没有此项公开内容</w:t>
            </w:r>
          </w:p>
        </w:tc>
      </w:tr>
    </w:tbl>
    <w:p w:rsidR="005D1C48" w:rsidRDefault="005D1C48"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F1C1A" w:rsidRDefault="00EF1C1A"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tbl>
      <w:tblPr>
        <w:tblW w:w="0" w:type="auto"/>
        <w:tblInd w:w="95" w:type="dxa"/>
        <w:tblLook w:val="04A0"/>
      </w:tblPr>
      <w:tblGrid>
        <w:gridCol w:w="992"/>
        <w:gridCol w:w="991"/>
        <w:gridCol w:w="1498"/>
        <w:gridCol w:w="896"/>
        <w:gridCol w:w="1498"/>
        <w:gridCol w:w="1793"/>
      </w:tblGrid>
      <w:tr w:rsidR="005D1C48" w:rsidRPr="005D1C48" w:rsidTr="00E05273">
        <w:trPr>
          <w:trHeight w:val="420"/>
        </w:trPr>
        <w:tc>
          <w:tcPr>
            <w:tcW w:w="0" w:type="auto"/>
            <w:gridSpan w:val="2"/>
            <w:tcBorders>
              <w:top w:val="nil"/>
              <w:left w:val="nil"/>
              <w:bottom w:val="nil"/>
              <w:right w:val="nil"/>
            </w:tcBorders>
            <w:shd w:val="clear" w:color="auto" w:fill="auto"/>
            <w:noWrap/>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黑体" w:eastAsia="黑体" w:hAnsi="黑体" w:cs="Times New Roman" w:hint="eastAsia"/>
                <w:kern w:val="0"/>
                <w:sz w:val="22"/>
              </w:rPr>
              <w:lastRenderedPageBreak/>
              <w:t>附表</w:t>
            </w:r>
            <w:r w:rsidRPr="005D1C48">
              <w:rPr>
                <w:rFonts w:ascii="Times New Roman" w:eastAsia="宋体" w:hAnsi="Times New Roman" w:cs="Times New Roman"/>
                <w:kern w:val="0"/>
                <w:sz w:val="22"/>
              </w:rPr>
              <w:t>3-8</w:t>
            </w: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r>
      <w:tr w:rsidR="005D1C48" w:rsidRPr="005D1C48" w:rsidTr="00E05273">
        <w:trPr>
          <w:trHeight w:val="600"/>
        </w:trPr>
        <w:tc>
          <w:tcPr>
            <w:tcW w:w="0" w:type="auto"/>
            <w:gridSpan w:val="6"/>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方正小标宋_GBK" w:eastAsia="方正小标宋_GBK" w:hAnsi="宋体" w:cs="宋体"/>
                <w:kern w:val="0"/>
                <w:sz w:val="36"/>
                <w:szCs w:val="36"/>
              </w:rPr>
            </w:pPr>
            <w:r w:rsidRPr="005D1C48">
              <w:rPr>
                <w:rFonts w:ascii="方正小标宋_GBK" w:eastAsia="方正小标宋_GBK" w:hAnsi="宋体" w:cs="宋体" w:hint="eastAsia"/>
                <w:kern w:val="0"/>
                <w:sz w:val="36"/>
                <w:szCs w:val="36"/>
              </w:rPr>
              <w:t>部门预算国有资本经营预算财政拨款支出表</w:t>
            </w:r>
          </w:p>
        </w:tc>
      </w:tr>
      <w:tr w:rsidR="005D1C48" w:rsidRPr="005D1C48" w:rsidTr="00E05273">
        <w:trPr>
          <w:trHeight w:val="300"/>
        </w:trPr>
        <w:tc>
          <w:tcPr>
            <w:tcW w:w="0" w:type="auto"/>
            <w:tcBorders>
              <w:top w:val="nil"/>
              <w:left w:val="nil"/>
              <w:bottom w:val="nil"/>
              <w:right w:val="nil"/>
            </w:tcBorders>
            <w:shd w:val="clear" w:color="000000" w:fill="FFFFFF"/>
            <w:noWrap/>
            <w:vAlign w:val="center"/>
            <w:hideMark/>
          </w:tcPr>
          <w:p w:rsidR="005D1C48" w:rsidRPr="005D1C48" w:rsidRDefault="005D1C48" w:rsidP="005D1C48">
            <w:pPr>
              <w:widowControl/>
              <w:jc w:val="left"/>
              <w:rPr>
                <w:rFonts w:ascii="Times New Roman" w:eastAsia="宋体" w:hAnsi="Times New Roman" w:cs="Times New Roman"/>
                <w:color w:val="000000"/>
                <w:kern w:val="0"/>
                <w:sz w:val="22"/>
              </w:rPr>
            </w:pPr>
            <w:r w:rsidRPr="005D1C48">
              <w:rPr>
                <w:rFonts w:ascii="Times New Roman" w:eastAsia="宋体" w:hAnsi="Times New Roman" w:cs="Times New Roman"/>
                <w:color w:val="000000"/>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noWrap/>
            <w:vAlign w:val="center"/>
            <w:hideMark/>
          </w:tcPr>
          <w:p w:rsidR="005D1C48" w:rsidRPr="005D1C48" w:rsidRDefault="005D1C48" w:rsidP="005D1C48">
            <w:pPr>
              <w:widowControl/>
              <w:jc w:val="right"/>
              <w:rPr>
                <w:rFonts w:ascii="Times New Roman" w:eastAsia="宋体" w:hAnsi="Times New Roman" w:cs="Times New Roman"/>
                <w:color w:val="000000"/>
                <w:kern w:val="0"/>
                <w:sz w:val="22"/>
              </w:rPr>
            </w:pPr>
            <w:r w:rsidRPr="005D1C48">
              <w:rPr>
                <w:rFonts w:ascii="方正仿宋_GBK" w:eastAsia="方正仿宋_GBK" w:hAnsi="Times New Roman" w:cs="Times New Roman" w:hint="eastAsia"/>
                <w:color w:val="000000"/>
                <w:kern w:val="0"/>
                <w:sz w:val="22"/>
              </w:rPr>
              <w:t>单位：万元</w:t>
            </w:r>
          </w:p>
        </w:tc>
      </w:tr>
      <w:tr w:rsidR="005D1C48" w:rsidRPr="005D1C48" w:rsidTr="00E05273">
        <w:trPr>
          <w:trHeight w:val="4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方正书宋_GBK" w:eastAsia="方正书宋_GBK" w:hAnsi="宋体" w:cs="宋体"/>
                <w:b/>
                <w:bCs/>
                <w:kern w:val="0"/>
                <w:sz w:val="22"/>
              </w:rPr>
            </w:pPr>
            <w:r w:rsidRPr="005D1C48">
              <w:rPr>
                <w:rFonts w:ascii="方正书宋_GBK" w:eastAsia="方正书宋_GBK" w:hAnsi="宋体" w:cs="宋体" w:hint="eastAsia"/>
                <w:b/>
                <w:bCs/>
                <w:kern w:val="0"/>
                <w:sz w:val="22"/>
              </w:rPr>
              <w:t>科目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方正书宋_GBK" w:eastAsia="方正书宋_GBK" w:hAnsi="宋体" w:cs="宋体"/>
                <w:b/>
                <w:bCs/>
                <w:kern w:val="0"/>
                <w:sz w:val="22"/>
              </w:rPr>
            </w:pPr>
            <w:r w:rsidRPr="005D1C48">
              <w:rPr>
                <w:rFonts w:ascii="方正书宋_GBK" w:eastAsia="方正书宋_GBK" w:hAnsi="宋体" w:cs="宋体" w:hint="eastAsia"/>
                <w:b/>
                <w:bCs/>
                <w:kern w:val="0"/>
                <w:sz w:val="22"/>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基本支出</w:t>
            </w:r>
            <w:r w:rsidRPr="005D1C48">
              <w:rPr>
                <w:rFonts w:ascii="Times New Roman" w:eastAsia="宋体" w:hAnsi="Times New Roman" w:cs="Times New Roman"/>
                <w:b/>
                <w:bCs/>
                <w:kern w:val="0"/>
                <w:sz w:val="22"/>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项目支出</w:t>
            </w:r>
          </w:p>
        </w:tc>
      </w:tr>
      <w:tr w:rsidR="005D1C48" w:rsidRPr="005D1C48" w:rsidTr="00E05273">
        <w:trPr>
          <w:trHeight w:val="54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b/>
                <w:bCs/>
                <w:kern w:val="0"/>
                <w:sz w:val="22"/>
              </w:rPr>
            </w:pPr>
            <w:r w:rsidRPr="005D1C48">
              <w:rPr>
                <w:rFonts w:ascii="方正书宋_GBK" w:eastAsia="方正书宋_GBK" w:hAnsi="Times New Roman" w:cs="Times New Roman" w:hint="eastAsia"/>
                <w:b/>
                <w:bCs/>
                <w:kern w:val="0"/>
                <w:sz w:val="22"/>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r>
      <w:tr w:rsidR="005D1C48" w:rsidRPr="005D1C48" w:rsidTr="00E05273">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r>
      <w:tr w:rsidR="005D1C48" w:rsidRPr="005D1C48" w:rsidTr="00E05273">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C48" w:rsidRPr="005D1C48" w:rsidRDefault="005D1C48" w:rsidP="005D1C48">
            <w:pPr>
              <w:widowControl/>
              <w:jc w:val="left"/>
              <w:rPr>
                <w:rFonts w:ascii="Times New Roman" w:eastAsia="宋体" w:hAnsi="Times New Roman" w:cs="Times New Roman"/>
                <w:b/>
                <w:bCs/>
                <w:kern w:val="0"/>
                <w:sz w:val="22"/>
              </w:rPr>
            </w:pPr>
          </w:p>
        </w:tc>
      </w:tr>
      <w:tr w:rsidR="005D1C48" w:rsidRPr="005D1C48" w:rsidTr="00E05273">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方正仿宋_GBK" w:eastAsia="方正仿宋_GBK" w:hAnsi="Times New Roman" w:cs="Times New Roman" w:hint="eastAsia"/>
                <w:kern w:val="0"/>
                <w:sz w:val="22"/>
              </w:rPr>
              <w:t>合计</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312"/>
        </w:trPr>
        <w:tc>
          <w:tcPr>
            <w:tcW w:w="0" w:type="auto"/>
            <w:gridSpan w:val="6"/>
            <w:tcBorders>
              <w:top w:val="single" w:sz="4" w:space="0" w:color="auto"/>
              <w:left w:val="nil"/>
              <w:bottom w:val="nil"/>
              <w:right w:val="nil"/>
            </w:tcBorders>
            <w:shd w:val="clear" w:color="auto" w:fill="auto"/>
            <w:noWrap/>
            <w:vAlign w:val="center"/>
            <w:hideMark/>
          </w:tcPr>
          <w:p w:rsidR="005D1C48" w:rsidRPr="005D1C48" w:rsidRDefault="005D1C48" w:rsidP="005D1C48">
            <w:pPr>
              <w:widowControl/>
              <w:jc w:val="left"/>
              <w:rPr>
                <w:rFonts w:ascii="宋体" w:eastAsia="宋体" w:hAnsi="宋体" w:cs="宋体"/>
                <w:kern w:val="0"/>
                <w:sz w:val="24"/>
                <w:szCs w:val="24"/>
              </w:rPr>
            </w:pPr>
            <w:r w:rsidRPr="005D1C48">
              <w:rPr>
                <w:rFonts w:ascii="宋体" w:eastAsia="宋体" w:hAnsi="宋体" w:cs="宋体" w:hint="eastAsia"/>
                <w:kern w:val="0"/>
                <w:sz w:val="24"/>
                <w:szCs w:val="24"/>
              </w:rPr>
              <w:t>没有此项公开内容</w:t>
            </w:r>
          </w:p>
        </w:tc>
      </w:tr>
    </w:tbl>
    <w:p w:rsidR="00D72B82" w:rsidRDefault="00D72B82"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Pr="00EF1C1A" w:rsidRDefault="00E05273" w:rsidP="009831B5">
      <w:pPr>
        <w:pStyle w:val="a5"/>
        <w:spacing w:line="360" w:lineRule="auto"/>
        <w:ind w:firstLineChars="0" w:firstLine="0"/>
        <w:jc w:val="left"/>
        <w:rPr>
          <w:sz w:val="22"/>
        </w:rPr>
      </w:pPr>
    </w:p>
    <w:p w:rsidR="00E05273" w:rsidRDefault="00E05273" w:rsidP="009831B5">
      <w:pPr>
        <w:pStyle w:val="a5"/>
        <w:spacing w:line="360" w:lineRule="auto"/>
        <w:ind w:firstLineChars="0" w:firstLine="0"/>
        <w:jc w:val="left"/>
        <w:rPr>
          <w:sz w:val="22"/>
        </w:rPr>
      </w:pPr>
    </w:p>
    <w:p w:rsidR="00EF1C1A" w:rsidRPr="00EF1C1A" w:rsidRDefault="00EF1C1A" w:rsidP="009831B5">
      <w:pPr>
        <w:pStyle w:val="a5"/>
        <w:spacing w:line="360" w:lineRule="auto"/>
        <w:ind w:firstLineChars="0" w:firstLine="0"/>
        <w:jc w:val="left"/>
        <w:rPr>
          <w:sz w:val="22"/>
        </w:rPr>
      </w:pPr>
    </w:p>
    <w:p w:rsidR="00E05273" w:rsidRDefault="00E05273" w:rsidP="009831B5">
      <w:pPr>
        <w:pStyle w:val="a5"/>
        <w:spacing w:line="360" w:lineRule="auto"/>
        <w:ind w:firstLineChars="0" w:firstLine="0"/>
        <w:jc w:val="left"/>
        <w:rPr>
          <w:sz w:val="28"/>
          <w:szCs w:val="28"/>
        </w:rPr>
      </w:pPr>
    </w:p>
    <w:tbl>
      <w:tblPr>
        <w:tblW w:w="0" w:type="auto"/>
        <w:tblInd w:w="95" w:type="dxa"/>
        <w:tblLook w:val="04A0"/>
      </w:tblPr>
      <w:tblGrid>
        <w:gridCol w:w="2177"/>
        <w:gridCol w:w="637"/>
        <w:gridCol w:w="1757"/>
        <w:gridCol w:w="1557"/>
        <w:gridCol w:w="2299"/>
      </w:tblGrid>
      <w:tr w:rsidR="005D1C48" w:rsidRPr="005D1C48" w:rsidTr="00E05273">
        <w:trPr>
          <w:trHeight w:val="288"/>
        </w:trPr>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left"/>
              <w:rPr>
                <w:rFonts w:ascii="Times New Roman" w:eastAsia="宋体" w:hAnsi="Times New Roman" w:cs="Times New Roman"/>
                <w:kern w:val="0"/>
                <w:sz w:val="22"/>
              </w:rPr>
            </w:pPr>
            <w:bookmarkStart w:id="2" w:name="RANGE!A1:E12"/>
            <w:r w:rsidRPr="005D1C48">
              <w:rPr>
                <w:rFonts w:ascii="黑体" w:eastAsia="黑体" w:hAnsi="黑体" w:cs="Times New Roman" w:hint="eastAsia"/>
                <w:kern w:val="0"/>
                <w:sz w:val="22"/>
              </w:rPr>
              <w:lastRenderedPageBreak/>
              <w:t>附表</w:t>
            </w:r>
            <w:r w:rsidRPr="005D1C48">
              <w:rPr>
                <w:rFonts w:ascii="Times New Roman" w:eastAsia="宋体" w:hAnsi="Times New Roman" w:cs="Times New Roman"/>
                <w:kern w:val="0"/>
                <w:sz w:val="22"/>
              </w:rPr>
              <w:t>3-9</w:t>
            </w:r>
            <w:bookmarkEnd w:id="2"/>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c>
          <w:tcPr>
            <w:tcW w:w="0" w:type="auto"/>
            <w:tcBorders>
              <w:top w:val="nil"/>
              <w:left w:val="nil"/>
              <w:bottom w:val="nil"/>
              <w:right w:val="nil"/>
            </w:tcBorders>
            <w:shd w:val="clear" w:color="auto" w:fill="auto"/>
            <w:noWrap/>
            <w:vAlign w:val="center"/>
            <w:hideMark/>
          </w:tcPr>
          <w:p w:rsidR="005D1C48" w:rsidRPr="005D1C48" w:rsidRDefault="005D1C48" w:rsidP="005D1C48">
            <w:pPr>
              <w:widowControl/>
              <w:jc w:val="right"/>
              <w:rPr>
                <w:rFonts w:ascii="Times New Roman" w:eastAsia="宋体" w:hAnsi="Times New Roman" w:cs="Times New Roman"/>
                <w:kern w:val="0"/>
                <w:sz w:val="22"/>
              </w:rPr>
            </w:pPr>
          </w:p>
        </w:tc>
      </w:tr>
      <w:tr w:rsidR="005D1C48" w:rsidRPr="005D1C48" w:rsidTr="00E05273">
        <w:trPr>
          <w:trHeight w:val="600"/>
        </w:trPr>
        <w:tc>
          <w:tcPr>
            <w:tcW w:w="0" w:type="auto"/>
            <w:gridSpan w:val="5"/>
            <w:tcBorders>
              <w:top w:val="nil"/>
              <w:left w:val="nil"/>
              <w:bottom w:val="nil"/>
              <w:right w:val="nil"/>
            </w:tcBorders>
            <w:shd w:val="clear" w:color="000000" w:fill="FFFFFF"/>
            <w:vAlign w:val="center"/>
            <w:hideMark/>
          </w:tcPr>
          <w:p w:rsidR="005D1C48" w:rsidRPr="005D1C48" w:rsidRDefault="005D1C48" w:rsidP="005D1C48">
            <w:pPr>
              <w:widowControl/>
              <w:jc w:val="center"/>
              <w:rPr>
                <w:rFonts w:ascii="方正小标宋_GBK" w:eastAsia="方正小标宋_GBK" w:hAnsi="宋体" w:cs="宋体"/>
                <w:kern w:val="0"/>
                <w:sz w:val="36"/>
                <w:szCs w:val="36"/>
              </w:rPr>
            </w:pPr>
            <w:r w:rsidRPr="005D1C48">
              <w:rPr>
                <w:rFonts w:ascii="方正小标宋_GBK" w:eastAsia="方正小标宋_GBK" w:hAnsi="宋体" w:cs="宋体" w:hint="eastAsia"/>
                <w:kern w:val="0"/>
                <w:sz w:val="36"/>
                <w:szCs w:val="36"/>
              </w:rPr>
              <w:t>部门预算财政拨款“三公”经费支出表</w:t>
            </w:r>
          </w:p>
        </w:tc>
      </w:tr>
      <w:tr w:rsidR="005D1C48" w:rsidRPr="005D1C48" w:rsidTr="00E05273">
        <w:trPr>
          <w:trHeight w:val="300"/>
        </w:trPr>
        <w:tc>
          <w:tcPr>
            <w:tcW w:w="0" w:type="auto"/>
            <w:tcBorders>
              <w:top w:val="nil"/>
              <w:left w:val="nil"/>
              <w:bottom w:val="nil"/>
              <w:right w:val="nil"/>
            </w:tcBorders>
            <w:shd w:val="clear" w:color="000000" w:fill="FFFFFF"/>
            <w:noWrap/>
            <w:vAlign w:val="center"/>
            <w:hideMark/>
          </w:tcPr>
          <w:p w:rsidR="005D1C48" w:rsidRPr="005D1C48" w:rsidRDefault="005D1C48" w:rsidP="005D1C48">
            <w:pPr>
              <w:widowControl/>
              <w:jc w:val="left"/>
              <w:rPr>
                <w:rFonts w:ascii="Times New Roman" w:eastAsia="宋体" w:hAnsi="Times New Roman" w:cs="Times New Roman"/>
                <w:color w:val="000000"/>
                <w:kern w:val="0"/>
                <w:sz w:val="22"/>
              </w:rPr>
            </w:pPr>
            <w:r w:rsidRPr="005D1C48">
              <w:rPr>
                <w:rFonts w:ascii="Times New Roman" w:eastAsia="宋体" w:hAnsi="Times New Roman" w:cs="Times New Roman"/>
                <w:color w:val="000000"/>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vAlign w:val="center"/>
            <w:hideMark/>
          </w:tcPr>
          <w:p w:rsidR="005D1C48" w:rsidRPr="005D1C48" w:rsidRDefault="005D1C48" w:rsidP="005D1C48">
            <w:pPr>
              <w:widowControl/>
              <w:jc w:val="left"/>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nil"/>
              <w:right w:val="nil"/>
            </w:tcBorders>
            <w:shd w:val="clear" w:color="000000" w:fill="FFFFFF"/>
            <w:noWrap/>
            <w:vAlign w:val="center"/>
            <w:hideMark/>
          </w:tcPr>
          <w:p w:rsidR="005D1C48" w:rsidRPr="005D1C48" w:rsidRDefault="005D1C48" w:rsidP="005D1C48">
            <w:pPr>
              <w:widowControl/>
              <w:jc w:val="right"/>
              <w:rPr>
                <w:rFonts w:ascii="Times New Roman" w:eastAsia="宋体" w:hAnsi="Times New Roman" w:cs="Times New Roman"/>
                <w:color w:val="000000"/>
                <w:kern w:val="0"/>
                <w:sz w:val="22"/>
              </w:rPr>
            </w:pPr>
            <w:r w:rsidRPr="005D1C48">
              <w:rPr>
                <w:rFonts w:ascii="方正仿宋_GBK" w:eastAsia="方正仿宋_GBK" w:hAnsi="Times New Roman" w:cs="Times New Roman" w:hint="eastAsia"/>
                <w:color w:val="000000"/>
                <w:kern w:val="0"/>
                <w:sz w:val="22"/>
              </w:rPr>
              <w:t>单位：万元</w:t>
            </w:r>
          </w:p>
        </w:tc>
      </w:tr>
      <w:tr w:rsidR="005D1C48" w:rsidRPr="005D1C48" w:rsidTr="00E05273">
        <w:trPr>
          <w:trHeight w:val="6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C48" w:rsidRPr="005D1C48" w:rsidRDefault="005D1C48" w:rsidP="005D1C48">
            <w:pPr>
              <w:widowControl/>
              <w:jc w:val="center"/>
              <w:rPr>
                <w:rFonts w:ascii="方正书宋_GBK" w:eastAsia="方正书宋_GBK" w:hAnsi="宋体" w:cs="宋体"/>
                <w:b/>
                <w:bCs/>
                <w:kern w:val="0"/>
                <w:sz w:val="22"/>
              </w:rPr>
            </w:pPr>
            <w:r w:rsidRPr="005D1C48">
              <w:rPr>
                <w:rFonts w:ascii="方正书宋_GBK" w:eastAsia="方正书宋_GBK" w:hAnsi="宋体" w:cs="宋体" w:hint="eastAsia"/>
                <w:b/>
                <w:bCs/>
                <w:kern w:val="0"/>
                <w:sz w:val="22"/>
              </w:rPr>
              <w:t>项目</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5D1C48" w:rsidRPr="005D1C48" w:rsidRDefault="005D1C48" w:rsidP="005D1C48">
            <w:pPr>
              <w:widowControl/>
              <w:jc w:val="center"/>
              <w:rPr>
                <w:rFonts w:ascii="宋体" w:eastAsia="宋体" w:hAnsi="宋体" w:cs="宋体"/>
                <w:b/>
                <w:bCs/>
                <w:kern w:val="0"/>
                <w:sz w:val="22"/>
              </w:rPr>
            </w:pPr>
            <w:r w:rsidRPr="005D1C48">
              <w:rPr>
                <w:rFonts w:ascii="宋体" w:eastAsia="宋体" w:hAnsi="宋体" w:cs="宋体" w:hint="eastAsia"/>
                <w:b/>
                <w:bCs/>
                <w:kern w:val="0"/>
                <w:sz w:val="22"/>
              </w:rPr>
              <w:t>资金来源</w:t>
            </w:r>
          </w:p>
        </w:tc>
      </w:tr>
      <w:tr w:rsidR="005D1C48" w:rsidRPr="005D1C48" w:rsidTr="00E05273">
        <w:trPr>
          <w:trHeight w:val="8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D1C48" w:rsidRPr="005D1C48" w:rsidRDefault="005D1C48" w:rsidP="005D1C48">
            <w:pPr>
              <w:widowControl/>
              <w:jc w:val="left"/>
              <w:rPr>
                <w:rFonts w:ascii="方正书宋_GBK" w:eastAsia="方正书宋_GBK" w:hAnsi="宋体" w:cs="宋体"/>
                <w:b/>
                <w:bCs/>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宋体" w:eastAsia="宋体" w:hAnsi="宋体" w:cs="宋体"/>
                <w:b/>
                <w:bCs/>
                <w:kern w:val="0"/>
                <w:sz w:val="22"/>
              </w:rPr>
            </w:pPr>
            <w:r w:rsidRPr="005D1C48">
              <w:rPr>
                <w:rFonts w:ascii="宋体" w:eastAsia="宋体" w:hAnsi="宋体" w:cs="宋体" w:hint="eastAsia"/>
                <w:b/>
                <w:bCs/>
                <w:kern w:val="0"/>
                <w:sz w:val="22"/>
              </w:rPr>
              <w:t>合计</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方正书宋_GBK" w:eastAsia="方正书宋_GBK" w:hAnsi="宋体" w:cs="宋体"/>
                <w:b/>
                <w:bCs/>
                <w:kern w:val="0"/>
                <w:sz w:val="22"/>
              </w:rPr>
            </w:pPr>
            <w:r w:rsidRPr="005D1C48">
              <w:rPr>
                <w:rFonts w:ascii="方正书宋_GBK" w:eastAsia="方正书宋_GBK" w:hAnsi="宋体" w:cs="宋体" w:hint="eastAsia"/>
                <w:b/>
                <w:bCs/>
                <w:kern w:val="0"/>
                <w:sz w:val="22"/>
              </w:rPr>
              <w:t>一般公共预算财政拨款</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宋体" w:eastAsia="宋体" w:hAnsi="宋体" w:cs="宋体"/>
                <w:b/>
                <w:bCs/>
                <w:kern w:val="0"/>
                <w:sz w:val="22"/>
              </w:rPr>
            </w:pPr>
            <w:r w:rsidRPr="005D1C48">
              <w:rPr>
                <w:rFonts w:ascii="宋体" w:eastAsia="宋体" w:hAnsi="宋体" w:cs="宋体" w:hint="eastAsia"/>
                <w:b/>
                <w:bCs/>
                <w:kern w:val="0"/>
                <w:sz w:val="22"/>
              </w:rPr>
              <w:t>政府性基金财政拨款</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宋体" w:eastAsia="宋体" w:hAnsi="宋体" w:cs="宋体"/>
                <w:b/>
                <w:bCs/>
                <w:kern w:val="0"/>
                <w:sz w:val="22"/>
              </w:rPr>
            </w:pPr>
            <w:r w:rsidRPr="005D1C48">
              <w:rPr>
                <w:rFonts w:ascii="宋体" w:eastAsia="宋体" w:hAnsi="宋体" w:cs="宋体" w:hint="eastAsia"/>
                <w:b/>
                <w:bCs/>
                <w:kern w:val="0"/>
                <w:sz w:val="22"/>
              </w:rPr>
              <w:t>国有资本经营预算财政拨款</w:t>
            </w:r>
          </w:p>
        </w:tc>
      </w:tr>
      <w:tr w:rsidR="005D1C48" w:rsidRPr="005D1C48" w:rsidTr="00E052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方正仿宋_GBK" w:eastAsia="方正仿宋_GBK" w:hAnsi="宋体" w:cs="宋体"/>
                <w:kern w:val="0"/>
                <w:sz w:val="22"/>
              </w:rPr>
            </w:pPr>
            <w:r w:rsidRPr="005D1C48">
              <w:rPr>
                <w:rFonts w:ascii="方正仿宋_GBK" w:eastAsia="方正仿宋_GBK" w:hAnsi="宋体" w:cs="宋体" w:hint="eastAsia"/>
                <w:kern w:val="0"/>
                <w:sz w:val="22"/>
              </w:rPr>
              <w:t>合计</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8.75</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8.75</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方正仿宋_GBK" w:eastAsia="方正仿宋_GBK" w:hAnsi="宋体" w:cs="宋体"/>
                <w:kern w:val="0"/>
                <w:sz w:val="22"/>
              </w:rPr>
            </w:pPr>
            <w:r w:rsidRPr="005D1C48">
              <w:rPr>
                <w:rFonts w:ascii="方正仿宋_GBK" w:eastAsia="方正仿宋_GBK" w:hAnsi="宋体" w:cs="宋体" w:hint="eastAsia"/>
                <w:kern w:val="0"/>
                <w:sz w:val="22"/>
              </w:rPr>
              <w:t>一、因公出国（境）费</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方正仿宋_GBK" w:eastAsia="方正仿宋_GBK" w:hAnsi="宋体" w:cs="宋体"/>
                <w:kern w:val="0"/>
                <w:sz w:val="22"/>
              </w:rPr>
            </w:pPr>
            <w:r w:rsidRPr="005D1C48">
              <w:rPr>
                <w:rFonts w:ascii="方正仿宋_GBK" w:eastAsia="方正仿宋_GBK" w:hAnsi="宋体" w:cs="宋体" w:hint="eastAsia"/>
                <w:kern w:val="0"/>
                <w:sz w:val="22"/>
              </w:rPr>
              <w:t>二、公务用车购置及运行费</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6.6</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6.6</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方正仿宋_GBK" w:eastAsia="方正仿宋_GBK" w:hAnsi="宋体" w:cs="宋体"/>
                <w:kern w:val="0"/>
                <w:sz w:val="22"/>
              </w:rPr>
            </w:pPr>
            <w:r w:rsidRPr="005D1C48">
              <w:rPr>
                <w:rFonts w:ascii="方正仿宋_GBK" w:eastAsia="方正仿宋_GBK" w:hAnsi="宋体" w:cs="宋体" w:hint="eastAsia"/>
                <w:kern w:val="0"/>
                <w:sz w:val="22"/>
              </w:rPr>
              <w:t>其中：公务用车购置费</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方正仿宋_GBK" w:eastAsia="方正仿宋_GBK" w:hAnsi="宋体" w:cs="宋体"/>
                <w:kern w:val="0"/>
                <w:sz w:val="22"/>
              </w:rPr>
            </w:pPr>
            <w:r w:rsidRPr="005D1C48">
              <w:rPr>
                <w:rFonts w:ascii="方正仿宋_GBK" w:eastAsia="方正仿宋_GBK" w:hAnsi="宋体" w:cs="宋体" w:hint="eastAsia"/>
                <w:kern w:val="0"/>
                <w:sz w:val="22"/>
              </w:rPr>
              <w:t xml:space="preserve">       公务用车运行费</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6.6</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6.6</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r w:rsidR="005D1C48" w:rsidRPr="005D1C48" w:rsidTr="00E052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D1C48" w:rsidRPr="005D1C48" w:rsidRDefault="005D1C48" w:rsidP="005D1C48">
            <w:pPr>
              <w:widowControl/>
              <w:jc w:val="left"/>
              <w:rPr>
                <w:rFonts w:ascii="方正仿宋_GBK" w:eastAsia="方正仿宋_GBK" w:hAnsi="宋体" w:cs="宋体"/>
                <w:kern w:val="0"/>
                <w:sz w:val="22"/>
              </w:rPr>
            </w:pPr>
            <w:r w:rsidRPr="005D1C48">
              <w:rPr>
                <w:rFonts w:ascii="方正仿宋_GBK" w:eastAsia="方正仿宋_GBK" w:hAnsi="宋体" w:cs="宋体" w:hint="eastAsia"/>
                <w:kern w:val="0"/>
                <w:sz w:val="22"/>
              </w:rPr>
              <w:t>三、公务接待费</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2.15</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1204AC" w:rsidP="005D1C4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2.15</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D1C48" w:rsidRPr="005D1C48" w:rsidRDefault="005D1C48" w:rsidP="005D1C48">
            <w:pPr>
              <w:widowControl/>
              <w:jc w:val="center"/>
              <w:rPr>
                <w:rFonts w:ascii="Times New Roman" w:eastAsia="宋体" w:hAnsi="Times New Roman" w:cs="Times New Roman"/>
                <w:kern w:val="0"/>
                <w:sz w:val="22"/>
              </w:rPr>
            </w:pPr>
            <w:r w:rsidRPr="005D1C48">
              <w:rPr>
                <w:rFonts w:ascii="Times New Roman" w:eastAsia="宋体" w:hAnsi="Times New Roman" w:cs="Times New Roman"/>
                <w:kern w:val="0"/>
                <w:sz w:val="22"/>
              </w:rPr>
              <w:t xml:space="preserve">　</w:t>
            </w:r>
          </w:p>
        </w:tc>
      </w:tr>
    </w:tbl>
    <w:p w:rsidR="00D72B82" w:rsidRDefault="00D72B82"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C550CE" w:rsidRDefault="00C550CE" w:rsidP="009831B5">
      <w:pPr>
        <w:pStyle w:val="a5"/>
        <w:spacing w:line="360" w:lineRule="auto"/>
        <w:ind w:firstLineChars="0" w:firstLine="0"/>
        <w:jc w:val="left"/>
        <w:rPr>
          <w:sz w:val="28"/>
          <w:szCs w:val="28"/>
        </w:rPr>
      </w:pPr>
    </w:p>
    <w:p w:rsidR="00E05273" w:rsidRDefault="00E05273" w:rsidP="009831B5">
      <w:pPr>
        <w:pStyle w:val="a5"/>
        <w:spacing w:line="360" w:lineRule="auto"/>
        <w:ind w:firstLineChars="0" w:firstLine="0"/>
        <w:jc w:val="left"/>
        <w:rPr>
          <w:sz w:val="28"/>
          <w:szCs w:val="28"/>
        </w:rPr>
      </w:pPr>
    </w:p>
    <w:p w:rsidR="00D72B82" w:rsidRPr="00D72B82" w:rsidRDefault="00D72B82" w:rsidP="009831B5">
      <w:pPr>
        <w:pStyle w:val="a5"/>
        <w:spacing w:line="360" w:lineRule="auto"/>
        <w:ind w:firstLineChars="0" w:firstLine="0"/>
        <w:jc w:val="left"/>
        <w:rPr>
          <w:b/>
          <w:sz w:val="28"/>
          <w:szCs w:val="28"/>
        </w:rPr>
      </w:pPr>
      <w:r w:rsidRPr="00D72B82">
        <w:rPr>
          <w:rFonts w:hint="eastAsia"/>
          <w:b/>
          <w:sz w:val="28"/>
          <w:szCs w:val="28"/>
        </w:rPr>
        <w:lastRenderedPageBreak/>
        <w:t>4.</w:t>
      </w:r>
      <w:r w:rsidRPr="00D72B82">
        <w:rPr>
          <w:rFonts w:hint="eastAsia"/>
          <w:b/>
          <w:sz w:val="28"/>
          <w:szCs w:val="28"/>
        </w:rPr>
        <w:t>绩效预算信息</w:t>
      </w:r>
    </w:p>
    <w:p w:rsidR="00F7028E" w:rsidRPr="00F7028E" w:rsidRDefault="00F7028E" w:rsidP="009831B5">
      <w:pPr>
        <w:pStyle w:val="a5"/>
        <w:spacing w:line="360" w:lineRule="auto"/>
        <w:ind w:firstLine="560"/>
        <w:jc w:val="left"/>
        <w:rPr>
          <w:sz w:val="28"/>
          <w:szCs w:val="28"/>
        </w:rPr>
      </w:pPr>
      <w:r w:rsidRPr="00F7028E">
        <w:rPr>
          <w:rFonts w:hint="eastAsia"/>
          <w:sz w:val="28"/>
          <w:szCs w:val="28"/>
        </w:rPr>
        <w:t>总体目标：</w:t>
      </w:r>
    </w:p>
    <w:p w:rsidR="00D72B82" w:rsidRDefault="000D7BAE" w:rsidP="000D7BAE">
      <w:pPr>
        <w:pStyle w:val="a5"/>
        <w:spacing w:line="360" w:lineRule="auto"/>
        <w:ind w:firstLine="560"/>
        <w:jc w:val="left"/>
        <w:rPr>
          <w:sz w:val="28"/>
          <w:szCs w:val="28"/>
        </w:rPr>
      </w:pPr>
      <w:r w:rsidRPr="000D7BAE">
        <w:rPr>
          <w:rFonts w:hint="eastAsia"/>
          <w:sz w:val="28"/>
          <w:szCs w:val="28"/>
        </w:rPr>
        <w:t>深入贯彻习近平总书记系列重要讲话精神，认真落实中央纪委和省、市</w:t>
      </w:r>
      <w:r>
        <w:rPr>
          <w:rFonts w:hint="eastAsia"/>
          <w:sz w:val="28"/>
          <w:szCs w:val="28"/>
        </w:rPr>
        <w:t>市场</w:t>
      </w:r>
      <w:r w:rsidRPr="000D7BAE">
        <w:rPr>
          <w:rFonts w:hint="eastAsia"/>
          <w:sz w:val="28"/>
          <w:szCs w:val="28"/>
        </w:rPr>
        <w:t>局工作部署，按照区委要求，坚持全面从严治党、依规治党，坚持把纪律和规矩挺在前面，严格落实“两个责任”，加强监督</w:t>
      </w:r>
      <w:r>
        <w:rPr>
          <w:rFonts w:hint="eastAsia"/>
          <w:sz w:val="28"/>
          <w:szCs w:val="28"/>
        </w:rPr>
        <w:t>检查，加大执法力度，持之以恒纠正“四风”，以铁的纪律加强法制市场监管</w:t>
      </w:r>
      <w:r w:rsidRPr="000D7BAE">
        <w:rPr>
          <w:rFonts w:hint="eastAsia"/>
          <w:sz w:val="28"/>
          <w:szCs w:val="28"/>
        </w:rPr>
        <w:t>建设，为全区经济社会又好又快发展营造风清气正、干事创业的良好政治生态。</w:t>
      </w:r>
    </w:p>
    <w:p w:rsidR="009831B5" w:rsidRPr="009831B5" w:rsidRDefault="009831B5" w:rsidP="009831B5">
      <w:pPr>
        <w:pStyle w:val="a5"/>
        <w:spacing w:line="360" w:lineRule="auto"/>
        <w:ind w:firstLine="560"/>
        <w:jc w:val="left"/>
        <w:rPr>
          <w:sz w:val="28"/>
          <w:szCs w:val="28"/>
        </w:rPr>
      </w:pPr>
      <w:r w:rsidRPr="009831B5">
        <w:rPr>
          <w:rFonts w:hint="eastAsia"/>
          <w:sz w:val="28"/>
          <w:szCs w:val="28"/>
        </w:rPr>
        <w:t xml:space="preserve">  </w:t>
      </w:r>
      <w:r w:rsidRPr="009831B5">
        <w:rPr>
          <w:rFonts w:hint="eastAsia"/>
          <w:sz w:val="28"/>
          <w:szCs w:val="28"/>
        </w:rPr>
        <w:t>职责分类绩效目标：</w:t>
      </w:r>
    </w:p>
    <w:p w:rsidR="009831B5" w:rsidRPr="009831B5" w:rsidRDefault="009831B5" w:rsidP="009831B5">
      <w:pPr>
        <w:pStyle w:val="a5"/>
        <w:spacing w:line="360" w:lineRule="auto"/>
        <w:ind w:firstLine="560"/>
        <w:jc w:val="left"/>
        <w:rPr>
          <w:sz w:val="28"/>
          <w:szCs w:val="28"/>
        </w:rPr>
      </w:pPr>
      <w:r w:rsidRPr="009831B5">
        <w:rPr>
          <w:rFonts w:hint="eastAsia"/>
          <w:sz w:val="28"/>
          <w:szCs w:val="28"/>
        </w:rPr>
        <w:t>山海关区</w:t>
      </w:r>
      <w:r w:rsidR="000D7BAE">
        <w:rPr>
          <w:rFonts w:hint="eastAsia"/>
          <w:sz w:val="28"/>
          <w:szCs w:val="28"/>
        </w:rPr>
        <w:t>市场监督</w:t>
      </w:r>
      <w:r w:rsidRPr="009831B5">
        <w:rPr>
          <w:rFonts w:hint="eastAsia"/>
          <w:sz w:val="28"/>
          <w:szCs w:val="28"/>
        </w:rPr>
        <w:t>管理部门年度职责分类绩效目标情况说明</w:t>
      </w:r>
    </w:p>
    <w:p w:rsidR="009831B5" w:rsidRPr="009831B5" w:rsidRDefault="009831B5" w:rsidP="009831B5">
      <w:pPr>
        <w:pStyle w:val="a5"/>
        <w:spacing w:line="360" w:lineRule="auto"/>
        <w:ind w:firstLine="560"/>
        <w:jc w:val="left"/>
        <w:rPr>
          <w:sz w:val="28"/>
          <w:szCs w:val="28"/>
        </w:rPr>
      </w:pPr>
      <w:r w:rsidRPr="009831B5">
        <w:rPr>
          <w:rFonts w:hint="eastAsia"/>
          <w:sz w:val="28"/>
          <w:szCs w:val="28"/>
        </w:rPr>
        <w:t>本年度山海关区</w:t>
      </w:r>
      <w:r w:rsidR="000D7BAE">
        <w:rPr>
          <w:rFonts w:hint="eastAsia"/>
          <w:sz w:val="28"/>
          <w:szCs w:val="28"/>
        </w:rPr>
        <w:t>市场监督</w:t>
      </w:r>
      <w:r w:rsidR="000D7BAE" w:rsidRPr="009831B5">
        <w:rPr>
          <w:rFonts w:hint="eastAsia"/>
          <w:sz w:val="28"/>
          <w:szCs w:val="28"/>
        </w:rPr>
        <w:t>管理部门</w:t>
      </w:r>
      <w:r w:rsidRPr="009831B5">
        <w:rPr>
          <w:rFonts w:hint="eastAsia"/>
          <w:sz w:val="28"/>
          <w:szCs w:val="28"/>
        </w:rPr>
        <w:t>职责共分</w:t>
      </w:r>
      <w:r w:rsidR="007C12FE">
        <w:rPr>
          <w:rFonts w:hint="eastAsia"/>
          <w:sz w:val="28"/>
          <w:szCs w:val="28"/>
        </w:rPr>
        <w:t>十六</w:t>
      </w:r>
      <w:r w:rsidRPr="009831B5">
        <w:rPr>
          <w:rFonts w:hint="eastAsia"/>
          <w:sz w:val="28"/>
          <w:szCs w:val="28"/>
        </w:rPr>
        <w:t>项，下面就这</w:t>
      </w:r>
      <w:r w:rsidR="007C12FE">
        <w:rPr>
          <w:rFonts w:hint="eastAsia"/>
          <w:sz w:val="28"/>
          <w:szCs w:val="28"/>
        </w:rPr>
        <w:t>十六项</w:t>
      </w:r>
      <w:r w:rsidRPr="009831B5">
        <w:rPr>
          <w:rFonts w:hint="eastAsia"/>
          <w:sz w:val="28"/>
          <w:szCs w:val="28"/>
        </w:rPr>
        <w:t>职责分别说明：</w:t>
      </w:r>
    </w:p>
    <w:p w:rsidR="000D7BAE" w:rsidRPr="000D7BAE" w:rsidRDefault="000D7BAE" w:rsidP="000D7BAE">
      <w:pPr>
        <w:pStyle w:val="a5"/>
        <w:spacing w:line="360" w:lineRule="auto"/>
        <w:ind w:firstLine="560"/>
        <w:jc w:val="left"/>
        <w:rPr>
          <w:sz w:val="28"/>
          <w:szCs w:val="28"/>
        </w:rPr>
      </w:pPr>
      <w:r>
        <w:rPr>
          <w:rFonts w:hint="eastAsia"/>
          <w:sz w:val="28"/>
          <w:szCs w:val="28"/>
        </w:rPr>
        <w:t>1</w:t>
      </w:r>
      <w:r>
        <w:rPr>
          <w:rFonts w:hint="eastAsia"/>
          <w:sz w:val="28"/>
          <w:szCs w:val="28"/>
        </w:rPr>
        <w:t>）</w:t>
      </w:r>
      <w:r w:rsidRPr="000D7BAE">
        <w:rPr>
          <w:rFonts w:hint="eastAsia"/>
          <w:sz w:val="28"/>
          <w:szCs w:val="28"/>
        </w:rPr>
        <w:t>、执法办案专项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依法查处各类违法行为，组织开展专项执法行动，对性质恶劣、跨区域、社会影响大、严重损害群众利益和破坏区场秩序的大案要案进行督办，开展与执法办案有关的各项工作，维护公平竞争的区场秩序。</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职责目标是严厉打击各类违法行为，更好地维护市场经济和社会秩序。</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绩效目标是构建执法体系，促进社会和谐稳定，维护公平竞争的市场秩序。</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绩效指标是案件执法查处率。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lastRenderedPageBreak/>
        <w:t>绩效标准：案件执法查处率达</w:t>
      </w:r>
      <w:r w:rsidRPr="000D7BAE">
        <w:rPr>
          <w:rFonts w:hint="eastAsia"/>
          <w:sz w:val="28"/>
          <w:szCs w:val="28"/>
        </w:rPr>
        <w:t>95%</w:t>
      </w:r>
      <w:r w:rsidRPr="000D7BAE">
        <w:rPr>
          <w:rFonts w:hint="eastAsia"/>
          <w:sz w:val="28"/>
          <w:szCs w:val="28"/>
        </w:rPr>
        <w:t>以上的为优；案件执法查处率达</w:t>
      </w:r>
      <w:r w:rsidRPr="000D7BAE">
        <w:rPr>
          <w:rFonts w:hint="eastAsia"/>
          <w:sz w:val="28"/>
          <w:szCs w:val="28"/>
        </w:rPr>
        <w:t>90%-95%</w:t>
      </w:r>
      <w:r w:rsidRPr="000D7BAE">
        <w:rPr>
          <w:rFonts w:hint="eastAsia"/>
          <w:sz w:val="28"/>
          <w:szCs w:val="28"/>
        </w:rPr>
        <w:t>的为良；案件执法查处率达</w:t>
      </w:r>
      <w:r w:rsidRPr="000D7BAE">
        <w:rPr>
          <w:rFonts w:hint="eastAsia"/>
          <w:sz w:val="28"/>
          <w:szCs w:val="28"/>
        </w:rPr>
        <w:t>80%-90%</w:t>
      </w:r>
      <w:r w:rsidRPr="000D7BAE">
        <w:rPr>
          <w:rFonts w:hint="eastAsia"/>
          <w:sz w:val="28"/>
          <w:szCs w:val="28"/>
        </w:rPr>
        <w:t>的为中；案件执法查处率不足</w:t>
      </w:r>
      <w:r w:rsidRPr="000D7BAE">
        <w:rPr>
          <w:rFonts w:hint="eastAsia"/>
          <w:sz w:val="28"/>
          <w:szCs w:val="28"/>
        </w:rPr>
        <w:t>80%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2</w:t>
      </w:r>
      <w:r>
        <w:rPr>
          <w:rFonts w:hint="eastAsia"/>
          <w:sz w:val="28"/>
          <w:szCs w:val="28"/>
        </w:rPr>
        <w:t>）</w:t>
      </w:r>
      <w:r w:rsidRPr="000D7BAE">
        <w:rPr>
          <w:rFonts w:hint="eastAsia"/>
          <w:sz w:val="28"/>
          <w:szCs w:val="28"/>
        </w:rPr>
        <w:t>、打击传销专项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主要职责是依法查处传销违法行为，组织开展专项执法行动，对性质恶劣、跨区域、社会影响大、严重损害群众利益和破坏区场秩序的大案要案进行督办，维护公平竞争的区场秩序。</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职责目标是严厉打击传销违法行为，更好地维护区场经济和社会秩序。</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绩效目标是构建打击传销体系，促进社会和谐稳定，维护公平竞争的区场秩序。</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绩效指标是案件执法查处率。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绩效标准：案件执法查处率达</w:t>
      </w:r>
      <w:r w:rsidRPr="000D7BAE">
        <w:rPr>
          <w:rFonts w:hint="eastAsia"/>
          <w:sz w:val="28"/>
          <w:szCs w:val="28"/>
        </w:rPr>
        <w:t>95%</w:t>
      </w:r>
      <w:r w:rsidRPr="000D7BAE">
        <w:rPr>
          <w:rFonts w:hint="eastAsia"/>
          <w:sz w:val="28"/>
          <w:szCs w:val="28"/>
        </w:rPr>
        <w:t>以上的为优；案件执法查处率达</w:t>
      </w:r>
      <w:r w:rsidRPr="000D7BAE">
        <w:rPr>
          <w:rFonts w:hint="eastAsia"/>
          <w:sz w:val="28"/>
          <w:szCs w:val="28"/>
        </w:rPr>
        <w:t>90%-95%</w:t>
      </w:r>
      <w:r w:rsidRPr="000D7BAE">
        <w:rPr>
          <w:rFonts w:hint="eastAsia"/>
          <w:sz w:val="28"/>
          <w:szCs w:val="28"/>
        </w:rPr>
        <w:t>的为良；案件执法查处率达</w:t>
      </w:r>
      <w:r w:rsidRPr="000D7BAE">
        <w:rPr>
          <w:rFonts w:hint="eastAsia"/>
          <w:sz w:val="28"/>
          <w:szCs w:val="28"/>
        </w:rPr>
        <w:t>80%-90%</w:t>
      </w:r>
      <w:r w:rsidRPr="000D7BAE">
        <w:rPr>
          <w:rFonts w:hint="eastAsia"/>
          <w:sz w:val="28"/>
          <w:szCs w:val="28"/>
        </w:rPr>
        <w:t>的为中；案件执法查处率不足</w:t>
      </w:r>
      <w:r w:rsidRPr="000D7BAE">
        <w:rPr>
          <w:rFonts w:hint="eastAsia"/>
          <w:sz w:val="28"/>
          <w:szCs w:val="28"/>
        </w:rPr>
        <w:t>80%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3</w:t>
      </w:r>
      <w:r>
        <w:rPr>
          <w:rFonts w:hint="eastAsia"/>
          <w:sz w:val="28"/>
          <w:szCs w:val="28"/>
        </w:rPr>
        <w:t>）</w:t>
      </w:r>
      <w:r w:rsidRPr="000D7BAE">
        <w:rPr>
          <w:rFonts w:hint="eastAsia"/>
          <w:sz w:val="28"/>
          <w:szCs w:val="28"/>
        </w:rPr>
        <w:t>、行政大楼维护运转专项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主要职责是做好机关后勤保障等其他工作。</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职责目标是加强工商管理能力建设，完成各项工作任务。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绩效目标是专项提升保障能力及管理水平，完成各项工作任务。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绩效指标是综合事务保障率。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绩效标准：综合事务保障率达</w:t>
      </w:r>
      <w:r w:rsidRPr="000D7BAE">
        <w:rPr>
          <w:rFonts w:hint="eastAsia"/>
          <w:sz w:val="28"/>
          <w:szCs w:val="28"/>
        </w:rPr>
        <w:t>90%</w:t>
      </w:r>
      <w:r w:rsidRPr="000D7BAE">
        <w:rPr>
          <w:rFonts w:hint="eastAsia"/>
          <w:sz w:val="28"/>
          <w:szCs w:val="28"/>
        </w:rPr>
        <w:t>以上的为优；综合事务保障率达</w:t>
      </w:r>
      <w:r w:rsidRPr="000D7BAE">
        <w:rPr>
          <w:rFonts w:hint="eastAsia"/>
          <w:sz w:val="28"/>
          <w:szCs w:val="28"/>
        </w:rPr>
        <w:t>80%-90%</w:t>
      </w:r>
      <w:r w:rsidRPr="000D7BAE">
        <w:rPr>
          <w:rFonts w:hint="eastAsia"/>
          <w:sz w:val="28"/>
          <w:szCs w:val="28"/>
        </w:rPr>
        <w:t>的为良；综合事务保障率达</w:t>
      </w:r>
      <w:r w:rsidRPr="000D7BAE">
        <w:rPr>
          <w:rFonts w:hint="eastAsia"/>
          <w:sz w:val="28"/>
          <w:szCs w:val="28"/>
        </w:rPr>
        <w:t>70%-80%</w:t>
      </w:r>
      <w:r w:rsidRPr="000D7BAE">
        <w:rPr>
          <w:rFonts w:hint="eastAsia"/>
          <w:sz w:val="28"/>
          <w:szCs w:val="28"/>
        </w:rPr>
        <w:t>的为中；综合事务保</w:t>
      </w:r>
      <w:r w:rsidRPr="000D7BAE">
        <w:rPr>
          <w:rFonts w:hint="eastAsia"/>
          <w:sz w:val="28"/>
          <w:szCs w:val="28"/>
        </w:rPr>
        <w:lastRenderedPageBreak/>
        <w:t>障率不足</w:t>
      </w:r>
      <w:r w:rsidRPr="000D7BAE">
        <w:rPr>
          <w:rFonts w:hint="eastAsia"/>
          <w:sz w:val="28"/>
          <w:szCs w:val="28"/>
        </w:rPr>
        <w:t>70%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4</w:t>
      </w:r>
      <w:r>
        <w:rPr>
          <w:rFonts w:hint="eastAsia"/>
          <w:sz w:val="28"/>
          <w:szCs w:val="28"/>
        </w:rPr>
        <w:t>）</w:t>
      </w:r>
      <w:r w:rsidRPr="000D7BAE">
        <w:rPr>
          <w:rFonts w:hint="eastAsia"/>
          <w:sz w:val="28"/>
          <w:szCs w:val="28"/>
        </w:rPr>
        <w:t>、网络运行专项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主要职责是做好机关后勤保障等其他工作。</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职责目标是加强工商管理能力建设，完成各项工作任务。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绩效目标是专项提升保障能力及管理水平，完成各项工作任务。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绩效指标是综合事务保障率。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绩效标准：综合事务保障率达</w:t>
      </w:r>
      <w:r w:rsidRPr="000D7BAE">
        <w:rPr>
          <w:rFonts w:hint="eastAsia"/>
          <w:sz w:val="28"/>
          <w:szCs w:val="28"/>
        </w:rPr>
        <w:t>90%</w:t>
      </w:r>
      <w:r w:rsidRPr="000D7BAE">
        <w:rPr>
          <w:rFonts w:hint="eastAsia"/>
          <w:sz w:val="28"/>
          <w:szCs w:val="28"/>
        </w:rPr>
        <w:t>以上的为优；综合事务保障率达</w:t>
      </w:r>
      <w:r w:rsidRPr="000D7BAE">
        <w:rPr>
          <w:rFonts w:hint="eastAsia"/>
          <w:sz w:val="28"/>
          <w:szCs w:val="28"/>
        </w:rPr>
        <w:t>80%-90%</w:t>
      </w:r>
      <w:r w:rsidRPr="000D7BAE">
        <w:rPr>
          <w:rFonts w:hint="eastAsia"/>
          <w:sz w:val="28"/>
          <w:szCs w:val="28"/>
        </w:rPr>
        <w:t>的为良；综合事务保障率达</w:t>
      </w:r>
      <w:r w:rsidRPr="000D7BAE">
        <w:rPr>
          <w:rFonts w:hint="eastAsia"/>
          <w:sz w:val="28"/>
          <w:szCs w:val="28"/>
        </w:rPr>
        <w:t>70%-80%</w:t>
      </w:r>
      <w:r w:rsidRPr="000D7BAE">
        <w:rPr>
          <w:rFonts w:hint="eastAsia"/>
          <w:sz w:val="28"/>
          <w:szCs w:val="28"/>
        </w:rPr>
        <w:t>的为中；综合事务保障率不足</w:t>
      </w:r>
      <w:r w:rsidRPr="000D7BAE">
        <w:rPr>
          <w:rFonts w:hint="eastAsia"/>
          <w:sz w:val="28"/>
          <w:szCs w:val="28"/>
        </w:rPr>
        <w:t>70%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5</w:t>
      </w:r>
      <w:r>
        <w:rPr>
          <w:rFonts w:hint="eastAsia"/>
          <w:sz w:val="28"/>
          <w:szCs w:val="28"/>
        </w:rPr>
        <w:t>）</w:t>
      </w:r>
      <w:r w:rsidRPr="000D7BAE">
        <w:rPr>
          <w:rFonts w:hint="eastAsia"/>
          <w:sz w:val="28"/>
          <w:szCs w:val="28"/>
        </w:rPr>
        <w:t>、消费者权益保护专项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组织全区消费者权益保护工作，查处经营假冒伪劣商品等违法行为；组织指导查处侵害消费者权益的行为，督办处理消费者和经营者投诉举报，指导调解消费纠纷工作，保护消费者合法权益，维护经营者正当利益。</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职责目标是通过调处消费纠纷，组织指导查处侵害消费者合法权益案件，稳定社会秩序，为构建“和谐社会”做出积极的贡献。</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绩效目标是建立、健全消费者权益保护机制，将</w:t>
      </w:r>
      <w:r w:rsidRPr="000D7BAE">
        <w:rPr>
          <w:rFonts w:hint="eastAsia"/>
          <w:sz w:val="28"/>
          <w:szCs w:val="28"/>
        </w:rPr>
        <w:t>12315</w:t>
      </w:r>
      <w:r w:rsidRPr="000D7BAE">
        <w:rPr>
          <w:rFonts w:hint="eastAsia"/>
          <w:sz w:val="28"/>
          <w:szCs w:val="28"/>
        </w:rPr>
        <w:t>建设成为政府与百姓沟通联系的桥梁，增强群众自我保护的消费维权意识，构建“和谐社会”。</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绩效指标是投诉案件办结率。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绩效标准：投诉案件办结率达</w:t>
      </w:r>
      <w:r w:rsidRPr="000D7BAE">
        <w:rPr>
          <w:rFonts w:hint="eastAsia"/>
          <w:sz w:val="28"/>
          <w:szCs w:val="28"/>
        </w:rPr>
        <w:t>95%</w:t>
      </w:r>
      <w:r w:rsidRPr="000D7BAE">
        <w:rPr>
          <w:rFonts w:hint="eastAsia"/>
          <w:sz w:val="28"/>
          <w:szCs w:val="28"/>
        </w:rPr>
        <w:t>以上的为优；投诉案件办结率达</w:t>
      </w:r>
      <w:r w:rsidRPr="000D7BAE">
        <w:rPr>
          <w:rFonts w:hint="eastAsia"/>
          <w:sz w:val="28"/>
          <w:szCs w:val="28"/>
        </w:rPr>
        <w:t>90%-95%</w:t>
      </w:r>
      <w:r w:rsidRPr="000D7BAE">
        <w:rPr>
          <w:rFonts w:hint="eastAsia"/>
          <w:sz w:val="28"/>
          <w:szCs w:val="28"/>
        </w:rPr>
        <w:t>的为良；投诉案件办结率达</w:t>
      </w:r>
      <w:r w:rsidRPr="000D7BAE">
        <w:rPr>
          <w:rFonts w:hint="eastAsia"/>
          <w:sz w:val="28"/>
          <w:szCs w:val="28"/>
        </w:rPr>
        <w:t>80%-90%</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lastRenderedPageBreak/>
        <w:t>的为中；投诉案件办结率不足</w:t>
      </w:r>
      <w:r w:rsidRPr="000D7BAE">
        <w:rPr>
          <w:rFonts w:hint="eastAsia"/>
          <w:sz w:val="28"/>
          <w:szCs w:val="28"/>
        </w:rPr>
        <w:t>80%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6</w:t>
      </w:r>
      <w:r>
        <w:rPr>
          <w:rFonts w:hint="eastAsia"/>
          <w:sz w:val="28"/>
          <w:szCs w:val="28"/>
        </w:rPr>
        <w:t>）</w:t>
      </w:r>
      <w:r w:rsidRPr="000D7BAE">
        <w:rPr>
          <w:rFonts w:hint="eastAsia"/>
          <w:sz w:val="28"/>
          <w:szCs w:val="28"/>
        </w:rPr>
        <w:t>、财政专网网络运行维护专项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主要职责是做好机关后勤保障等其他工作。</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职责目标是加强工商管理能力建设，完成各项工作任务。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绩效目标是专项提升保障能力及管理水平，完成各项工作任务。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绩效指标是综合事务保障率。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绩效标准：综合事务保障率达</w:t>
      </w:r>
      <w:r w:rsidRPr="000D7BAE">
        <w:rPr>
          <w:rFonts w:hint="eastAsia"/>
          <w:sz w:val="28"/>
          <w:szCs w:val="28"/>
        </w:rPr>
        <w:t>90%</w:t>
      </w:r>
      <w:r w:rsidRPr="000D7BAE">
        <w:rPr>
          <w:rFonts w:hint="eastAsia"/>
          <w:sz w:val="28"/>
          <w:szCs w:val="28"/>
        </w:rPr>
        <w:t>以上的为优；综合事务保障率达</w:t>
      </w:r>
      <w:r w:rsidRPr="000D7BAE">
        <w:rPr>
          <w:rFonts w:hint="eastAsia"/>
          <w:sz w:val="28"/>
          <w:szCs w:val="28"/>
        </w:rPr>
        <w:t>80%-90%</w:t>
      </w:r>
      <w:r w:rsidRPr="000D7BAE">
        <w:rPr>
          <w:rFonts w:hint="eastAsia"/>
          <w:sz w:val="28"/>
          <w:szCs w:val="28"/>
        </w:rPr>
        <w:t>的为良；综合事务保障率达</w:t>
      </w:r>
      <w:r w:rsidRPr="000D7BAE">
        <w:rPr>
          <w:rFonts w:hint="eastAsia"/>
          <w:sz w:val="28"/>
          <w:szCs w:val="28"/>
        </w:rPr>
        <w:t>70%-80%</w:t>
      </w:r>
      <w:r w:rsidRPr="000D7BAE">
        <w:rPr>
          <w:rFonts w:hint="eastAsia"/>
          <w:sz w:val="28"/>
          <w:szCs w:val="28"/>
        </w:rPr>
        <w:t>的为中；综合事务保障率不足</w:t>
      </w:r>
      <w:r w:rsidRPr="000D7BAE">
        <w:rPr>
          <w:rFonts w:hint="eastAsia"/>
          <w:sz w:val="28"/>
          <w:szCs w:val="28"/>
        </w:rPr>
        <w:t>70%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7</w:t>
      </w:r>
      <w:r>
        <w:rPr>
          <w:rFonts w:hint="eastAsia"/>
          <w:sz w:val="28"/>
          <w:szCs w:val="28"/>
        </w:rPr>
        <w:t>）</w:t>
      </w:r>
      <w:r w:rsidRPr="000D7BAE">
        <w:rPr>
          <w:rFonts w:hint="eastAsia"/>
          <w:sz w:val="28"/>
          <w:szCs w:val="28"/>
        </w:rPr>
        <w:t>、行政事业单位资产管理软件服务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主要职责是做好机关后勤保障等其他工作。</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职责目标是加强工商管理能力建设，完成各项工作任务。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绩效目标是专项提升保障能力及管理水平，完成各项工作任务。</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绩效指标是综合事务保障率。</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绩效标准：综合事务保障率达</w:t>
      </w:r>
      <w:r w:rsidRPr="000D7BAE">
        <w:rPr>
          <w:rFonts w:hint="eastAsia"/>
          <w:sz w:val="28"/>
          <w:szCs w:val="28"/>
        </w:rPr>
        <w:t>90%</w:t>
      </w:r>
      <w:r w:rsidRPr="000D7BAE">
        <w:rPr>
          <w:rFonts w:hint="eastAsia"/>
          <w:sz w:val="28"/>
          <w:szCs w:val="28"/>
        </w:rPr>
        <w:t>以上的为优；综合事务保障率达</w:t>
      </w:r>
      <w:r w:rsidRPr="000D7BAE">
        <w:rPr>
          <w:rFonts w:hint="eastAsia"/>
          <w:sz w:val="28"/>
          <w:szCs w:val="28"/>
        </w:rPr>
        <w:t>80%-90%</w:t>
      </w:r>
      <w:r w:rsidRPr="000D7BAE">
        <w:rPr>
          <w:rFonts w:hint="eastAsia"/>
          <w:sz w:val="28"/>
          <w:szCs w:val="28"/>
        </w:rPr>
        <w:t>的为良；综合事务保障率达</w:t>
      </w:r>
      <w:r w:rsidRPr="000D7BAE">
        <w:rPr>
          <w:rFonts w:hint="eastAsia"/>
          <w:sz w:val="28"/>
          <w:szCs w:val="28"/>
        </w:rPr>
        <w:t>70%-80%</w:t>
      </w:r>
      <w:r w:rsidRPr="000D7BAE">
        <w:rPr>
          <w:rFonts w:hint="eastAsia"/>
          <w:sz w:val="28"/>
          <w:szCs w:val="28"/>
        </w:rPr>
        <w:t>的为中；综合事务保障率不足</w:t>
      </w:r>
      <w:r w:rsidRPr="000D7BAE">
        <w:rPr>
          <w:rFonts w:hint="eastAsia"/>
          <w:sz w:val="28"/>
          <w:szCs w:val="28"/>
        </w:rPr>
        <w:t>70%</w:t>
      </w:r>
      <w:r w:rsidRPr="000D7BAE">
        <w:rPr>
          <w:rFonts w:hint="eastAsia"/>
          <w:sz w:val="28"/>
          <w:szCs w:val="28"/>
        </w:rPr>
        <w:t>的为差。</w:t>
      </w:r>
    </w:p>
    <w:p w:rsidR="000D7BAE" w:rsidRPr="000D7BAE" w:rsidRDefault="000D7BAE" w:rsidP="000D7BAE">
      <w:pPr>
        <w:pStyle w:val="a5"/>
        <w:spacing w:line="360" w:lineRule="auto"/>
        <w:ind w:firstLine="560"/>
        <w:jc w:val="left"/>
        <w:rPr>
          <w:sz w:val="28"/>
          <w:szCs w:val="28"/>
        </w:rPr>
      </w:pPr>
      <w:r>
        <w:rPr>
          <w:rFonts w:hint="eastAsia"/>
          <w:sz w:val="28"/>
          <w:szCs w:val="28"/>
        </w:rPr>
        <w:t>8</w:t>
      </w:r>
      <w:r>
        <w:rPr>
          <w:rFonts w:hint="eastAsia"/>
          <w:sz w:val="28"/>
          <w:szCs w:val="28"/>
        </w:rPr>
        <w:t>）</w:t>
      </w:r>
      <w:r w:rsidRPr="000D7BAE">
        <w:rPr>
          <w:rFonts w:hint="eastAsia"/>
          <w:sz w:val="28"/>
          <w:szCs w:val="28"/>
        </w:rPr>
        <w:t>、实行“零成本”注册专项</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t>主要职责是全区各类企业、农民专业合作社和从事经营活动的单位、个人以及外国（地区）企业驻冀代表机构等区场主体的登记注册和监督管理，依法查处取缔无照经营，组织指导全区企业、个体工商户、商品交易区场信用分类管理。开展非公党建与安全生产工作。</w:t>
      </w:r>
    </w:p>
    <w:p w:rsidR="000D7BAE" w:rsidRPr="000D7BAE" w:rsidRDefault="000D7BAE" w:rsidP="000D7BAE">
      <w:pPr>
        <w:pStyle w:val="a5"/>
        <w:spacing w:line="360" w:lineRule="auto"/>
        <w:ind w:firstLine="560"/>
        <w:jc w:val="left"/>
        <w:rPr>
          <w:sz w:val="28"/>
          <w:szCs w:val="28"/>
        </w:rPr>
      </w:pPr>
      <w:r w:rsidRPr="000D7BAE">
        <w:rPr>
          <w:rFonts w:hint="eastAsia"/>
          <w:sz w:val="28"/>
          <w:szCs w:val="28"/>
        </w:rPr>
        <w:lastRenderedPageBreak/>
        <w:t>职责目标是建立和维护市场秩序，服务地方经济发展。</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hint="eastAsia"/>
          <w:sz w:val="28"/>
          <w:szCs w:val="28"/>
        </w:rPr>
        <w:t>绩效目标是促进市场主体的快速增长。强化信用体系建设，构建“一</w:t>
      </w:r>
      <w:r w:rsidRPr="000D7BAE">
        <w:rPr>
          <w:rFonts w:asciiTheme="minorEastAsia" w:hAnsiTheme="minorEastAsia" w:hint="eastAsia"/>
          <w:sz w:val="28"/>
          <w:szCs w:val="28"/>
        </w:rPr>
        <w:t>处违法、处处受限”监管局面，为政府决策和社会公众提供信息服务。</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绩效指标是内外资企业登记率。</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绩效标准：内外资企业登记率达95%以上的为优；内外资企业登记率达90%-95%的为良；内外资企业登记率达80%-90%的为中；内外资企业登记率不足80%的为差。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9）、委托第三方做专项财务审计专项</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主要职责是运用行政与法律手段，对区场经营主体及区场行为进行行政指导、监督管理。</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职责目标是建立和维护市场秩序，服务地方经济发展。</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绩效目标是促进市场主体的快速增长。强化信用体系建设，构建“一处违法、处处受限”监管局面，为政府决策和社会公众提供信息服务。</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绩效指标是抽查检查率。</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绩效标准：抽查检查率达95%以上的为优；抽查检查率达90%-95%的为良；抽查检查率达80%-90%的为中；抽查检查率不足80%的为差。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10）、市场监管专项</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主要职责是依法规范和维护全区各类市场经营秩序，监督管理市场交易行为和网络商品交易及有关服务的行为。依法实施合同行政监督管理，负责管理动产抵押登记，组织监管管理拍卖行为，依法查处</w:t>
      </w:r>
      <w:r w:rsidRPr="000D7BAE">
        <w:rPr>
          <w:rFonts w:asciiTheme="minorEastAsia" w:hAnsiTheme="minorEastAsia" w:hint="eastAsia"/>
          <w:sz w:val="28"/>
          <w:szCs w:val="28"/>
        </w:rPr>
        <w:lastRenderedPageBreak/>
        <w:t>合同欺诈等违法行为。</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职责目标是建立和维护市场秩序，服务地方经济发展。</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绩效目标是增强各类市场诚信经营意识和规范网络交易管理，维护市场秩序。</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绩效指标是监管执法计划完成率。</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绩效标准：监管执法计划完成率达90%以上的为优；监管执法计划完成率达80%-90%的为良；监管执法计划完成率达70%-80%的为中；监管执法计划完成率不足70%的为差。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11）、标准化管理</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主要职责统一管理全市标准化工作，制订和发布地方标准，宣传贯彻国家标准、行业标准和地方标准，并对标准的实施进行管理和监督，管理全市组织机构代码和商品条码工作。</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职责目标是提高质量管理水平，提升产品质量。</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绩效目标是强化标准化综合管理水平，推进农业、服务业标准化建设，促进民营经济健康快速发展，激励技术标准创新,做好组织机构代码和商品条码的管理工作。</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绩效指标是区级服务业标准化试点数量；标准化良好行为企业试点数量</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绩效标准是区级服务业标准化试点数量1个为优，0个为良、中、差。标准化良好行为企业试点数量1个为优，0个为良、中、差。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12）、监督管理</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主要职责是管理和监督地方计量基准和标准物资，管理计量器具</w:t>
      </w:r>
      <w:r w:rsidRPr="000D7BAE">
        <w:rPr>
          <w:rFonts w:asciiTheme="minorEastAsia" w:hAnsiTheme="minorEastAsia" w:hint="eastAsia"/>
          <w:sz w:val="28"/>
          <w:szCs w:val="28"/>
        </w:rPr>
        <w:lastRenderedPageBreak/>
        <w:t>及量值传递对比，规范和监督商品量和市场计量行为，管理全市认证认可，承担实验室和检查机构资质认定和监督管理工作以及特种设备和食品相关产品质量监督管理等工作。</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职责目标是提高质量管理水平，提升产品质量。</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绩效目标是加大监管力度，提升监管水平。</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绩效指标是计量监督检查次数；资质审查审批；实验室监督检查比率；监督抽查数据发布次数；不合格企业处理率；机动车安检机构暗访抽查率</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是年度对地方计量基准和标准物资开展计量监督检查次数2次为优，1次为良，0次为中和差，资质认定审查、审批、发证工作时限和审查结论真实度100%为优，95%为良，90%为中。85%以下为差，对辖区内获资质认定的实验室实施监督检查覆盖率100%为优，95%为良，90%为中。85%以下为差，不合格企业处理率100%为优，95%为良，90%为中。85%以下为差，机动车安检机构暗访抽查率100%为优，95%为良，90%为中。85%以下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13）、产品质量检验检测</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主要职责是全区产品质量安全监督，管理全区产品质量安全强制检验、监督抽查等工作，承担纤维、棉花、工业产品、计量器具及设备、食品相关产品、特种设备检验检测，环境质量、环保产品质量检测。</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职责目标是提高质量管理水平，提升产品质量。</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绩效目标是提高产品质量安全监督、检验检测水平。</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lastRenderedPageBreak/>
        <w:t>绩效指标是抽检覆盖率。</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绩效标准是100%为优，95%为良，90%为中。85%以下为差。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14）、打假办案</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主要职责是依法查处生产和经销假冒伪劣商品活动中的质量、标准违法行为和流通领域中的计量违法行为，开展区域性产品整治，做好打假协调工作等有关打假办案的各项。</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职责目标是加大执法力度，规范执法行为。</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绩效目标是加大执法力度，确保消费者权益。</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绩效指标是查处违法企业个数。</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绩效标准是查处违法企业个数3个为优，2个为良，1个为中，0个为差。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15）、综合业务管理</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主要职责是承担质量技术监督法规建设，开展纪检监察、计财内审宣传、专项会议、培训、调研、行政许可等工作，发展和管理技术机构，开支建设检验检测基础设施、实验室、执法装备、信息化等工作。</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职责目标是提高综合保障管理能力。</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绩效目标规范执法行为，加强检验检测能力，提升队伍素质和电子政务水平，规范技术机构发展。</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绩效指标是综合业务工作完成率</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绩效标准是综合业务工作完成率100%为优，95%为良，90%为中。85%以下为差。</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lastRenderedPageBreak/>
        <w:t>16）、综合事务管理</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主要职责人事管理、老干部管理、党建、后勤等事务性管理等工作。</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职责目标提高综合保障管理能力。</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绩效目标提升保障能力及管理水平，完成各项工作任务。</w:t>
      </w:r>
    </w:p>
    <w:p w:rsidR="000D7BAE" w:rsidRPr="000D7BAE" w:rsidRDefault="000D7BAE" w:rsidP="000D7BAE">
      <w:pPr>
        <w:pStyle w:val="a5"/>
        <w:spacing w:line="360" w:lineRule="auto"/>
        <w:ind w:firstLine="560"/>
        <w:jc w:val="left"/>
        <w:rPr>
          <w:rFonts w:asciiTheme="minorEastAsia" w:hAnsiTheme="minorEastAsia"/>
          <w:sz w:val="28"/>
          <w:szCs w:val="28"/>
        </w:rPr>
      </w:pPr>
      <w:r w:rsidRPr="000D7BAE">
        <w:rPr>
          <w:rFonts w:asciiTheme="minorEastAsia" w:hAnsiTheme="minorEastAsia" w:hint="eastAsia"/>
          <w:sz w:val="28"/>
          <w:szCs w:val="28"/>
        </w:rPr>
        <w:t>绩效指标是综合事务工作完成率</w:t>
      </w:r>
    </w:p>
    <w:p w:rsidR="00D72B82" w:rsidRPr="00F7028E" w:rsidRDefault="000D7BAE" w:rsidP="000D7BAE">
      <w:pPr>
        <w:pStyle w:val="a5"/>
        <w:spacing w:line="360" w:lineRule="auto"/>
        <w:ind w:firstLineChars="0" w:firstLine="0"/>
        <w:jc w:val="left"/>
        <w:rPr>
          <w:sz w:val="28"/>
          <w:szCs w:val="28"/>
        </w:rPr>
      </w:pPr>
      <w:r w:rsidRPr="000D7BAE">
        <w:rPr>
          <w:rFonts w:asciiTheme="minorEastAsia" w:hAnsiTheme="minorEastAsia" w:hint="eastAsia"/>
          <w:sz w:val="28"/>
          <w:szCs w:val="28"/>
        </w:rPr>
        <w:t>绩效标准是综合事务工作完成率100%为优，95%为良，90%为中。85%以下为差。</w:t>
      </w:r>
    </w:p>
    <w:p w:rsidR="00D72B82" w:rsidRPr="00CC4A53" w:rsidRDefault="002F42CB" w:rsidP="009831B5">
      <w:pPr>
        <w:pStyle w:val="a5"/>
        <w:spacing w:line="360" w:lineRule="auto"/>
        <w:ind w:firstLineChars="0" w:firstLine="0"/>
        <w:jc w:val="left"/>
        <w:rPr>
          <w:b/>
          <w:sz w:val="28"/>
          <w:szCs w:val="28"/>
        </w:rPr>
      </w:pPr>
      <w:r w:rsidRPr="00CC4A53">
        <w:rPr>
          <w:rFonts w:hint="eastAsia"/>
          <w:b/>
          <w:sz w:val="28"/>
          <w:szCs w:val="28"/>
        </w:rPr>
        <w:t>5.</w:t>
      </w:r>
      <w:r w:rsidRPr="00CC4A53">
        <w:rPr>
          <w:rFonts w:hint="eastAsia"/>
          <w:b/>
          <w:sz w:val="28"/>
          <w:szCs w:val="28"/>
        </w:rPr>
        <w:t>政府采购预算情况</w:t>
      </w:r>
    </w:p>
    <w:p w:rsidR="002F42CB" w:rsidRDefault="002F42CB" w:rsidP="009831B5">
      <w:pPr>
        <w:pStyle w:val="a5"/>
        <w:spacing w:line="360" w:lineRule="auto"/>
        <w:ind w:firstLineChars="0" w:firstLine="0"/>
        <w:jc w:val="left"/>
        <w:rPr>
          <w:sz w:val="28"/>
          <w:szCs w:val="28"/>
        </w:rPr>
      </w:pPr>
      <w:r>
        <w:rPr>
          <w:rFonts w:hint="eastAsia"/>
          <w:sz w:val="28"/>
          <w:szCs w:val="28"/>
        </w:rPr>
        <w:t xml:space="preserve">     </w:t>
      </w:r>
      <w:r>
        <w:rPr>
          <w:rFonts w:hint="eastAsia"/>
          <w:sz w:val="28"/>
          <w:szCs w:val="28"/>
        </w:rPr>
        <w:t>本年度无政府采购预算计划。</w:t>
      </w:r>
    </w:p>
    <w:p w:rsidR="00D72B82" w:rsidRPr="00D72ACF" w:rsidRDefault="00D72ACF" w:rsidP="009831B5">
      <w:pPr>
        <w:pStyle w:val="a5"/>
        <w:spacing w:line="360" w:lineRule="auto"/>
        <w:ind w:firstLineChars="0" w:firstLine="0"/>
        <w:jc w:val="left"/>
        <w:rPr>
          <w:b/>
          <w:sz w:val="28"/>
          <w:szCs w:val="28"/>
        </w:rPr>
      </w:pPr>
      <w:r w:rsidRPr="00D72ACF">
        <w:rPr>
          <w:rFonts w:hint="eastAsia"/>
          <w:b/>
          <w:sz w:val="28"/>
          <w:szCs w:val="28"/>
        </w:rPr>
        <w:t>6.</w:t>
      </w:r>
      <w:r w:rsidRPr="00D72ACF">
        <w:rPr>
          <w:rFonts w:hint="eastAsia"/>
          <w:b/>
          <w:sz w:val="28"/>
          <w:szCs w:val="28"/>
        </w:rPr>
        <w:t>国有资产信息</w:t>
      </w:r>
    </w:p>
    <w:p w:rsidR="00D72ACF" w:rsidRDefault="00483278" w:rsidP="009831B5">
      <w:pPr>
        <w:pStyle w:val="a5"/>
        <w:spacing w:line="360" w:lineRule="auto"/>
        <w:ind w:firstLineChars="0" w:firstLine="0"/>
        <w:jc w:val="left"/>
        <w:rPr>
          <w:sz w:val="28"/>
          <w:szCs w:val="28"/>
        </w:rPr>
      </w:pPr>
      <w:r>
        <w:rPr>
          <w:rFonts w:hint="eastAsia"/>
          <w:sz w:val="28"/>
          <w:szCs w:val="28"/>
        </w:rPr>
        <w:t>上年末国有资产占有情况：</w:t>
      </w:r>
    </w:p>
    <w:tbl>
      <w:tblPr>
        <w:tblW w:w="4853" w:type="pct"/>
        <w:tblInd w:w="250" w:type="dxa"/>
        <w:tblLayout w:type="fixed"/>
        <w:tblLook w:val="04A0"/>
      </w:tblPr>
      <w:tblGrid>
        <w:gridCol w:w="4394"/>
        <w:gridCol w:w="994"/>
        <w:gridCol w:w="1264"/>
        <w:gridCol w:w="764"/>
        <w:gridCol w:w="855"/>
      </w:tblGrid>
      <w:tr w:rsidR="00B469CB" w:rsidRPr="00B469CB" w:rsidTr="00461136">
        <w:trPr>
          <w:gridAfter w:val="1"/>
          <w:wAfter w:w="517" w:type="pct"/>
          <w:trHeight w:val="312"/>
        </w:trPr>
        <w:tc>
          <w:tcPr>
            <w:tcW w:w="4483" w:type="pct"/>
            <w:gridSpan w:val="4"/>
            <w:tcBorders>
              <w:top w:val="nil"/>
              <w:left w:val="nil"/>
              <w:bottom w:val="nil"/>
              <w:right w:val="nil"/>
            </w:tcBorders>
            <w:shd w:val="clear" w:color="auto" w:fill="auto"/>
            <w:noWrap/>
            <w:vAlign w:val="bottom"/>
            <w:hideMark/>
          </w:tcPr>
          <w:p w:rsidR="00B469CB" w:rsidRPr="00B469CB" w:rsidRDefault="00AF258A" w:rsidP="00AF258A">
            <w:pPr>
              <w:widowControl/>
              <w:jc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r w:rsidRPr="00AF258A">
              <w:rPr>
                <w:rFonts w:ascii="宋体" w:eastAsia="宋体" w:hAnsi="宋体" w:cs="Arial" w:hint="eastAsia"/>
                <w:b/>
                <w:bCs/>
                <w:color w:val="000000"/>
                <w:kern w:val="0"/>
                <w:sz w:val="28"/>
                <w:szCs w:val="24"/>
              </w:rPr>
              <w:t xml:space="preserve"> </w:t>
            </w:r>
            <w:r w:rsidR="00B469CB" w:rsidRPr="00AF258A">
              <w:rPr>
                <w:rFonts w:ascii="宋体" w:eastAsia="宋体" w:hAnsi="宋体" w:cs="Arial" w:hint="eastAsia"/>
                <w:b/>
                <w:bCs/>
                <w:color w:val="000000"/>
                <w:kern w:val="0"/>
                <w:sz w:val="28"/>
                <w:szCs w:val="24"/>
              </w:rPr>
              <w:t>资产情况表</w:t>
            </w:r>
          </w:p>
        </w:tc>
      </w:tr>
      <w:tr w:rsidR="00AF258A" w:rsidRPr="00AF258A" w:rsidTr="00461136">
        <w:trPr>
          <w:trHeight w:val="270"/>
        </w:trPr>
        <w:tc>
          <w:tcPr>
            <w:tcW w:w="2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AF258A">
              <w:rPr>
                <w:rFonts w:ascii="宋体" w:eastAsia="宋体" w:hAnsi="宋体" w:cs="宋体" w:hint="eastAsia"/>
                <w:color w:val="000000"/>
                <w:kern w:val="0"/>
                <w:sz w:val="22"/>
              </w:rPr>
              <w:t>项　　目</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行次</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数量</w:t>
            </w:r>
          </w:p>
        </w:tc>
        <w:tc>
          <w:tcPr>
            <w:tcW w:w="980" w:type="pct"/>
            <w:gridSpan w:val="2"/>
            <w:tcBorders>
              <w:top w:val="single" w:sz="4" w:space="0" w:color="auto"/>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价值</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栏　　次</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2</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4</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资产总额</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11,365,451.44</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一、流动资产</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2</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4,002,067.45</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二、固定资产</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3</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7,363,383.99</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（一）房屋（平方米）</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4</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3,524.00</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3,552,477.99</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1.办公用房</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5</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3,024.00</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2,781,000.53</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2.业务用房</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6</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3.其他（不含构筑物）</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7</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500</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771,477.46</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（二）车辆（台、辆）</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8</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19</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1,766,873.00</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1.轿车</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9</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187,100.00</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2.越野车</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10</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3.小型载客汽车</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11</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4.大中型载客汽车</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12</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151,205.00</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5.其他车型</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13</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17</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1,428,568.00</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（三）单价在50万元以上的设备（台、套…）</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14</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lastRenderedPageBreak/>
              <w:t xml:space="preserve">        其中：单价50万元（含）以上的通用设备</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15</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单价100万元（含）以上的专用设备</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16</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w:t>
            </w:r>
          </w:p>
        </w:tc>
      </w:tr>
      <w:tr w:rsidR="00AF258A" w:rsidRPr="00AF258A" w:rsidTr="00461136">
        <w:trPr>
          <w:trHeight w:val="270"/>
        </w:trPr>
        <w:tc>
          <w:tcPr>
            <w:tcW w:w="2656" w:type="pct"/>
            <w:tcBorders>
              <w:top w:val="nil"/>
              <w:left w:val="single" w:sz="4" w:space="0" w:color="auto"/>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 xml:space="preserve">  （四）其他固定资产</w:t>
            </w:r>
          </w:p>
        </w:tc>
        <w:tc>
          <w:tcPr>
            <w:tcW w:w="601"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17</w:t>
            </w:r>
          </w:p>
        </w:tc>
        <w:tc>
          <w:tcPr>
            <w:tcW w:w="764" w:type="pct"/>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w:t>
            </w:r>
          </w:p>
        </w:tc>
        <w:tc>
          <w:tcPr>
            <w:tcW w:w="980" w:type="pct"/>
            <w:gridSpan w:val="2"/>
            <w:tcBorders>
              <w:top w:val="nil"/>
              <w:left w:val="nil"/>
              <w:bottom w:val="single" w:sz="4" w:space="0" w:color="auto"/>
              <w:right w:val="single" w:sz="4" w:space="0" w:color="auto"/>
            </w:tcBorders>
            <w:shd w:val="clear" w:color="auto" w:fill="auto"/>
            <w:noWrap/>
            <w:vAlign w:val="center"/>
            <w:hideMark/>
          </w:tcPr>
          <w:p w:rsidR="00AF258A" w:rsidRPr="00AF258A" w:rsidRDefault="00AF258A" w:rsidP="00AF258A">
            <w:pPr>
              <w:widowControl/>
              <w:jc w:val="center"/>
              <w:rPr>
                <w:rFonts w:ascii="宋体" w:eastAsia="宋体" w:hAnsi="宋体" w:cs="宋体"/>
                <w:color w:val="000000"/>
                <w:kern w:val="0"/>
                <w:sz w:val="22"/>
              </w:rPr>
            </w:pPr>
            <w:r w:rsidRPr="00AF258A">
              <w:rPr>
                <w:rFonts w:ascii="宋体" w:eastAsia="宋体" w:hAnsi="宋体" w:cs="宋体" w:hint="eastAsia"/>
                <w:color w:val="000000"/>
                <w:kern w:val="0"/>
                <w:sz w:val="22"/>
              </w:rPr>
              <w:t>2,044,033.00</w:t>
            </w:r>
          </w:p>
        </w:tc>
      </w:tr>
    </w:tbl>
    <w:p w:rsidR="00483278" w:rsidRDefault="00E82076" w:rsidP="009831B5">
      <w:pPr>
        <w:pStyle w:val="a5"/>
        <w:spacing w:line="360" w:lineRule="auto"/>
        <w:ind w:firstLineChars="0" w:firstLine="0"/>
        <w:jc w:val="left"/>
        <w:rPr>
          <w:sz w:val="28"/>
          <w:szCs w:val="28"/>
        </w:rPr>
      </w:pPr>
      <w:r>
        <w:rPr>
          <w:rFonts w:hint="eastAsia"/>
          <w:sz w:val="28"/>
          <w:szCs w:val="28"/>
        </w:rPr>
        <w:t>本年度无购置计划。</w:t>
      </w:r>
    </w:p>
    <w:p w:rsidR="00E82076" w:rsidRPr="00800DF7" w:rsidRDefault="00800DF7" w:rsidP="009831B5">
      <w:pPr>
        <w:pStyle w:val="a5"/>
        <w:spacing w:line="360" w:lineRule="auto"/>
        <w:ind w:firstLineChars="0" w:firstLine="0"/>
        <w:jc w:val="left"/>
        <w:rPr>
          <w:b/>
          <w:sz w:val="28"/>
          <w:szCs w:val="28"/>
        </w:rPr>
      </w:pPr>
      <w:r w:rsidRPr="00800DF7">
        <w:rPr>
          <w:rFonts w:hint="eastAsia"/>
          <w:b/>
          <w:sz w:val="28"/>
          <w:szCs w:val="28"/>
        </w:rPr>
        <w:t>7.</w:t>
      </w:r>
      <w:r w:rsidRPr="00800DF7">
        <w:rPr>
          <w:rFonts w:hint="eastAsia"/>
          <w:b/>
          <w:sz w:val="28"/>
          <w:szCs w:val="28"/>
        </w:rPr>
        <w:t>有关事项说明</w:t>
      </w:r>
    </w:p>
    <w:p w:rsidR="00D72ACF" w:rsidRDefault="00E27AD9" w:rsidP="009831B5">
      <w:pPr>
        <w:pStyle w:val="a5"/>
        <w:spacing w:line="360" w:lineRule="auto"/>
        <w:ind w:firstLineChars="0" w:firstLine="0"/>
        <w:jc w:val="left"/>
        <w:rPr>
          <w:sz w:val="28"/>
          <w:szCs w:val="28"/>
        </w:rPr>
      </w:pPr>
      <w:r>
        <w:rPr>
          <w:rFonts w:hint="eastAsia"/>
          <w:sz w:val="28"/>
          <w:szCs w:val="28"/>
        </w:rPr>
        <w:t>（</w:t>
      </w:r>
      <w:r>
        <w:rPr>
          <w:rFonts w:hint="eastAsia"/>
          <w:sz w:val="28"/>
          <w:szCs w:val="28"/>
        </w:rPr>
        <w:t>1</w:t>
      </w:r>
      <w:r>
        <w:rPr>
          <w:rFonts w:hint="eastAsia"/>
          <w:sz w:val="28"/>
          <w:szCs w:val="28"/>
        </w:rPr>
        <w:t>）部门预算安排总体情况</w:t>
      </w:r>
    </w:p>
    <w:p w:rsidR="00E27AD9" w:rsidRDefault="00284904" w:rsidP="009831B5">
      <w:pPr>
        <w:pStyle w:val="a5"/>
        <w:spacing w:line="360" w:lineRule="auto"/>
        <w:ind w:firstLineChars="0" w:firstLine="0"/>
        <w:jc w:val="left"/>
        <w:rPr>
          <w:sz w:val="28"/>
          <w:szCs w:val="28"/>
        </w:rPr>
      </w:pPr>
      <w:r>
        <w:rPr>
          <w:rFonts w:hint="eastAsia"/>
          <w:sz w:val="28"/>
          <w:szCs w:val="28"/>
        </w:rPr>
        <w:t xml:space="preserve">    </w:t>
      </w:r>
      <w:r>
        <w:rPr>
          <w:rFonts w:hint="eastAsia"/>
          <w:sz w:val="28"/>
          <w:szCs w:val="28"/>
        </w:rPr>
        <w:t>本年度我部门安排预算数</w:t>
      </w:r>
      <w:r w:rsidR="005C3406">
        <w:rPr>
          <w:rFonts w:hint="eastAsia"/>
          <w:sz w:val="28"/>
          <w:szCs w:val="28"/>
        </w:rPr>
        <w:t>1896.61</w:t>
      </w:r>
      <w:r>
        <w:rPr>
          <w:rFonts w:hint="eastAsia"/>
          <w:sz w:val="28"/>
          <w:szCs w:val="28"/>
        </w:rPr>
        <w:t>万元，其中</w:t>
      </w:r>
      <w:r w:rsidR="005C3406">
        <w:rPr>
          <w:rFonts w:hint="eastAsia"/>
          <w:sz w:val="28"/>
          <w:szCs w:val="28"/>
        </w:rPr>
        <w:t>1294.81</w:t>
      </w:r>
      <w:r>
        <w:rPr>
          <w:rFonts w:hint="eastAsia"/>
          <w:sz w:val="28"/>
          <w:szCs w:val="28"/>
        </w:rPr>
        <w:t>万元用于</w:t>
      </w:r>
      <w:r w:rsidRPr="00284904">
        <w:rPr>
          <w:rFonts w:hint="eastAsia"/>
          <w:sz w:val="28"/>
          <w:szCs w:val="28"/>
        </w:rPr>
        <w:t>一般公共服务支出</w:t>
      </w:r>
      <w:r>
        <w:rPr>
          <w:rFonts w:hint="eastAsia"/>
          <w:sz w:val="28"/>
          <w:szCs w:val="28"/>
        </w:rPr>
        <w:t>，</w:t>
      </w:r>
      <w:r w:rsidR="005C3406">
        <w:rPr>
          <w:rFonts w:hint="eastAsia"/>
          <w:sz w:val="28"/>
          <w:szCs w:val="28"/>
        </w:rPr>
        <w:t>346.47</w:t>
      </w:r>
      <w:r>
        <w:rPr>
          <w:rFonts w:hint="eastAsia"/>
          <w:sz w:val="28"/>
          <w:szCs w:val="28"/>
        </w:rPr>
        <w:t>万元用于</w:t>
      </w:r>
      <w:r w:rsidRPr="00284904">
        <w:rPr>
          <w:rFonts w:hint="eastAsia"/>
          <w:sz w:val="28"/>
          <w:szCs w:val="28"/>
        </w:rPr>
        <w:t>社会保障和就业支出</w:t>
      </w:r>
      <w:r>
        <w:rPr>
          <w:rFonts w:hint="eastAsia"/>
          <w:sz w:val="28"/>
          <w:szCs w:val="28"/>
        </w:rPr>
        <w:t>，</w:t>
      </w:r>
      <w:r w:rsidR="005C3406">
        <w:rPr>
          <w:rFonts w:hint="eastAsia"/>
          <w:sz w:val="28"/>
          <w:szCs w:val="28"/>
        </w:rPr>
        <w:t>151.71</w:t>
      </w:r>
      <w:r>
        <w:rPr>
          <w:rFonts w:hint="eastAsia"/>
          <w:sz w:val="28"/>
          <w:szCs w:val="28"/>
        </w:rPr>
        <w:t>万元用于</w:t>
      </w:r>
      <w:r w:rsidRPr="00284904">
        <w:rPr>
          <w:rFonts w:hint="eastAsia"/>
          <w:sz w:val="28"/>
          <w:szCs w:val="28"/>
        </w:rPr>
        <w:t>医疗卫生与计划生育支出</w:t>
      </w:r>
      <w:r>
        <w:rPr>
          <w:rFonts w:hint="eastAsia"/>
          <w:sz w:val="28"/>
          <w:szCs w:val="28"/>
        </w:rPr>
        <w:t>，</w:t>
      </w:r>
      <w:r w:rsidR="005C3406">
        <w:rPr>
          <w:rFonts w:hint="eastAsia"/>
          <w:sz w:val="28"/>
          <w:szCs w:val="28"/>
        </w:rPr>
        <w:t>103.62</w:t>
      </w:r>
      <w:r>
        <w:rPr>
          <w:rFonts w:hint="eastAsia"/>
          <w:sz w:val="28"/>
          <w:szCs w:val="28"/>
        </w:rPr>
        <w:t>万元用于</w:t>
      </w:r>
      <w:r w:rsidRPr="00284904">
        <w:rPr>
          <w:rFonts w:hint="eastAsia"/>
          <w:sz w:val="28"/>
          <w:szCs w:val="28"/>
        </w:rPr>
        <w:t>住房保障支出</w:t>
      </w:r>
      <w:r>
        <w:rPr>
          <w:rFonts w:hint="eastAsia"/>
          <w:sz w:val="28"/>
          <w:szCs w:val="28"/>
        </w:rPr>
        <w:t>。</w:t>
      </w:r>
    </w:p>
    <w:p w:rsidR="00284904" w:rsidRDefault="00284904" w:rsidP="009831B5">
      <w:pPr>
        <w:pStyle w:val="a5"/>
        <w:spacing w:line="360" w:lineRule="auto"/>
        <w:ind w:firstLineChars="0" w:firstLine="0"/>
        <w:jc w:val="left"/>
        <w:rPr>
          <w:sz w:val="28"/>
          <w:szCs w:val="28"/>
        </w:rPr>
      </w:pPr>
      <w:r>
        <w:rPr>
          <w:rFonts w:hint="eastAsia"/>
          <w:sz w:val="28"/>
          <w:szCs w:val="28"/>
        </w:rPr>
        <w:t>（</w:t>
      </w:r>
      <w:r>
        <w:rPr>
          <w:rFonts w:hint="eastAsia"/>
          <w:sz w:val="28"/>
          <w:szCs w:val="28"/>
        </w:rPr>
        <w:t>2</w:t>
      </w:r>
      <w:r>
        <w:rPr>
          <w:rFonts w:hint="eastAsia"/>
          <w:sz w:val="28"/>
          <w:szCs w:val="28"/>
        </w:rPr>
        <w:t>）机关运行经费安排情况</w:t>
      </w:r>
    </w:p>
    <w:p w:rsidR="00284904" w:rsidRPr="00284904" w:rsidRDefault="00284904" w:rsidP="009831B5">
      <w:pPr>
        <w:pStyle w:val="a5"/>
        <w:spacing w:line="360" w:lineRule="auto"/>
        <w:ind w:firstLineChars="0" w:firstLine="0"/>
        <w:jc w:val="left"/>
        <w:rPr>
          <w:sz w:val="28"/>
          <w:szCs w:val="28"/>
        </w:rPr>
      </w:pPr>
      <w:r>
        <w:rPr>
          <w:rFonts w:hint="eastAsia"/>
          <w:sz w:val="28"/>
          <w:szCs w:val="28"/>
        </w:rPr>
        <w:t xml:space="preserve">     </w:t>
      </w:r>
      <w:r>
        <w:rPr>
          <w:rFonts w:hint="eastAsia"/>
          <w:sz w:val="28"/>
          <w:szCs w:val="28"/>
        </w:rPr>
        <w:t>本年度我部门机关运行经费安排预算数</w:t>
      </w:r>
      <w:r w:rsidR="009257C1">
        <w:rPr>
          <w:rFonts w:hint="eastAsia"/>
          <w:sz w:val="28"/>
          <w:szCs w:val="28"/>
        </w:rPr>
        <w:t>131.43</w:t>
      </w:r>
      <w:r>
        <w:rPr>
          <w:rFonts w:hint="eastAsia"/>
          <w:sz w:val="28"/>
          <w:szCs w:val="28"/>
        </w:rPr>
        <w:t>万元。</w:t>
      </w:r>
    </w:p>
    <w:tbl>
      <w:tblPr>
        <w:tblW w:w="3659" w:type="pct"/>
        <w:tblInd w:w="1242" w:type="dxa"/>
        <w:tblLook w:val="04A0"/>
      </w:tblPr>
      <w:tblGrid>
        <w:gridCol w:w="3261"/>
        <w:gridCol w:w="1559"/>
        <w:gridCol w:w="1416"/>
      </w:tblGrid>
      <w:tr w:rsidR="009257C1" w:rsidRPr="009257C1" w:rsidTr="009257C1">
        <w:trPr>
          <w:trHeight w:val="525"/>
        </w:trPr>
        <w:tc>
          <w:tcPr>
            <w:tcW w:w="2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7C1" w:rsidRPr="009257C1" w:rsidRDefault="009257C1" w:rsidP="009257C1">
            <w:pPr>
              <w:widowControl/>
              <w:jc w:val="center"/>
              <w:rPr>
                <w:rFonts w:ascii="宋体" w:eastAsia="宋体" w:hAnsi="宋体" w:cs="宋体"/>
                <w:b/>
                <w:bCs/>
                <w:color w:val="000000"/>
                <w:kern w:val="0"/>
                <w:sz w:val="24"/>
                <w:szCs w:val="24"/>
              </w:rPr>
            </w:pPr>
            <w:r w:rsidRPr="009257C1">
              <w:rPr>
                <w:rFonts w:ascii="宋体" w:eastAsia="宋体" w:hAnsi="宋体" w:cs="宋体" w:hint="eastAsia"/>
                <w:b/>
                <w:bCs/>
                <w:color w:val="000000"/>
                <w:kern w:val="0"/>
                <w:sz w:val="24"/>
                <w:szCs w:val="24"/>
              </w:rPr>
              <w:t>预算支出项目</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center"/>
              <w:rPr>
                <w:rFonts w:ascii="Courier New" w:eastAsia="宋体" w:hAnsi="Courier New" w:cs="Courier New"/>
                <w:b/>
                <w:bCs/>
                <w:color w:val="000000"/>
                <w:kern w:val="0"/>
                <w:szCs w:val="21"/>
              </w:rPr>
            </w:pPr>
            <w:r w:rsidRPr="009257C1">
              <w:rPr>
                <w:rFonts w:ascii="Courier New" w:eastAsia="宋体" w:hAnsi="Courier New" w:cs="Courier New"/>
                <w:b/>
                <w:bCs/>
                <w:color w:val="000000"/>
                <w:kern w:val="0"/>
                <w:szCs w:val="21"/>
              </w:rPr>
              <w:t>合</w:t>
            </w:r>
            <w:r w:rsidRPr="009257C1">
              <w:rPr>
                <w:rFonts w:ascii="Times New Roman" w:eastAsia="宋体" w:hAnsi="Times New Roman" w:cs="Times New Roman"/>
                <w:b/>
                <w:bCs/>
                <w:color w:val="000000"/>
                <w:kern w:val="0"/>
                <w:szCs w:val="21"/>
              </w:rPr>
              <w:t xml:space="preserve">  </w:t>
            </w:r>
            <w:r w:rsidRPr="009257C1">
              <w:rPr>
                <w:rFonts w:ascii="Times New Roman" w:eastAsia="宋体" w:hAnsi="Times New Roman" w:cs="Times New Roman"/>
                <w:b/>
                <w:bCs/>
                <w:color w:val="000000"/>
                <w:kern w:val="0"/>
                <w:szCs w:val="21"/>
              </w:rPr>
              <w:t>计</w:t>
            </w:r>
          </w:p>
        </w:tc>
        <w:tc>
          <w:tcPr>
            <w:tcW w:w="1135" w:type="pct"/>
            <w:tcBorders>
              <w:top w:val="single" w:sz="4" w:space="0" w:color="auto"/>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center"/>
              <w:rPr>
                <w:rFonts w:ascii="宋体" w:eastAsia="宋体" w:hAnsi="宋体" w:cs="宋体"/>
                <w:b/>
                <w:bCs/>
                <w:color w:val="000000"/>
                <w:kern w:val="0"/>
                <w:szCs w:val="21"/>
              </w:rPr>
            </w:pPr>
            <w:r w:rsidRPr="009257C1">
              <w:rPr>
                <w:rFonts w:ascii="宋体" w:eastAsia="宋体" w:hAnsi="宋体" w:cs="宋体" w:hint="eastAsia"/>
                <w:b/>
                <w:bCs/>
                <w:color w:val="000000"/>
                <w:kern w:val="0"/>
                <w:szCs w:val="21"/>
              </w:rPr>
              <w:t>一般公共预算拨款</w:t>
            </w:r>
          </w:p>
        </w:tc>
      </w:tr>
      <w:tr w:rsidR="009257C1" w:rsidRPr="009257C1" w:rsidTr="009257C1">
        <w:trPr>
          <w:trHeight w:val="300"/>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center"/>
              <w:rPr>
                <w:rFonts w:ascii="宋体" w:eastAsia="宋体" w:hAnsi="宋体" w:cs="宋体"/>
                <w:b/>
                <w:bCs/>
                <w:color w:val="000000"/>
                <w:kern w:val="0"/>
                <w:szCs w:val="21"/>
              </w:rPr>
            </w:pPr>
            <w:r w:rsidRPr="009257C1">
              <w:rPr>
                <w:rFonts w:ascii="宋体" w:eastAsia="宋体" w:hAnsi="宋体" w:cs="宋体" w:hint="eastAsia"/>
                <w:b/>
                <w:bCs/>
                <w:color w:val="000000"/>
                <w:kern w:val="0"/>
                <w:szCs w:val="21"/>
              </w:rPr>
              <w:t>合计</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b/>
                <w:bCs/>
                <w:color w:val="000000"/>
                <w:kern w:val="0"/>
                <w:szCs w:val="21"/>
              </w:rPr>
            </w:pPr>
            <w:r w:rsidRPr="009257C1">
              <w:rPr>
                <w:rFonts w:ascii="Times New Roman" w:eastAsia="宋体" w:hAnsi="Times New Roman" w:cs="Times New Roman"/>
                <w:b/>
                <w:bCs/>
                <w:color w:val="000000"/>
                <w:kern w:val="0"/>
                <w:szCs w:val="21"/>
              </w:rPr>
              <w:t>131.43</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b/>
                <w:bCs/>
                <w:color w:val="000000"/>
                <w:kern w:val="0"/>
                <w:szCs w:val="21"/>
              </w:rPr>
            </w:pPr>
            <w:r w:rsidRPr="009257C1">
              <w:rPr>
                <w:rFonts w:ascii="Times New Roman" w:eastAsia="宋体" w:hAnsi="Times New Roman" w:cs="Times New Roman"/>
                <w:b/>
                <w:bCs/>
                <w:color w:val="000000"/>
                <w:kern w:val="0"/>
                <w:szCs w:val="21"/>
              </w:rPr>
              <w:t>131.43</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r w:rsidRPr="009257C1">
              <w:rPr>
                <w:rFonts w:ascii="Times New Roman" w:eastAsia="宋体" w:hAnsi="Times New Roman" w:cs="Times New Roman"/>
                <w:color w:val="000000"/>
                <w:kern w:val="0"/>
                <w:sz w:val="22"/>
              </w:rPr>
              <w:t>、基础定额项目</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99.76</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99.76</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1</w:t>
            </w:r>
            <w:r w:rsidRPr="009257C1">
              <w:rPr>
                <w:rFonts w:ascii="Times New Roman" w:eastAsia="宋体" w:hAnsi="Times New Roman" w:cs="Times New Roman"/>
                <w:color w:val="000000"/>
                <w:kern w:val="0"/>
                <w:sz w:val="22"/>
              </w:rPr>
              <w:t>）办公费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15.29</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15.29</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4</w:t>
            </w:r>
            <w:r w:rsidRPr="009257C1">
              <w:rPr>
                <w:rFonts w:ascii="Times New Roman" w:eastAsia="宋体" w:hAnsi="Times New Roman" w:cs="Times New Roman"/>
                <w:color w:val="000000"/>
                <w:kern w:val="0"/>
                <w:sz w:val="22"/>
              </w:rPr>
              <w:t>）邮电费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6.11</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6.11</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1</w:t>
            </w:r>
            <w:r w:rsidRPr="009257C1">
              <w:rPr>
                <w:rFonts w:ascii="Times New Roman" w:eastAsia="宋体" w:hAnsi="Times New Roman" w:cs="Times New Roman"/>
                <w:color w:val="000000"/>
                <w:kern w:val="0"/>
                <w:sz w:val="22"/>
              </w:rPr>
              <w:t>）公务移动通讯费用补贴</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5.03</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5.03</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2</w:t>
            </w:r>
            <w:r w:rsidRPr="009257C1">
              <w:rPr>
                <w:rFonts w:ascii="Times New Roman" w:eastAsia="宋体" w:hAnsi="Times New Roman" w:cs="Times New Roman"/>
                <w:color w:val="000000"/>
                <w:kern w:val="0"/>
                <w:sz w:val="22"/>
              </w:rPr>
              <w:t>）其他邮电费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1.08</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1.08</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5</w:t>
            </w:r>
            <w:r w:rsidRPr="009257C1">
              <w:rPr>
                <w:rFonts w:ascii="Times New Roman" w:eastAsia="宋体" w:hAnsi="Times New Roman" w:cs="Times New Roman"/>
                <w:color w:val="000000"/>
                <w:kern w:val="0"/>
                <w:sz w:val="22"/>
              </w:rPr>
              <w:t>）办公取暖费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10.18</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10.18</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7</w:t>
            </w:r>
            <w:r w:rsidRPr="009257C1">
              <w:rPr>
                <w:rFonts w:ascii="Times New Roman" w:eastAsia="宋体" w:hAnsi="Times New Roman" w:cs="Times New Roman"/>
                <w:color w:val="000000"/>
                <w:kern w:val="0"/>
                <w:sz w:val="22"/>
              </w:rPr>
              <w:t>）差旅费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8</w:t>
            </w:r>
            <w:r w:rsidRPr="009257C1">
              <w:rPr>
                <w:rFonts w:ascii="Times New Roman" w:eastAsia="宋体" w:hAnsi="Times New Roman" w:cs="Times New Roman"/>
                <w:color w:val="000000"/>
                <w:kern w:val="0"/>
                <w:sz w:val="22"/>
              </w:rPr>
              <w:t>）维修（护）费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9</w:t>
            </w:r>
            <w:r w:rsidRPr="009257C1">
              <w:rPr>
                <w:rFonts w:ascii="Times New Roman" w:eastAsia="宋体" w:hAnsi="Times New Roman" w:cs="Times New Roman"/>
                <w:color w:val="000000"/>
                <w:kern w:val="0"/>
                <w:sz w:val="22"/>
              </w:rPr>
              <w:t>）会议费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0.5</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0.5</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12</w:t>
            </w:r>
            <w:r w:rsidRPr="009257C1">
              <w:rPr>
                <w:rFonts w:ascii="Times New Roman" w:eastAsia="宋体" w:hAnsi="Times New Roman" w:cs="Times New Roman"/>
                <w:color w:val="000000"/>
                <w:kern w:val="0"/>
                <w:sz w:val="22"/>
              </w:rPr>
              <w:t>）公务用车运行维护费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7.8</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7.8</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4</w:t>
            </w:r>
            <w:r w:rsidRPr="009257C1">
              <w:rPr>
                <w:rFonts w:ascii="Times New Roman" w:eastAsia="宋体" w:hAnsi="Times New Roman" w:cs="Times New Roman"/>
                <w:color w:val="000000"/>
                <w:kern w:val="0"/>
                <w:sz w:val="22"/>
              </w:rPr>
              <w:t>）其他交通费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7.8</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7.8</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13</w:t>
            </w:r>
            <w:r w:rsidRPr="009257C1">
              <w:rPr>
                <w:rFonts w:ascii="Times New Roman" w:eastAsia="宋体" w:hAnsi="Times New Roman" w:cs="Times New Roman"/>
                <w:color w:val="000000"/>
                <w:kern w:val="0"/>
                <w:sz w:val="22"/>
              </w:rPr>
              <w:t>）离退休干部经费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6.84</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6.84</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1</w:t>
            </w:r>
            <w:r w:rsidRPr="009257C1">
              <w:rPr>
                <w:rFonts w:ascii="Times New Roman" w:eastAsia="宋体" w:hAnsi="Times New Roman" w:cs="Times New Roman"/>
                <w:color w:val="000000"/>
                <w:kern w:val="0"/>
                <w:sz w:val="22"/>
              </w:rPr>
              <w:t>）离休干部公用经费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0.1</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0.1</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2</w:t>
            </w:r>
            <w:r w:rsidRPr="009257C1">
              <w:rPr>
                <w:rFonts w:ascii="Times New Roman" w:eastAsia="宋体" w:hAnsi="Times New Roman" w:cs="Times New Roman"/>
                <w:color w:val="000000"/>
                <w:kern w:val="0"/>
                <w:sz w:val="22"/>
              </w:rPr>
              <w:t>）离休干部特需费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0.05</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0.05</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4</w:t>
            </w:r>
            <w:r w:rsidRPr="009257C1">
              <w:rPr>
                <w:rFonts w:ascii="Times New Roman" w:eastAsia="宋体" w:hAnsi="Times New Roman" w:cs="Times New Roman"/>
                <w:color w:val="000000"/>
                <w:kern w:val="0"/>
                <w:sz w:val="22"/>
              </w:rPr>
              <w:t>）离休人员福利费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0.08</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0.08</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5</w:t>
            </w:r>
            <w:r w:rsidRPr="009257C1">
              <w:rPr>
                <w:rFonts w:ascii="Times New Roman" w:eastAsia="宋体" w:hAnsi="Times New Roman" w:cs="Times New Roman"/>
                <w:color w:val="000000"/>
                <w:kern w:val="0"/>
                <w:sz w:val="22"/>
              </w:rPr>
              <w:t>）退休干部公用经费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2.65</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2.65</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6</w:t>
            </w:r>
            <w:r w:rsidRPr="009257C1">
              <w:rPr>
                <w:rFonts w:ascii="Times New Roman" w:eastAsia="宋体" w:hAnsi="Times New Roman" w:cs="Times New Roman"/>
                <w:color w:val="000000"/>
                <w:kern w:val="0"/>
                <w:sz w:val="22"/>
              </w:rPr>
              <w:t>）退休干部特需费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1.06</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1.06</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 xml:space="preserve">   8</w:t>
            </w:r>
            <w:r w:rsidRPr="009257C1">
              <w:rPr>
                <w:rFonts w:ascii="Times New Roman" w:eastAsia="宋体" w:hAnsi="Times New Roman" w:cs="Times New Roman"/>
                <w:color w:val="000000"/>
                <w:kern w:val="0"/>
                <w:sz w:val="22"/>
              </w:rPr>
              <w:t>）退休人员福利费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2.9</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2.9</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14</w:t>
            </w:r>
            <w:r w:rsidRPr="009257C1">
              <w:rPr>
                <w:rFonts w:ascii="Times New Roman" w:eastAsia="宋体" w:hAnsi="Times New Roman" w:cs="Times New Roman"/>
                <w:color w:val="000000"/>
                <w:kern w:val="0"/>
                <w:sz w:val="22"/>
              </w:rPr>
              <w:t>）公务交通补贴</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50.04</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50.04</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lastRenderedPageBreak/>
              <w:t>（</w:t>
            </w:r>
            <w:r w:rsidRPr="009257C1">
              <w:rPr>
                <w:rFonts w:ascii="Times New Roman" w:eastAsia="宋体" w:hAnsi="Times New Roman" w:cs="Times New Roman"/>
                <w:color w:val="000000"/>
                <w:kern w:val="0"/>
                <w:sz w:val="22"/>
              </w:rPr>
              <w:t>15</w:t>
            </w:r>
            <w:r w:rsidRPr="009257C1">
              <w:rPr>
                <w:rFonts w:ascii="Times New Roman" w:eastAsia="宋体" w:hAnsi="Times New Roman" w:cs="Times New Roman"/>
                <w:color w:val="000000"/>
                <w:kern w:val="0"/>
                <w:sz w:val="22"/>
              </w:rPr>
              <w:t>）印刷费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w:t>
            </w:r>
            <w:r w:rsidRPr="009257C1">
              <w:rPr>
                <w:rFonts w:ascii="Times New Roman" w:eastAsia="宋体" w:hAnsi="Times New Roman" w:cs="Times New Roman"/>
                <w:color w:val="000000"/>
                <w:kern w:val="0"/>
                <w:sz w:val="22"/>
              </w:rPr>
              <w:t>、按规定比例计提项目</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31.67</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31.67</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1</w:t>
            </w:r>
            <w:r w:rsidRPr="009257C1">
              <w:rPr>
                <w:rFonts w:ascii="Times New Roman" w:eastAsia="宋体" w:hAnsi="Times New Roman" w:cs="Times New Roman"/>
                <w:color w:val="000000"/>
                <w:kern w:val="0"/>
                <w:sz w:val="22"/>
              </w:rPr>
              <w:t>）培训费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2.7</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2.7</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2</w:t>
            </w:r>
            <w:r w:rsidRPr="009257C1">
              <w:rPr>
                <w:rFonts w:ascii="Times New Roman" w:eastAsia="宋体" w:hAnsi="Times New Roman" w:cs="Times New Roman"/>
                <w:color w:val="000000"/>
                <w:kern w:val="0"/>
                <w:sz w:val="22"/>
              </w:rPr>
              <w:t>）公务接待费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2.15</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2.15</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3</w:t>
            </w:r>
            <w:r w:rsidRPr="009257C1">
              <w:rPr>
                <w:rFonts w:ascii="Times New Roman" w:eastAsia="宋体" w:hAnsi="Times New Roman" w:cs="Times New Roman"/>
                <w:color w:val="000000"/>
                <w:kern w:val="0"/>
                <w:sz w:val="22"/>
              </w:rPr>
              <w:t>）工会经费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15.99</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15.99</w:t>
            </w:r>
          </w:p>
        </w:tc>
      </w:tr>
      <w:tr w:rsidR="009257C1" w:rsidRPr="009257C1" w:rsidTr="009257C1">
        <w:trPr>
          <w:trHeight w:val="315"/>
        </w:trPr>
        <w:tc>
          <w:tcPr>
            <w:tcW w:w="2615" w:type="pct"/>
            <w:tcBorders>
              <w:top w:val="nil"/>
              <w:left w:val="single" w:sz="4" w:space="0" w:color="auto"/>
              <w:bottom w:val="single" w:sz="4" w:space="0" w:color="auto"/>
              <w:right w:val="single" w:sz="4" w:space="0" w:color="auto"/>
            </w:tcBorders>
            <w:shd w:val="clear" w:color="auto" w:fill="auto"/>
            <w:vAlign w:val="center"/>
            <w:hideMark/>
          </w:tcPr>
          <w:p w:rsidR="009257C1" w:rsidRPr="009257C1" w:rsidRDefault="009257C1" w:rsidP="009257C1">
            <w:pPr>
              <w:widowControl/>
              <w:jc w:val="lef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w:t>
            </w:r>
            <w:r w:rsidRPr="009257C1">
              <w:rPr>
                <w:rFonts w:ascii="Times New Roman" w:eastAsia="宋体" w:hAnsi="Times New Roman" w:cs="Times New Roman"/>
                <w:color w:val="000000"/>
                <w:kern w:val="0"/>
                <w:sz w:val="22"/>
              </w:rPr>
              <w:t>4</w:t>
            </w:r>
            <w:r w:rsidRPr="009257C1">
              <w:rPr>
                <w:rFonts w:ascii="Times New Roman" w:eastAsia="宋体" w:hAnsi="Times New Roman" w:cs="Times New Roman"/>
                <w:color w:val="000000"/>
                <w:kern w:val="0"/>
                <w:sz w:val="22"/>
              </w:rPr>
              <w:t>）福利费</w:t>
            </w:r>
          </w:p>
        </w:tc>
        <w:tc>
          <w:tcPr>
            <w:tcW w:w="1250"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10.83</w:t>
            </w:r>
          </w:p>
        </w:tc>
        <w:tc>
          <w:tcPr>
            <w:tcW w:w="1135" w:type="pct"/>
            <w:tcBorders>
              <w:top w:val="nil"/>
              <w:left w:val="nil"/>
              <w:bottom w:val="single" w:sz="4" w:space="0" w:color="auto"/>
              <w:right w:val="single" w:sz="4" w:space="0" w:color="auto"/>
            </w:tcBorders>
            <w:shd w:val="clear" w:color="auto" w:fill="auto"/>
            <w:vAlign w:val="center"/>
            <w:hideMark/>
          </w:tcPr>
          <w:p w:rsidR="009257C1" w:rsidRPr="009257C1" w:rsidRDefault="009257C1" w:rsidP="009257C1">
            <w:pPr>
              <w:widowControl/>
              <w:jc w:val="right"/>
              <w:rPr>
                <w:rFonts w:ascii="Times New Roman" w:eastAsia="宋体" w:hAnsi="Times New Roman" w:cs="Times New Roman"/>
                <w:color w:val="000000"/>
                <w:kern w:val="0"/>
                <w:sz w:val="22"/>
              </w:rPr>
            </w:pPr>
            <w:r w:rsidRPr="009257C1">
              <w:rPr>
                <w:rFonts w:ascii="Times New Roman" w:eastAsia="宋体" w:hAnsi="Times New Roman" w:cs="Times New Roman"/>
                <w:color w:val="000000"/>
                <w:kern w:val="0"/>
                <w:sz w:val="22"/>
              </w:rPr>
              <w:t>10.83</w:t>
            </w:r>
          </w:p>
        </w:tc>
      </w:tr>
    </w:tbl>
    <w:p w:rsidR="009257C1" w:rsidRDefault="009257C1" w:rsidP="009831B5">
      <w:pPr>
        <w:pStyle w:val="a5"/>
        <w:spacing w:line="360" w:lineRule="auto"/>
        <w:ind w:firstLineChars="0" w:firstLine="0"/>
        <w:jc w:val="left"/>
        <w:rPr>
          <w:sz w:val="28"/>
          <w:szCs w:val="28"/>
        </w:rPr>
      </w:pPr>
    </w:p>
    <w:p w:rsidR="00E27AD9" w:rsidRDefault="00E23068" w:rsidP="009831B5">
      <w:pPr>
        <w:pStyle w:val="a5"/>
        <w:spacing w:line="360" w:lineRule="auto"/>
        <w:ind w:firstLineChars="0" w:firstLine="0"/>
        <w:jc w:val="left"/>
        <w:rPr>
          <w:sz w:val="28"/>
          <w:szCs w:val="28"/>
        </w:rPr>
      </w:pPr>
      <w:r>
        <w:rPr>
          <w:rFonts w:hint="eastAsia"/>
          <w:sz w:val="28"/>
          <w:szCs w:val="28"/>
        </w:rPr>
        <w:t>（</w:t>
      </w:r>
      <w:r>
        <w:rPr>
          <w:rFonts w:hint="eastAsia"/>
          <w:sz w:val="28"/>
          <w:szCs w:val="28"/>
        </w:rPr>
        <w:t>3</w:t>
      </w:r>
      <w:r>
        <w:rPr>
          <w:rFonts w:hint="eastAsia"/>
          <w:sz w:val="28"/>
          <w:szCs w:val="28"/>
        </w:rPr>
        <w:t>）“三公”经费预算情况</w:t>
      </w:r>
    </w:p>
    <w:p w:rsidR="00E23068" w:rsidRDefault="00E23068" w:rsidP="009831B5">
      <w:pPr>
        <w:pStyle w:val="a5"/>
        <w:spacing w:line="360" w:lineRule="auto"/>
        <w:ind w:firstLineChars="0" w:firstLine="0"/>
        <w:jc w:val="left"/>
        <w:rPr>
          <w:sz w:val="28"/>
          <w:szCs w:val="28"/>
        </w:rPr>
      </w:pPr>
      <w:r>
        <w:rPr>
          <w:rFonts w:hint="eastAsia"/>
          <w:sz w:val="28"/>
          <w:szCs w:val="28"/>
        </w:rPr>
        <w:t xml:space="preserve">    </w:t>
      </w:r>
      <w:r>
        <w:rPr>
          <w:rFonts w:hint="eastAsia"/>
          <w:sz w:val="28"/>
          <w:szCs w:val="28"/>
        </w:rPr>
        <w:t>本年度我部门“三公”经费预算总额</w:t>
      </w:r>
      <w:r w:rsidR="003D0D5F">
        <w:rPr>
          <w:rFonts w:hint="eastAsia"/>
          <w:sz w:val="28"/>
          <w:szCs w:val="28"/>
        </w:rPr>
        <w:t>8.75</w:t>
      </w:r>
      <w:r>
        <w:rPr>
          <w:rFonts w:hint="eastAsia"/>
          <w:sz w:val="28"/>
          <w:szCs w:val="28"/>
        </w:rPr>
        <w:t>万元，其中</w:t>
      </w:r>
      <w:r w:rsidRPr="00E23068">
        <w:rPr>
          <w:rFonts w:hint="eastAsia"/>
          <w:sz w:val="28"/>
          <w:szCs w:val="28"/>
        </w:rPr>
        <w:t>公务用车运行费</w:t>
      </w:r>
      <w:r w:rsidR="003D0D5F">
        <w:rPr>
          <w:rFonts w:hint="eastAsia"/>
          <w:sz w:val="28"/>
          <w:szCs w:val="28"/>
        </w:rPr>
        <w:t>6.6</w:t>
      </w:r>
      <w:r>
        <w:rPr>
          <w:rFonts w:hint="eastAsia"/>
          <w:sz w:val="28"/>
          <w:szCs w:val="28"/>
        </w:rPr>
        <w:t>万元，</w:t>
      </w:r>
      <w:r w:rsidRPr="00E23068">
        <w:rPr>
          <w:rFonts w:hint="eastAsia"/>
          <w:sz w:val="28"/>
          <w:szCs w:val="28"/>
        </w:rPr>
        <w:t>公务接待费</w:t>
      </w:r>
      <w:r>
        <w:rPr>
          <w:rFonts w:hint="eastAsia"/>
          <w:sz w:val="28"/>
          <w:szCs w:val="28"/>
        </w:rPr>
        <w:t>2.</w:t>
      </w:r>
      <w:r w:rsidR="003D0D5F">
        <w:rPr>
          <w:rFonts w:hint="eastAsia"/>
          <w:sz w:val="28"/>
          <w:szCs w:val="28"/>
        </w:rPr>
        <w:t>15</w:t>
      </w:r>
      <w:r>
        <w:rPr>
          <w:rFonts w:hint="eastAsia"/>
          <w:sz w:val="28"/>
          <w:szCs w:val="28"/>
        </w:rPr>
        <w:t>万元。减少原因是</w:t>
      </w:r>
      <w:r w:rsidR="003D0D5F">
        <w:rPr>
          <w:rFonts w:hint="eastAsia"/>
          <w:sz w:val="28"/>
          <w:szCs w:val="28"/>
        </w:rPr>
        <w:t>去年我区进行公务用车改革，我部门在编车辆数量减少</w:t>
      </w:r>
      <w:r>
        <w:rPr>
          <w:rFonts w:hint="eastAsia"/>
          <w:sz w:val="28"/>
          <w:szCs w:val="28"/>
        </w:rPr>
        <w:t>，公车运行成本降低。</w:t>
      </w:r>
      <w:r>
        <w:rPr>
          <w:rFonts w:hint="eastAsia"/>
          <w:sz w:val="28"/>
          <w:szCs w:val="28"/>
        </w:rPr>
        <w:t xml:space="preserve"> </w:t>
      </w:r>
    </w:p>
    <w:p w:rsidR="00B242CE" w:rsidRDefault="005F65B7" w:rsidP="00B67B14">
      <w:pPr>
        <w:pStyle w:val="a5"/>
        <w:ind w:firstLineChars="0" w:firstLine="0"/>
        <w:jc w:val="left"/>
        <w:rPr>
          <w:sz w:val="28"/>
          <w:szCs w:val="28"/>
        </w:rPr>
      </w:pPr>
      <w:r>
        <w:rPr>
          <w:rFonts w:hint="eastAsia"/>
          <w:sz w:val="28"/>
          <w:szCs w:val="28"/>
        </w:rPr>
        <w:t>（</w:t>
      </w:r>
      <w:r>
        <w:rPr>
          <w:rFonts w:hint="eastAsia"/>
          <w:sz w:val="28"/>
          <w:szCs w:val="28"/>
        </w:rPr>
        <w:t>4</w:t>
      </w:r>
      <w:r>
        <w:rPr>
          <w:rFonts w:hint="eastAsia"/>
          <w:sz w:val="28"/>
          <w:szCs w:val="28"/>
        </w:rPr>
        <w:t>）名词解释</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财政拨款：本级财政部门当年拨付的财政预算资金，包括公共预算财政拨款和政府性基金预算财政拨款。</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上级补助收入：事业单位从主管部门和上级单位取得的非财政补助收入，用于补助正常业务资金的不足。</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其他收入：预算单位在“财政拨款、事业收入、经营收入”等之外取得的各项收入（含上级补助收入和附属单位缴款等收入）。</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上年结转：是指预算单位以前年度的收入预算未执行完毕，需结转本年度按照原用途继续使用的结转资金，以及以前年度收支相抵后的盈余或亏损结余资金。</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结转下年：是指预算单位本年底前的收入预算未执行完毕，需结转下年度按照原用途继续使用的结转资金，以及本年底前收支相抵后盈余或亏损的结余资金，其中包括当年事业单</w:t>
      </w:r>
      <w:r w:rsidRPr="00206872">
        <w:rPr>
          <w:rFonts w:hint="eastAsia"/>
          <w:sz w:val="28"/>
          <w:szCs w:val="28"/>
        </w:rPr>
        <w:lastRenderedPageBreak/>
        <w:t>位按照国家规定，用于核算当年应交所得税和提取事业基金、专用基金的分配情况和结果。</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基本支出：是预算单位为保障其正常运转，完成日常工作任务所发生的支出，包括人员支出和日常公用支出。</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项目支出：是预算单位为完成其特定的行政工作任务或事业发展目标所发生的支出。</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“三公”经费</w:t>
      </w:r>
      <w:r w:rsidRPr="00206872">
        <w:rPr>
          <w:rFonts w:hint="eastAsia"/>
          <w:sz w:val="28"/>
          <w:szCs w:val="28"/>
        </w:rPr>
        <w:t>:</w:t>
      </w:r>
      <w:r w:rsidRPr="00206872">
        <w:rPr>
          <w:rFonts w:hint="eastAsia"/>
          <w:sz w:val="28"/>
          <w:szCs w:val="28"/>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社会保障和就业支出：反映政府在社会保障与就业方面的支出。有关事项包括社会保障和就业管理事务、民政管理事务、财政对社会保险基金的补助、补充全国社会保障基金、行政事业单位离退休、企业改革补助、就业补助、抚恤、退役安置、社会福利、残疾人事业、城县居民最低生活保障、其他城镇社会救济、农村社会救济、自然灾害生活救助、红十字事务等。</w:t>
      </w:r>
    </w:p>
    <w:p w:rsidR="00B67B14" w:rsidRPr="00206872" w:rsidRDefault="00B67B14" w:rsidP="00B67B14">
      <w:pPr>
        <w:pStyle w:val="a5"/>
        <w:numPr>
          <w:ilvl w:val="0"/>
          <w:numId w:val="3"/>
        </w:numPr>
        <w:ind w:left="1134" w:firstLineChars="0"/>
        <w:jc w:val="left"/>
        <w:rPr>
          <w:sz w:val="28"/>
          <w:szCs w:val="28"/>
        </w:rPr>
      </w:pPr>
      <w:r w:rsidRPr="00206872">
        <w:rPr>
          <w:rFonts w:hint="eastAsia"/>
          <w:sz w:val="28"/>
          <w:szCs w:val="28"/>
        </w:rPr>
        <w:t>住房保障支出：集中反映政府用于住房方面的支出。</w:t>
      </w:r>
    </w:p>
    <w:p w:rsidR="00B67B14" w:rsidRDefault="00B67B14" w:rsidP="00B67B14">
      <w:pPr>
        <w:pStyle w:val="a5"/>
        <w:numPr>
          <w:ilvl w:val="0"/>
          <w:numId w:val="3"/>
        </w:numPr>
        <w:ind w:left="1134" w:firstLineChars="0"/>
        <w:jc w:val="left"/>
        <w:rPr>
          <w:sz w:val="28"/>
          <w:szCs w:val="28"/>
        </w:rPr>
      </w:pPr>
      <w:r w:rsidRPr="00206872">
        <w:rPr>
          <w:rFonts w:hint="eastAsia"/>
          <w:sz w:val="28"/>
          <w:szCs w:val="28"/>
        </w:rPr>
        <w:lastRenderedPageBreak/>
        <w:t>其他支出：反映不能划分到上述功能科目的其他政府支出。</w:t>
      </w:r>
    </w:p>
    <w:p w:rsidR="00B67B14" w:rsidRDefault="00B67B14" w:rsidP="00B67B14">
      <w:pPr>
        <w:pStyle w:val="a5"/>
        <w:numPr>
          <w:ilvl w:val="0"/>
          <w:numId w:val="3"/>
        </w:numPr>
        <w:ind w:left="1134" w:firstLineChars="0"/>
        <w:jc w:val="left"/>
        <w:rPr>
          <w:sz w:val="28"/>
          <w:szCs w:val="28"/>
        </w:rPr>
      </w:pPr>
      <w:r w:rsidRPr="00B242CE">
        <w:rPr>
          <w:rFonts w:hint="eastAsia"/>
          <w:sz w:val="28"/>
          <w:szCs w:val="28"/>
        </w:rPr>
        <w:t>机关运行经费</w:t>
      </w:r>
      <w:r>
        <w:rPr>
          <w:rFonts w:hint="eastAsia"/>
          <w:sz w:val="28"/>
          <w:szCs w:val="28"/>
        </w:rPr>
        <w:t>：</w:t>
      </w:r>
      <w:r w:rsidRPr="00B242CE">
        <w:rPr>
          <w:rFonts w:hint="eastAsia"/>
          <w:sz w:val="28"/>
          <w:szCs w:val="28"/>
        </w:rPr>
        <w:t>统计口径反映行政单位和参公管理事业单位使用一般公共预算财政拨款安排的基本支出中的日常公用经费，具体包括办公费、水费、电费、邮电费、取暖费、物业管理费、交通费、差旅费、维修（护）费、培训费、招待费、工会经费、福利费等。</w:t>
      </w:r>
    </w:p>
    <w:p w:rsidR="00B67B14" w:rsidRPr="00B67B14" w:rsidRDefault="00B67B14" w:rsidP="00B67B14">
      <w:pPr>
        <w:pStyle w:val="a5"/>
        <w:ind w:firstLineChars="0" w:firstLine="0"/>
        <w:jc w:val="left"/>
        <w:rPr>
          <w:sz w:val="28"/>
          <w:szCs w:val="28"/>
        </w:rPr>
      </w:pPr>
    </w:p>
    <w:p w:rsidR="00D72B82" w:rsidRDefault="00B242CE" w:rsidP="009831B5">
      <w:pPr>
        <w:pStyle w:val="a5"/>
        <w:spacing w:line="360" w:lineRule="auto"/>
        <w:ind w:firstLineChars="0" w:firstLine="0"/>
        <w:jc w:val="left"/>
        <w:rPr>
          <w:sz w:val="28"/>
          <w:szCs w:val="28"/>
        </w:rPr>
      </w:pPr>
      <w:r>
        <w:rPr>
          <w:rFonts w:hint="eastAsia"/>
          <w:sz w:val="28"/>
          <w:szCs w:val="28"/>
        </w:rPr>
        <w:t>（</w:t>
      </w:r>
      <w:r>
        <w:rPr>
          <w:rFonts w:hint="eastAsia"/>
          <w:sz w:val="28"/>
          <w:szCs w:val="28"/>
        </w:rPr>
        <w:t>5</w:t>
      </w:r>
      <w:r>
        <w:rPr>
          <w:rFonts w:hint="eastAsia"/>
          <w:sz w:val="28"/>
          <w:szCs w:val="28"/>
        </w:rPr>
        <w:t>）其他需说明的事项</w:t>
      </w:r>
    </w:p>
    <w:p w:rsidR="00B242CE" w:rsidRPr="00B242CE" w:rsidRDefault="00B242CE" w:rsidP="009831B5">
      <w:pPr>
        <w:pStyle w:val="a5"/>
        <w:spacing w:line="360" w:lineRule="auto"/>
        <w:ind w:firstLineChars="0" w:firstLine="0"/>
        <w:jc w:val="left"/>
        <w:rPr>
          <w:sz w:val="28"/>
          <w:szCs w:val="28"/>
        </w:rPr>
      </w:pPr>
      <w:r>
        <w:rPr>
          <w:rFonts w:hint="eastAsia"/>
          <w:sz w:val="28"/>
          <w:szCs w:val="28"/>
        </w:rPr>
        <w:t xml:space="preserve">    </w:t>
      </w:r>
      <w:r w:rsidR="00E05273" w:rsidRPr="00C300D0">
        <w:rPr>
          <w:rFonts w:hint="eastAsia"/>
          <w:sz w:val="28"/>
          <w:szCs w:val="28"/>
        </w:rPr>
        <w:t>我</w:t>
      </w:r>
      <w:r w:rsidR="00E05273">
        <w:rPr>
          <w:rFonts w:hint="eastAsia"/>
          <w:sz w:val="28"/>
          <w:szCs w:val="28"/>
        </w:rPr>
        <w:t>部门</w:t>
      </w:r>
      <w:r w:rsidR="00E05273" w:rsidRPr="00C300D0">
        <w:rPr>
          <w:rFonts w:hint="eastAsia"/>
          <w:sz w:val="28"/>
          <w:szCs w:val="28"/>
        </w:rPr>
        <w:t>无此项内容。</w:t>
      </w:r>
    </w:p>
    <w:sectPr w:rsidR="00B242CE" w:rsidRPr="00B242CE" w:rsidSect="00D820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0B6" w:rsidRDefault="002C60B6" w:rsidP="00D938CD">
      <w:r>
        <w:separator/>
      </w:r>
    </w:p>
  </w:endnote>
  <w:endnote w:type="continuationSeparator" w:id="1">
    <w:p w:rsidR="002C60B6" w:rsidRDefault="002C60B6" w:rsidP="00D9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0B6" w:rsidRDefault="002C60B6" w:rsidP="00D938CD">
      <w:r>
        <w:separator/>
      </w:r>
    </w:p>
  </w:footnote>
  <w:footnote w:type="continuationSeparator" w:id="1">
    <w:p w:rsidR="002C60B6" w:rsidRDefault="002C60B6" w:rsidP="00D93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1D44"/>
    <w:multiLevelType w:val="hybridMultilevel"/>
    <w:tmpl w:val="EC5080A6"/>
    <w:lvl w:ilvl="0" w:tplc="FBFEC5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D43C18"/>
    <w:multiLevelType w:val="hybridMultilevel"/>
    <w:tmpl w:val="3D58E7F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0022E9"/>
    <w:multiLevelType w:val="hybridMultilevel"/>
    <w:tmpl w:val="1DC6A1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8CD"/>
    <w:rsid w:val="0002590F"/>
    <w:rsid w:val="000C5DDE"/>
    <w:rsid w:val="000D7BAE"/>
    <w:rsid w:val="001204AC"/>
    <w:rsid w:val="001A49A4"/>
    <w:rsid w:val="00242B53"/>
    <w:rsid w:val="00284904"/>
    <w:rsid w:val="002B47B5"/>
    <w:rsid w:val="002C60B6"/>
    <w:rsid w:val="002F42CB"/>
    <w:rsid w:val="00300E9A"/>
    <w:rsid w:val="003D0D5F"/>
    <w:rsid w:val="003F04A4"/>
    <w:rsid w:val="00411F3A"/>
    <w:rsid w:val="0042056F"/>
    <w:rsid w:val="00461136"/>
    <w:rsid w:val="00483278"/>
    <w:rsid w:val="004E4826"/>
    <w:rsid w:val="005B4C96"/>
    <w:rsid w:val="005C3406"/>
    <w:rsid w:val="005D1C48"/>
    <w:rsid w:val="005F65B7"/>
    <w:rsid w:val="00624058"/>
    <w:rsid w:val="006851FB"/>
    <w:rsid w:val="00737AD3"/>
    <w:rsid w:val="00781F46"/>
    <w:rsid w:val="007C12FE"/>
    <w:rsid w:val="00800DF7"/>
    <w:rsid w:val="008B6F03"/>
    <w:rsid w:val="009128A5"/>
    <w:rsid w:val="009139E5"/>
    <w:rsid w:val="009257C1"/>
    <w:rsid w:val="009831B5"/>
    <w:rsid w:val="00A26008"/>
    <w:rsid w:val="00A71767"/>
    <w:rsid w:val="00AF258A"/>
    <w:rsid w:val="00B20FF1"/>
    <w:rsid w:val="00B216E2"/>
    <w:rsid w:val="00B22A5F"/>
    <w:rsid w:val="00B242CE"/>
    <w:rsid w:val="00B469CB"/>
    <w:rsid w:val="00B67B14"/>
    <w:rsid w:val="00B749F4"/>
    <w:rsid w:val="00BF2F81"/>
    <w:rsid w:val="00BF58B9"/>
    <w:rsid w:val="00C04C8D"/>
    <w:rsid w:val="00C550CE"/>
    <w:rsid w:val="00C9338D"/>
    <w:rsid w:val="00CC4A53"/>
    <w:rsid w:val="00D6681F"/>
    <w:rsid w:val="00D72ACF"/>
    <w:rsid w:val="00D72B82"/>
    <w:rsid w:val="00D82053"/>
    <w:rsid w:val="00D938CD"/>
    <w:rsid w:val="00DD219E"/>
    <w:rsid w:val="00DD632E"/>
    <w:rsid w:val="00E05273"/>
    <w:rsid w:val="00E23068"/>
    <w:rsid w:val="00E260C6"/>
    <w:rsid w:val="00E27AD9"/>
    <w:rsid w:val="00E31F2A"/>
    <w:rsid w:val="00E82076"/>
    <w:rsid w:val="00E96BED"/>
    <w:rsid w:val="00EF1C1A"/>
    <w:rsid w:val="00F7028E"/>
    <w:rsid w:val="00F775EC"/>
    <w:rsid w:val="00FE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8CD"/>
    <w:rPr>
      <w:sz w:val="18"/>
      <w:szCs w:val="18"/>
    </w:rPr>
  </w:style>
  <w:style w:type="paragraph" w:styleId="a4">
    <w:name w:val="footer"/>
    <w:basedOn w:val="a"/>
    <w:link w:val="Char0"/>
    <w:uiPriority w:val="99"/>
    <w:semiHidden/>
    <w:unhideWhenUsed/>
    <w:rsid w:val="00D938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8CD"/>
    <w:rPr>
      <w:sz w:val="18"/>
      <w:szCs w:val="18"/>
    </w:rPr>
  </w:style>
  <w:style w:type="paragraph" w:styleId="a5">
    <w:name w:val="List Paragraph"/>
    <w:basedOn w:val="a"/>
    <w:uiPriority w:val="34"/>
    <w:qFormat/>
    <w:rsid w:val="00D938CD"/>
    <w:pPr>
      <w:ind w:firstLineChars="200" w:firstLine="420"/>
    </w:pPr>
  </w:style>
</w:styles>
</file>

<file path=word/webSettings.xml><?xml version="1.0" encoding="utf-8"?>
<w:webSettings xmlns:r="http://schemas.openxmlformats.org/officeDocument/2006/relationships" xmlns:w="http://schemas.openxmlformats.org/wordprocessingml/2006/main">
  <w:divs>
    <w:div w:id="26226496">
      <w:bodyDiv w:val="1"/>
      <w:marLeft w:val="0"/>
      <w:marRight w:val="0"/>
      <w:marTop w:val="0"/>
      <w:marBottom w:val="0"/>
      <w:divBdr>
        <w:top w:val="none" w:sz="0" w:space="0" w:color="auto"/>
        <w:left w:val="none" w:sz="0" w:space="0" w:color="auto"/>
        <w:bottom w:val="none" w:sz="0" w:space="0" w:color="auto"/>
        <w:right w:val="none" w:sz="0" w:space="0" w:color="auto"/>
      </w:divBdr>
    </w:div>
    <w:div w:id="343091345">
      <w:bodyDiv w:val="1"/>
      <w:marLeft w:val="0"/>
      <w:marRight w:val="0"/>
      <w:marTop w:val="0"/>
      <w:marBottom w:val="0"/>
      <w:divBdr>
        <w:top w:val="none" w:sz="0" w:space="0" w:color="auto"/>
        <w:left w:val="none" w:sz="0" w:space="0" w:color="auto"/>
        <w:bottom w:val="none" w:sz="0" w:space="0" w:color="auto"/>
        <w:right w:val="none" w:sz="0" w:space="0" w:color="auto"/>
      </w:divBdr>
    </w:div>
    <w:div w:id="355430388">
      <w:bodyDiv w:val="1"/>
      <w:marLeft w:val="0"/>
      <w:marRight w:val="0"/>
      <w:marTop w:val="0"/>
      <w:marBottom w:val="0"/>
      <w:divBdr>
        <w:top w:val="none" w:sz="0" w:space="0" w:color="auto"/>
        <w:left w:val="none" w:sz="0" w:space="0" w:color="auto"/>
        <w:bottom w:val="none" w:sz="0" w:space="0" w:color="auto"/>
        <w:right w:val="none" w:sz="0" w:space="0" w:color="auto"/>
      </w:divBdr>
    </w:div>
    <w:div w:id="399641785">
      <w:bodyDiv w:val="1"/>
      <w:marLeft w:val="0"/>
      <w:marRight w:val="0"/>
      <w:marTop w:val="0"/>
      <w:marBottom w:val="0"/>
      <w:divBdr>
        <w:top w:val="none" w:sz="0" w:space="0" w:color="auto"/>
        <w:left w:val="none" w:sz="0" w:space="0" w:color="auto"/>
        <w:bottom w:val="none" w:sz="0" w:space="0" w:color="auto"/>
        <w:right w:val="none" w:sz="0" w:space="0" w:color="auto"/>
      </w:divBdr>
    </w:div>
    <w:div w:id="471679076">
      <w:bodyDiv w:val="1"/>
      <w:marLeft w:val="0"/>
      <w:marRight w:val="0"/>
      <w:marTop w:val="0"/>
      <w:marBottom w:val="0"/>
      <w:divBdr>
        <w:top w:val="none" w:sz="0" w:space="0" w:color="auto"/>
        <w:left w:val="none" w:sz="0" w:space="0" w:color="auto"/>
        <w:bottom w:val="none" w:sz="0" w:space="0" w:color="auto"/>
        <w:right w:val="none" w:sz="0" w:space="0" w:color="auto"/>
      </w:divBdr>
    </w:div>
    <w:div w:id="517499414">
      <w:bodyDiv w:val="1"/>
      <w:marLeft w:val="0"/>
      <w:marRight w:val="0"/>
      <w:marTop w:val="0"/>
      <w:marBottom w:val="0"/>
      <w:divBdr>
        <w:top w:val="none" w:sz="0" w:space="0" w:color="auto"/>
        <w:left w:val="none" w:sz="0" w:space="0" w:color="auto"/>
        <w:bottom w:val="none" w:sz="0" w:space="0" w:color="auto"/>
        <w:right w:val="none" w:sz="0" w:space="0" w:color="auto"/>
      </w:divBdr>
    </w:div>
    <w:div w:id="611129318">
      <w:bodyDiv w:val="1"/>
      <w:marLeft w:val="0"/>
      <w:marRight w:val="0"/>
      <w:marTop w:val="0"/>
      <w:marBottom w:val="0"/>
      <w:divBdr>
        <w:top w:val="none" w:sz="0" w:space="0" w:color="auto"/>
        <w:left w:val="none" w:sz="0" w:space="0" w:color="auto"/>
        <w:bottom w:val="none" w:sz="0" w:space="0" w:color="auto"/>
        <w:right w:val="none" w:sz="0" w:space="0" w:color="auto"/>
      </w:divBdr>
    </w:div>
    <w:div w:id="613485672">
      <w:bodyDiv w:val="1"/>
      <w:marLeft w:val="0"/>
      <w:marRight w:val="0"/>
      <w:marTop w:val="0"/>
      <w:marBottom w:val="0"/>
      <w:divBdr>
        <w:top w:val="none" w:sz="0" w:space="0" w:color="auto"/>
        <w:left w:val="none" w:sz="0" w:space="0" w:color="auto"/>
        <w:bottom w:val="none" w:sz="0" w:space="0" w:color="auto"/>
        <w:right w:val="none" w:sz="0" w:space="0" w:color="auto"/>
      </w:divBdr>
    </w:div>
    <w:div w:id="767165297">
      <w:bodyDiv w:val="1"/>
      <w:marLeft w:val="0"/>
      <w:marRight w:val="0"/>
      <w:marTop w:val="0"/>
      <w:marBottom w:val="0"/>
      <w:divBdr>
        <w:top w:val="none" w:sz="0" w:space="0" w:color="auto"/>
        <w:left w:val="none" w:sz="0" w:space="0" w:color="auto"/>
        <w:bottom w:val="none" w:sz="0" w:space="0" w:color="auto"/>
        <w:right w:val="none" w:sz="0" w:space="0" w:color="auto"/>
      </w:divBdr>
    </w:div>
    <w:div w:id="1012999618">
      <w:bodyDiv w:val="1"/>
      <w:marLeft w:val="0"/>
      <w:marRight w:val="0"/>
      <w:marTop w:val="0"/>
      <w:marBottom w:val="0"/>
      <w:divBdr>
        <w:top w:val="none" w:sz="0" w:space="0" w:color="auto"/>
        <w:left w:val="none" w:sz="0" w:space="0" w:color="auto"/>
        <w:bottom w:val="none" w:sz="0" w:space="0" w:color="auto"/>
        <w:right w:val="none" w:sz="0" w:space="0" w:color="auto"/>
      </w:divBdr>
    </w:div>
    <w:div w:id="1033071086">
      <w:bodyDiv w:val="1"/>
      <w:marLeft w:val="0"/>
      <w:marRight w:val="0"/>
      <w:marTop w:val="0"/>
      <w:marBottom w:val="0"/>
      <w:divBdr>
        <w:top w:val="none" w:sz="0" w:space="0" w:color="auto"/>
        <w:left w:val="none" w:sz="0" w:space="0" w:color="auto"/>
        <w:bottom w:val="none" w:sz="0" w:space="0" w:color="auto"/>
        <w:right w:val="none" w:sz="0" w:space="0" w:color="auto"/>
      </w:divBdr>
    </w:div>
    <w:div w:id="1080565477">
      <w:bodyDiv w:val="1"/>
      <w:marLeft w:val="0"/>
      <w:marRight w:val="0"/>
      <w:marTop w:val="0"/>
      <w:marBottom w:val="0"/>
      <w:divBdr>
        <w:top w:val="none" w:sz="0" w:space="0" w:color="auto"/>
        <w:left w:val="none" w:sz="0" w:space="0" w:color="auto"/>
        <w:bottom w:val="none" w:sz="0" w:space="0" w:color="auto"/>
        <w:right w:val="none" w:sz="0" w:space="0" w:color="auto"/>
      </w:divBdr>
    </w:div>
    <w:div w:id="1120030502">
      <w:bodyDiv w:val="1"/>
      <w:marLeft w:val="0"/>
      <w:marRight w:val="0"/>
      <w:marTop w:val="0"/>
      <w:marBottom w:val="0"/>
      <w:divBdr>
        <w:top w:val="none" w:sz="0" w:space="0" w:color="auto"/>
        <w:left w:val="none" w:sz="0" w:space="0" w:color="auto"/>
        <w:bottom w:val="none" w:sz="0" w:space="0" w:color="auto"/>
        <w:right w:val="none" w:sz="0" w:space="0" w:color="auto"/>
      </w:divBdr>
    </w:div>
    <w:div w:id="1387023854">
      <w:bodyDiv w:val="1"/>
      <w:marLeft w:val="0"/>
      <w:marRight w:val="0"/>
      <w:marTop w:val="0"/>
      <w:marBottom w:val="0"/>
      <w:divBdr>
        <w:top w:val="none" w:sz="0" w:space="0" w:color="auto"/>
        <w:left w:val="none" w:sz="0" w:space="0" w:color="auto"/>
        <w:bottom w:val="none" w:sz="0" w:space="0" w:color="auto"/>
        <w:right w:val="none" w:sz="0" w:space="0" w:color="auto"/>
      </w:divBdr>
    </w:div>
    <w:div w:id="1388339464">
      <w:bodyDiv w:val="1"/>
      <w:marLeft w:val="0"/>
      <w:marRight w:val="0"/>
      <w:marTop w:val="0"/>
      <w:marBottom w:val="0"/>
      <w:divBdr>
        <w:top w:val="none" w:sz="0" w:space="0" w:color="auto"/>
        <w:left w:val="none" w:sz="0" w:space="0" w:color="auto"/>
        <w:bottom w:val="none" w:sz="0" w:space="0" w:color="auto"/>
        <w:right w:val="none" w:sz="0" w:space="0" w:color="auto"/>
      </w:divBdr>
    </w:div>
    <w:div w:id="1499541794">
      <w:bodyDiv w:val="1"/>
      <w:marLeft w:val="0"/>
      <w:marRight w:val="0"/>
      <w:marTop w:val="0"/>
      <w:marBottom w:val="0"/>
      <w:divBdr>
        <w:top w:val="none" w:sz="0" w:space="0" w:color="auto"/>
        <w:left w:val="none" w:sz="0" w:space="0" w:color="auto"/>
        <w:bottom w:val="none" w:sz="0" w:space="0" w:color="auto"/>
        <w:right w:val="none" w:sz="0" w:space="0" w:color="auto"/>
      </w:divBdr>
    </w:div>
    <w:div w:id="1534998053">
      <w:bodyDiv w:val="1"/>
      <w:marLeft w:val="0"/>
      <w:marRight w:val="0"/>
      <w:marTop w:val="0"/>
      <w:marBottom w:val="0"/>
      <w:divBdr>
        <w:top w:val="none" w:sz="0" w:space="0" w:color="auto"/>
        <w:left w:val="none" w:sz="0" w:space="0" w:color="auto"/>
        <w:bottom w:val="none" w:sz="0" w:space="0" w:color="auto"/>
        <w:right w:val="none" w:sz="0" w:space="0" w:color="auto"/>
      </w:divBdr>
    </w:div>
    <w:div w:id="1909340765">
      <w:bodyDiv w:val="1"/>
      <w:marLeft w:val="0"/>
      <w:marRight w:val="0"/>
      <w:marTop w:val="0"/>
      <w:marBottom w:val="0"/>
      <w:divBdr>
        <w:top w:val="none" w:sz="0" w:space="0" w:color="auto"/>
        <w:left w:val="none" w:sz="0" w:space="0" w:color="auto"/>
        <w:bottom w:val="none" w:sz="0" w:space="0" w:color="auto"/>
        <w:right w:val="none" w:sz="0" w:space="0" w:color="auto"/>
      </w:divBdr>
    </w:div>
    <w:div w:id="1912228610">
      <w:bodyDiv w:val="1"/>
      <w:marLeft w:val="0"/>
      <w:marRight w:val="0"/>
      <w:marTop w:val="0"/>
      <w:marBottom w:val="0"/>
      <w:divBdr>
        <w:top w:val="none" w:sz="0" w:space="0" w:color="auto"/>
        <w:left w:val="none" w:sz="0" w:space="0" w:color="auto"/>
        <w:bottom w:val="none" w:sz="0" w:space="0" w:color="auto"/>
        <w:right w:val="none" w:sz="0" w:space="0" w:color="auto"/>
      </w:divBdr>
    </w:div>
    <w:div w:id="1912228838">
      <w:bodyDiv w:val="1"/>
      <w:marLeft w:val="0"/>
      <w:marRight w:val="0"/>
      <w:marTop w:val="0"/>
      <w:marBottom w:val="0"/>
      <w:divBdr>
        <w:top w:val="none" w:sz="0" w:space="0" w:color="auto"/>
        <w:left w:val="none" w:sz="0" w:space="0" w:color="auto"/>
        <w:bottom w:val="none" w:sz="0" w:space="0" w:color="auto"/>
        <w:right w:val="none" w:sz="0" w:space="0" w:color="auto"/>
      </w:divBdr>
    </w:div>
    <w:div w:id="1945117091">
      <w:bodyDiv w:val="1"/>
      <w:marLeft w:val="0"/>
      <w:marRight w:val="0"/>
      <w:marTop w:val="0"/>
      <w:marBottom w:val="0"/>
      <w:divBdr>
        <w:top w:val="none" w:sz="0" w:space="0" w:color="auto"/>
        <w:left w:val="none" w:sz="0" w:space="0" w:color="auto"/>
        <w:bottom w:val="none" w:sz="0" w:space="0" w:color="auto"/>
        <w:right w:val="none" w:sz="0" w:space="0" w:color="auto"/>
      </w:divBdr>
    </w:div>
    <w:div w:id="1978795915">
      <w:bodyDiv w:val="1"/>
      <w:marLeft w:val="0"/>
      <w:marRight w:val="0"/>
      <w:marTop w:val="0"/>
      <w:marBottom w:val="0"/>
      <w:divBdr>
        <w:top w:val="none" w:sz="0" w:space="0" w:color="auto"/>
        <w:left w:val="none" w:sz="0" w:space="0" w:color="auto"/>
        <w:bottom w:val="none" w:sz="0" w:space="0" w:color="auto"/>
        <w:right w:val="none" w:sz="0" w:space="0" w:color="auto"/>
      </w:divBdr>
    </w:div>
    <w:div w:id="2012680501">
      <w:bodyDiv w:val="1"/>
      <w:marLeft w:val="0"/>
      <w:marRight w:val="0"/>
      <w:marTop w:val="0"/>
      <w:marBottom w:val="0"/>
      <w:divBdr>
        <w:top w:val="none" w:sz="0" w:space="0" w:color="auto"/>
        <w:left w:val="none" w:sz="0" w:space="0" w:color="auto"/>
        <w:bottom w:val="none" w:sz="0" w:space="0" w:color="auto"/>
        <w:right w:val="none" w:sz="0" w:space="0" w:color="auto"/>
      </w:divBdr>
    </w:div>
    <w:div w:id="20228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2421</Words>
  <Characters>13802</Characters>
  <Application>Microsoft Office Word</Application>
  <DocSecurity>0</DocSecurity>
  <Lines>115</Lines>
  <Paragraphs>32</Paragraphs>
  <ScaleCrop>false</ScaleCrop>
  <Company/>
  <LinksUpToDate>false</LinksUpToDate>
  <CharactersWithSpaces>16191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dc:creator>
  <cp:keywords/>
  <dc:description/>
  <cp:lastModifiedBy>caiwu</cp:lastModifiedBy>
  <cp:revision>54</cp:revision>
  <dcterms:created xsi:type="dcterms:W3CDTF">2016-11-23T07:00:00Z</dcterms:created>
  <dcterms:modified xsi:type="dcterms:W3CDTF">2024-01-19T05:56:00Z</dcterms:modified>
</cp:coreProperties>
</file>