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秦皇岛市</w:t>
      </w:r>
      <w:r>
        <w:rPr>
          <w:rFonts w:hint="eastAsia" w:ascii="黑体" w:hAnsi="黑体" w:eastAsia="黑体" w:cs="黑体"/>
          <w:b/>
          <w:color w:val="000000"/>
          <w:sz w:val="44"/>
        </w:rPr>
        <w:t>山海关</w:t>
      </w:r>
      <w:r>
        <w:rPr>
          <w:rFonts w:hint="eastAsia" w:ascii="黑体" w:hAnsi="黑体" w:eastAsia="黑体" w:cs="黑体"/>
          <w:b/>
          <w:color w:val="000000"/>
          <w:sz w:val="44"/>
          <w:lang w:eastAsia="zh-CN"/>
        </w:rPr>
        <w:t>区临港经济开发区发展中心</w:t>
      </w:r>
    </w:p>
    <w:p>
      <w:pPr>
        <w:jc w:val="center"/>
        <w:outlineLvl w:val="0"/>
        <w:rPr>
          <w:rFonts w:hint="eastAsia"/>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秦皇岛市山海关区临港经济开发区发展中心</w:t>
      </w:r>
      <w:r>
        <w:t>本级收支预算</w:t>
      </w:r>
      <w:r>
        <w:tab/>
      </w:r>
      <w:r>
        <w:fldChar w:fldCharType="begin"/>
      </w:r>
      <w:r>
        <w:instrText xml:space="preserve">PAGEREF _Toc_4_4_0000000019 \h</w:instrText>
      </w:r>
      <w:r>
        <w:fldChar w:fldCharType="separate"/>
      </w:r>
      <w:r>
        <w:t>1</w:t>
      </w:r>
      <w:r>
        <w:fldChar w:fldCharType="end"/>
      </w:r>
      <w:r>
        <w:fldChar w:fldCharType="end"/>
      </w:r>
    </w:p>
    <w:p>
      <w:r>
        <w:fldChar w:fldCharType="end"/>
      </w:r>
    </w:p>
    <w:p>
      <w:r>
        <w:br w:type="page"/>
      </w:r>
    </w:p>
    <w:tbl>
      <w:tblPr>
        <w:tblStyle w:val="3"/>
        <w:tblW w:w="13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4741"/>
        <w:gridCol w:w="2032"/>
        <w:gridCol w:w="3516"/>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35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山海关区临港经济开发区发展中心</w:t>
            </w:r>
            <w:r>
              <w:rPr>
                <w:rFonts w:ascii="方正小标宋_GBK" w:hAnsi="方正小标宋_GBK" w:eastAsia="方正小标宋_GBK" w:cs="方正小标宋_GBK"/>
                <w:color w:val="000000"/>
                <w:sz w:val="44"/>
              </w:rPr>
              <w:t>本级收支预算</w:t>
            </w:r>
          </w:p>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color w:val="000000"/>
                <w:sz w:val="44"/>
                <w:lang w:val="en-US" w:eastAsia="zh-CN"/>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1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35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222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4255450.90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三十、抗疫特别国债安排的支出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r>
    </w:tbl>
    <w:p>
      <w:r>
        <w:br w:type="page"/>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163"/>
        <w:gridCol w:w="2115"/>
        <w:gridCol w:w="1430"/>
        <w:gridCol w:w="1483"/>
        <w:gridCol w:w="1450"/>
        <w:gridCol w:w="834"/>
        <w:gridCol w:w="850"/>
        <w:gridCol w:w="750"/>
        <w:gridCol w:w="883"/>
        <w:gridCol w:w="1000"/>
        <w:gridCol w:w="833"/>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081" w:type="dxa"/>
            <w:gridSpan w:val="13"/>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br w:type="page"/>
            </w: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1883"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159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0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bl>
    <w:p>
      <w:r>
        <w:br w:type="page"/>
      </w:r>
    </w:p>
    <w:tbl>
      <w:tblPr>
        <w:tblStyle w:val="3"/>
        <w:tblW w:w="14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1613"/>
        <w:gridCol w:w="3717"/>
        <w:gridCol w:w="1867"/>
        <w:gridCol w:w="1916"/>
        <w:gridCol w:w="1602"/>
        <w:gridCol w:w="866"/>
        <w:gridCol w:w="901"/>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3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9"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2468"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1802"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2"/>
                <w:szCs w:val="22"/>
                <w:u w:val="none"/>
                <w:lang w:val="en-US" w:eastAsia="zh-CN" w:bidi="ar"/>
              </w:rPr>
              <w:t>经营支出</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2"/>
                <w:szCs w:val="22"/>
                <w:u w:val="none"/>
                <w:lang w:val="en-US" w:eastAsia="zh-CN" w:bidi="ar"/>
              </w:rPr>
              <w:t>6</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737910.90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38847540.00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531324.69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531324.69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531324.69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sz w:val="22"/>
                <w:szCs w:val="22"/>
              </w:rPr>
            </w:pPr>
          </w:p>
        </w:tc>
      </w:tr>
    </w:tbl>
    <w:p>
      <w:r>
        <w:br w:type="page"/>
      </w:r>
    </w:p>
    <w:p/>
    <w:tbl>
      <w:tblPr>
        <w:tblStyle w:val="3"/>
        <w:tblW w:w="16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
        <w:gridCol w:w="2798"/>
        <w:gridCol w:w="1299"/>
        <w:gridCol w:w="3490"/>
        <w:gridCol w:w="1240"/>
        <w:gridCol w:w="1581"/>
        <w:gridCol w:w="1736"/>
        <w:gridCol w:w="1243"/>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0" w:type="auto"/>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0" w:type="auto"/>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39585450.90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4255450.90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ascii="宋体" w:hAnsi="宋体" w:eastAsia="宋体" w:cs="宋体"/>
          <w:sz w:val="22"/>
          <w:szCs w:val="22"/>
        </w:rPr>
      </w:pPr>
    </w:p>
    <w:p>
      <w:pPr>
        <w:rPr>
          <w:sz w:val="22"/>
          <w:szCs w:val="22"/>
        </w:rPr>
      </w:pPr>
    </w:p>
    <w:tbl>
      <w:tblPr>
        <w:tblStyle w:val="3"/>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gridSpan w:val="8"/>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br w:type="page"/>
            </w: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907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24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4255450.90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737910.90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701438.04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36472.86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531324.69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496122.57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35202.12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531324.69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496122.57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35202.12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4048864.69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531324.69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496122.57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35202.12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3517540.00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77851.69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1270.74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79122.43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77851.69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1270.74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6848.19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5577.45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1270.74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
    <w:tbl>
      <w:tblPr>
        <w:tblStyle w:val="3"/>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3000"/>
        <w:gridCol w:w="3000"/>
        <w:gridCol w:w="2414"/>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750" w:hRule="atLeast"/>
        </w:trPr>
        <w:tc>
          <w:tcPr>
            <w:tcW w:w="1388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30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9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737910.90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701438.04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36472.86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694300.59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694300.59</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239736.00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239736.00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37428.00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37428.00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211978.00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211978.00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72274.24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35007.84</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38250.26</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5420.57</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54205.68</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36472.86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36472.86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8634.72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8634.72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5993.40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1795.74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1795.74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7137.45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7137.45</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5577.45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5577.45</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r>
        <w:br w:type="page"/>
      </w:r>
    </w:p>
    <w:tbl>
      <w:tblPr>
        <w:tblStyle w:val="3"/>
        <w:tblW w:w="13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1934"/>
        <w:gridCol w:w="3365"/>
        <w:gridCol w:w="3366"/>
        <w:gridCol w:w="1914"/>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94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0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191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2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33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3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35330000.00</w:t>
            </w:r>
          </w:p>
        </w:tc>
      </w:tr>
    </w:tbl>
    <w:p>
      <w:r>
        <w:br w:type="page"/>
      </w:r>
    </w:p>
    <w:tbl>
      <w:tblPr>
        <w:tblStyle w:val="3"/>
        <w:tblW w:w="13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7"/>
        <w:gridCol w:w="2201"/>
        <w:gridCol w:w="2201"/>
        <w:gridCol w:w="1317"/>
        <w:gridCol w:w="3142"/>
        <w:gridCol w:w="3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2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3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预算单位编码及名称：[631001]临港部门秦皇岛市山海关区临港经济开发区发展中心本级</w:t>
            </w:r>
          </w:p>
        </w:tc>
        <w:tc>
          <w:tcPr>
            <w:tcW w:w="25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预算年度：2021</w:t>
            </w:r>
          </w:p>
        </w:tc>
        <w:tc>
          <w:tcPr>
            <w:tcW w:w="333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29" w:type="dxa"/>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
      <w:r>
        <w:br w:type="page"/>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3920"/>
        <w:gridCol w:w="1000"/>
        <w:gridCol w:w="2167"/>
        <w:gridCol w:w="1922"/>
        <w:gridCol w:w="2491"/>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7"/>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br w:type="page"/>
            </w: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预算单位编码及名称：[631001]临港部门秦皇岛市山海关区临港经济开发区发展中心本级</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249.00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
      <w:r>
        <w:br w:type="page"/>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秦皇岛市山海关区临港经济开发区发展中心</w:t>
      </w:r>
      <w:r>
        <w:rPr>
          <w:rFonts w:ascii="方正小标宋_GBK" w:hAnsi="方正小标宋_GBK" w:eastAsia="方正小标宋_GBK" w:cs="方正小标宋_GBK"/>
          <w:color w:val="000000"/>
          <w:sz w:val="44"/>
        </w:rPr>
        <w:t>本级</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预算法》、《地方预决算公开操作规程》和《河北省省级预算公开办法》规定，现将山海关</w:t>
      </w:r>
      <w:r>
        <w:rPr>
          <w:rFonts w:hint="eastAsia" w:ascii="仿宋_GB2312" w:eastAsia="仿宋_GB2312"/>
          <w:sz w:val="32"/>
          <w:szCs w:val="32"/>
          <w:lang w:eastAsia="zh-CN"/>
        </w:rPr>
        <w:t>临港经济开发区发</w:t>
      </w:r>
      <w:bookmarkStart w:id="5" w:name="_GoBack"/>
      <w:bookmarkEnd w:id="5"/>
      <w:r>
        <w:rPr>
          <w:rFonts w:hint="eastAsia" w:ascii="仿宋_GB2312" w:eastAsia="仿宋_GB2312"/>
          <w:sz w:val="32"/>
          <w:szCs w:val="32"/>
          <w:lang w:eastAsia="zh-CN"/>
        </w:rPr>
        <w:t>展中心</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hint="eastAsia" w:ascii="仿宋_GB2312" w:hAnsi="宋体" w:eastAsia="仿宋_GB2312" w:cs="宋体"/>
          <w:sz w:val="32"/>
        </w:rPr>
      </w:pPr>
      <w:r>
        <w:rPr>
          <w:rFonts w:hint="eastAsia" w:ascii="仿宋" w:hAnsi="仿宋" w:eastAsia="仿宋" w:cs="仿宋"/>
          <w:color w:val="000000"/>
          <w:sz w:val="32"/>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rPr>
        <w:t>本年度</w:t>
      </w:r>
      <w:r>
        <w:rPr>
          <w:rFonts w:hint="eastAsia" w:ascii="仿宋_GB2312" w:hAnsi="宋体" w:eastAsia="仿宋_GB2312" w:cs="宋体"/>
          <w:sz w:val="32"/>
          <w:lang w:eastAsia="zh-CN"/>
        </w:rPr>
        <w:t>山海关区临港经济开发区发展中心</w:t>
      </w:r>
      <w:r>
        <w:rPr>
          <w:rFonts w:hint="eastAsia" w:ascii="仿宋_GB2312" w:hAnsi="宋体" w:eastAsia="仿宋_GB2312" w:cs="宋体"/>
          <w:sz w:val="32"/>
        </w:rPr>
        <w:t>职责共分四项，下面就这四职责分别说明：</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hint="eastAsia" w:ascii="仿宋_GB2312" w:hAnsi="宋体" w:eastAsia="仿宋_GB2312" w:cs="宋体"/>
          <w:bCs/>
          <w:sz w:val="32"/>
        </w:rPr>
      </w:pPr>
      <w:r>
        <w:rPr>
          <w:rFonts w:hint="eastAsia" w:ascii="仿宋_GB2312" w:hAnsi="宋体" w:eastAsia="仿宋_GB2312" w:cs="宋体"/>
          <w:bCs/>
          <w:sz w:val="32"/>
        </w:rPr>
        <w:t>综合办公职责：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贯彻执行上级各类文件精神；做好工、管委各项工作组织协调和督导落实；负责公文处理、综合文字、协调联络等工作；按干部管理权限负责干部（人事）管理、党的建设和纪检（监察）、统战、群团等工作；协调并组织开发区年度财务预决算编制；负责开发区日常财务工作；负责日常接待、后勤管理服务等工作；负责开发区内政法、综治、维稳、信访、公共突发事件应急处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sz w:val="32"/>
        </w:rPr>
      </w:pPr>
      <w:r>
        <w:rPr>
          <w:rFonts w:hint="eastAsia" w:ascii="仿宋_GB2312" w:hAnsi="宋体" w:eastAsia="仿宋_GB2312" w:cs="宋体"/>
          <w:bCs/>
          <w:sz w:val="32"/>
        </w:rPr>
        <w:t>职责目标是：</w:t>
      </w:r>
      <w:r>
        <w:rPr>
          <w:rFonts w:hint="eastAsia" w:ascii="仿宋_GB2312" w:hAnsi="宋体" w:eastAsia="仿宋_GB2312" w:cs="宋体"/>
          <w:sz w:val="32"/>
        </w:rPr>
        <w:t>规范公文办理，加快公文运转速度，提高办文质量和办事效率。突出政务、加强事务、提升服务，力求重点工作出精品，难点工作求突破、基础工作有创新、常规工作见特色，增强工作综合服务实力。做好日常财务工作；按要求编制年度财务预算，有效监督资金正常运行，维护资金安全，努力提高临港开发区经济效益。</w:t>
      </w:r>
    </w:p>
    <w:p>
      <w:pPr>
        <w:numPr>
          <w:ilvl w:val="0"/>
          <w:numId w:val="1"/>
        </w:numPr>
        <w:spacing w:line="360" w:lineRule="auto"/>
        <w:rPr>
          <w:rFonts w:hint="eastAsia" w:ascii="仿宋_GB2312" w:hAnsi="宋体" w:eastAsia="仿宋_GB2312" w:cs="宋体"/>
          <w:bCs/>
          <w:sz w:val="32"/>
        </w:rPr>
      </w:pPr>
      <w:r>
        <w:rPr>
          <w:rFonts w:hint="eastAsia" w:ascii="仿宋_GB2312" w:hAnsi="宋体" w:eastAsia="仿宋_GB2312" w:cs="宋体"/>
          <w:bCs/>
          <w:sz w:val="32"/>
        </w:rPr>
        <w:t>经济发展职责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负责开发区宣传推介工作；负责开发区内企业监管服务工作；负责开发区招商引资工作开展；负责开发区入园项目跟踪服务，协调解决投资项目实施过程中的相关问题和困难。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sz w:val="32"/>
        </w:rPr>
      </w:pPr>
      <w:r>
        <w:rPr>
          <w:rFonts w:hint="eastAsia" w:ascii="仿宋_GB2312" w:hAnsi="宋体" w:eastAsia="仿宋_GB2312" w:cs="宋体"/>
          <w:bCs/>
          <w:sz w:val="32"/>
        </w:rPr>
        <w:t>职责目标是：</w:t>
      </w:r>
      <w:r>
        <w:rPr>
          <w:rFonts w:hint="eastAsia" w:ascii="仿宋_GB2312" w:hAnsi="宋体" w:eastAsia="仿宋_GB2312" w:cs="宋体"/>
          <w:sz w:val="32"/>
        </w:rPr>
        <w:t>做好招商引资政策、对外经济技术交流合作方案制定；做好临港开发区内商务接待、招商宣传活动的策划、组织和实施等工作；做好临港开发区招商引资项目的谋划、编制、筛选、推介等综合协调工作；帮助投资者完成项目前期准备工作；做好客商联络、项目洽谈以及签约等工作；做好入园投资项目的备案、核准等报批手续办理工作；协助投资者办理企业设立过程中各类手续；协调临港开发区内外资和民营企业，加强区内投资环境的建设。</w:t>
      </w:r>
    </w:p>
    <w:p>
      <w:pPr>
        <w:numPr>
          <w:ilvl w:val="0"/>
          <w:numId w:val="1"/>
        </w:numPr>
        <w:spacing w:line="360" w:lineRule="auto"/>
        <w:rPr>
          <w:rFonts w:hint="eastAsia" w:ascii="仿宋_GB2312" w:hAnsi="宋体" w:eastAsia="仿宋_GB2312" w:cs="宋体"/>
          <w:bCs/>
          <w:sz w:val="32"/>
        </w:rPr>
      </w:pPr>
      <w:r>
        <w:rPr>
          <w:rFonts w:hint="eastAsia" w:ascii="仿宋_GB2312" w:hAnsi="宋体" w:eastAsia="仿宋_GB2312" w:cs="宋体"/>
          <w:bCs/>
          <w:sz w:val="32"/>
        </w:rPr>
        <w:t>规划国土职责：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配合规划、国土部门，做好开发区内有关规划、国土等方面工作；做好开发区内企业规划、国土等方面服务工作。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sz w:val="32"/>
        </w:rPr>
      </w:pPr>
      <w:r>
        <w:rPr>
          <w:rFonts w:hint="eastAsia" w:ascii="仿宋_GB2312" w:hAnsi="宋体" w:eastAsia="仿宋_GB2312" w:cs="宋体"/>
          <w:bCs/>
          <w:sz w:val="32"/>
        </w:rPr>
        <w:t>职责目标是：</w:t>
      </w:r>
      <w:r>
        <w:rPr>
          <w:rFonts w:hint="eastAsia" w:ascii="仿宋_GB2312" w:hAnsi="宋体" w:eastAsia="仿宋_GB2312" w:cs="宋体"/>
          <w:sz w:val="32"/>
        </w:rPr>
        <w:t>贯彻落实好国家、省、市有关城乡规划管理方面法律、法规和相关文件精神，配合规划部门研究制定和监督执行开发区城乡规划方面有关政策、规章和制度。做好编制开发区城市建设、市政公用基础设施建设的发展战略规划、中长期发展规划和年度计划，并做好组织实施。配合规划部门开展开发区总体规划、近期建设规划、控制性详细规划及各类专项规划编制及报批工作。配合规划部门做好项目规划设计条件给定，协助项目单位取得规划选址意见书、用地规划许可证、工程规划许可证及规划竣工验收意见。配合规划部门做好项目开工后的跟踪管理工作。贯彻落实国家及省、市、区有关执法方面的法律、法规和相关文件精神，维护开发区良好的管理秩序。开展联合巡查，负责对违法建设和违法占地行为进行劝阻，告知当事人限期上报审批等工作，及时向综合执法部门上报违法情况。协助综合执法部门，开展执法工作。宣传和贯彻党在农村的各项方针、政策，贯彻执行国家、省、市有关征地拆迁的政策、法律和规章，承接区农工委、农牧局、林业局、计生局、水务局、统计局等职能部门的交办任务。做好开发区内引进项目和基础设施配套工程所涉及的征地工作、拆迁及安置工作。做好农宅拆收工作；配合做好安置工作。做好开发区内项目用地手续的办理及新增建设用地指标上报工作，做好开发区土地集约利用评价工作。做好开发区涉及失地农民优惠政策贯彻实施工作，负责起草有关涉农管理的规范性文件及保障被征地农民在养老、医疗、就业、子女入学奖励等方面的相关优惠政策文件。做好开发区内被征地农民的就业培训安置等工作，承接区人劳局、民政局等职能部门的交办任务。做好负责开发区内涉农信访事件接待。</w:t>
      </w:r>
    </w:p>
    <w:p>
      <w:pPr>
        <w:numPr>
          <w:ilvl w:val="0"/>
          <w:numId w:val="1"/>
        </w:numPr>
        <w:tabs>
          <w:tab w:val="clear" w:pos="1080"/>
        </w:tabs>
        <w:spacing w:line="360" w:lineRule="auto"/>
        <w:rPr>
          <w:rFonts w:hint="eastAsia" w:ascii="仿宋_GB2312" w:hAnsi="宋体" w:eastAsia="仿宋_GB2312" w:cs="宋体"/>
          <w:bCs/>
          <w:sz w:val="32"/>
        </w:rPr>
      </w:pPr>
      <w:r>
        <w:rPr>
          <w:rFonts w:hint="eastAsia" w:ascii="仿宋_GB2312" w:hAnsi="宋体" w:eastAsia="仿宋_GB2312" w:cs="宋体"/>
          <w:bCs/>
          <w:sz w:val="32"/>
        </w:rPr>
        <w:t>建设环保职责：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负责开发区城市建设、环境保护、公用事业、安全生产的监督管理工作。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bCs/>
          <w:sz w:val="32"/>
        </w:rPr>
      </w:pPr>
      <w:r>
        <w:rPr>
          <w:rFonts w:hint="eastAsia" w:ascii="仿宋_GB2312" w:hAnsi="宋体" w:eastAsia="仿宋_GB2312" w:cs="宋体"/>
          <w:bCs/>
          <w:sz w:val="32"/>
        </w:rPr>
        <w:t>职责目标是：</w:t>
      </w:r>
      <w:r>
        <w:rPr>
          <w:rFonts w:hint="eastAsia" w:ascii="仿宋_GB2312" w:hAnsi="宋体" w:eastAsia="仿宋_GB2312" w:cs="宋体"/>
          <w:sz w:val="32"/>
        </w:rPr>
        <w:t>做好建筑市场准入管理；做好基础设施项目预编制决算管理；做好建筑市场的招投标和交易管理；做好建设项目竣工验收备案管理工作；做好建设工程质量和施工安全的监督管理；做好建筑机械、起重设备和垂直运输设备的安全监督管理工作；做好城市城基础设施、市政和公共服务设施及重大项目配套设施的建设、管理等城市建设综合开发工作；负责住宅小区各种配套设施建设管理和组织房地产开发项目的综合验收工作；做好环境保护工作，对区域内的污染源和污染防治实施监督管理；做好城市城市道路、桥涵、环境卫生、河渠湖泊和照明灯饰、地下管网等市政公用设施的建设和运行管理工作；城市道路的破路审批；土地规划等部门编制年度基础设施建设项目计划及区域内城建档案管理工作。</w:t>
      </w:r>
    </w:p>
    <w:p>
      <w:pPr>
        <w:ind w:firstLine="640"/>
        <w:jc w:val="left"/>
        <w:rPr>
          <w:rFonts w:hint="eastAsia" w:ascii="楷体_GB2312" w:hAnsi="楷体" w:eastAsia="楷体_GB2312" w:cs="楷体"/>
          <w:b/>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3"/>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lang w:eastAsia="zh-CN"/>
              </w:rPr>
              <w:t>秦皇岛市山海关区临港经济开发区发展中心</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w:t>
      </w:r>
      <w:r>
        <w:rPr>
          <w:rFonts w:hint="eastAsia" w:ascii="仿宋_GB2312" w:hAnsi="仿宋" w:eastAsia="仿宋_GB2312" w:cs="仿宋"/>
          <w:color w:val="000000"/>
          <w:sz w:val="32"/>
          <w:szCs w:val="22"/>
          <w:lang w:eastAsia="zh-CN"/>
        </w:rPr>
        <w:t>秦皇岛市山海关区临港经济开发区发展中心</w:t>
      </w:r>
      <w:r>
        <w:rPr>
          <w:rFonts w:hint="eastAsia" w:ascii="仿宋_GB2312" w:hAnsi="仿宋" w:eastAsia="仿宋_GB2312" w:cs="仿宋"/>
          <w:color w:val="000000"/>
          <w:sz w:val="32"/>
          <w:szCs w:val="22"/>
        </w:rPr>
        <w:t>的收</w:t>
      </w:r>
      <w:r>
        <w:rPr>
          <w:rFonts w:hint="eastAsia" w:ascii="仿宋_GB2312" w:hAnsi="仿宋" w:eastAsia="仿宋_GB2312" w:cs="仿宋"/>
          <w:color w:val="000000"/>
          <w:sz w:val="32"/>
        </w:rPr>
        <w:t>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2021年预算收入为</w:t>
      </w:r>
      <w:r>
        <w:rPr>
          <w:rFonts w:hint="eastAsia" w:ascii="仿宋_GB2312" w:eastAsia="仿宋_GB2312"/>
          <w:sz w:val="32"/>
          <w:szCs w:val="32"/>
          <w:lang w:val="en-US" w:eastAsia="zh-CN"/>
        </w:rPr>
        <w:t>39585450.90</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4255450.90</w:t>
      </w:r>
      <w:r>
        <w:rPr>
          <w:rFonts w:hint="eastAsia" w:ascii="仿宋_GB2312" w:eastAsia="仿宋_GB2312"/>
          <w:sz w:val="32"/>
          <w:szCs w:val="32"/>
        </w:rPr>
        <w:t>元，基金预算收入</w:t>
      </w:r>
      <w:r>
        <w:rPr>
          <w:rFonts w:hint="eastAsia" w:ascii="仿宋_GB2312" w:eastAsia="仿宋_GB2312"/>
          <w:sz w:val="32"/>
          <w:szCs w:val="32"/>
          <w:lang w:val="en-US" w:eastAsia="zh-CN"/>
        </w:rPr>
        <w:t>35330000.00</w:t>
      </w:r>
      <w:r>
        <w:rPr>
          <w:rFonts w:hint="eastAsia" w:ascii="仿宋_GB2312" w:eastAsia="仿宋_GB2312"/>
          <w:sz w:val="32"/>
          <w:szCs w:val="32"/>
        </w:rPr>
        <w:t>元，财政专户核拨收入</w:t>
      </w:r>
      <w:r>
        <w:rPr>
          <w:rFonts w:hint="eastAsia" w:ascii="仿宋_GB2312" w:eastAsia="仿宋_GB2312"/>
          <w:sz w:val="32"/>
          <w:szCs w:val="32"/>
          <w:lang w:val="en-US" w:eastAsia="zh-CN"/>
        </w:rPr>
        <w:t>0</w:t>
      </w:r>
      <w:r>
        <w:rPr>
          <w:rFonts w:hint="eastAsia" w:ascii="仿宋_GB2312" w:eastAsia="仿宋_GB2312"/>
          <w:sz w:val="32"/>
          <w:szCs w:val="32"/>
        </w:rPr>
        <w:t>元，其他来源收入</w:t>
      </w:r>
      <w:r>
        <w:rPr>
          <w:rFonts w:hint="eastAsia" w:ascii="仿宋_GB2312" w:eastAsia="仿宋_GB2312"/>
          <w:sz w:val="32"/>
          <w:szCs w:val="32"/>
          <w:lang w:val="en-US" w:eastAsia="zh-CN"/>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w:t>
      </w:r>
      <w:r>
        <w:rPr>
          <w:rFonts w:hint="eastAsia" w:ascii="仿宋_GB2312" w:hAnsi="仿宋" w:eastAsia="仿宋_GB2312" w:cs="仿宋"/>
          <w:b/>
          <w:color w:val="000000"/>
          <w:sz w:val="32"/>
          <w:lang w:eastAsia="zh-CN"/>
        </w:rPr>
        <w:t>山海关区临港经济开发区发展中心单位</w:t>
      </w:r>
      <w:r>
        <w:rPr>
          <w:rFonts w:hint="eastAsia" w:ascii="仿宋_GB2312" w:hAnsi="仿宋" w:eastAsia="仿宋_GB2312" w:cs="仿宋"/>
          <w:b/>
          <w:color w:val="000000"/>
          <w:sz w:val="32"/>
          <w:lang w:val="en-US" w:eastAsia="zh-CN"/>
        </w:rPr>
        <w:t>2021</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2021年预算支出为</w:t>
      </w:r>
      <w:r>
        <w:rPr>
          <w:rFonts w:hint="eastAsia" w:ascii="仿宋_GB2312" w:eastAsia="仿宋_GB2312"/>
          <w:sz w:val="32"/>
          <w:szCs w:val="32"/>
          <w:lang w:val="en-US" w:eastAsia="zh-CN"/>
        </w:rPr>
        <w:t>39585450.90</w:t>
      </w:r>
      <w:r>
        <w:rPr>
          <w:rFonts w:hint="eastAsia" w:ascii="仿宋_GB2312" w:eastAsia="仿宋_GB2312"/>
          <w:sz w:val="32"/>
          <w:szCs w:val="32"/>
        </w:rPr>
        <w:t>元，其中：基本支出</w:t>
      </w:r>
      <w:r>
        <w:rPr>
          <w:rFonts w:hint="eastAsia" w:ascii="仿宋_GB2312" w:eastAsia="仿宋_GB2312"/>
          <w:sz w:val="32"/>
          <w:szCs w:val="32"/>
          <w:lang w:val="en-US" w:eastAsia="zh-CN"/>
        </w:rPr>
        <w:t>737910.90</w:t>
      </w:r>
      <w:r>
        <w:rPr>
          <w:rFonts w:hint="eastAsia" w:ascii="仿宋_GB2312" w:eastAsia="仿宋_GB2312"/>
          <w:sz w:val="32"/>
          <w:szCs w:val="32"/>
        </w:rPr>
        <w:t>元，主要是人员经费</w:t>
      </w:r>
      <w:r>
        <w:rPr>
          <w:rFonts w:hint="eastAsia" w:ascii="仿宋_GB2312" w:eastAsia="仿宋_GB2312"/>
          <w:sz w:val="32"/>
          <w:szCs w:val="32"/>
          <w:lang w:val="en-US" w:eastAsia="zh-CN"/>
        </w:rPr>
        <w:t>701438.04</w:t>
      </w:r>
      <w:r>
        <w:rPr>
          <w:rFonts w:hint="eastAsia" w:ascii="仿宋_GB2312" w:eastAsia="仿宋_GB2312"/>
          <w:sz w:val="32"/>
          <w:szCs w:val="32"/>
        </w:rPr>
        <w:t>元和日常公用经费</w:t>
      </w:r>
      <w:r>
        <w:rPr>
          <w:rFonts w:hint="eastAsia" w:ascii="仿宋_GB2312" w:eastAsia="仿宋_GB2312"/>
          <w:sz w:val="32"/>
          <w:szCs w:val="32"/>
          <w:lang w:val="en-US" w:eastAsia="zh-CN"/>
        </w:rPr>
        <w:t>36472.86</w:t>
      </w:r>
      <w:r>
        <w:rPr>
          <w:rFonts w:hint="eastAsia" w:ascii="仿宋_GB2312" w:eastAsia="仿宋_GB2312"/>
          <w:sz w:val="32"/>
          <w:szCs w:val="32"/>
        </w:rPr>
        <w:t>元；项目支出</w:t>
      </w:r>
      <w:r>
        <w:rPr>
          <w:rFonts w:hint="eastAsia" w:ascii="仿宋_GB2312" w:eastAsia="仿宋_GB2312"/>
          <w:sz w:val="32"/>
          <w:szCs w:val="32"/>
          <w:lang w:val="en-US" w:eastAsia="zh-CN"/>
        </w:rPr>
        <w:t>38847540.00</w:t>
      </w:r>
      <w:r>
        <w:rPr>
          <w:rFonts w:hint="eastAsia" w:ascii="仿宋_GB2312" w:eastAsia="仿宋_GB2312"/>
          <w:sz w:val="32"/>
          <w:szCs w:val="32"/>
        </w:rPr>
        <w:t>元，主要为</w:t>
      </w:r>
      <w:r>
        <w:rPr>
          <w:rFonts w:hint="eastAsia" w:ascii="仿宋_GB2312" w:eastAsia="仿宋_GB2312"/>
          <w:sz w:val="32"/>
          <w:szCs w:val="32"/>
          <w:lang w:eastAsia="zh-CN"/>
        </w:rPr>
        <w:t>综合政务管理业务费项目安排</w:t>
      </w:r>
      <w:r>
        <w:rPr>
          <w:rFonts w:hint="eastAsia" w:ascii="仿宋_GB2312" w:eastAsia="仿宋_GB2312"/>
          <w:sz w:val="32"/>
          <w:szCs w:val="32"/>
          <w:lang w:val="en-US" w:eastAsia="zh-CN"/>
        </w:rPr>
        <w:t>2000000.00元，人事代理专项补助项目安排214540.00元，开发区建设开发资金项目安排34760000.00元，山海关临港经济开发区环境跟踪监测项目安排570000.00元，专项补助项目安排1303000.00元。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2021年预算支出安排</w:t>
      </w:r>
      <w:r>
        <w:rPr>
          <w:rFonts w:hint="eastAsia" w:ascii="仿宋_GB2312" w:eastAsia="仿宋_GB2312"/>
          <w:sz w:val="32"/>
          <w:szCs w:val="32"/>
          <w:lang w:val="en-US" w:eastAsia="zh-CN"/>
        </w:rPr>
        <w:t>39585450.90</w:t>
      </w:r>
      <w:r>
        <w:rPr>
          <w:rFonts w:hint="eastAsia" w:ascii="仿宋_GB2312" w:eastAsia="仿宋_GB2312"/>
          <w:sz w:val="32"/>
          <w:szCs w:val="32"/>
        </w:rPr>
        <w:t>元，较2020年预算</w:t>
      </w:r>
      <w:r>
        <w:rPr>
          <w:rFonts w:hint="eastAsia" w:ascii="仿宋_GB2312" w:eastAsia="仿宋_GB2312"/>
          <w:sz w:val="32"/>
          <w:szCs w:val="32"/>
          <w:highlight w:val="none"/>
        </w:rPr>
        <w:t>增加</w:t>
      </w:r>
      <w:r>
        <w:rPr>
          <w:rFonts w:hint="eastAsia" w:ascii="仿宋_GB2312" w:eastAsia="仿宋_GB2312"/>
          <w:sz w:val="32"/>
          <w:szCs w:val="32"/>
          <w:lang w:val="en-US" w:eastAsia="zh-CN"/>
        </w:rPr>
        <w:t>36464939.66</w:t>
      </w:r>
      <w:r>
        <w:rPr>
          <w:rFonts w:hint="eastAsia" w:ascii="仿宋_GB2312" w:eastAsia="仿宋_GB2312"/>
          <w:sz w:val="32"/>
          <w:szCs w:val="32"/>
        </w:rPr>
        <w:t>元，其中：基本支出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1800.34</w:t>
      </w:r>
      <w:r>
        <w:rPr>
          <w:rFonts w:hint="eastAsia" w:ascii="仿宋_GB2312" w:eastAsia="仿宋_GB2312"/>
          <w:sz w:val="32"/>
          <w:szCs w:val="32"/>
        </w:rPr>
        <w:t>元，主要为</w:t>
      </w:r>
      <w:r>
        <w:rPr>
          <w:rFonts w:hint="eastAsia" w:ascii="仿宋_GB2312" w:eastAsia="仿宋_GB2312"/>
          <w:sz w:val="32"/>
          <w:szCs w:val="32"/>
          <w:lang w:eastAsia="zh-CN"/>
        </w:rPr>
        <w:t>调减人员经费和日常公用经费</w:t>
      </w:r>
      <w:r>
        <w:rPr>
          <w:rFonts w:hint="eastAsia" w:ascii="仿宋_GB2312" w:eastAsia="仿宋_GB2312"/>
          <w:sz w:val="32"/>
          <w:szCs w:val="32"/>
        </w:rPr>
        <w:t>支出；项目支出</w:t>
      </w:r>
      <w:r>
        <w:rPr>
          <w:rFonts w:hint="eastAsia" w:ascii="仿宋_GB2312" w:eastAsia="仿宋_GB2312"/>
          <w:sz w:val="32"/>
          <w:szCs w:val="32"/>
          <w:highlight w:val="none"/>
        </w:rPr>
        <w:t>增加</w:t>
      </w:r>
      <w:r>
        <w:rPr>
          <w:rFonts w:hint="eastAsia" w:ascii="仿宋_GB2312" w:eastAsia="仿宋_GB2312"/>
          <w:sz w:val="32"/>
          <w:szCs w:val="32"/>
          <w:highlight w:val="none"/>
          <w:lang w:val="en-US" w:eastAsia="zh-CN"/>
        </w:rPr>
        <w:t>36466740.00</w:t>
      </w:r>
      <w:r>
        <w:rPr>
          <w:rFonts w:hint="eastAsia" w:ascii="仿宋_GB2312" w:eastAsia="仿宋_GB2312"/>
          <w:sz w:val="32"/>
          <w:szCs w:val="32"/>
        </w:rPr>
        <w:t>元，主要为</w:t>
      </w:r>
      <w:r>
        <w:rPr>
          <w:rFonts w:hint="eastAsia" w:ascii="仿宋_GB2312" w:eastAsia="仿宋_GB2312"/>
          <w:sz w:val="32"/>
          <w:szCs w:val="32"/>
          <w:lang w:eastAsia="zh-CN"/>
        </w:rPr>
        <w:t>本年度根据实际工作需要安排开发区建设开发资金等项目</w:t>
      </w:r>
      <w:r>
        <w:rPr>
          <w:rFonts w:hint="eastAsia" w:ascii="仿宋_GB2312" w:eastAsia="仿宋_GB2312"/>
          <w:sz w:val="32"/>
          <w:szCs w:val="32"/>
        </w:rPr>
        <w:t>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hint="eastAsia" w:ascii="仿宋_GB2312" w:eastAsia="仿宋_GB2312"/>
          <w:sz w:val="32"/>
          <w:szCs w:val="32"/>
          <w:highlight w:val="none"/>
          <w:lang w:val="en-US" w:eastAsia="zh-CN"/>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36472.86</w:t>
      </w:r>
      <w:r>
        <w:rPr>
          <w:rFonts w:hint="eastAsia" w:ascii="仿宋_GB2312" w:eastAsia="仿宋_GB2312"/>
          <w:sz w:val="32"/>
          <w:szCs w:val="32"/>
        </w:rPr>
        <w:t>元，主要用于</w:t>
      </w:r>
      <w:r>
        <w:rPr>
          <w:rFonts w:hint="eastAsia" w:ascii="仿宋_GB2312" w:eastAsia="仿宋_GB2312"/>
          <w:sz w:val="32"/>
          <w:szCs w:val="32"/>
          <w:highlight w:val="none"/>
        </w:rPr>
        <w:t>办公及印刷费</w:t>
      </w:r>
      <w:r>
        <w:rPr>
          <w:rFonts w:hint="eastAsia" w:ascii="仿宋_GB2312" w:eastAsia="仿宋_GB2312"/>
          <w:sz w:val="32"/>
          <w:szCs w:val="32"/>
          <w:highlight w:val="none"/>
          <w:lang w:val="en-US" w:eastAsia="zh-CN"/>
        </w:rPr>
        <w:t>9390.00</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360.00</w:t>
      </w:r>
      <w:r>
        <w:rPr>
          <w:rFonts w:hint="eastAsia" w:ascii="仿宋_GB2312" w:eastAsia="仿宋_GB2312"/>
          <w:sz w:val="32"/>
          <w:szCs w:val="32"/>
          <w:highlight w:val="none"/>
        </w:rPr>
        <w:t>元、差旅费</w:t>
      </w:r>
      <w:r>
        <w:rPr>
          <w:rFonts w:hint="eastAsia" w:ascii="仿宋_GB2312" w:eastAsia="仿宋_GB2312"/>
          <w:sz w:val="32"/>
          <w:szCs w:val="32"/>
          <w:highlight w:val="none"/>
          <w:lang w:val="en-US" w:eastAsia="zh-CN"/>
        </w:rPr>
        <w:t>4500.00</w:t>
      </w:r>
      <w:r>
        <w:rPr>
          <w:rFonts w:hint="eastAsia" w:ascii="仿宋_GB2312" w:eastAsia="仿宋_GB2312"/>
          <w:sz w:val="32"/>
          <w:szCs w:val="32"/>
          <w:highlight w:val="none"/>
        </w:rPr>
        <w:t>元、会议费</w:t>
      </w:r>
      <w:r>
        <w:rPr>
          <w:rFonts w:hint="eastAsia" w:ascii="仿宋_GB2312" w:eastAsia="仿宋_GB2312"/>
          <w:sz w:val="32"/>
          <w:szCs w:val="32"/>
          <w:highlight w:val="none"/>
          <w:lang w:val="en-US" w:eastAsia="zh-CN"/>
        </w:rPr>
        <w:t>750.00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退休干部公用经费</w:t>
      </w:r>
      <w:r>
        <w:rPr>
          <w:rFonts w:hint="eastAsia" w:ascii="仿宋_GB2312" w:eastAsia="仿宋_GB2312"/>
          <w:sz w:val="32"/>
          <w:szCs w:val="32"/>
          <w:highlight w:val="none"/>
          <w:lang w:val="en-US" w:eastAsia="zh-CN"/>
        </w:rPr>
        <w:t>500.00元，退休干部特需费200.00元、退休人员福利费570.74万元、培训费3300.00元、公务接待费249.00元、工会经费8634.72元、</w:t>
      </w:r>
      <w:r>
        <w:rPr>
          <w:rFonts w:hint="eastAsia" w:ascii="仿宋_GB2312" w:eastAsia="仿宋_GB2312"/>
          <w:sz w:val="32"/>
          <w:szCs w:val="32"/>
          <w:highlight w:val="none"/>
        </w:rPr>
        <w:t>福利费</w:t>
      </w:r>
      <w:r>
        <w:rPr>
          <w:rFonts w:hint="eastAsia" w:ascii="仿宋_GB2312" w:eastAsia="仿宋_GB2312"/>
          <w:sz w:val="32"/>
          <w:szCs w:val="32"/>
          <w:highlight w:val="none"/>
          <w:lang w:val="en-US" w:eastAsia="zh-CN"/>
        </w:rPr>
        <w:t>5993.40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党组织活动经费</w:t>
      </w:r>
      <w:r>
        <w:rPr>
          <w:rFonts w:hint="eastAsia" w:ascii="仿宋_GB2312" w:eastAsia="仿宋_GB2312"/>
          <w:sz w:val="32"/>
          <w:szCs w:val="32"/>
          <w:highlight w:val="none"/>
          <w:lang w:val="en-US" w:eastAsia="zh-CN"/>
        </w:rPr>
        <w:t>525.00元，网络运行维护费1500.00元，</w:t>
      </w:r>
      <w:r>
        <w:rPr>
          <w:rFonts w:hint="eastAsia" w:ascii="仿宋_GB2312" w:eastAsia="仿宋_GB2312"/>
          <w:sz w:val="32"/>
          <w:szCs w:val="32"/>
          <w:highlight w:val="none"/>
        </w:rPr>
        <w:t>日常维修费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元、专用材料及一般设备购置费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元、办公用房水电费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元、办公用房取暖费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元、办公用房物业管理费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元、公务用车运行维护费以及其他费用</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highlight w:val="none"/>
        </w:rPr>
      </w:pPr>
      <w:r>
        <w:rPr>
          <w:rFonts w:hint="eastAsia" w:ascii="仿宋_GB2312" w:eastAsia="仿宋_GB2312"/>
          <w:sz w:val="32"/>
          <w:szCs w:val="32"/>
          <w:highlight w:val="none"/>
        </w:rPr>
        <w:t>2021年，我部门财政拨款“三公”经费预算安排</w:t>
      </w:r>
      <w:r>
        <w:rPr>
          <w:rFonts w:hint="eastAsia" w:ascii="仿宋_GB2312" w:eastAsia="仿宋_GB2312"/>
          <w:sz w:val="32"/>
          <w:szCs w:val="32"/>
          <w:highlight w:val="none"/>
          <w:lang w:val="en-US" w:eastAsia="zh-CN"/>
        </w:rPr>
        <w:t>249.00</w:t>
      </w:r>
      <w:r>
        <w:rPr>
          <w:rFonts w:hint="eastAsia" w:ascii="仿宋_GB2312" w:eastAsia="仿宋_GB2312"/>
          <w:sz w:val="32"/>
          <w:szCs w:val="32"/>
          <w:highlight w:val="none"/>
        </w:rPr>
        <w:t>元，与上年持平，无增减变化</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249.00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w:t>
      </w:r>
    </w:p>
    <w:p>
      <w:pPr>
        <w:ind w:firstLine="640"/>
      </w:pPr>
      <w:r>
        <w:rPr>
          <w:rFonts w:ascii="黑体" w:hAnsi="黑体" w:eastAsia="黑体" w:cs="黑体"/>
          <w:color w:val="000000"/>
          <w:sz w:val="32"/>
        </w:rPr>
        <w:t>五、预算绩效信息</w:t>
      </w:r>
    </w:p>
    <w:p>
      <w:pPr>
        <w:ind w:firstLine="562" w:firstLineChars="200"/>
        <w:jc w:val="left"/>
        <w:outlineLvl w:val="3"/>
        <w:rPr>
          <w:rFonts w:ascii="Times New Roman" w:hAnsi="宋体"/>
          <w:b/>
          <w:sz w:val="28"/>
        </w:rPr>
      </w:pPr>
      <w:bookmarkStart w:id="0" w:name="_Toc61528238"/>
      <w:r>
        <w:rPr>
          <w:rFonts w:hint="eastAsia" w:ascii="方正仿宋_GBK" w:eastAsia="方正仿宋_GBK"/>
          <w:b/>
          <w:sz w:val="28"/>
        </w:rPr>
        <w:t>1.综合政务管理业务费绩效目标表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1、综合政务管理业务费绩效目标表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11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3"/>
        <w:gridCol w:w="2269"/>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95"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631001</w:t>
            </w:r>
            <w:r>
              <w:rPr>
                <w:rFonts w:hint="eastAsia" w:ascii="方正书宋_GBK" w:eastAsia="方正书宋_GBK"/>
                <w:b/>
              </w:rPr>
              <w:t>秦皇岛市山海关区临港经济开发区发展中心本级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545"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1303032113FG3ZE1SGQAM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综合政务管理业务费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2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vMerge w:val="continue"/>
            <w:shd w:val="clear" w:color="auto" w:fill="auto"/>
            <w:noWrap w:val="0"/>
            <w:vAlign w:val="center"/>
          </w:tcPr>
          <w:p>
            <w:pPr>
              <w:spacing w:line="300" w:lineRule="exact"/>
              <w:jc w:val="left"/>
              <w:outlineLvl w:val="3"/>
            </w:pPr>
          </w:p>
        </w:tc>
        <w:tc>
          <w:tcPr>
            <w:tcW w:w="9413"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用于开发区日常综合办公及业务支出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545"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vMerge w:val="continue"/>
            <w:tcBorders>
              <w:bottom w:val="single" w:color="000000" w:sz="6" w:space="0"/>
            </w:tcBorders>
            <w:shd w:val="clear" w:color="auto" w:fill="auto"/>
            <w:noWrap w:val="0"/>
            <w:vAlign w:val="center"/>
          </w:tcPr>
          <w:p>
            <w:pPr>
              <w:spacing w:line="300" w:lineRule="exact"/>
              <w:jc w:val="left"/>
              <w:outlineLvl w:val="3"/>
            </w:pPr>
          </w:p>
        </w:tc>
        <w:tc>
          <w:tcPr>
            <w:tcW w:w="3545"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413"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营造良好的工作氛围，提升综合办公环境。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为客商及群众提供更好的服务环境，提高综合满意度。</w:t>
            </w:r>
          </w:p>
        </w:tc>
      </w:tr>
    </w:tbl>
    <w:tbl>
      <w:tblPr>
        <w:tblStyle w:val="3"/>
        <w:tblpPr w:leftFromText="180" w:rightFromText="180" w:vertAnchor="text" w:horzAnchor="page" w:tblpX="2177" w:tblpY="205"/>
        <w:tblOverlap w:val="never"/>
        <w:tblW w:w="11860"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1735"/>
        <w:gridCol w:w="1276"/>
        <w:gridCol w:w="2891"/>
        <w:gridCol w:w="1276"/>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1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实际购置用品数量</w:t>
            </w:r>
            <w:r>
              <w:rPr>
                <w:rFonts w:ascii="方正书宋_GBK" w:eastAsia="方正书宋_GBK"/>
              </w:rPr>
              <w:t>/</w:t>
            </w:r>
            <w:r>
              <w:rPr>
                <w:rFonts w:hint="eastAsia" w:ascii="方正书宋_GBK" w:eastAsia="方正书宋_GBK"/>
              </w:rPr>
              <w:t>计划购置用品数量</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continue"/>
            <w:shd w:val="clear" w:color="auto" w:fill="auto"/>
            <w:noWrap w:val="0"/>
            <w:vAlign w:val="center"/>
          </w:tcPr>
          <w:p>
            <w:pPr>
              <w:spacing w:line="300" w:lineRule="exact"/>
              <w:jc w:val="center"/>
              <w:rPr>
                <w:rFonts w:hint="eastAsia" w:ascii="方正书宋_GBK" w:eastAsia="方正书宋_GBK"/>
              </w:rPr>
            </w:pP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continue"/>
            <w:shd w:val="clear" w:color="auto" w:fill="auto"/>
            <w:noWrap w:val="0"/>
            <w:vAlign w:val="center"/>
          </w:tcPr>
          <w:p>
            <w:pPr>
              <w:spacing w:line="300" w:lineRule="exact"/>
              <w:jc w:val="center"/>
              <w:rPr>
                <w:rFonts w:hint="eastAsia" w:ascii="方正书宋_GBK" w:eastAsia="方正书宋_GBK"/>
              </w:rPr>
            </w:pP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continue"/>
            <w:shd w:val="clear" w:color="auto" w:fill="auto"/>
            <w:noWrap w:val="0"/>
            <w:vAlign w:val="center"/>
          </w:tcPr>
          <w:p>
            <w:pPr>
              <w:spacing w:line="300" w:lineRule="exact"/>
              <w:jc w:val="center"/>
              <w:rPr>
                <w:rFonts w:hint="eastAsia" w:ascii="方正书宋_GBK" w:eastAsia="方正书宋_GBK"/>
              </w:rPr>
            </w:pP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continue"/>
            <w:shd w:val="clear" w:color="auto" w:fill="auto"/>
            <w:noWrap w:val="0"/>
            <w:vAlign w:val="center"/>
          </w:tcPr>
          <w:p>
            <w:pPr>
              <w:spacing w:line="300" w:lineRule="exact"/>
              <w:jc w:val="center"/>
              <w:rPr>
                <w:rFonts w:hint="eastAsia" w:ascii="方正书宋_GBK" w:eastAsia="方正书宋_GBK"/>
              </w:rPr>
            </w:pP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提供优质服务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continue"/>
            <w:shd w:val="clear" w:color="auto" w:fill="auto"/>
            <w:noWrap w:val="0"/>
            <w:vAlign w:val="center"/>
          </w:tcPr>
          <w:p>
            <w:pPr>
              <w:spacing w:line="300" w:lineRule="exact"/>
              <w:jc w:val="center"/>
              <w:rPr>
                <w:rFonts w:hint="eastAsia" w:ascii="方正书宋_GBK" w:eastAsia="方正书宋_GBK"/>
              </w:rPr>
            </w:pP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满足生态环保要求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满足生态环保要求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vMerge w:val="continue"/>
            <w:shd w:val="clear" w:color="auto" w:fill="auto"/>
            <w:noWrap w:val="0"/>
            <w:vAlign w:val="center"/>
          </w:tcPr>
          <w:p>
            <w:pPr>
              <w:spacing w:line="300" w:lineRule="exact"/>
              <w:jc w:val="center"/>
              <w:rPr>
                <w:rFonts w:hint="eastAsia" w:ascii="方正书宋_GBK" w:eastAsia="方正书宋_GBK"/>
              </w:rPr>
            </w:pP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保障日常办公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10"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7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27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14" w:lineRule="exact"/>
        <w:ind w:firstLine="420" w:firstLineChars="200"/>
        <w:jc w:val="center"/>
        <w:rPr>
          <w:rFonts w:ascii="Times New Roman" w:hAnsi="宋体"/>
        </w:rPr>
      </w:pPr>
      <w:r>
        <w:rPr>
          <w:rFonts w:ascii="方正书宋_GBK" w:eastAsia="方正书宋_GBK"/>
        </w:rPr>
        <w:t xml:space="preserve"> </w:t>
      </w:r>
    </w:p>
    <w:p>
      <w:pPr>
        <w:spacing w:line="300" w:lineRule="exact"/>
        <w:ind w:firstLine="420" w:firstLineChars="200"/>
        <w:jc w:val="left"/>
        <w:sectPr>
          <w:pgSz w:w="16838" w:h="11905" w:orient="landscape"/>
          <w:pgMar w:top="1304" w:right="1984" w:bottom="1304" w:left="1134" w:header="850" w:footer="992" w:gutter="0"/>
          <w:cols w:space="0" w:num="1"/>
          <w:rtlGutter w:val="0"/>
          <w:docGrid w:type="lines" w:linePitch="320" w:charSpace="0"/>
        </w:sectPr>
      </w:pPr>
    </w:p>
    <w:p>
      <w:pPr>
        <w:spacing w:line="300" w:lineRule="exact"/>
        <w:ind w:firstLine="420" w:firstLineChars="200"/>
        <w:jc w:val="left"/>
      </w:pPr>
    </w:p>
    <w:p>
      <w:pPr>
        <w:ind w:firstLine="562" w:firstLineChars="200"/>
        <w:jc w:val="left"/>
        <w:outlineLvl w:val="3"/>
        <w:rPr>
          <w:rFonts w:ascii="Times New Roman" w:hAnsi="宋体"/>
          <w:b/>
          <w:sz w:val="28"/>
        </w:rPr>
      </w:pPr>
      <w:bookmarkStart w:id="1" w:name="_Toc61528239"/>
      <w:r>
        <w:rPr>
          <w:rFonts w:hint="eastAsia" w:ascii="方正仿宋_GBK" w:eastAsia="方正仿宋_GBK"/>
          <w:b/>
          <w:sz w:val="28"/>
        </w:rPr>
        <w:t>2.人事代理专项补助绩效目标表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2"/>
        <w:gridCol w:w="1727"/>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2"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631001</w:t>
            </w:r>
            <w:r>
              <w:rPr>
                <w:rFonts w:hint="eastAsia" w:ascii="方正书宋_GBK" w:eastAsia="方正书宋_GBK"/>
                <w:b/>
              </w:rPr>
              <w:t>秦皇岛市山海关区临港经济开发区发展中心本级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003"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13030321199H7YOAI104I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2"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7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214540.00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214540.00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2" w:type="dxa"/>
            <w:vMerge w:val="continue"/>
            <w:shd w:val="clear" w:color="auto" w:fill="auto"/>
            <w:noWrap w:val="0"/>
            <w:vAlign w:val="center"/>
          </w:tcPr>
          <w:p>
            <w:pPr>
              <w:spacing w:line="300" w:lineRule="exact"/>
              <w:jc w:val="left"/>
              <w:outlineLvl w:val="3"/>
            </w:pPr>
          </w:p>
        </w:tc>
        <w:tc>
          <w:tcPr>
            <w:tcW w:w="8871"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2"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03"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2" w:type="dxa"/>
            <w:vMerge w:val="continue"/>
            <w:tcBorders>
              <w:bottom w:val="single" w:color="000000" w:sz="6" w:space="0"/>
            </w:tcBorders>
            <w:shd w:val="clear" w:color="auto" w:fill="auto"/>
            <w:noWrap w:val="0"/>
            <w:vAlign w:val="center"/>
          </w:tcPr>
          <w:p>
            <w:pPr>
              <w:spacing w:line="300" w:lineRule="exact"/>
              <w:jc w:val="left"/>
              <w:outlineLvl w:val="3"/>
            </w:pPr>
          </w:p>
        </w:tc>
        <w:tc>
          <w:tcPr>
            <w:tcW w:w="3003"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2"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871"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2</w:t>
            </w:r>
            <w:r>
              <w:rPr>
                <w:rFonts w:hint="eastAsia" w:ascii="方正书宋_GBK" w:eastAsia="方正书宋_GBK"/>
              </w:rPr>
              <w:t>名在职人事代理人员工资按时拨付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保障本单位</w:t>
            </w:r>
            <w:r>
              <w:rPr>
                <w:rFonts w:ascii="方正书宋_GBK" w:eastAsia="方正书宋_GBK"/>
              </w:rPr>
              <w:t>2</w:t>
            </w:r>
            <w:r>
              <w:rPr>
                <w:rFonts w:hint="eastAsia" w:ascii="方正书宋_GBK" w:eastAsia="方正书宋_GBK"/>
              </w:rPr>
              <w:t>名在职人事代理人员社保按时缴纳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3"/>
        <w:tblW w:w="11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8"/>
        <w:gridCol w:w="1713"/>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5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1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continue"/>
            <w:shd w:val="clear" w:color="auto" w:fill="auto"/>
            <w:noWrap w:val="0"/>
            <w:vAlign w:val="center"/>
          </w:tcPr>
          <w:p>
            <w:pPr>
              <w:spacing w:line="300" w:lineRule="exact"/>
              <w:jc w:val="center"/>
              <w:rPr>
                <w:rFonts w:hint="eastAsia" w:ascii="方正书宋_GBK" w:eastAsia="方正书宋_GBK"/>
              </w:rPr>
            </w:pP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continue"/>
            <w:shd w:val="clear" w:color="auto" w:fill="auto"/>
            <w:noWrap w:val="0"/>
            <w:vAlign w:val="center"/>
          </w:tcPr>
          <w:p>
            <w:pPr>
              <w:spacing w:line="300" w:lineRule="exact"/>
              <w:jc w:val="center"/>
              <w:rPr>
                <w:rFonts w:hint="eastAsia" w:ascii="方正书宋_GBK" w:eastAsia="方正书宋_GBK"/>
              </w:rPr>
            </w:pP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continue"/>
            <w:shd w:val="clear" w:color="auto" w:fill="auto"/>
            <w:noWrap w:val="0"/>
            <w:vAlign w:val="center"/>
          </w:tcPr>
          <w:p>
            <w:pPr>
              <w:spacing w:line="300" w:lineRule="exact"/>
              <w:jc w:val="center"/>
              <w:rPr>
                <w:rFonts w:hint="eastAsia" w:ascii="方正书宋_GBK" w:eastAsia="方正书宋_GBK"/>
              </w:rPr>
            </w:pP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continue"/>
            <w:shd w:val="clear" w:color="auto" w:fill="auto"/>
            <w:noWrap w:val="0"/>
            <w:vAlign w:val="center"/>
          </w:tcPr>
          <w:p>
            <w:pPr>
              <w:spacing w:line="300" w:lineRule="exact"/>
              <w:jc w:val="center"/>
              <w:rPr>
                <w:rFonts w:hint="eastAsia" w:ascii="方正书宋_GBK" w:eastAsia="方正书宋_GBK"/>
              </w:rPr>
            </w:pP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continue"/>
            <w:shd w:val="clear" w:color="auto" w:fill="auto"/>
            <w:noWrap w:val="0"/>
            <w:vAlign w:val="center"/>
          </w:tcPr>
          <w:p>
            <w:pPr>
              <w:spacing w:line="300" w:lineRule="exact"/>
              <w:jc w:val="center"/>
              <w:rPr>
                <w:rFonts w:hint="eastAsia" w:ascii="方正书宋_GBK" w:eastAsia="方正书宋_GBK"/>
              </w:rPr>
            </w:pP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vMerge w:val="continue"/>
            <w:shd w:val="clear" w:color="auto" w:fill="auto"/>
            <w:noWrap w:val="0"/>
            <w:vAlign w:val="center"/>
          </w:tcPr>
          <w:p>
            <w:pPr>
              <w:spacing w:line="300" w:lineRule="exact"/>
              <w:jc w:val="center"/>
              <w:rPr>
                <w:rFonts w:hint="eastAsia" w:ascii="方正书宋_GBK" w:eastAsia="方正书宋_GBK"/>
              </w:rPr>
            </w:pP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5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71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20" w:firstLineChars="200"/>
        <w:jc w:val="left"/>
        <w:sectPr>
          <w:pgSz w:w="16838" w:h="11905" w:orient="landscape"/>
          <w:pgMar w:top="1304" w:right="1984" w:bottom="1304" w:left="1134" w:header="850" w:footer="992" w:gutter="0"/>
          <w:cols w:space="0" w:num="1"/>
          <w:rtlGutter w:val="0"/>
          <w:docGrid w:type="lines" w:linePitch="320" w:charSpace="0"/>
        </w:sectPr>
      </w:pPr>
    </w:p>
    <w:p>
      <w:pPr>
        <w:spacing w:line="300" w:lineRule="exact"/>
        <w:ind w:firstLine="420" w:firstLineChars="200"/>
        <w:jc w:val="left"/>
      </w:pPr>
    </w:p>
    <w:p>
      <w:pPr>
        <w:ind w:firstLine="562" w:firstLineChars="200"/>
        <w:jc w:val="left"/>
        <w:outlineLvl w:val="3"/>
        <w:rPr>
          <w:rFonts w:ascii="Times New Roman" w:hAnsi="宋体"/>
          <w:b/>
          <w:sz w:val="28"/>
        </w:rPr>
      </w:pPr>
      <w:bookmarkStart w:id="2" w:name="_Toc61528240"/>
      <w:r>
        <w:rPr>
          <w:rFonts w:hint="eastAsia" w:ascii="方正仿宋_GBK" w:eastAsia="方正仿宋_GBK"/>
          <w:b/>
          <w:sz w:val="28"/>
        </w:rPr>
        <w:t>3.专项补助绩效目标表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11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0"/>
        <w:gridCol w:w="1615"/>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18"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631001</w:t>
            </w:r>
            <w:r>
              <w:rPr>
                <w:rFonts w:hint="eastAsia" w:ascii="方正书宋_GBK" w:eastAsia="方正书宋_GBK"/>
                <w:b/>
              </w:rPr>
              <w:t>秦皇岛市山海关区临港经济开发区发展中心本级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89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130303214BPTRMWTXKRMT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61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1303000.00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1303000.00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0" w:type="dxa"/>
            <w:vMerge w:val="continue"/>
            <w:shd w:val="clear" w:color="auto" w:fill="auto"/>
            <w:noWrap w:val="0"/>
            <w:vAlign w:val="center"/>
          </w:tcPr>
          <w:p>
            <w:pPr>
              <w:spacing w:line="300" w:lineRule="exact"/>
              <w:jc w:val="left"/>
              <w:outlineLvl w:val="3"/>
            </w:pPr>
          </w:p>
        </w:tc>
        <w:tc>
          <w:tcPr>
            <w:tcW w:w="8759"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89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0" w:type="dxa"/>
            <w:vMerge w:val="continue"/>
            <w:tcBorders>
              <w:bottom w:val="single" w:color="000000" w:sz="6" w:space="0"/>
            </w:tcBorders>
            <w:shd w:val="clear" w:color="auto" w:fill="auto"/>
            <w:noWrap w:val="0"/>
            <w:vAlign w:val="center"/>
          </w:tcPr>
          <w:p>
            <w:pPr>
              <w:spacing w:line="300" w:lineRule="exact"/>
              <w:jc w:val="left"/>
              <w:outlineLvl w:val="3"/>
            </w:pPr>
          </w:p>
        </w:tc>
        <w:tc>
          <w:tcPr>
            <w:tcW w:w="289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0"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759"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12</w:t>
            </w:r>
            <w:r>
              <w:rPr>
                <w:rFonts w:hint="eastAsia" w:ascii="方正书宋_GBK" w:eastAsia="方正书宋_GBK"/>
              </w:rPr>
              <w:t>名在职自筹自支人员工资按时拨付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保障本单位</w:t>
            </w:r>
            <w:r>
              <w:rPr>
                <w:rFonts w:ascii="方正书宋_GBK" w:eastAsia="方正书宋_GBK"/>
              </w:rPr>
              <w:t>12</w:t>
            </w:r>
            <w:r>
              <w:rPr>
                <w:rFonts w:hint="eastAsia" w:ascii="方正书宋_GBK" w:eastAsia="方正书宋_GBK"/>
              </w:rPr>
              <w:t>名在职自筹自支人员社保按时缴纳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3"/>
        <w:tblW w:w="115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5"/>
        <w:gridCol w:w="1692"/>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9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continue"/>
            <w:shd w:val="clear" w:color="auto" w:fill="auto"/>
            <w:noWrap w:val="0"/>
            <w:vAlign w:val="center"/>
          </w:tcPr>
          <w:p>
            <w:pPr>
              <w:spacing w:line="300" w:lineRule="exact"/>
              <w:jc w:val="center"/>
              <w:rPr>
                <w:rFonts w:hint="eastAsia" w:ascii="方正书宋_GBK" w:eastAsia="方正书宋_GBK"/>
              </w:rPr>
            </w:pP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continue"/>
            <w:shd w:val="clear" w:color="auto" w:fill="auto"/>
            <w:noWrap w:val="0"/>
            <w:vAlign w:val="center"/>
          </w:tcPr>
          <w:p>
            <w:pPr>
              <w:spacing w:line="300" w:lineRule="exact"/>
              <w:jc w:val="center"/>
              <w:rPr>
                <w:rFonts w:hint="eastAsia" w:ascii="方正书宋_GBK" w:eastAsia="方正书宋_GBK"/>
              </w:rPr>
            </w:pP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continue"/>
            <w:shd w:val="clear" w:color="auto" w:fill="auto"/>
            <w:noWrap w:val="0"/>
            <w:vAlign w:val="center"/>
          </w:tcPr>
          <w:p>
            <w:pPr>
              <w:spacing w:line="300" w:lineRule="exact"/>
              <w:jc w:val="center"/>
              <w:rPr>
                <w:rFonts w:hint="eastAsia" w:ascii="方正书宋_GBK" w:eastAsia="方正书宋_GBK"/>
              </w:rPr>
            </w:pP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continue"/>
            <w:shd w:val="clear" w:color="auto" w:fill="auto"/>
            <w:noWrap w:val="0"/>
            <w:vAlign w:val="center"/>
          </w:tcPr>
          <w:p>
            <w:pPr>
              <w:spacing w:line="300" w:lineRule="exact"/>
              <w:jc w:val="center"/>
              <w:rPr>
                <w:rFonts w:hint="eastAsia" w:ascii="方正书宋_GBK" w:eastAsia="方正书宋_GBK"/>
              </w:rPr>
            </w:pP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continue"/>
            <w:shd w:val="clear" w:color="auto" w:fill="auto"/>
            <w:noWrap w:val="0"/>
            <w:vAlign w:val="center"/>
          </w:tcPr>
          <w:p>
            <w:pPr>
              <w:spacing w:line="300" w:lineRule="exact"/>
              <w:jc w:val="center"/>
              <w:rPr>
                <w:rFonts w:hint="eastAsia" w:ascii="方正书宋_GBK" w:eastAsia="方正书宋_GBK"/>
              </w:rPr>
            </w:pP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vMerge w:val="continue"/>
            <w:shd w:val="clear" w:color="auto" w:fill="auto"/>
            <w:noWrap w:val="0"/>
            <w:vAlign w:val="center"/>
          </w:tcPr>
          <w:p>
            <w:pPr>
              <w:spacing w:line="300" w:lineRule="exact"/>
              <w:jc w:val="center"/>
              <w:rPr>
                <w:rFonts w:hint="eastAsia" w:ascii="方正书宋_GBK" w:eastAsia="方正书宋_GBK"/>
              </w:rPr>
            </w:pP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0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9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20" w:firstLineChars="200"/>
        <w:jc w:val="left"/>
        <w:sectPr>
          <w:pgSz w:w="16838" w:h="11905" w:orient="landscape"/>
          <w:pgMar w:top="1304" w:right="1984" w:bottom="1304" w:left="1134" w:header="850" w:footer="992" w:gutter="0"/>
          <w:cols w:space="0" w:num="1"/>
          <w:rtlGutter w:val="0"/>
          <w:docGrid w:type="lines" w:linePitch="320" w:charSpace="0"/>
        </w:sectPr>
      </w:pPr>
    </w:p>
    <w:p>
      <w:pPr>
        <w:spacing w:line="300" w:lineRule="exact"/>
        <w:ind w:firstLine="420" w:firstLineChars="200"/>
        <w:jc w:val="left"/>
      </w:pPr>
    </w:p>
    <w:p>
      <w:pPr>
        <w:ind w:firstLine="562" w:firstLineChars="200"/>
        <w:jc w:val="left"/>
        <w:outlineLvl w:val="3"/>
        <w:rPr>
          <w:rFonts w:ascii="Times New Roman" w:hAnsi="宋体"/>
          <w:b/>
          <w:sz w:val="28"/>
        </w:rPr>
      </w:pPr>
      <w:bookmarkStart w:id="3" w:name="_Toc61528241"/>
      <w:r>
        <w:rPr>
          <w:rFonts w:hint="eastAsia" w:ascii="方正仿宋_GBK" w:eastAsia="方正仿宋_GBK"/>
          <w:b/>
          <w:sz w:val="28"/>
        </w:rPr>
        <w:t>4.开发区建设开发资金绩效目标表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4、开发区建设开发资金绩效目标表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12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3"/>
        <w:gridCol w:w="232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70"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631001</w:t>
            </w:r>
            <w:r>
              <w:rPr>
                <w:rFonts w:hint="eastAsia" w:ascii="方正书宋_GBK" w:eastAsia="方正书宋_GBK"/>
                <w:b/>
              </w:rPr>
              <w:t>秦皇岛市山海关区临港经济开发区发展中心本级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60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13030321EIPRN9KG00TYW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开发区建设开发资金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32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34760000.00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34760000.00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shd w:val="clear" w:color="auto" w:fill="auto"/>
            <w:noWrap w:val="0"/>
            <w:vAlign w:val="center"/>
          </w:tcPr>
          <w:p>
            <w:pPr>
              <w:spacing w:line="300" w:lineRule="exact"/>
              <w:jc w:val="left"/>
              <w:outlineLvl w:val="3"/>
            </w:pPr>
          </w:p>
        </w:tc>
        <w:tc>
          <w:tcPr>
            <w:tcW w:w="946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用于开发区招商引资及项目前期、综合环境维护及建设相关、规划体系完善、拆迁安置过渡费、农民子女入学补助、开发区改革人事薪酬绩效奖励等开发区建设资金。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60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tcBorders>
              <w:bottom w:val="single" w:color="000000" w:sz="6" w:space="0"/>
            </w:tcBorders>
            <w:shd w:val="clear" w:color="auto" w:fill="auto"/>
            <w:noWrap w:val="0"/>
            <w:vAlign w:val="center"/>
          </w:tcPr>
          <w:p>
            <w:pPr>
              <w:spacing w:line="300" w:lineRule="exact"/>
              <w:jc w:val="left"/>
              <w:outlineLvl w:val="3"/>
            </w:pPr>
          </w:p>
        </w:tc>
        <w:tc>
          <w:tcPr>
            <w:tcW w:w="360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46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打造良好招商引资环境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全力推进开发区更高水平、更高质量发展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3"/>
        <w:tblW w:w="12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8"/>
        <w:gridCol w:w="2296"/>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80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9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9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招商引资项目入园个数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招商引资项目入园个数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continue"/>
            <w:shd w:val="clear" w:color="auto" w:fill="auto"/>
            <w:noWrap w:val="0"/>
            <w:vAlign w:val="center"/>
          </w:tcPr>
          <w:p>
            <w:pPr>
              <w:spacing w:line="300" w:lineRule="exact"/>
              <w:jc w:val="center"/>
              <w:rPr>
                <w:rFonts w:hint="eastAsia" w:ascii="方正书宋_GBK" w:eastAsia="方正书宋_GBK"/>
              </w:rPr>
            </w:pP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支出的合规率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项目支出程序符合内控标准，项目实施过程规范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continue"/>
            <w:shd w:val="clear" w:color="auto" w:fill="auto"/>
            <w:noWrap w:val="0"/>
            <w:vAlign w:val="center"/>
          </w:tcPr>
          <w:p>
            <w:pPr>
              <w:spacing w:line="300" w:lineRule="exact"/>
              <w:jc w:val="center"/>
              <w:rPr>
                <w:rFonts w:hint="eastAsia" w:ascii="方正书宋_GBK" w:eastAsia="方正书宋_GBK"/>
              </w:rPr>
            </w:pP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按期完成项目数量</w:t>
            </w:r>
            <w:r>
              <w:rPr>
                <w:rFonts w:ascii="方正书宋_GBK" w:eastAsia="方正书宋_GBK"/>
              </w:rPr>
              <w:t>/</w:t>
            </w:r>
            <w:r>
              <w:rPr>
                <w:rFonts w:hint="eastAsia" w:ascii="方正书宋_GBK" w:eastAsia="方正书宋_GBK"/>
              </w:rPr>
              <w:t>计划完成项目数量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continue"/>
            <w:shd w:val="clear" w:color="auto" w:fill="auto"/>
            <w:noWrap w:val="0"/>
            <w:vAlign w:val="center"/>
          </w:tcPr>
          <w:p>
            <w:pPr>
              <w:spacing w:line="300" w:lineRule="exact"/>
              <w:jc w:val="center"/>
              <w:rPr>
                <w:rFonts w:hint="eastAsia" w:ascii="方正书宋_GBK" w:eastAsia="方正书宋_GBK"/>
              </w:rPr>
            </w:pP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拉动地方经济发展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拉动地方经济发展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continue"/>
            <w:shd w:val="clear" w:color="auto" w:fill="auto"/>
            <w:noWrap w:val="0"/>
            <w:vAlign w:val="center"/>
          </w:tcPr>
          <w:p>
            <w:pPr>
              <w:spacing w:line="300" w:lineRule="exact"/>
              <w:jc w:val="center"/>
              <w:rPr>
                <w:rFonts w:hint="eastAsia" w:ascii="方正书宋_GBK" w:eastAsia="方正书宋_GBK"/>
              </w:rPr>
            </w:pP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社会效益增长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社会效益增长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continue"/>
            <w:shd w:val="clear" w:color="auto" w:fill="auto"/>
            <w:noWrap w:val="0"/>
            <w:vAlign w:val="center"/>
          </w:tcPr>
          <w:p>
            <w:pPr>
              <w:spacing w:line="300" w:lineRule="exact"/>
              <w:jc w:val="center"/>
              <w:rPr>
                <w:rFonts w:hint="eastAsia" w:ascii="方正书宋_GBK" w:eastAsia="方正书宋_GBK"/>
              </w:rPr>
            </w:pP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绿化及保洁工作完成及时性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日常维修及绿化工作按照年初计划及时完成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vMerge w:val="continue"/>
            <w:shd w:val="clear" w:color="auto" w:fill="auto"/>
            <w:noWrap w:val="0"/>
            <w:vAlign w:val="center"/>
          </w:tcPr>
          <w:p>
            <w:pPr>
              <w:spacing w:line="300" w:lineRule="exact"/>
              <w:jc w:val="center"/>
              <w:rPr>
                <w:rFonts w:hint="eastAsia" w:ascii="方正书宋_GBK" w:eastAsia="方正书宋_GBK"/>
              </w:rPr>
            </w:pP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0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9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20" w:firstLineChars="200"/>
        <w:jc w:val="left"/>
        <w:sectPr>
          <w:pgSz w:w="16838" w:h="11905" w:orient="landscape"/>
          <w:pgMar w:top="1304" w:right="1984" w:bottom="1304" w:left="1134" w:header="850" w:footer="992" w:gutter="0"/>
          <w:cols w:space="0" w:num="1"/>
          <w:rtlGutter w:val="0"/>
          <w:docGrid w:type="lines" w:linePitch="320" w:charSpace="0"/>
        </w:sectPr>
      </w:pPr>
    </w:p>
    <w:p>
      <w:pPr>
        <w:spacing w:line="300" w:lineRule="exact"/>
        <w:ind w:firstLine="420" w:firstLineChars="200"/>
        <w:jc w:val="left"/>
      </w:pPr>
    </w:p>
    <w:p>
      <w:pPr>
        <w:ind w:firstLine="562" w:firstLineChars="200"/>
        <w:jc w:val="left"/>
        <w:outlineLvl w:val="3"/>
        <w:rPr>
          <w:rFonts w:ascii="Times New Roman" w:hAnsi="宋体"/>
          <w:b/>
          <w:sz w:val="28"/>
        </w:rPr>
      </w:pPr>
      <w:bookmarkStart w:id="4" w:name="_Toc61528242"/>
      <w:r>
        <w:rPr>
          <w:rFonts w:hint="eastAsia" w:ascii="方正仿宋_GBK" w:eastAsia="方正仿宋_GBK"/>
          <w:b/>
          <w:sz w:val="28"/>
        </w:rPr>
        <w:t>5.山海关临港经济开发区环境跟踪监测绩效目标表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5、山海关临港经济开发区环境跟踪监测绩效目标表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119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0"/>
        <w:gridCol w:w="1891"/>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631001</w:t>
            </w:r>
            <w:r>
              <w:rPr>
                <w:rFonts w:hint="eastAsia" w:ascii="方正书宋_GBK" w:eastAsia="方正书宋_GBK"/>
                <w:b/>
              </w:rPr>
              <w:t>秦皇岛市山海关区临港经济开发区发展中心本级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167"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13030321EYP6WRB8KOFGQ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山海关临港经济开发区环境跟踪监测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0" w:type="dxa"/>
            <w:vMerge w:val="continue"/>
            <w:shd w:val="clear" w:color="auto" w:fill="auto"/>
            <w:noWrap w:val="0"/>
            <w:vAlign w:val="center"/>
          </w:tcPr>
          <w:p>
            <w:pPr>
              <w:spacing w:line="300" w:lineRule="exact"/>
              <w:jc w:val="left"/>
              <w:outlineLvl w:val="3"/>
            </w:pPr>
          </w:p>
        </w:tc>
        <w:tc>
          <w:tcPr>
            <w:tcW w:w="9035"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对山海关区临港产业园进行跟踪监测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6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0" w:type="dxa"/>
            <w:vMerge w:val="continue"/>
            <w:tcBorders>
              <w:bottom w:val="single" w:color="000000" w:sz="6" w:space="0"/>
            </w:tcBorders>
            <w:shd w:val="clear" w:color="auto" w:fill="auto"/>
            <w:noWrap w:val="0"/>
            <w:vAlign w:val="center"/>
          </w:tcPr>
          <w:p>
            <w:pPr>
              <w:spacing w:line="300" w:lineRule="exact"/>
              <w:jc w:val="left"/>
              <w:outlineLvl w:val="3"/>
            </w:pPr>
          </w:p>
        </w:tc>
        <w:tc>
          <w:tcPr>
            <w:tcW w:w="316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0"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035"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按照相关规范要求监测空气、噪声、地表水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保障建设项目环评审批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3"/>
        <w:tblW w:w="118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7"/>
        <w:gridCol w:w="1842"/>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8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4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4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监测站位数量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监测站位数量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continue"/>
            <w:shd w:val="clear" w:color="auto" w:fill="auto"/>
            <w:noWrap w:val="0"/>
            <w:vAlign w:val="center"/>
          </w:tcPr>
          <w:p>
            <w:pPr>
              <w:spacing w:line="300" w:lineRule="exact"/>
              <w:jc w:val="center"/>
              <w:rPr>
                <w:rFonts w:hint="eastAsia" w:ascii="方正书宋_GBK" w:eastAsia="方正书宋_GBK"/>
              </w:rPr>
            </w:pP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监测数据准确性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监测数据准确性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准确</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continue"/>
            <w:shd w:val="clear" w:color="auto" w:fill="auto"/>
            <w:noWrap w:val="0"/>
            <w:vAlign w:val="center"/>
          </w:tcPr>
          <w:p>
            <w:pPr>
              <w:spacing w:line="300" w:lineRule="exact"/>
              <w:jc w:val="center"/>
              <w:rPr>
                <w:rFonts w:hint="eastAsia" w:ascii="方正书宋_GBK" w:eastAsia="方正书宋_GBK"/>
              </w:rPr>
            </w:pP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工期完工时间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工期完工时间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continue"/>
            <w:shd w:val="clear" w:color="auto" w:fill="auto"/>
            <w:noWrap w:val="0"/>
            <w:vAlign w:val="center"/>
          </w:tcPr>
          <w:p>
            <w:pPr>
              <w:spacing w:line="300" w:lineRule="exact"/>
              <w:jc w:val="center"/>
              <w:rPr>
                <w:rFonts w:hint="eastAsia" w:ascii="方正书宋_GBK" w:eastAsia="方正书宋_GBK"/>
              </w:rPr>
            </w:pP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控制在预算范围内</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监测完成率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监测完成数量</w:t>
            </w:r>
            <w:r>
              <w:rPr>
                <w:rFonts w:ascii="方正书宋_GBK" w:eastAsia="方正书宋_GBK"/>
              </w:rPr>
              <w:t>/</w:t>
            </w:r>
            <w:r>
              <w:rPr>
                <w:rFonts w:hint="eastAsia" w:ascii="方正书宋_GBK" w:eastAsia="方正书宋_GBK"/>
              </w:rPr>
              <w:t>计划监测数量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continue"/>
            <w:shd w:val="clear" w:color="auto" w:fill="auto"/>
            <w:noWrap w:val="0"/>
            <w:vAlign w:val="center"/>
          </w:tcPr>
          <w:p>
            <w:pPr>
              <w:spacing w:line="300" w:lineRule="exact"/>
              <w:jc w:val="center"/>
              <w:rPr>
                <w:rFonts w:hint="eastAsia" w:ascii="方正书宋_GBK" w:eastAsia="方正书宋_GBK"/>
              </w:rPr>
            </w:pP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达到效率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continue"/>
            <w:shd w:val="clear" w:color="auto" w:fill="auto"/>
            <w:noWrap w:val="0"/>
            <w:vAlign w:val="center"/>
          </w:tcPr>
          <w:p>
            <w:pPr>
              <w:spacing w:line="300" w:lineRule="exact"/>
              <w:jc w:val="center"/>
              <w:rPr>
                <w:rFonts w:hint="eastAsia" w:ascii="方正书宋_GBK" w:eastAsia="方正书宋_GBK"/>
              </w:rPr>
            </w:pP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做好环境跟踪监测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做好环境跟踪监测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vMerge w:val="continue"/>
            <w:shd w:val="clear" w:color="auto" w:fill="auto"/>
            <w:noWrap w:val="0"/>
            <w:vAlign w:val="center"/>
          </w:tcPr>
          <w:p>
            <w:pPr>
              <w:spacing w:line="300" w:lineRule="exact"/>
              <w:jc w:val="center"/>
              <w:rPr>
                <w:rFonts w:hint="eastAsia" w:ascii="方正书宋_GBK" w:eastAsia="方正书宋_GBK"/>
              </w:rPr>
            </w:pP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监检测能力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监检测能力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88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8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20" w:firstLineChars="200"/>
        <w:jc w:val="left"/>
      </w:pPr>
    </w:p>
    <w:p>
      <w:pPr>
        <w:spacing w:before="156" w:beforeLines="50" w:after="156" w:afterLines="50"/>
        <w:ind w:firstLine="560" w:firstLineChars="200"/>
        <w:jc w:val="center"/>
        <w:rPr>
          <w:rFonts w:ascii="Times New Roman" w:eastAsia="方正仿宋_GBK"/>
          <w:sz w:val="28"/>
        </w:rPr>
      </w:pPr>
    </w:p>
    <w:p>
      <w:pPr>
        <w:rPr>
          <w:rFonts w:hint="eastAsia" w:ascii="仿宋_GB2312" w:eastAsia="仿宋_GB2312"/>
          <w:sz w:val="32"/>
          <w:szCs w:val="32"/>
          <w:highlight w:val="none"/>
        </w:rPr>
      </w:pP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ind w:firstLine="640" w:firstLineChars="200"/>
        <w:jc w:val="left"/>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2021年，我部门安排政府采购预算具体内容见下表。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3"/>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7"/>
        <w:gridCol w:w="1485"/>
        <w:gridCol w:w="882"/>
        <w:gridCol w:w="1112"/>
        <w:gridCol w:w="541"/>
        <w:gridCol w:w="585"/>
        <w:gridCol w:w="1245"/>
        <w:gridCol w:w="1206"/>
        <w:gridCol w:w="699"/>
        <w:gridCol w:w="1170"/>
        <w:gridCol w:w="1182"/>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07"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7250"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42"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88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541"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58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24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7250"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5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148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882"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541" w:type="dxa"/>
            <w:vMerge w:val="continue"/>
            <w:noWrap w:val="0"/>
            <w:vAlign w:val="center"/>
          </w:tcPr>
          <w:p>
            <w:pPr>
              <w:spacing w:line="300" w:lineRule="exact"/>
              <w:jc w:val="left"/>
              <w:outlineLvl w:val="0"/>
              <w:rPr>
                <w:rFonts w:hint="eastAsia" w:ascii="仿宋_GB2312" w:hAnsi="仿宋" w:eastAsia="仿宋_GB2312" w:cs="仿宋"/>
              </w:rPr>
            </w:pPr>
          </w:p>
        </w:tc>
        <w:tc>
          <w:tcPr>
            <w:tcW w:w="585" w:type="dxa"/>
            <w:vMerge w:val="continue"/>
            <w:noWrap w:val="0"/>
            <w:vAlign w:val="center"/>
          </w:tcPr>
          <w:p>
            <w:pPr>
              <w:spacing w:line="300" w:lineRule="exact"/>
              <w:jc w:val="left"/>
              <w:outlineLvl w:val="0"/>
              <w:rPr>
                <w:rFonts w:hint="eastAsia" w:ascii="仿宋_GB2312" w:hAnsi="仿宋" w:eastAsia="仿宋_GB2312" w:cs="仿宋"/>
              </w:rPr>
            </w:pPr>
          </w:p>
        </w:tc>
        <w:tc>
          <w:tcPr>
            <w:tcW w:w="1245" w:type="dxa"/>
            <w:vMerge w:val="continue"/>
            <w:noWrap w:val="0"/>
            <w:vAlign w:val="center"/>
          </w:tcPr>
          <w:p>
            <w:pPr>
              <w:spacing w:line="300" w:lineRule="exact"/>
              <w:jc w:val="left"/>
              <w:outlineLvl w:val="0"/>
              <w:rPr>
                <w:rFonts w:hint="eastAsia" w:ascii="仿宋_GB2312" w:hAnsi="仿宋" w:eastAsia="仿宋_GB2312" w:cs="仿宋"/>
              </w:rPr>
            </w:pPr>
          </w:p>
        </w:tc>
        <w:tc>
          <w:tcPr>
            <w:tcW w:w="120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57" w:type="dxa"/>
            <w:vMerge w:val="continue"/>
            <w:noWrap w:val="0"/>
            <w:vAlign w:val="center"/>
          </w:tcPr>
          <w:p>
            <w:pPr>
              <w:spacing w:line="300" w:lineRule="exact"/>
              <w:jc w:val="left"/>
              <w:outlineLvl w:val="0"/>
              <w:rPr>
                <w:rFonts w:hint="eastAsia" w:ascii="仿宋_GB2312" w:hAnsi="仿宋" w:eastAsia="仿宋_GB2312" w:cs="仿宋"/>
              </w:rPr>
            </w:pPr>
          </w:p>
        </w:tc>
        <w:tc>
          <w:tcPr>
            <w:tcW w:w="1485" w:type="dxa"/>
            <w:vMerge w:val="continue"/>
            <w:noWrap w:val="0"/>
            <w:vAlign w:val="center"/>
          </w:tcPr>
          <w:p>
            <w:pPr>
              <w:spacing w:line="300" w:lineRule="exact"/>
              <w:jc w:val="left"/>
              <w:outlineLvl w:val="0"/>
              <w:rPr>
                <w:rFonts w:hint="eastAsia" w:ascii="仿宋_GB2312" w:hAnsi="仿宋" w:eastAsia="仿宋_GB2312" w:cs="仿宋"/>
              </w:rPr>
            </w:pPr>
          </w:p>
        </w:tc>
        <w:tc>
          <w:tcPr>
            <w:tcW w:w="882"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541" w:type="dxa"/>
            <w:vMerge w:val="continue"/>
            <w:noWrap w:val="0"/>
            <w:vAlign w:val="center"/>
          </w:tcPr>
          <w:p>
            <w:pPr>
              <w:spacing w:line="300" w:lineRule="exact"/>
              <w:jc w:val="left"/>
              <w:outlineLvl w:val="0"/>
              <w:rPr>
                <w:rFonts w:hint="eastAsia" w:ascii="仿宋_GB2312" w:hAnsi="仿宋" w:eastAsia="仿宋_GB2312" w:cs="仿宋"/>
              </w:rPr>
            </w:pPr>
          </w:p>
        </w:tc>
        <w:tc>
          <w:tcPr>
            <w:tcW w:w="585" w:type="dxa"/>
            <w:vMerge w:val="continue"/>
            <w:noWrap w:val="0"/>
            <w:vAlign w:val="center"/>
          </w:tcPr>
          <w:p>
            <w:pPr>
              <w:spacing w:line="300" w:lineRule="exact"/>
              <w:jc w:val="left"/>
              <w:outlineLvl w:val="0"/>
              <w:rPr>
                <w:rFonts w:hint="eastAsia" w:ascii="仿宋_GB2312" w:hAnsi="仿宋" w:eastAsia="仿宋_GB2312" w:cs="仿宋"/>
              </w:rPr>
            </w:pPr>
          </w:p>
        </w:tc>
        <w:tc>
          <w:tcPr>
            <w:tcW w:w="1245" w:type="dxa"/>
            <w:vMerge w:val="continue"/>
            <w:noWrap w:val="0"/>
            <w:vAlign w:val="center"/>
          </w:tcPr>
          <w:p>
            <w:pPr>
              <w:spacing w:line="300" w:lineRule="exact"/>
              <w:jc w:val="left"/>
              <w:outlineLvl w:val="0"/>
              <w:rPr>
                <w:rFonts w:hint="eastAsia" w:ascii="仿宋_GB2312" w:hAnsi="仿宋" w:eastAsia="仿宋_GB2312" w:cs="仿宋"/>
              </w:rPr>
            </w:pPr>
          </w:p>
        </w:tc>
        <w:tc>
          <w:tcPr>
            <w:tcW w:w="1206" w:type="dxa"/>
            <w:vMerge w:val="continue"/>
            <w:noWrap w:val="0"/>
            <w:vAlign w:val="center"/>
          </w:tcPr>
          <w:p>
            <w:pPr>
              <w:spacing w:line="300" w:lineRule="exact"/>
              <w:jc w:val="left"/>
              <w:outlineLvl w:val="0"/>
              <w:rPr>
                <w:rFonts w:hint="eastAsia" w:ascii="仿宋_GB2312" w:hAnsi="仿宋" w:eastAsia="仿宋_GB2312" w:cs="仿宋"/>
              </w:rPr>
            </w:pPr>
          </w:p>
        </w:tc>
        <w:tc>
          <w:tcPr>
            <w:tcW w:w="699"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170"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182"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57" w:type="dxa"/>
            <w:noWrap w:val="0"/>
            <w:vAlign w:val="center"/>
          </w:tcPr>
          <w:p>
            <w:pPr>
              <w:spacing w:line="300" w:lineRule="exact"/>
              <w:jc w:val="center"/>
              <w:rPr>
                <w:rFonts w:hint="eastAsia" w:ascii="仿宋_GB2312" w:hAnsi="仿宋" w:eastAsia="仿宋_GB2312" w:cs="仿宋"/>
                <w:b/>
                <w:lang w:eastAsia="zh-CN"/>
              </w:rPr>
            </w:pPr>
            <w:r>
              <w:rPr>
                <w:rFonts w:hint="eastAsia" w:ascii="仿宋_GB2312" w:hAnsi="仿宋" w:eastAsia="仿宋_GB2312" w:cs="仿宋"/>
                <w:b/>
                <w:lang w:eastAsia="zh-CN"/>
              </w:rPr>
              <w:t>山海关临港经济开发区环境跟踪监测</w:t>
            </w:r>
          </w:p>
        </w:tc>
        <w:tc>
          <w:tcPr>
            <w:tcW w:w="1485" w:type="dxa"/>
            <w:noWrap w:val="0"/>
            <w:vAlign w:val="center"/>
          </w:tcPr>
          <w:p>
            <w:pPr>
              <w:spacing w:line="300" w:lineRule="exact"/>
              <w:jc w:val="right"/>
              <w:rPr>
                <w:rFonts w:hint="default" w:ascii="仿宋_GB2312" w:hAnsi="仿宋" w:eastAsia="仿宋_GB2312" w:cs="仿宋"/>
                <w:b/>
                <w:lang w:val="en-US" w:eastAsia="zh-CN"/>
              </w:rPr>
            </w:pPr>
            <w:r>
              <w:rPr>
                <w:rFonts w:hint="eastAsia" w:ascii="仿宋_GB2312" w:hAnsi="仿宋" w:eastAsia="仿宋_GB2312" w:cs="仿宋"/>
                <w:b/>
                <w:lang w:val="en-US" w:eastAsia="zh-CN"/>
              </w:rPr>
              <w:t>570000.00</w:t>
            </w:r>
          </w:p>
        </w:tc>
        <w:tc>
          <w:tcPr>
            <w:tcW w:w="882" w:type="dxa"/>
            <w:noWrap w:val="0"/>
            <w:vAlign w:val="center"/>
          </w:tcPr>
          <w:p>
            <w:pPr>
              <w:spacing w:line="300" w:lineRule="exact"/>
              <w:jc w:val="left"/>
              <w:rPr>
                <w:rFonts w:hint="eastAsia" w:ascii="仿宋_GB2312" w:hAnsi="仿宋" w:eastAsia="仿宋_GB2312" w:cs="仿宋"/>
                <w:b/>
                <w:lang w:eastAsia="zh-CN"/>
              </w:rPr>
            </w:pPr>
            <w:r>
              <w:rPr>
                <w:rFonts w:hint="eastAsia" w:ascii="仿宋_GB2312" w:hAnsi="仿宋" w:eastAsia="仿宋_GB2312" w:cs="仿宋"/>
                <w:b/>
                <w:lang w:eastAsia="zh-CN"/>
              </w:rPr>
              <w:t>其他环境治理服务</w:t>
            </w:r>
          </w:p>
        </w:tc>
        <w:tc>
          <w:tcPr>
            <w:tcW w:w="1112" w:type="dxa"/>
            <w:noWrap w:val="0"/>
            <w:vAlign w:val="center"/>
          </w:tcPr>
          <w:p>
            <w:pPr>
              <w:spacing w:line="300" w:lineRule="exact"/>
              <w:jc w:val="left"/>
              <w:rPr>
                <w:rFonts w:hint="default" w:ascii="仿宋_GB2312" w:hAnsi="仿宋" w:eastAsia="仿宋_GB2312" w:cs="仿宋"/>
                <w:b/>
                <w:lang w:val="en-US" w:eastAsia="zh-CN"/>
              </w:rPr>
            </w:pPr>
            <w:r>
              <w:rPr>
                <w:rFonts w:hint="eastAsia" w:ascii="仿宋_GB2312" w:hAnsi="仿宋" w:eastAsia="仿宋_GB2312" w:cs="仿宋"/>
                <w:b/>
                <w:lang w:val="en-US" w:eastAsia="zh-CN"/>
              </w:rPr>
              <w:t>C169999</w:t>
            </w:r>
          </w:p>
        </w:tc>
        <w:tc>
          <w:tcPr>
            <w:tcW w:w="541" w:type="dxa"/>
            <w:noWrap w:val="0"/>
            <w:vAlign w:val="center"/>
          </w:tcPr>
          <w:p>
            <w:pPr>
              <w:spacing w:line="300" w:lineRule="exact"/>
              <w:jc w:val="left"/>
              <w:rPr>
                <w:rFonts w:hint="eastAsia" w:ascii="仿宋_GB2312" w:hAnsi="仿宋" w:eastAsia="仿宋_GB2312" w:cs="仿宋"/>
                <w:b/>
                <w:lang w:eastAsia="zh-CN"/>
              </w:rPr>
            </w:pPr>
            <w:r>
              <w:rPr>
                <w:rFonts w:hint="eastAsia" w:ascii="仿宋_GB2312" w:hAnsi="仿宋" w:eastAsia="仿宋_GB2312" w:cs="仿宋"/>
                <w:b/>
                <w:lang w:eastAsia="zh-CN"/>
              </w:rPr>
              <w:t>年</w:t>
            </w:r>
          </w:p>
        </w:tc>
        <w:tc>
          <w:tcPr>
            <w:tcW w:w="585" w:type="dxa"/>
            <w:noWrap w:val="0"/>
            <w:vAlign w:val="center"/>
          </w:tcPr>
          <w:p>
            <w:pPr>
              <w:spacing w:line="300" w:lineRule="exact"/>
              <w:jc w:val="right"/>
              <w:rPr>
                <w:rFonts w:hint="eastAsia" w:ascii="仿宋_GB2312" w:hAnsi="仿宋" w:eastAsia="仿宋_GB2312" w:cs="仿宋"/>
                <w:b/>
                <w:lang w:val="en-US" w:eastAsia="zh-CN"/>
              </w:rPr>
            </w:pPr>
            <w:r>
              <w:rPr>
                <w:rFonts w:hint="eastAsia" w:ascii="仿宋_GB2312" w:hAnsi="仿宋" w:eastAsia="仿宋_GB2312" w:cs="仿宋"/>
                <w:b/>
                <w:lang w:val="en-US" w:eastAsia="zh-CN"/>
              </w:rPr>
              <w:t>1</w:t>
            </w:r>
          </w:p>
        </w:tc>
        <w:tc>
          <w:tcPr>
            <w:tcW w:w="1245" w:type="dxa"/>
            <w:noWrap w:val="0"/>
            <w:vAlign w:val="center"/>
          </w:tcPr>
          <w:p>
            <w:pPr>
              <w:spacing w:line="300" w:lineRule="exact"/>
              <w:jc w:val="right"/>
              <w:rPr>
                <w:rFonts w:hint="default" w:ascii="仿宋_GB2312" w:hAnsi="仿宋" w:eastAsia="仿宋_GB2312" w:cs="仿宋"/>
                <w:b/>
                <w:lang w:val="en-US" w:eastAsia="zh-CN"/>
              </w:rPr>
            </w:pPr>
            <w:r>
              <w:rPr>
                <w:rFonts w:hint="eastAsia" w:ascii="仿宋_GB2312" w:hAnsi="仿宋" w:eastAsia="仿宋_GB2312" w:cs="仿宋"/>
                <w:b/>
                <w:lang w:val="en-US" w:eastAsia="zh-CN"/>
              </w:rPr>
              <w:t>570000.00</w:t>
            </w:r>
          </w:p>
        </w:tc>
        <w:tc>
          <w:tcPr>
            <w:tcW w:w="1206" w:type="dxa"/>
            <w:noWrap w:val="0"/>
            <w:vAlign w:val="center"/>
          </w:tcPr>
          <w:p>
            <w:pPr>
              <w:spacing w:line="300" w:lineRule="exact"/>
              <w:jc w:val="right"/>
              <w:rPr>
                <w:rFonts w:hint="default" w:ascii="仿宋_GB2312" w:hAnsi="仿宋" w:eastAsia="仿宋_GB2312" w:cs="仿宋"/>
                <w:b/>
                <w:lang w:val="en-US" w:eastAsia="zh-CN"/>
              </w:rPr>
            </w:pPr>
            <w:r>
              <w:rPr>
                <w:rFonts w:hint="eastAsia" w:ascii="仿宋_GB2312" w:hAnsi="仿宋" w:eastAsia="仿宋_GB2312" w:cs="仿宋"/>
                <w:b/>
                <w:lang w:val="en-US" w:eastAsia="zh-CN"/>
              </w:rPr>
              <w:t>570000.00</w:t>
            </w:r>
          </w:p>
        </w:tc>
        <w:tc>
          <w:tcPr>
            <w:tcW w:w="699" w:type="dxa"/>
            <w:noWrap w:val="0"/>
            <w:vAlign w:val="center"/>
          </w:tcPr>
          <w:p>
            <w:pPr>
              <w:spacing w:line="300" w:lineRule="exact"/>
              <w:jc w:val="right"/>
              <w:rPr>
                <w:rFonts w:hint="eastAsia" w:ascii="仿宋_GB2312" w:hAnsi="仿宋" w:eastAsia="仿宋_GB2312" w:cs="仿宋"/>
                <w:b/>
              </w:rPr>
            </w:pPr>
          </w:p>
        </w:tc>
        <w:tc>
          <w:tcPr>
            <w:tcW w:w="1170" w:type="dxa"/>
            <w:noWrap w:val="0"/>
            <w:vAlign w:val="center"/>
          </w:tcPr>
          <w:p>
            <w:pPr>
              <w:spacing w:line="300" w:lineRule="exact"/>
              <w:jc w:val="right"/>
              <w:rPr>
                <w:rFonts w:hint="eastAsia" w:ascii="仿宋_GB2312" w:hAnsi="仿宋" w:eastAsia="仿宋_GB2312" w:cs="仿宋"/>
                <w:b/>
              </w:rPr>
            </w:pPr>
          </w:p>
        </w:tc>
        <w:tc>
          <w:tcPr>
            <w:tcW w:w="1182" w:type="dxa"/>
            <w:noWrap w:val="0"/>
            <w:vAlign w:val="center"/>
          </w:tcPr>
          <w:p>
            <w:pPr>
              <w:spacing w:line="300" w:lineRule="exact"/>
              <w:jc w:val="right"/>
              <w:rPr>
                <w:rFonts w:hint="default" w:ascii="仿宋_GB2312" w:hAnsi="仿宋" w:eastAsia="仿宋_GB2312" w:cs="仿宋"/>
                <w:b/>
                <w:lang w:val="en-US" w:eastAsia="zh-CN"/>
              </w:rPr>
            </w:pPr>
            <w:r>
              <w:rPr>
                <w:rFonts w:hint="eastAsia" w:ascii="仿宋_GB2312" w:hAnsi="仿宋" w:eastAsia="仿宋_GB2312" w:cs="仿宋"/>
                <w:b/>
                <w:lang w:val="en-US" w:eastAsia="zh-CN"/>
              </w:rPr>
              <w:t>570000.00</w:t>
            </w: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57" w:type="dxa"/>
            <w:noWrap w:val="0"/>
            <w:vAlign w:val="center"/>
          </w:tcPr>
          <w:p>
            <w:pPr>
              <w:spacing w:line="300" w:lineRule="exact"/>
              <w:jc w:val="left"/>
              <w:rPr>
                <w:rFonts w:hint="eastAsia" w:ascii="仿宋" w:hAnsi="仿宋" w:eastAsia="仿宋" w:cs="仿宋"/>
              </w:rPr>
            </w:pPr>
          </w:p>
        </w:tc>
        <w:tc>
          <w:tcPr>
            <w:tcW w:w="1485" w:type="dxa"/>
            <w:noWrap w:val="0"/>
            <w:vAlign w:val="center"/>
          </w:tcPr>
          <w:p>
            <w:pPr>
              <w:spacing w:line="300" w:lineRule="exact"/>
              <w:jc w:val="right"/>
              <w:rPr>
                <w:rFonts w:hint="eastAsia" w:ascii="仿宋" w:hAnsi="仿宋" w:eastAsia="仿宋" w:cs="仿宋"/>
              </w:rPr>
            </w:pPr>
          </w:p>
        </w:tc>
        <w:tc>
          <w:tcPr>
            <w:tcW w:w="882"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541" w:type="dxa"/>
            <w:noWrap w:val="0"/>
            <w:vAlign w:val="center"/>
          </w:tcPr>
          <w:p>
            <w:pPr>
              <w:spacing w:line="300" w:lineRule="exact"/>
              <w:jc w:val="left"/>
              <w:rPr>
                <w:rFonts w:hint="eastAsia" w:ascii="仿宋" w:hAnsi="仿宋" w:eastAsia="仿宋" w:cs="仿宋"/>
              </w:rPr>
            </w:pPr>
          </w:p>
        </w:tc>
        <w:tc>
          <w:tcPr>
            <w:tcW w:w="585" w:type="dxa"/>
            <w:noWrap w:val="0"/>
            <w:vAlign w:val="center"/>
          </w:tcPr>
          <w:p>
            <w:pPr>
              <w:spacing w:line="300" w:lineRule="exact"/>
              <w:jc w:val="right"/>
              <w:rPr>
                <w:rFonts w:hint="eastAsia" w:ascii="仿宋" w:hAnsi="仿宋" w:eastAsia="仿宋" w:cs="仿宋"/>
              </w:rPr>
            </w:pPr>
          </w:p>
        </w:tc>
        <w:tc>
          <w:tcPr>
            <w:tcW w:w="1245" w:type="dxa"/>
            <w:noWrap w:val="0"/>
            <w:vAlign w:val="center"/>
          </w:tcPr>
          <w:p>
            <w:pPr>
              <w:spacing w:line="300" w:lineRule="exact"/>
              <w:jc w:val="right"/>
              <w:rPr>
                <w:rFonts w:hint="eastAsia" w:ascii="仿宋" w:hAnsi="仿宋" w:eastAsia="仿宋" w:cs="仿宋"/>
              </w:rPr>
            </w:pPr>
          </w:p>
        </w:tc>
        <w:tc>
          <w:tcPr>
            <w:tcW w:w="1206" w:type="dxa"/>
            <w:noWrap w:val="0"/>
            <w:vAlign w:val="center"/>
          </w:tcPr>
          <w:p>
            <w:pPr>
              <w:spacing w:line="300" w:lineRule="exact"/>
              <w:jc w:val="right"/>
              <w:rPr>
                <w:rFonts w:hint="eastAsia" w:ascii="仿宋" w:hAnsi="仿宋" w:eastAsia="仿宋" w:cs="仿宋"/>
              </w:rPr>
            </w:pPr>
          </w:p>
        </w:tc>
        <w:tc>
          <w:tcPr>
            <w:tcW w:w="699" w:type="dxa"/>
            <w:noWrap w:val="0"/>
            <w:vAlign w:val="center"/>
          </w:tcPr>
          <w:p>
            <w:pPr>
              <w:spacing w:line="300" w:lineRule="exact"/>
              <w:jc w:val="right"/>
              <w:rPr>
                <w:rFonts w:hint="eastAsia" w:ascii="仿宋" w:hAnsi="仿宋" w:eastAsia="仿宋" w:cs="仿宋"/>
              </w:rPr>
            </w:pPr>
          </w:p>
        </w:tc>
        <w:tc>
          <w:tcPr>
            <w:tcW w:w="1170" w:type="dxa"/>
            <w:noWrap w:val="0"/>
            <w:vAlign w:val="center"/>
          </w:tcPr>
          <w:p>
            <w:pPr>
              <w:spacing w:line="300" w:lineRule="exact"/>
              <w:jc w:val="right"/>
              <w:rPr>
                <w:rFonts w:hint="eastAsia" w:ascii="仿宋" w:hAnsi="仿宋" w:eastAsia="仿宋" w:cs="仿宋"/>
              </w:rPr>
            </w:pPr>
          </w:p>
        </w:tc>
        <w:tc>
          <w:tcPr>
            <w:tcW w:w="1182"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57" w:type="dxa"/>
            <w:noWrap w:val="0"/>
            <w:vAlign w:val="center"/>
          </w:tcPr>
          <w:p>
            <w:pPr>
              <w:spacing w:line="300" w:lineRule="exact"/>
              <w:jc w:val="left"/>
              <w:rPr>
                <w:rFonts w:hint="eastAsia" w:ascii="仿宋" w:hAnsi="仿宋" w:eastAsia="仿宋" w:cs="仿宋"/>
              </w:rPr>
            </w:pPr>
          </w:p>
        </w:tc>
        <w:tc>
          <w:tcPr>
            <w:tcW w:w="1485" w:type="dxa"/>
            <w:noWrap w:val="0"/>
            <w:vAlign w:val="center"/>
          </w:tcPr>
          <w:p>
            <w:pPr>
              <w:spacing w:line="300" w:lineRule="exact"/>
              <w:jc w:val="right"/>
              <w:rPr>
                <w:rFonts w:hint="eastAsia" w:ascii="仿宋" w:hAnsi="仿宋" w:eastAsia="仿宋" w:cs="仿宋"/>
              </w:rPr>
            </w:pPr>
          </w:p>
        </w:tc>
        <w:tc>
          <w:tcPr>
            <w:tcW w:w="882"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541" w:type="dxa"/>
            <w:noWrap w:val="0"/>
            <w:vAlign w:val="center"/>
          </w:tcPr>
          <w:p>
            <w:pPr>
              <w:spacing w:line="300" w:lineRule="exact"/>
              <w:jc w:val="left"/>
              <w:rPr>
                <w:rFonts w:hint="eastAsia" w:ascii="仿宋" w:hAnsi="仿宋" w:eastAsia="仿宋" w:cs="仿宋"/>
              </w:rPr>
            </w:pPr>
          </w:p>
        </w:tc>
        <w:tc>
          <w:tcPr>
            <w:tcW w:w="585" w:type="dxa"/>
            <w:noWrap w:val="0"/>
            <w:vAlign w:val="center"/>
          </w:tcPr>
          <w:p>
            <w:pPr>
              <w:spacing w:line="300" w:lineRule="exact"/>
              <w:jc w:val="right"/>
              <w:rPr>
                <w:rFonts w:hint="eastAsia" w:ascii="仿宋" w:hAnsi="仿宋" w:eastAsia="仿宋" w:cs="仿宋"/>
              </w:rPr>
            </w:pPr>
          </w:p>
        </w:tc>
        <w:tc>
          <w:tcPr>
            <w:tcW w:w="1245" w:type="dxa"/>
            <w:noWrap w:val="0"/>
            <w:vAlign w:val="center"/>
          </w:tcPr>
          <w:p>
            <w:pPr>
              <w:spacing w:line="300" w:lineRule="exact"/>
              <w:jc w:val="right"/>
              <w:rPr>
                <w:rFonts w:hint="eastAsia" w:ascii="仿宋" w:hAnsi="仿宋" w:eastAsia="仿宋" w:cs="仿宋"/>
              </w:rPr>
            </w:pPr>
          </w:p>
        </w:tc>
        <w:tc>
          <w:tcPr>
            <w:tcW w:w="1206" w:type="dxa"/>
            <w:noWrap w:val="0"/>
            <w:vAlign w:val="center"/>
          </w:tcPr>
          <w:p>
            <w:pPr>
              <w:spacing w:line="300" w:lineRule="exact"/>
              <w:jc w:val="right"/>
              <w:rPr>
                <w:rFonts w:hint="eastAsia" w:ascii="仿宋" w:hAnsi="仿宋" w:eastAsia="仿宋" w:cs="仿宋"/>
              </w:rPr>
            </w:pPr>
          </w:p>
        </w:tc>
        <w:tc>
          <w:tcPr>
            <w:tcW w:w="699" w:type="dxa"/>
            <w:noWrap w:val="0"/>
            <w:vAlign w:val="center"/>
          </w:tcPr>
          <w:p>
            <w:pPr>
              <w:spacing w:line="300" w:lineRule="exact"/>
              <w:jc w:val="right"/>
              <w:rPr>
                <w:rFonts w:hint="eastAsia" w:ascii="仿宋" w:hAnsi="仿宋" w:eastAsia="仿宋" w:cs="仿宋"/>
              </w:rPr>
            </w:pPr>
          </w:p>
        </w:tc>
        <w:tc>
          <w:tcPr>
            <w:tcW w:w="1170" w:type="dxa"/>
            <w:noWrap w:val="0"/>
            <w:vAlign w:val="center"/>
          </w:tcPr>
          <w:p>
            <w:pPr>
              <w:spacing w:line="300" w:lineRule="exact"/>
              <w:jc w:val="right"/>
              <w:rPr>
                <w:rFonts w:hint="eastAsia" w:ascii="仿宋" w:hAnsi="仿宋" w:eastAsia="仿宋" w:cs="仿宋"/>
              </w:rPr>
            </w:pPr>
          </w:p>
        </w:tc>
        <w:tc>
          <w:tcPr>
            <w:tcW w:w="1182"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lang w:eastAsia="zh-CN"/>
        </w:rPr>
      </w:pPr>
    </w:p>
    <w:p>
      <w:pPr>
        <w:ind w:firstLine="640" w:firstLineChars="200"/>
        <w:jc w:val="left"/>
        <w:rPr>
          <w:rFonts w:hint="eastAsia" w:ascii="黑体" w:hAnsi="黑体" w:eastAsia="黑体"/>
          <w:color w:val="000000"/>
          <w:sz w:val="32"/>
          <w:lang w:eastAsia="zh-CN"/>
        </w:rPr>
      </w:pPr>
    </w:p>
    <w:p>
      <w:pPr>
        <w:ind w:firstLine="640" w:firstLineChars="200"/>
        <w:jc w:val="left"/>
        <w:rPr>
          <w:rFonts w:hint="eastAsia" w:ascii="黑体" w:hAnsi="黑体" w:eastAsia="黑体"/>
          <w:color w:val="000000"/>
          <w:sz w:val="32"/>
          <w:lang w:eastAsia="zh-CN"/>
        </w:rPr>
      </w:pPr>
    </w:p>
    <w:p>
      <w:pPr>
        <w:ind w:firstLine="640" w:firstLineChars="200"/>
        <w:jc w:val="left"/>
        <w:rPr>
          <w:rFonts w:hint="eastAsia" w:ascii="黑体" w:hAnsi="黑体" w:eastAsia="黑体"/>
          <w:color w:val="000000"/>
          <w:sz w:val="32"/>
          <w:lang w:eastAsia="zh-CN"/>
        </w:rPr>
      </w:pP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12583581.24</w:t>
      </w:r>
      <w:r>
        <w:rPr>
          <w:rFonts w:hint="eastAsia" w:ascii="仿宋_GB2312" w:eastAsia="仿宋_GB2312"/>
          <w:sz w:val="32"/>
          <w:szCs w:val="32"/>
        </w:rPr>
        <w:t>元，本年度</w:t>
      </w:r>
      <w:r>
        <w:rPr>
          <w:rFonts w:hint="eastAsia" w:ascii="仿宋_GB2312" w:eastAsia="仿宋_GB2312"/>
          <w:sz w:val="32"/>
          <w:szCs w:val="32"/>
          <w:highlight w:val="none"/>
          <w:lang w:eastAsia="zh-CN"/>
        </w:rPr>
        <w:t>无</w:t>
      </w:r>
      <w:r>
        <w:rPr>
          <w:rFonts w:hint="eastAsia" w:ascii="仿宋_GB2312" w:eastAsia="仿宋_GB2312"/>
          <w:sz w:val="32"/>
          <w:szCs w:val="32"/>
        </w:rPr>
        <w:t>新增固定资产预算。</w:t>
      </w: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r>
              <w:rPr>
                <w:rFonts w:hint="eastAsia" w:ascii="宋体" w:hAnsi="宋体" w:cs="宋体"/>
                <w:kern w:val="0"/>
                <w:sz w:val="22"/>
                <w:szCs w:val="22"/>
              </w:rPr>
              <w:t>秦皇岛市山海关区临港经济开发区发展中心</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12583581.24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116200.00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eastAsia="宋体" w:cs="宋体"/>
                <w:i w:val="0"/>
                <w:color w:val="auto"/>
                <w:sz w:val="24"/>
                <w:szCs w:val="24"/>
                <w:u w:val="none"/>
              </w:rPr>
              <w:t>11421581.24</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ascii="黑体" w:hAnsi="黑体" w:eastAsia="黑体"/>
          <w:color w:val="000000"/>
          <w:sz w:val="32"/>
        </w:rPr>
      </w:pPr>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CFC"/>
    <w:multiLevelType w:val="multilevel"/>
    <w:tmpl w:val="5F087CFC"/>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ZjhhY2M5MTY2M2I1OGY4OTM3OTNjOTk1ZWE1ODMifQ=="/>
  </w:docVars>
  <w:rsids>
    <w:rsidRoot w:val="00000000"/>
    <w:rsid w:val="00A2684C"/>
    <w:rsid w:val="01866D8C"/>
    <w:rsid w:val="02F54FC6"/>
    <w:rsid w:val="06093262"/>
    <w:rsid w:val="0C3327F4"/>
    <w:rsid w:val="15E74C42"/>
    <w:rsid w:val="19000D91"/>
    <w:rsid w:val="1B5468D6"/>
    <w:rsid w:val="1E06614C"/>
    <w:rsid w:val="20EF5EC1"/>
    <w:rsid w:val="212777EC"/>
    <w:rsid w:val="21687E2D"/>
    <w:rsid w:val="220B7F0B"/>
    <w:rsid w:val="22105521"/>
    <w:rsid w:val="23D72CE5"/>
    <w:rsid w:val="24A115BC"/>
    <w:rsid w:val="273C4CDF"/>
    <w:rsid w:val="29EE5CF0"/>
    <w:rsid w:val="2C2E6ABA"/>
    <w:rsid w:val="2C5D5807"/>
    <w:rsid w:val="2ECD2F4E"/>
    <w:rsid w:val="2F5043B2"/>
    <w:rsid w:val="3054247A"/>
    <w:rsid w:val="30A0509E"/>
    <w:rsid w:val="313C54BF"/>
    <w:rsid w:val="32713DBA"/>
    <w:rsid w:val="34675474"/>
    <w:rsid w:val="35C91817"/>
    <w:rsid w:val="36746EF4"/>
    <w:rsid w:val="367B7722"/>
    <w:rsid w:val="369D1C9E"/>
    <w:rsid w:val="37DE77FC"/>
    <w:rsid w:val="3B6224F2"/>
    <w:rsid w:val="3C37397E"/>
    <w:rsid w:val="3D014F3D"/>
    <w:rsid w:val="40FE2CBD"/>
    <w:rsid w:val="41305C6A"/>
    <w:rsid w:val="416621FE"/>
    <w:rsid w:val="43482915"/>
    <w:rsid w:val="45156B47"/>
    <w:rsid w:val="456A02C0"/>
    <w:rsid w:val="45C62AAE"/>
    <w:rsid w:val="4F1F5F0E"/>
    <w:rsid w:val="50461F8A"/>
    <w:rsid w:val="53B8699F"/>
    <w:rsid w:val="54D97E7F"/>
    <w:rsid w:val="5B5B7B53"/>
    <w:rsid w:val="66CE432D"/>
    <w:rsid w:val="67C27CF0"/>
    <w:rsid w:val="6C535181"/>
    <w:rsid w:val="77DF60E2"/>
    <w:rsid w:val="796D6EA2"/>
    <w:rsid w:val="7BB27E5F"/>
    <w:rsid w:val="7DBD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customStyle="1" w:styleId="5">
    <w:name w:val="单元格样式5"/>
    <w:basedOn w:val="1"/>
    <w:qFormat/>
    <w:uiPriority w:val="0"/>
    <w:rPr>
      <w:rFonts w:ascii="方正书宋_GBK" w:hAnsi="方正书宋_GBK" w:eastAsia="方正书宋_GBK" w:cs="方正书宋_GBK"/>
      <w:b/>
      <w:sz w:val="21"/>
    </w:rPr>
  </w:style>
  <w:style w:type="paragraph" w:customStyle="1" w:styleId="6">
    <w:name w:val="单元格样式4"/>
    <w:basedOn w:val="1"/>
    <w:qFormat/>
    <w:uiPriority w:val="0"/>
    <w:pPr>
      <w:jc w:val="right"/>
    </w:pPr>
    <w:rPr>
      <w:rFonts w:ascii="方正书宋_GBK" w:hAnsi="方正书宋_GBK" w:eastAsia="方正书宋_GBK" w:cs="方正书宋_GBK"/>
      <w:sz w:val="21"/>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2"/>
    <w:basedOn w:val="1"/>
    <w:qFormat/>
    <w:uiPriority w:val="0"/>
    <w:rPr>
      <w:rFonts w:ascii="方正书宋_GBK" w:hAnsi="方正书宋_GBK" w:eastAsia="方正书宋_GBK" w:cs="方正书宋_GBK"/>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9171</Words>
  <Characters>11605</Characters>
  <Lines>0</Lines>
  <Paragraphs>0</Paragraphs>
  <TotalTime>4</TotalTime>
  <ScaleCrop>false</ScaleCrop>
  <LinksUpToDate>false</LinksUpToDate>
  <CharactersWithSpaces>11721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2022-06-24T07:31:00Z</dcterms:created>
  <dc:creator>Administrator</dc:creator>
  <cp:lastModifiedBy>董董</cp:lastModifiedBy>
  <dcterms:modified xsi:type="dcterms:W3CDTF">2024-01-19T01:59:49Z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93667D319AD74AFEBB564B1FD5E83BD5</vt:lpwstr>
  </property>
</Properties>
</file>