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pPr>
      <w:r>
        <w:rPr>
          <w:rFonts w:hint="eastAsia" w:ascii="宋体" w:hAnsi="宋体" w:eastAsia="宋体" w:cs="宋体"/>
          <w:color w:val="000000"/>
          <w:sz w:val="44"/>
          <w:lang w:eastAsia="zh-CN"/>
        </w:rPr>
        <w:t>秦皇岛市山海关区房屋征收</w:t>
      </w:r>
      <w:r>
        <w:rPr>
          <w:rFonts w:hint="eastAsia" w:ascii="宋体" w:hAnsi="宋体" w:eastAsia="宋体" w:cs="宋体"/>
          <w:color w:val="000000"/>
          <w:sz w:val="44"/>
        </w:rPr>
        <w:t>中心202</w:t>
      </w:r>
      <w:r>
        <w:rPr>
          <w:rFonts w:hint="eastAsia" w:ascii="宋体" w:hAnsi="宋体" w:eastAsia="宋体" w:cs="宋体"/>
          <w:color w:val="000000"/>
          <w:sz w:val="44"/>
          <w:lang w:val="en-US" w:eastAsia="zh-CN"/>
        </w:rPr>
        <w:t>1</w:t>
      </w:r>
      <w:r>
        <w:rPr>
          <w:rFonts w:hint="eastAsia" w:ascii="宋体" w:hAnsi="宋体" w:eastAsia="宋体" w:cs="宋体"/>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sz w:val="28"/>
          <w:szCs w:val="28"/>
        </w:rPr>
      </w:pPr>
      <w:r>
        <w:rPr>
          <w:rFonts w:hint="eastAsia" w:ascii="宋体" w:hAnsi="宋体" w:cs="宋体"/>
          <w:color w:val="000000"/>
          <w:sz w:val="28"/>
          <w:szCs w:val="28"/>
        </w:rPr>
        <w:t>按照《中华人民共和国预算法》、《地方预决算公开操作规程》和《关于进一步推进预算公开工作的实施意见》规定，现将</w:t>
      </w:r>
      <w:r>
        <w:rPr>
          <w:rFonts w:hint="eastAsia" w:ascii="宋体" w:hAnsi="宋体" w:cs="宋体"/>
          <w:color w:val="000000"/>
          <w:sz w:val="28"/>
          <w:szCs w:val="28"/>
          <w:lang w:eastAsia="zh-CN"/>
        </w:rPr>
        <w:t>秦皇岛市山海关区房屋征收</w:t>
      </w:r>
      <w:r>
        <w:rPr>
          <w:rFonts w:hint="eastAsia" w:ascii="宋体" w:hAnsi="宋体" w:cs="宋体"/>
          <w:color w:val="000000"/>
          <w:sz w:val="28"/>
          <w:szCs w:val="28"/>
        </w:rPr>
        <w:t>中心</w:t>
      </w:r>
      <w:r>
        <w:rPr>
          <w:rFonts w:ascii="宋体" w:hAnsi="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cs="宋体"/>
          <w:color w:val="000000"/>
          <w:sz w:val="28"/>
          <w:szCs w:val="28"/>
        </w:rPr>
        <w:t>年单位预算公开如下：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0" w:name="_Toc9248"/>
      <w:bookmarkStart w:id="1" w:name="_Toc18889"/>
      <w:bookmarkStart w:id="2" w:name="_Toc31646"/>
      <w:r>
        <w:rPr>
          <w:rFonts w:hint="eastAsia" w:ascii="黑体" w:hAnsi="黑体" w:eastAsia="黑体" w:cs="黑体"/>
          <w:color w:val="000000"/>
          <w:sz w:val="36"/>
          <w:szCs w:val="36"/>
        </w:rPr>
        <w:t>一、单位职责及机构设置情况</w:t>
      </w:r>
      <w:bookmarkEnd w:id="0"/>
      <w:bookmarkEnd w:id="1"/>
      <w:bookmarkEnd w:id="2"/>
      <w:bookmarkStart w:id="46" w:name="_GoBack"/>
      <w:bookmarkEnd w:id="46"/>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outlineLvl w:val="1"/>
        <w:rPr>
          <w:b/>
          <w:bCs w:val="0"/>
          <w:sz w:val="30"/>
          <w:szCs w:val="30"/>
        </w:rPr>
      </w:pPr>
      <w:bookmarkStart w:id="3" w:name="_Toc2393"/>
      <w:bookmarkStart w:id="4" w:name="_Toc21865"/>
      <w:r>
        <w:rPr>
          <w:rFonts w:hint="eastAsia" w:ascii="宋体" w:hAnsi="宋体" w:cs="宋体"/>
          <w:b/>
          <w:bCs w:val="0"/>
          <w:color w:val="000000"/>
          <w:sz w:val="30"/>
          <w:szCs w:val="30"/>
        </w:rPr>
        <w:t>单位职责：</w:t>
      </w:r>
      <w:bookmarkEnd w:id="3"/>
      <w:bookmarkEnd w:id="4"/>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（一）宣传、贯彻执行国家、省、市有关国有土地上房屋征收与补偿法律、法规、规章和规范性文件；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（二）负责牵头拟订我区国有土地上房屋征收与补偿的相关规范性文件及年度征收计划并上报；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（三）负责组织实施本行政区域内国有土地上房屋征收与补偿工作；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（四）负责委托房屋征收实施单位，承担房屋征收与补偿的具体工作，并对委托实施的房屋征收与补偿行为进行监督检查；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（五）拟定房屋征收与补偿方案，报区政府；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（六）组织对房屋征收范围内房屋的权属、区位、用途、建筑面积等情况进行调查登记，并公布调查结果；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（七）通知有关部门暂停办理房屋征收范围内相关手续；</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（八）对征收范围内的房屋进行预评估，组织评估机构的选定或确定工作并依法委托；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（九）依法与被征收人订立补偿协议；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（十）对在签约期限内达不成补偿协议或被征收房屋所有权人不明确的，报请区人民政府作出补偿决定；</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（十一）依法建立房屋征收补偿档案，并将分户补偿情况在房屋征收范围内向被征收人公布；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（十二）负责房屋征收补偿安置资金的计划、申请、使用和管理工作；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（十三）协同相关部门做好房屋征收社会稳定风险评估、未经登记建筑的认定、行政复议、行政诉讼及申请法院强制执行的基础工作；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（十四）建立从业人员的基础信息库，对从业人员进行培训、监督和管理工作；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（十五）完成上级交办的任务。</w:t>
      </w:r>
    </w:p>
    <w:p>
      <w:pPr>
        <w:keepNext w:val="0"/>
        <w:keepLines w:val="0"/>
        <w:pageBreakBefore w:val="0"/>
        <w:widowControl/>
        <w:kinsoku/>
        <w:wordWrap/>
        <w:overflowPunct/>
        <w:topLinePunct w:val="0"/>
        <w:autoSpaceDE/>
        <w:autoSpaceDN/>
        <w:bidi w:val="0"/>
        <w:adjustRightInd/>
        <w:snapToGrid/>
        <w:spacing w:line="360" w:lineRule="auto"/>
        <w:ind w:firstLine="1134"/>
        <w:textAlignment w:val="auto"/>
        <w:outlineLvl w:val="1"/>
        <w:rPr>
          <w:rFonts w:ascii="宋体" w:cs="宋体"/>
          <w:b/>
          <w:bCs w:val="0"/>
          <w:sz w:val="30"/>
          <w:szCs w:val="30"/>
        </w:rPr>
      </w:pPr>
      <w:bookmarkStart w:id="5" w:name="_Toc5845"/>
      <w:bookmarkStart w:id="6" w:name="_Toc9137"/>
      <w:r>
        <w:rPr>
          <w:rFonts w:hint="eastAsia" w:ascii="宋体" w:hAnsi="宋体" w:cs="宋体"/>
          <w:b/>
          <w:bCs w:val="0"/>
          <w:color w:val="000000"/>
          <w:sz w:val="30"/>
          <w:szCs w:val="30"/>
        </w:rPr>
        <w:t>机构设置：</w:t>
      </w:r>
      <w:bookmarkEnd w:id="5"/>
      <w:bookmarkEnd w:id="6"/>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ascii="宋体" w:cs="宋体"/>
          <w:sz w:val="28"/>
          <w:szCs w:val="28"/>
        </w:rPr>
      </w:pPr>
      <w:bookmarkStart w:id="7" w:name="_Toc8318"/>
      <w:bookmarkStart w:id="8" w:name="_Toc19738"/>
      <w:r>
        <w:rPr>
          <w:rFonts w:hint="eastAsia" w:ascii="宋体" w:hAnsi="宋体" w:cs="宋体"/>
          <w:color w:val="000000"/>
          <w:sz w:val="28"/>
          <w:szCs w:val="28"/>
        </w:rPr>
        <w:t>单位机构设置情况</w:t>
      </w:r>
      <w:bookmarkEnd w:id="7"/>
      <w:bookmarkEnd w:id="8"/>
    </w:p>
    <w:tbl>
      <w:tblPr>
        <w:tblStyle w:val="8"/>
        <w:tblpPr w:leftFromText="180" w:rightFromText="180" w:vertAnchor="text" w:horzAnchor="page" w:tblpX="1823" w:tblpY="264"/>
        <w:tblOverlap w:val="never"/>
        <w:tblW w:w="134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0"/>
        <w:gridCol w:w="1770"/>
        <w:gridCol w:w="3075"/>
        <w:gridCol w:w="4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3840" w:type="dxa"/>
            <w:vAlign w:val="center"/>
          </w:tcPr>
          <w:p>
            <w:pPr>
              <w:pStyle w:val="17"/>
              <w:rPr>
                <w:rFonts w:hint="eastAsia" w:ascii="宋体" w:hAnsi="宋体" w:eastAsia="宋体" w:cs="宋体"/>
              </w:rPr>
            </w:pPr>
            <w:r>
              <w:rPr>
                <w:rFonts w:hint="eastAsia" w:ascii="宋体" w:hAnsi="宋体" w:eastAsia="宋体" w:cs="宋体"/>
              </w:rPr>
              <w:t>单位名称</w:t>
            </w:r>
          </w:p>
        </w:tc>
        <w:tc>
          <w:tcPr>
            <w:tcW w:w="1770" w:type="dxa"/>
            <w:vAlign w:val="center"/>
          </w:tcPr>
          <w:p>
            <w:pPr>
              <w:pStyle w:val="17"/>
              <w:rPr>
                <w:rFonts w:hint="eastAsia" w:ascii="宋体" w:hAnsi="宋体" w:eastAsia="宋体" w:cs="宋体"/>
              </w:rPr>
            </w:pPr>
            <w:r>
              <w:rPr>
                <w:rFonts w:hint="eastAsia" w:ascii="宋体" w:hAnsi="宋体" w:eastAsia="宋体" w:cs="宋体"/>
              </w:rPr>
              <w:t>单位性质</w:t>
            </w:r>
          </w:p>
        </w:tc>
        <w:tc>
          <w:tcPr>
            <w:tcW w:w="3075" w:type="dxa"/>
            <w:vAlign w:val="center"/>
          </w:tcPr>
          <w:p>
            <w:pPr>
              <w:pStyle w:val="17"/>
              <w:rPr>
                <w:rFonts w:hint="eastAsia" w:ascii="宋体" w:hAnsi="宋体" w:eastAsia="宋体" w:cs="宋体"/>
              </w:rPr>
            </w:pPr>
            <w:r>
              <w:rPr>
                <w:rFonts w:hint="eastAsia" w:ascii="宋体" w:hAnsi="宋体" w:eastAsia="宋体" w:cs="宋体"/>
              </w:rPr>
              <w:t>单位规格</w:t>
            </w:r>
          </w:p>
        </w:tc>
        <w:tc>
          <w:tcPr>
            <w:tcW w:w="4725" w:type="dxa"/>
            <w:vAlign w:val="center"/>
          </w:tcPr>
          <w:p>
            <w:pPr>
              <w:pStyle w:val="17"/>
              <w:rPr>
                <w:rFonts w:hint="eastAsia" w:ascii="宋体" w:hAnsi="宋体" w:eastAsia="宋体" w:cs="宋体"/>
              </w:rPr>
            </w:pPr>
            <w:r>
              <w:rPr>
                <w:rFonts w:hint="eastAsia" w:ascii="宋体" w:hAnsi="宋体" w:eastAsia="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40" w:type="dxa"/>
            <w:vAlign w:val="center"/>
          </w:tcPr>
          <w:p>
            <w:pPr>
              <w:pStyle w:val="19"/>
              <w:rPr>
                <w:rFonts w:ascii="宋体" w:hAnsi="宋体" w:eastAsia="宋体" w:cs="宋体"/>
                <w:sz w:val="15"/>
                <w:szCs w:val="15"/>
              </w:rPr>
            </w:pP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1770" w:type="dxa"/>
            <w:vAlign w:val="center"/>
          </w:tcPr>
          <w:p>
            <w:pPr>
              <w:pStyle w:val="18"/>
              <w:rPr>
                <w:rFonts w:ascii="宋体" w:hAnsi="宋体" w:eastAsia="宋体" w:cs="宋体"/>
                <w:sz w:val="15"/>
                <w:szCs w:val="15"/>
              </w:rPr>
            </w:pPr>
            <w:r>
              <w:rPr>
                <w:rFonts w:hint="eastAsia" w:ascii="宋体" w:hAnsi="宋体" w:eastAsia="宋体" w:cs="宋体"/>
                <w:sz w:val="15"/>
                <w:szCs w:val="15"/>
              </w:rPr>
              <w:t>事业</w:t>
            </w:r>
          </w:p>
        </w:tc>
        <w:tc>
          <w:tcPr>
            <w:tcW w:w="3075" w:type="dxa"/>
            <w:vAlign w:val="center"/>
          </w:tcPr>
          <w:p>
            <w:pPr>
              <w:pStyle w:val="18"/>
              <w:rPr>
                <w:rFonts w:ascii="宋体" w:hAnsi="宋体" w:eastAsia="宋体" w:cs="宋体"/>
                <w:sz w:val="15"/>
                <w:szCs w:val="15"/>
              </w:rPr>
            </w:pPr>
            <w:r>
              <w:rPr>
                <w:rFonts w:hint="eastAsia" w:ascii="宋体" w:hAnsi="宋体" w:eastAsia="宋体" w:cs="宋体"/>
                <w:sz w:val="15"/>
                <w:szCs w:val="15"/>
              </w:rPr>
              <w:t>正</w:t>
            </w:r>
            <w:r>
              <w:rPr>
                <w:rFonts w:hint="eastAsia" w:ascii="宋体" w:hAnsi="宋体" w:eastAsia="宋体" w:cs="宋体"/>
                <w:sz w:val="15"/>
                <w:szCs w:val="15"/>
                <w:lang w:eastAsia="zh-CN"/>
              </w:rPr>
              <w:t>科</w:t>
            </w:r>
            <w:r>
              <w:rPr>
                <w:rFonts w:hint="eastAsia" w:ascii="宋体" w:hAnsi="宋体" w:eastAsia="宋体" w:cs="宋体"/>
                <w:sz w:val="15"/>
                <w:szCs w:val="15"/>
              </w:rPr>
              <w:t>级</w:t>
            </w:r>
          </w:p>
        </w:tc>
        <w:tc>
          <w:tcPr>
            <w:tcW w:w="4725" w:type="dxa"/>
            <w:vAlign w:val="center"/>
          </w:tcPr>
          <w:p>
            <w:pPr>
              <w:pStyle w:val="18"/>
              <w:jc w:val="left"/>
              <w:rPr>
                <w:rFonts w:ascii="宋体" w:hAnsi="宋体" w:eastAsia="宋体" w:cs="宋体"/>
                <w:sz w:val="15"/>
                <w:szCs w:val="15"/>
                <w:lang w:eastAsia="zh-CN"/>
              </w:rPr>
            </w:pPr>
            <w:r>
              <w:rPr>
                <w:rFonts w:ascii="宋体" w:hAnsi="宋体" w:eastAsia="宋体" w:cs="宋体"/>
                <w:sz w:val="15"/>
                <w:szCs w:val="15"/>
                <w:lang w:eastAsia="zh-CN"/>
              </w:rPr>
              <w:t xml:space="preserve">                  </w:t>
            </w:r>
            <w:r>
              <w:rPr>
                <w:rFonts w:hint="eastAsia" w:ascii="宋体" w:hAnsi="宋体" w:eastAsia="宋体" w:cs="宋体"/>
                <w:sz w:val="15"/>
                <w:szCs w:val="15"/>
                <w:lang w:eastAsia="zh-CN"/>
              </w:rPr>
              <w:t>零补助</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9" w:name="_Toc17888"/>
      <w:bookmarkStart w:id="10" w:name="_Toc13340"/>
      <w:bookmarkStart w:id="11" w:name="_Toc456"/>
      <w:r>
        <w:rPr>
          <w:rFonts w:hint="eastAsia" w:ascii="黑体" w:hAnsi="黑体" w:eastAsia="黑体" w:cs="黑体"/>
          <w:color w:val="000000"/>
          <w:sz w:val="36"/>
          <w:szCs w:val="36"/>
        </w:rPr>
        <w:t>二、单位预算安排的总体情况</w:t>
      </w:r>
      <w:bookmarkEnd w:id="9"/>
      <w:bookmarkEnd w:id="10"/>
      <w:bookmarkEnd w:id="11"/>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按照预算管理有关规定，目前我单位预算的编制实行综合预算管理，即全部收入和支出都反映在预算中。</w:t>
      </w:r>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bookmarkStart w:id="12" w:name="_Toc25929"/>
      <w:bookmarkStart w:id="13" w:name="_Toc10046"/>
      <w:r>
        <w:rPr>
          <w:rFonts w:hint="eastAsia" w:ascii="宋体" w:hAnsi="宋体" w:eastAsia="宋体" w:cs="宋体"/>
          <w:sz w:val="28"/>
          <w:szCs w:val="28"/>
        </w:rPr>
        <w:t>1、收入说明</w:t>
      </w:r>
      <w:bookmarkEnd w:id="12"/>
      <w:bookmarkEnd w:id="13"/>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中心预算收入的总体情况。202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年预算收入</w:t>
      </w:r>
      <w:r>
        <w:rPr>
          <w:rFonts w:hint="eastAsia" w:ascii="宋体" w:hAnsi="宋体" w:eastAsia="宋体" w:cs="宋体"/>
          <w:sz w:val="28"/>
          <w:szCs w:val="28"/>
          <w:lang w:val="en-US" w:eastAsia="zh-CN"/>
        </w:rPr>
        <w:t>208.14</w:t>
      </w:r>
      <w:r>
        <w:rPr>
          <w:rFonts w:hint="eastAsia" w:ascii="宋体" w:hAnsi="宋体" w:eastAsia="宋体" w:cs="宋体"/>
          <w:sz w:val="28"/>
          <w:szCs w:val="28"/>
        </w:rPr>
        <w:t>万元，其中：一般公共预算收入</w:t>
      </w:r>
      <w:r>
        <w:rPr>
          <w:rFonts w:hint="eastAsia" w:ascii="宋体" w:hAnsi="宋体" w:eastAsia="宋体" w:cs="宋体"/>
          <w:sz w:val="28"/>
          <w:szCs w:val="28"/>
          <w:lang w:val="en-US" w:eastAsia="zh-CN"/>
        </w:rPr>
        <w:t>208.14</w:t>
      </w:r>
      <w:r>
        <w:rPr>
          <w:rFonts w:hint="eastAsia" w:ascii="宋体" w:hAnsi="宋体" w:eastAsia="宋体" w:cs="宋体"/>
          <w:sz w:val="28"/>
          <w:szCs w:val="28"/>
        </w:rPr>
        <w:t>万元，基金预算收入0.00万元，财政专户核拨收入0.00万元，其他来源收入0.00万元。</w:t>
      </w:r>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bookmarkStart w:id="14" w:name="_Toc14686"/>
      <w:bookmarkStart w:id="15" w:name="_Toc1216"/>
      <w:r>
        <w:rPr>
          <w:rFonts w:hint="eastAsia" w:ascii="宋体" w:hAnsi="宋体" w:eastAsia="宋体" w:cs="宋体"/>
          <w:sz w:val="28"/>
          <w:szCs w:val="28"/>
        </w:rPr>
        <w:t>2、支出说明</w:t>
      </w:r>
      <w:bookmarkEnd w:id="14"/>
      <w:bookmarkEnd w:id="15"/>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中心预算支出的总体情况。202</w:t>
      </w:r>
      <w:r>
        <w:rPr>
          <w:rFonts w:hint="eastAsia" w:ascii="宋体" w:hAnsi="宋体" w:eastAsia="宋体" w:cs="宋体"/>
          <w:sz w:val="28"/>
          <w:szCs w:val="28"/>
          <w:lang w:val="en-US" w:eastAsia="zh-CN"/>
        </w:rPr>
        <w:t>1</w:t>
      </w:r>
      <w:r>
        <w:rPr>
          <w:rFonts w:hint="eastAsia" w:ascii="宋体" w:hAnsi="宋体" w:eastAsia="宋体" w:cs="宋体"/>
          <w:sz w:val="28"/>
          <w:szCs w:val="28"/>
        </w:rPr>
        <w:t>年支出预算</w:t>
      </w:r>
      <w:r>
        <w:rPr>
          <w:rFonts w:hint="eastAsia" w:ascii="宋体" w:hAnsi="宋体" w:eastAsia="宋体" w:cs="宋体"/>
          <w:sz w:val="28"/>
          <w:szCs w:val="28"/>
          <w:lang w:val="en-US" w:eastAsia="zh-CN"/>
        </w:rPr>
        <w:t>208.14</w:t>
      </w:r>
      <w:r>
        <w:rPr>
          <w:rFonts w:hint="eastAsia" w:ascii="宋体" w:hAnsi="宋体" w:eastAsia="宋体" w:cs="宋体"/>
          <w:sz w:val="28"/>
          <w:szCs w:val="28"/>
        </w:rPr>
        <w:t>万元，其中:基本支出0.00万元，包括人员经费0.00万元和日常公用经费0.00万元；项目城乡社区支出</w:t>
      </w:r>
      <w:r>
        <w:rPr>
          <w:rFonts w:hint="eastAsia" w:ascii="宋体" w:hAnsi="宋体" w:eastAsia="宋体" w:cs="宋体"/>
          <w:sz w:val="28"/>
          <w:szCs w:val="28"/>
          <w:lang w:val="en-US" w:eastAsia="zh-CN"/>
        </w:rPr>
        <w:t>208.14</w:t>
      </w:r>
      <w:r>
        <w:rPr>
          <w:rFonts w:hint="eastAsia" w:ascii="宋体" w:hAnsi="宋体" w:eastAsia="宋体" w:cs="宋体"/>
          <w:sz w:val="28"/>
          <w:szCs w:val="28"/>
        </w:rPr>
        <w:t>万元。</w:t>
      </w:r>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bookmarkStart w:id="16" w:name="_Toc31063"/>
      <w:bookmarkStart w:id="17" w:name="_Toc17223"/>
      <w:r>
        <w:rPr>
          <w:rFonts w:hint="eastAsia" w:ascii="宋体" w:hAnsi="宋体" w:eastAsia="宋体" w:cs="宋体"/>
          <w:sz w:val="28"/>
          <w:szCs w:val="28"/>
        </w:rPr>
        <w:t>3、比上年增减情况</w:t>
      </w:r>
      <w:bookmarkEnd w:id="16"/>
      <w:bookmarkEnd w:id="17"/>
    </w:p>
    <w:p>
      <w:pPr>
        <w:pStyle w:val="2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年预算收支安排</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08.14</w:t>
      </w:r>
      <w:r>
        <w:rPr>
          <w:rFonts w:hint="eastAsia" w:ascii="宋体" w:hAnsi="宋体" w:eastAsia="宋体" w:cs="宋体"/>
          <w:sz w:val="28"/>
          <w:szCs w:val="28"/>
        </w:rPr>
        <w:t>万元，较202</w:t>
      </w:r>
      <w:r>
        <w:rPr>
          <w:rFonts w:hint="eastAsia" w:ascii="宋体" w:hAnsi="宋体" w:eastAsia="宋体" w:cs="宋体"/>
          <w:sz w:val="28"/>
          <w:szCs w:val="28"/>
          <w:lang w:val="en-US" w:eastAsia="zh-CN"/>
        </w:rPr>
        <w:t>0</w:t>
      </w:r>
      <w:r>
        <w:rPr>
          <w:rFonts w:hint="eastAsia" w:ascii="宋体" w:hAnsi="宋体" w:eastAsia="宋体" w:cs="宋体"/>
          <w:sz w:val="28"/>
          <w:szCs w:val="28"/>
        </w:rPr>
        <w:t>年预算</w:t>
      </w:r>
      <w:r>
        <w:rPr>
          <w:rFonts w:hint="eastAsia" w:ascii="宋体" w:hAnsi="宋体" w:eastAsia="宋体" w:cs="宋体"/>
          <w:sz w:val="28"/>
          <w:szCs w:val="28"/>
          <w:lang w:val="en-US" w:eastAsia="zh-CN"/>
        </w:rPr>
        <w:t>减少</w:t>
      </w:r>
      <w:r>
        <w:rPr>
          <w:rFonts w:hint="eastAsia" w:ascii="宋体" w:hAnsi="宋体" w:eastAsia="宋体" w:cs="宋体"/>
          <w:sz w:val="28"/>
          <w:szCs w:val="28"/>
          <w:lang w:eastAsia="zh-CN"/>
        </w:rPr>
        <w:t>了</w:t>
      </w:r>
      <w:r>
        <w:rPr>
          <w:rFonts w:hint="eastAsia" w:ascii="宋体" w:hAnsi="宋体" w:eastAsia="宋体" w:cs="宋体"/>
          <w:sz w:val="28"/>
          <w:szCs w:val="28"/>
          <w:lang w:val="en-US" w:eastAsia="zh-CN"/>
        </w:rPr>
        <w:t>3.16</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减少</w:t>
      </w:r>
      <w:r>
        <w:rPr>
          <w:rFonts w:hint="eastAsia" w:ascii="宋体" w:hAnsi="宋体" w:eastAsia="宋体" w:cs="宋体"/>
          <w:sz w:val="28"/>
          <w:szCs w:val="28"/>
        </w:rPr>
        <w:t>0.00万元；项目支出</w:t>
      </w:r>
      <w:r>
        <w:rPr>
          <w:rFonts w:hint="eastAsia" w:ascii="宋体" w:hAnsi="宋体" w:eastAsia="宋体" w:cs="宋体"/>
          <w:sz w:val="28"/>
          <w:szCs w:val="28"/>
          <w:lang w:val="en-US" w:eastAsia="zh-CN"/>
        </w:rPr>
        <w:t>减少3.16</w:t>
      </w:r>
      <w:r>
        <w:rPr>
          <w:rFonts w:hint="eastAsia" w:ascii="宋体" w:hAnsi="宋体" w:eastAsia="宋体" w:cs="宋体"/>
          <w:sz w:val="28"/>
          <w:szCs w:val="28"/>
        </w:rPr>
        <w:t>万元，主要</w:t>
      </w:r>
      <w:r>
        <w:rPr>
          <w:rFonts w:hint="eastAsia" w:ascii="宋体" w:hAnsi="宋体" w:eastAsia="宋体" w:cs="宋体"/>
          <w:sz w:val="28"/>
          <w:szCs w:val="28"/>
          <w:lang w:val="en-US" w:eastAsia="zh-CN"/>
        </w:rPr>
        <w:t>因</w:t>
      </w:r>
      <w:r>
        <w:rPr>
          <w:rFonts w:hint="eastAsia" w:ascii="宋体" w:hAnsi="宋体" w:eastAsia="宋体" w:cs="宋体"/>
          <w:sz w:val="28"/>
          <w:szCs w:val="28"/>
        </w:rPr>
        <w:t>为本单位</w:t>
      </w:r>
      <w:r>
        <w:rPr>
          <w:rFonts w:hint="eastAsia" w:ascii="宋体" w:hAnsi="宋体" w:eastAsia="宋体" w:cs="宋体"/>
          <w:sz w:val="28"/>
          <w:szCs w:val="28"/>
          <w:lang w:eastAsia="zh-CN"/>
        </w:rPr>
        <w:t>项目支出用于发放人员工资和保险，202</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年我单位</w:t>
      </w:r>
      <w:r>
        <w:rPr>
          <w:rFonts w:hint="eastAsia" w:ascii="宋体" w:hAnsi="宋体" w:eastAsia="宋体" w:cs="宋体"/>
          <w:sz w:val="28"/>
          <w:szCs w:val="28"/>
          <w:lang w:val="en-US" w:eastAsia="zh-CN"/>
        </w:rPr>
        <w:t>调出</w:t>
      </w:r>
      <w:r>
        <w:rPr>
          <w:rFonts w:hint="eastAsia" w:ascii="宋体" w:hAnsi="宋体" w:eastAsia="宋体" w:cs="宋体"/>
          <w:sz w:val="28"/>
          <w:szCs w:val="28"/>
          <w:lang w:eastAsia="zh-CN"/>
        </w:rPr>
        <w:t>一人</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18" w:name="_Toc32365"/>
      <w:bookmarkStart w:id="19" w:name="_Toc19776"/>
      <w:bookmarkStart w:id="20" w:name="_Toc25740"/>
      <w:r>
        <w:rPr>
          <w:rFonts w:hint="eastAsia" w:ascii="黑体" w:hAnsi="黑体" w:eastAsia="黑体" w:cs="黑体"/>
          <w:color w:val="000000"/>
          <w:sz w:val="36"/>
          <w:szCs w:val="36"/>
        </w:rPr>
        <w:t>三、机关运行经费安排情况</w:t>
      </w:r>
      <w:bookmarkEnd w:id="18"/>
      <w:bookmarkEnd w:id="19"/>
      <w:bookmarkEnd w:id="20"/>
    </w:p>
    <w:p>
      <w:pPr>
        <w:pStyle w:val="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lang w:eastAsia="zh-CN"/>
        </w:rPr>
      </w:pPr>
      <w:r>
        <w:rPr>
          <w:rFonts w:hint="eastAsia" w:ascii="宋体" w:hAnsi="宋体" w:eastAsia="宋体" w:cs="宋体"/>
        </w:rPr>
        <w:t>202</w:t>
      </w:r>
      <w:r>
        <w:rPr>
          <w:rFonts w:hint="eastAsia" w:ascii="宋体" w:hAnsi="宋体" w:eastAsia="宋体" w:cs="宋体"/>
          <w:lang w:val="en-US" w:eastAsia="zh-CN"/>
        </w:rPr>
        <w:t>1</w:t>
      </w:r>
      <w:r>
        <w:rPr>
          <w:rFonts w:hint="eastAsia" w:ascii="宋体" w:hAnsi="宋体" w:eastAsia="宋体" w:cs="宋体"/>
        </w:rPr>
        <w:t>年，我单位运行经费</w:t>
      </w:r>
      <w:r>
        <w:rPr>
          <w:rFonts w:hint="eastAsia" w:ascii="宋体" w:hAnsi="宋体" w:eastAsia="宋体" w:cs="宋体"/>
          <w:lang w:eastAsia="zh-CN"/>
        </w:rPr>
        <w:t>预算共计</w:t>
      </w:r>
      <w:r>
        <w:rPr>
          <w:rFonts w:hint="eastAsia" w:ascii="宋体" w:hAnsi="宋体" w:eastAsia="宋体" w:cs="宋体"/>
        </w:rPr>
        <w:t>安排</w:t>
      </w:r>
      <w:r>
        <w:rPr>
          <w:rFonts w:hint="eastAsia" w:ascii="宋体" w:hAnsi="宋体" w:eastAsia="宋体" w:cs="宋体"/>
          <w:lang w:eastAsia="zh-CN"/>
        </w:rPr>
        <w:t>0.00万元，与202</w:t>
      </w:r>
      <w:r>
        <w:rPr>
          <w:rFonts w:hint="eastAsia" w:ascii="宋体" w:hAnsi="宋体" w:eastAsia="宋体" w:cs="宋体"/>
          <w:lang w:val="en-US" w:eastAsia="zh-CN"/>
        </w:rPr>
        <w:t>0</w:t>
      </w:r>
      <w:r>
        <w:rPr>
          <w:rFonts w:hint="eastAsia" w:ascii="宋体" w:hAnsi="宋体" w:eastAsia="宋体" w:cs="宋体"/>
          <w:lang w:eastAsia="zh-CN"/>
        </w:rPr>
        <w:t>年相比持平，无增减变化。其中:办公及印刷费0.00万元，邮电费0.00万元，差旅费0.00万元，会议费0.00万元，福利费0.00万元，日常维修费0.00万元，专用材料及一般设备购置费0.00万元，办公用房水电费0.00万元，办公用房取暖费0.00万元，办公用房物业管理费0.00万元，公务用车运行维护费以及其他费用0.00万元</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21" w:name="_Toc20228"/>
      <w:bookmarkStart w:id="22" w:name="_Toc26636"/>
      <w:bookmarkStart w:id="23" w:name="_Toc18855"/>
      <w:r>
        <w:rPr>
          <w:rFonts w:hint="eastAsia" w:ascii="黑体" w:hAnsi="黑体" w:eastAsia="黑体" w:cs="黑体"/>
          <w:color w:val="000000"/>
          <w:sz w:val="36"/>
          <w:szCs w:val="36"/>
        </w:rPr>
        <w:t>四、财政拨款“三公”经费预算情况及增减变化原因</w:t>
      </w:r>
      <w:bookmarkEnd w:id="21"/>
      <w:bookmarkEnd w:id="22"/>
      <w:bookmarkEnd w:id="23"/>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1</w:t>
      </w:r>
      <w:r>
        <w:rPr>
          <w:rFonts w:hint="eastAsia" w:ascii="宋体" w:hAnsi="宋体" w:eastAsia="宋体" w:cs="宋体"/>
        </w:rPr>
        <w:t>年，我单位财政拨款“三公”经费预算安排0.00万元，与202</w:t>
      </w:r>
      <w:r>
        <w:rPr>
          <w:rFonts w:hint="eastAsia" w:ascii="宋体" w:hAnsi="宋体" w:eastAsia="宋体" w:cs="宋体"/>
          <w:lang w:val="en-US" w:eastAsia="zh-CN"/>
        </w:rPr>
        <w:t>0</w:t>
      </w:r>
      <w:r>
        <w:rPr>
          <w:rFonts w:hint="eastAsia" w:ascii="宋体" w:hAnsi="宋体" w:eastAsia="宋体" w:cs="宋体"/>
        </w:rPr>
        <w:t>年相比持平，无增减变化。其中:因公出国（境）费0.00万元，公务用车购置费0.00万元，公务用车运行维护费0.00万元，公务接待费0.00万元，会议费0.00万元，培训费0.00万元。</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rFonts w:ascii="黑体" w:hAnsi="黑体" w:eastAsia="黑体" w:cs="黑体"/>
          <w:color w:val="000000"/>
          <w:sz w:val="36"/>
          <w:szCs w:val="36"/>
          <w:lang w:eastAsia="zh-CN"/>
        </w:rPr>
      </w:pPr>
      <w:bookmarkStart w:id="24" w:name="_Toc1396"/>
      <w:bookmarkStart w:id="25" w:name="_Toc4404"/>
      <w:bookmarkStart w:id="26" w:name="_Toc7221"/>
      <w:r>
        <w:rPr>
          <w:rFonts w:hint="eastAsia" w:ascii="黑体" w:hAnsi="黑体" w:eastAsia="黑体" w:cs="黑体"/>
          <w:color w:val="000000"/>
          <w:sz w:val="36"/>
          <w:szCs w:val="36"/>
        </w:rPr>
        <w:t>五、预算绩效信息</w:t>
      </w:r>
      <w:bookmarkEnd w:id="24"/>
      <w:bookmarkEnd w:id="25"/>
      <w:bookmarkEnd w:id="26"/>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000000"/>
          <w:sz w:val="30"/>
          <w:szCs w:val="30"/>
          <w:lang w:val="en-US" w:eastAsia="zh-CN"/>
        </w:rPr>
      </w:pPr>
      <w:bookmarkStart w:id="27" w:name="_Toc_4_4_0000000052"/>
      <w:r>
        <w:rPr>
          <w:rFonts w:hint="eastAsia" w:ascii="宋体" w:hAnsi="宋体" w:eastAsia="宋体" w:cs="宋体"/>
          <w:b/>
          <w:bCs/>
          <w:color w:val="000000"/>
          <w:sz w:val="30"/>
          <w:szCs w:val="30"/>
          <w:lang w:val="en-US" w:eastAsia="zh-CN"/>
        </w:rPr>
        <w:t>第一部分  整体绩效目标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（一）总体绩效目标</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1、保障人员工资和保险经费支出</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宋体" w:hAnsi="宋体" w:eastAsia="宋体" w:cs="宋体"/>
          <w:lang w:val="en-US" w:eastAsia="zh-CN"/>
        </w:rPr>
        <w:t>2、保障本单位工作顺利进行</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（二）分项绩效目标</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default" w:ascii="宋体" w:hAnsi="宋体" w:eastAsia="宋体" w:cs="宋体"/>
          <w:lang w:val="en-US" w:eastAsia="zh-CN"/>
        </w:rPr>
        <w:t>1</w:t>
      </w:r>
      <w:r>
        <w:rPr>
          <w:rFonts w:hint="eastAsia" w:ascii="宋体" w:hAnsi="宋体" w:eastAsia="宋体" w:cs="宋体"/>
          <w:lang w:val="en-US" w:eastAsia="zh-CN"/>
        </w:rPr>
        <w:t>、资金支付及时率</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绩效目标：确保工资和保险及时发放。</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绩效指标：单位职工17人，每月30号之前工资和保险准时发放到位，及时率达到100%。</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2、控制在预算资金内</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绩效目标：使用资金小于或等于年初预算。</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绩效指标：每月严格按照年初预算发放工资，工资表认真审核，杜绝年初预算超支情况，控制率100%。</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3、业务工作稳定性</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绩效目标：通过日常工作稳定运转</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绩效指标：每日检查职工到岗情况，进行到岗签到打卡，无法准时到岗会向相关领导说明原因，准时到岗率98%以上。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（三）工作保障措施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lang w:val="en-US" w:eastAsia="zh-CN"/>
        </w:rPr>
      </w:pPr>
      <w:r>
        <w:rPr>
          <w:rFonts w:hint="eastAsia" w:ascii="宋体" w:hAnsi="宋体" w:cs="宋体"/>
          <w:color w:val="000000"/>
          <w:sz w:val="28"/>
          <w:lang w:val="en-US" w:eastAsia="zh-CN"/>
        </w:rPr>
        <w:t>1、完善制度建设。制定《秦皇岛市山海关区房屋征收中心预算绩效管理制度》，细化《秦皇岛市山海关区房屋征收中心内控手册》内容，为全年预算绩效目标奠定制度基础。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lang w:val="en-US" w:eastAsia="zh-CN"/>
        </w:rPr>
      </w:pPr>
      <w:r>
        <w:rPr>
          <w:rFonts w:hint="eastAsia" w:ascii="宋体" w:hAnsi="宋体" w:cs="宋体"/>
          <w:color w:val="000000"/>
          <w:sz w:val="28"/>
          <w:lang w:val="en-US" w:eastAsia="zh-CN"/>
        </w:rPr>
        <w:t>2、加强支出管理。对预算支出加强管理，通过精编细编预算，将预算资金落实到具体责任科室，确保按制度支出。同时，做好支出保障工作，加快履行政府采购程序，及时支付资金。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3、加强绩效运行监控。开展绩效运行监控，发现问题及时采取措施，确保绩效目标如期保质实现。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4、做好绩效自评。按要求开展上年度预算绩效自评和重点评价工作，对评价中发现的问题及时整改，调整优化支出结构，提高财政资金使用效益。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5、规范财务资产管理。完善财务管理制度，严格审批程序，加强固定资产登记、使用和报废处置管理做到支出合理，物尽其用。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6、加强内部监督。加强内控建设，对绩效运行情况。重大支出决策、对外投资、资产处置及其他重要经济业务事项决策和执行进行监督，对会计资料定期进行内部审计，并配合做好审计、巡查等各项工作，确保资金安全有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黑体" w:hAnsi="黑体" w:eastAsia="黑体" w:cs="黑体"/>
          <w:color w:val="000000"/>
          <w:sz w:val="32"/>
          <w:szCs w:val="32"/>
          <w:lang w:val="en-US" w:eastAsia="zh-CN"/>
        </w:rPr>
      </w:pPr>
      <w:r>
        <w:rPr>
          <w:rFonts w:hint="eastAsia" w:ascii="宋体" w:hAnsi="宋体" w:cs="宋体"/>
          <w:color w:val="000000"/>
          <w:sz w:val="28"/>
          <w:lang w:val="en-US" w:eastAsia="zh-CN"/>
        </w:rPr>
        <w:t>7、加强宣传培训调研。加强人员培训，提高本单位职工业务素质；加强调研，提出优化财政资金配置、提高资金使用效益的意见；加大宣传力度，强化预算绩效管理意识，促进预算绩效管理水平进一步提升。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outlineLvl w:val="3"/>
        <w:rPr>
          <w:rFonts w:hint="eastAsia"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第二部分  资金效益目标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3"/>
        <w:rPr>
          <w:rFonts w:hint="eastAsia" w:ascii="方正书宋_GBK" w:hAnsi="方正书宋_GBK" w:eastAsia="宋体" w:cs="方正书宋_GBK"/>
          <w:sz w:val="15"/>
          <w:szCs w:val="15"/>
          <w:lang w:val="en-US" w:eastAsia="zh-CN"/>
        </w:rPr>
      </w:pPr>
      <w:r>
        <w:rPr>
          <w:rFonts w:hint="eastAsia" w:ascii="宋体" w:hAnsi="宋体" w:cs="宋体"/>
          <w:color w:val="000000"/>
          <w:sz w:val="32"/>
          <w:szCs w:val="32"/>
        </w:rPr>
        <w:t>专项补助绩效目标表</w:t>
      </w:r>
      <w:bookmarkEnd w:id="27"/>
    </w:p>
    <w:p>
      <w:pPr>
        <w:ind w:firstLine="2550" w:firstLineChars="1700"/>
        <w:outlineLvl w:val="3"/>
        <w:rPr>
          <w:rFonts w:hint="eastAsia"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rPr>
        <w:t>秦皇岛市山海关区房屋征收中心</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 xml:space="preserve">        </w:t>
      </w:r>
      <w:r>
        <w:rPr>
          <w:rFonts w:hint="eastAsia" w:ascii="宋体" w:hAnsi="宋体" w:eastAsia="宋体" w:cs="宋体"/>
          <w:sz w:val="15"/>
          <w:szCs w:val="15"/>
          <w:lang w:eastAsia="zh-CN"/>
        </w:rPr>
        <w:t xml:space="preserve">                                    </w:t>
      </w:r>
      <w:r>
        <w:rPr>
          <w:rFonts w:hint="eastAsia" w:ascii="宋体" w:hAnsi="宋体" w:cs="宋体"/>
          <w:sz w:val="15"/>
          <w:szCs w:val="15"/>
          <w:lang w:val="en-US" w:eastAsia="zh-CN"/>
        </w:rPr>
        <w:t xml:space="preserve">                                   </w:t>
      </w:r>
      <w:r>
        <w:rPr>
          <w:rFonts w:hint="eastAsia" w:ascii="宋体" w:hAnsi="宋体" w:eastAsia="宋体" w:cs="宋体"/>
          <w:sz w:val="15"/>
          <w:szCs w:val="15"/>
        </w:rPr>
        <w:t>单位：万元</w:t>
      </w:r>
    </w:p>
    <w:tbl>
      <w:tblPr>
        <w:tblStyle w:val="8"/>
        <w:tblW w:w="0" w:type="auto"/>
        <w:jc w:val="center"/>
        <w:tblLayout w:type="fixed"/>
        <w:tblCellMar>
          <w:top w:w="0" w:type="dxa"/>
          <w:left w:w="108" w:type="dxa"/>
          <w:bottom w:w="0" w:type="dxa"/>
          <w:right w:w="108" w:type="dxa"/>
        </w:tblCellMar>
      </w:tblPr>
      <w:tblGrid>
        <w:gridCol w:w="1276"/>
        <w:gridCol w:w="1276"/>
        <w:gridCol w:w="1332"/>
        <w:gridCol w:w="1587"/>
        <w:gridCol w:w="1304"/>
        <w:gridCol w:w="1907"/>
        <w:gridCol w:w="1212"/>
      </w:tblGrid>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项目编码</w:t>
            </w: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ascii="宋体" w:hAnsi="宋体" w:cs="宋体"/>
                <w:sz w:val="15"/>
                <w:szCs w:val="15"/>
              </w:rPr>
              <w:t>1303032</w:t>
            </w:r>
            <w:r>
              <w:rPr>
                <w:rFonts w:hint="eastAsia" w:ascii="宋体" w:hAnsi="宋体" w:cs="宋体"/>
                <w:sz w:val="15"/>
                <w:szCs w:val="15"/>
                <w:lang w:val="en-US" w:eastAsia="zh-CN"/>
              </w:rPr>
              <w:t>1NVPDKGXM90M3V</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项目名称</w:t>
            </w:r>
          </w:p>
        </w:tc>
        <w:tc>
          <w:tcPr>
            <w:tcW w:w="4423"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专项补助</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预算规模及资金用途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预算数</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hint="eastAsia" w:ascii="宋体" w:hAnsi="宋体" w:cs="宋体"/>
                <w:sz w:val="15"/>
                <w:szCs w:val="15"/>
                <w:lang w:val="en-US" w:eastAsia="zh-CN"/>
              </w:rPr>
              <w:t>208.14</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hint="eastAsia" w:ascii="宋体" w:hAnsi="宋体" w:cs="宋体"/>
                <w:sz w:val="15"/>
                <w:szCs w:val="15"/>
                <w:lang w:val="en-US" w:eastAsia="zh-CN"/>
              </w:rPr>
              <w:t>208.14</w:t>
            </w:r>
          </w:p>
        </w:tc>
        <w:tc>
          <w:tcPr>
            <w:tcW w:w="19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其他资金</w:t>
            </w: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ascii="宋体" w:hAnsi="宋体" w:cs="宋体"/>
                <w:sz w:val="15"/>
                <w:szCs w:val="15"/>
              </w:rP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861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职工工资和保险的支出</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cs="宋体"/>
                <w:color w:val="000000"/>
                <w:sz w:val="15"/>
                <w:szCs w:val="15"/>
              </w:rPr>
            </w:pPr>
            <w:r>
              <w:rPr>
                <w:rFonts w:hint="eastAsia" w:ascii="宋体" w:hAnsi="宋体" w:cs="宋体"/>
                <w:b/>
                <w:bCs/>
                <w:sz w:val="15"/>
                <w:szCs w:val="15"/>
              </w:rPr>
              <w:t>资金支出计划（</w:t>
            </w:r>
            <w:r>
              <w:rPr>
                <w:rFonts w:ascii="宋体" w:hAnsi="宋体" w:cs="宋体"/>
                <w:b/>
                <w:bCs/>
                <w:sz w:val="15"/>
                <w:szCs w:val="15"/>
              </w:rPr>
              <w:t>%</w:t>
            </w:r>
            <w:r>
              <w:rPr>
                <w:rFonts w:hint="eastAsia" w:ascii="宋体" w:hAnsi="宋体" w:cs="宋体"/>
                <w:b/>
                <w:bCs/>
                <w:sz w:val="15"/>
                <w:szCs w:val="15"/>
              </w:rPr>
              <w:t>）</w:t>
            </w: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3</w:t>
            </w:r>
            <w:r>
              <w:rPr>
                <w:rFonts w:hint="eastAsia" w:ascii="宋体" w:hAnsi="宋体" w:cs="宋体"/>
                <w:b/>
                <w:bCs/>
                <w:sz w:val="15"/>
                <w:szCs w:val="15"/>
              </w:rPr>
              <w:t>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6</w:t>
            </w:r>
            <w:r>
              <w:rPr>
                <w:rFonts w:hint="eastAsia" w:ascii="宋体" w:hAnsi="宋体" w:cs="宋体"/>
                <w:b/>
                <w:bCs/>
                <w:sz w:val="15"/>
                <w:szCs w:val="15"/>
              </w:rPr>
              <w:t>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10</w:t>
            </w:r>
            <w:r>
              <w:rPr>
                <w:rFonts w:hint="eastAsia" w:ascii="宋体" w:hAnsi="宋体" w:cs="宋体"/>
                <w:b/>
                <w:bCs/>
                <w:sz w:val="15"/>
                <w:szCs w:val="15"/>
              </w:rPr>
              <w:t>月底</w:t>
            </w:r>
          </w:p>
        </w:tc>
        <w:tc>
          <w:tcPr>
            <w:tcW w:w="311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12</w:t>
            </w:r>
            <w:r>
              <w:rPr>
                <w:rFonts w:hint="eastAsia" w:ascii="宋体" w:hAnsi="宋体" w:cs="宋体"/>
                <w:b/>
                <w:bCs/>
                <w:sz w:val="15"/>
                <w:szCs w:val="15"/>
              </w:rPr>
              <w:t>月底</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20%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53%</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75%</w:t>
            </w:r>
          </w:p>
        </w:tc>
        <w:tc>
          <w:tcPr>
            <w:tcW w:w="311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100%</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绩效目标</w:t>
            </w:r>
          </w:p>
        </w:tc>
        <w:tc>
          <w:tcPr>
            <w:tcW w:w="8618" w:type="dxa"/>
            <w:gridSpan w:val="6"/>
            <w:tcBorders>
              <w:top w:val="single" w:color="000000" w:sz="6" w:space="0"/>
              <w:left w:val="single" w:color="000000" w:sz="6" w:space="0"/>
              <w:bottom w:val="single" w:color="FFFFFF"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w:t>
            </w:r>
            <w:r>
              <w:rPr>
                <w:rFonts w:hint="eastAsia" w:ascii="宋体" w:hAnsi="宋体" w:cs="宋体"/>
                <w:sz w:val="15"/>
                <w:szCs w:val="15"/>
              </w:rPr>
              <w:t>保障各项人员工资、保险等经费支出</w:t>
            </w:r>
          </w:p>
        </w:tc>
      </w:tr>
    </w:tbl>
    <w:p>
      <w:pPr>
        <w:spacing w:line="2" w:lineRule="exact"/>
        <w:jc w:val="center"/>
        <w:rPr>
          <w:rFonts w:ascii="宋体" w:cs="宋体"/>
          <w:color w:val="000000"/>
          <w:sz w:val="15"/>
          <w:szCs w:val="15"/>
        </w:rPr>
      </w:pPr>
      <w:r>
        <w:rPr>
          <w:rFonts w:ascii="宋体" w:hAnsi="宋体" w:cs="宋体"/>
          <w:color w:val="000000"/>
          <w:sz w:val="15"/>
          <w:szCs w:val="15"/>
        </w:rPr>
        <w:t xml:space="preserve"> </w:t>
      </w:r>
    </w:p>
    <w:tbl>
      <w:tblPr>
        <w:tblStyle w:val="8"/>
        <w:tblW w:w="0" w:type="auto"/>
        <w:jc w:val="center"/>
        <w:tblLayout w:type="fixed"/>
        <w:tblCellMar>
          <w:top w:w="0" w:type="dxa"/>
          <w:left w:w="108" w:type="dxa"/>
          <w:bottom w:w="0" w:type="dxa"/>
          <w:right w:w="108" w:type="dxa"/>
        </w:tblCellMar>
      </w:tblPr>
      <w:tblGrid>
        <w:gridCol w:w="1276"/>
        <w:gridCol w:w="1276"/>
        <w:gridCol w:w="1332"/>
        <w:gridCol w:w="2891"/>
        <w:gridCol w:w="1757"/>
        <w:gridCol w:w="1362"/>
      </w:tblGrid>
      <w:tr>
        <w:tblPrEx>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一级指标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二级指标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绩效指标描述</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指标值</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sz w:val="15"/>
                <w:szCs w:val="15"/>
              </w:rPr>
              <w:t>产出指标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数量指标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支付工资及保险人员数量</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支付工资及保险人员数量</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17</w:t>
            </w:r>
            <w:r>
              <w:rPr>
                <w:rFonts w:hint="eastAsia" w:ascii="宋体" w:hAnsi="宋体" w:cs="宋体"/>
                <w:sz w:val="15"/>
                <w:szCs w:val="15"/>
              </w:rPr>
              <w:t>人</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质量指标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工资及保险发放准确率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工资及保险发放准确率</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17</w:t>
            </w:r>
            <w:r>
              <w:rPr>
                <w:rFonts w:hint="eastAsia" w:ascii="宋体" w:hAnsi="宋体" w:cs="宋体"/>
                <w:sz w:val="15"/>
                <w:szCs w:val="15"/>
              </w:rPr>
              <w:t>人</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时效指标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资金支付及时率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资金支付及时率</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每月</w:t>
            </w:r>
            <w:r>
              <w:rPr>
                <w:rFonts w:ascii="宋体" w:hAnsi="宋体" w:cs="宋体"/>
                <w:color w:val="000000"/>
                <w:sz w:val="15"/>
                <w:szCs w:val="15"/>
              </w:rPr>
              <w:t>30</w:t>
            </w:r>
            <w:r>
              <w:rPr>
                <w:rFonts w:hint="eastAsia" w:ascii="宋体" w:hAnsi="宋体" w:cs="宋体"/>
                <w:color w:val="000000"/>
                <w:sz w:val="15"/>
                <w:szCs w:val="15"/>
              </w:rPr>
              <w:t>日之前</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成本指标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控制在预算资金内</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控制在预算资金内</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hAnsi="宋体" w:cs="宋体"/>
                <w:color w:val="000000"/>
                <w:sz w:val="15"/>
                <w:szCs w:val="15"/>
              </w:rPr>
              <w:t>≦</w:t>
            </w:r>
            <w:r>
              <w:rPr>
                <w:rFonts w:hint="eastAsia" w:hAnsi="宋体" w:cs="宋体"/>
                <w:color w:val="000000"/>
                <w:sz w:val="15"/>
                <w:szCs w:val="15"/>
                <w:lang w:val="en-US" w:eastAsia="zh-CN"/>
              </w:rPr>
              <w:t>208.14</w:t>
            </w:r>
            <w:r>
              <w:rPr>
                <w:rFonts w:hint="eastAsia" w:hAnsi="宋体" w:cs="宋体"/>
                <w:color w:val="000000"/>
                <w:sz w:val="15"/>
                <w:szCs w:val="15"/>
              </w:rPr>
              <w:t>万元</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预算数额</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r>
              <w:rPr>
                <w:rFonts w:hint="eastAsia" w:ascii="宋体" w:hAnsi="宋体" w:cs="宋体"/>
                <w:sz w:val="15"/>
                <w:szCs w:val="15"/>
              </w:rPr>
              <w:t>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社会效益指标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业务工作稳定性</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通过日常工作稳定运转</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color w:val="000000"/>
                <w:sz w:val="15"/>
                <w:szCs w:val="15"/>
              </w:rPr>
            </w:pPr>
            <w:r>
              <w:rPr>
                <w:rFonts w:hint="eastAsia" w:ascii="宋体" w:hAnsi="宋体" w:cs="宋体"/>
                <w:color w:val="000000"/>
                <w:sz w:val="15"/>
                <w:szCs w:val="15"/>
              </w:rPr>
              <w:t>到岗工作情况</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Times New Roman" w:eastAsia="宋体" w:cs="宋体"/>
                <w:color w:val="000000"/>
                <w:kern w:val="0"/>
                <w:sz w:val="15"/>
                <w:szCs w:val="15"/>
                <w:lang w:val="en-US" w:eastAsia="uk-UA" w:bidi="ar-SA"/>
              </w:rPr>
            </w:pPr>
            <w:r>
              <w:rPr>
                <w:rFonts w:hint="eastAsia" w:ascii="宋体" w:hAnsi="宋体" w:cs="宋体"/>
                <w:color w:val="000000"/>
                <w:sz w:val="15"/>
                <w:szCs w:val="15"/>
              </w:rPr>
              <w:t>到岗情况表</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sz w:val="15"/>
                <w:szCs w:val="15"/>
              </w:rPr>
              <w:t>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服务对象满意度指标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职工满意度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满意度人员占总职工人数</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w:t>
            </w:r>
            <w:r>
              <w:rPr>
                <w:rFonts w:ascii="宋体" w:hAnsi="宋体" w:cs="宋体"/>
                <w:sz w:val="15"/>
                <w:szCs w:val="15"/>
              </w:rPr>
              <w:t>95%</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问卷调查</w:t>
            </w:r>
          </w:p>
        </w:tc>
      </w:tr>
    </w:tbl>
    <w:p>
      <w:pPr>
        <w:spacing w:before="10" w:after="10"/>
        <w:outlineLvl w:val="0"/>
        <w:rPr>
          <w:rFonts w:ascii="黑体" w:hAnsi="黑体" w:eastAsia="黑体" w:cs="黑体"/>
          <w:color w:val="000000"/>
          <w:sz w:val="32"/>
        </w:rPr>
      </w:pPr>
    </w:p>
    <w:p>
      <w:pPr>
        <w:keepNext w:val="0"/>
        <w:keepLines w:val="0"/>
        <w:pageBreakBefore w:val="0"/>
        <w:widowControl/>
        <w:numPr>
          <w:ilvl w:val="0"/>
          <w:numId w:val="1"/>
        </w:numPr>
        <w:kinsoku/>
        <w:wordWrap/>
        <w:overflowPunct/>
        <w:topLinePunct w:val="0"/>
        <w:autoSpaceDE/>
        <w:autoSpaceDN/>
        <w:bidi w:val="0"/>
        <w:adjustRightInd/>
        <w:snapToGrid/>
        <w:spacing w:before="10" w:after="10" w:line="360" w:lineRule="auto"/>
        <w:ind w:firstLine="720" w:firstLineChars="200"/>
        <w:textAlignment w:val="auto"/>
        <w:outlineLvl w:val="0"/>
        <w:rPr>
          <w:rFonts w:ascii="黑体" w:hAnsi="黑体" w:eastAsia="黑体" w:cs="黑体"/>
          <w:color w:val="000000"/>
          <w:sz w:val="36"/>
          <w:szCs w:val="36"/>
        </w:rPr>
      </w:pPr>
      <w:bookmarkStart w:id="28" w:name="_Toc22935"/>
      <w:bookmarkStart w:id="29" w:name="_Toc1296"/>
      <w:bookmarkStart w:id="30" w:name="_Toc8500"/>
      <w:r>
        <w:rPr>
          <w:rFonts w:hint="eastAsia" w:ascii="黑体" w:hAnsi="黑体" w:eastAsia="黑体" w:cs="黑体"/>
          <w:color w:val="000000"/>
          <w:sz w:val="36"/>
          <w:szCs w:val="36"/>
        </w:rPr>
        <w:t>政府采购预算情况</w:t>
      </w:r>
      <w:bookmarkEnd w:id="28"/>
      <w:bookmarkEnd w:id="29"/>
      <w:bookmarkEnd w:id="30"/>
    </w:p>
    <w:p>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0"/>
        <w:rPr>
          <w:rFonts w:ascii="宋体" w:cs="宋体"/>
          <w:sz w:val="28"/>
          <w:szCs w:val="28"/>
        </w:rPr>
      </w:pPr>
      <w:bookmarkStart w:id="31" w:name="_Toc3030"/>
      <w:bookmarkStart w:id="32" w:name="_Toc12242"/>
      <w:bookmarkStart w:id="33" w:name="_Toc9835"/>
      <w:bookmarkStart w:id="34" w:name="_Toc20516"/>
      <w:bookmarkStart w:id="35" w:name="_Toc26330"/>
      <w:bookmarkStart w:id="36" w:name="_Toc19724"/>
      <w:r>
        <w:rPr>
          <w:rFonts w:ascii="宋体" w:hAnsi="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cs="宋体"/>
          <w:color w:val="000000"/>
          <w:sz w:val="28"/>
          <w:szCs w:val="28"/>
        </w:rPr>
        <w:t>年，</w:t>
      </w:r>
      <w:r>
        <w:rPr>
          <w:rFonts w:hint="eastAsia" w:ascii="宋体" w:hAnsi="宋体" w:cs="宋体"/>
          <w:color w:val="000000"/>
          <w:sz w:val="28"/>
          <w:szCs w:val="28"/>
          <w:lang w:eastAsia="zh-CN"/>
        </w:rPr>
        <w:t>秦皇岛市山海关区房屋征收</w:t>
      </w:r>
      <w:r>
        <w:rPr>
          <w:rFonts w:hint="eastAsia" w:ascii="宋体" w:hAnsi="宋体" w:cs="宋体"/>
          <w:color w:val="000000"/>
          <w:sz w:val="28"/>
          <w:szCs w:val="28"/>
        </w:rPr>
        <w:t>中心安排政府采购预算</w:t>
      </w:r>
      <w:r>
        <w:rPr>
          <w:rFonts w:ascii="宋体" w:cs="宋体"/>
          <w:color w:val="000000"/>
          <w:sz w:val="28"/>
          <w:szCs w:val="28"/>
        </w:rPr>
        <w:t>0.00</w:t>
      </w:r>
      <w:r>
        <w:rPr>
          <w:rFonts w:hint="eastAsia" w:ascii="宋体" w:hAnsi="宋体" w:cs="宋体"/>
          <w:color w:val="000000"/>
          <w:sz w:val="28"/>
          <w:szCs w:val="28"/>
        </w:rPr>
        <w:t>万元。具体内容见下表。</w:t>
      </w:r>
      <w:bookmarkEnd w:id="31"/>
      <w:bookmarkEnd w:id="32"/>
      <w:bookmarkEnd w:id="33"/>
      <w:bookmarkEnd w:id="34"/>
      <w:bookmarkEnd w:id="35"/>
      <w:bookmarkEnd w:id="36"/>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rPr>
          <w:rFonts w:ascii="宋体" w:cs="宋体"/>
          <w:sz w:val="28"/>
          <w:szCs w:val="28"/>
        </w:rPr>
      </w:pPr>
      <w:r>
        <w:rPr>
          <w:rFonts w:hint="eastAsia" w:ascii="宋体" w:hAnsi="宋体" w:cs="宋体"/>
          <w:color w:val="000000"/>
          <w:sz w:val="28"/>
          <w:szCs w:val="28"/>
        </w:rPr>
        <w:t>单位政府采购预算</w:t>
      </w:r>
    </w:p>
    <w:tbl>
      <w:tblPr>
        <w:tblStyle w:val="8"/>
        <w:tblW w:w="154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051"/>
        <w:gridCol w:w="1047"/>
        <w:gridCol w:w="1134"/>
        <w:gridCol w:w="709"/>
        <w:gridCol w:w="850"/>
        <w:gridCol w:w="730"/>
        <w:gridCol w:w="1084"/>
        <w:gridCol w:w="964"/>
        <w:gridCol w:w="964"/>
        <w:gridCol w:w="964"/>
        <w:gridCol w:w="964"/>
        <w:gridCol w:w="691"/>
        <w:gridCol w:w="750"/>
        <w:gridCol w:w="1170"/>
        <w:gridCol w:w="1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30" w:type="dxa"/>
            <w:gridSpan w:val="7"/>
            <w:tcBorders>
              <w:top w:val="single" w:color="FFFFFF" w:sz="6" w:space="0"/>
              <w:left w:val="single" w:color="FFFFFF" w:sz="6" w:space="0"/>
              <w:right w:val="single" w:color="FFFFFF" w:sz="6" w:space="0"/>
            </w:tcBorders>
            <w:vAlign w:val="center"/>
          </w:tcPr>
          <w:p>
            <w:pPr>
              <w:pStyle w:val="14"/>
              <w:rPr>
                <w:rFonts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8556" w:type="dxa"/>
            <w:gridSpan w:val="9"/>
            <w:tcBorders>
              <w:top w:val="single" w:color="FFFFFF" w:sz="6" w:space="0"/>
              <w:left w:val="single" w:color="FFFFFF" w:sz="6" w:space="0"/>
              <w:right w:val="single" w:color="FFFFFF" w:sz="6" w:space="0"/>
            </w:tcBorders>
            <w:vAlign w:val="center"/>
          </w:tcPr>
          <w:p>
            <w:pPr>
              <w:pStyle w:val="27"/>
              <w:rPr>
                <w:rFonts w:ascii="宋体" w:hAnsi="宋体" w:eastAsia="宋体" w:cs="宋体"/>
                <w:sz w:val="15"/>
                <w:szCs w:val="15"/>
              </w:rPr>
            </w:pPr>
            <w:r>
              <w:rPr>
                <w:rFonts w:hint="eastAsia" w:ascii="宋体" w:hAnsi="宋体" w:eastAsia="宋体" w:cs="宋体"/>
                <w:sz w:val="15"/>
                <w:szCs w:val="15"/>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60" w:type="dxa"/>
            <w:gridSpan w:val="2"/>
            <w:vAlign w:val="center"/>
          </w:tcPr>
          <w:p>
            <w:pPr>
              <w:pStyle w:val="17"/>
              <w:rPr>
                <w:rFonts w:ascii="宋体" w:hAnsi="宋体" w:eastAsia="宋体" w:cs="宋体"/>
                <w:sz w:val="15"/>
                <w:szCs w:val="15"/>
              </w:rPr>
            </w:pPr>
            <w:r>
              <w:rPr>
                <w:rFonts w:hint="eastAsia" w:ascii="宋体" w:hAnsi="宋体" w:eastAsia="宋体" w:cs="宋体"/>
                <w:sz w:val="15"/>
                <w:szCs w:val="15"/>
              </w:rPr>
              <w:t>政府采购项目来源</w:t>
            </w:r>
          </w:p>
        </w:tc>
        <w:tc>
          <w:tcPr>
            <w:tcW w:w="1047" w:type="dxa"/>
            <w:vMerge w:val="restart"/>
            <w:vAlign w:val="center"/>
          </w:tcPr>
          <w:p>
            <w:pPr>
              <w:pStyle w:val="17"/>
              <w:rPr>
                <w:rFonts w:ascii="宋体" w:hAnsi="宋体" w:eastAsia="宋体" w:cs="宋体"/>
                <w:sz w:val="15"/>
                <w:szCs w:val="15"/>
              </w:rPr>
            </w:pPr>
            <w:r>
              <w:rPr>
                <w:rFonts w:hint="eastAsia" w:ascii="宋体" w:hAnsi="宋体" w:eastAsia="宋体" w:cs="宋体"/>
                <w:sz w:val="15"/>
                <w:szCs w:val="15"/>
              </w:rPr>
              <w:t>采购物品名称</w:t>
            </w:r>
          </w:p>
        </w:tc>
        <w:tc>
          <w:tcPr>
            <w:tcW w:w="1134" w:type="dxa"/>
            <w:vMerge w:val="restart"/>
            <w:vAlign w:val="center"/>
          </w:tcPr>
          <w:p>
            <w:pPr>
              <w:pStyle w:val="17"/>
              <w:rPr>
                <w:rFonts w:ascii="宋体" w:hAnsi="宋体" w:eastAsia="宋体" w:cs="宋体"/>
                <w:sz w:val="15"/>
                <w:szCs w:val="15"/>
              </w:rPr>
            </w:pPr>
            <w:r>
              <w:rPr>
                <w:rFonts w:hint="eastAsia" w:ascii="宋体" w:hAnsi="宋体" w:eastAsia="宋体" w:cs="宋体"/>
                <w:sz w:val="15"/>
                <w:szCs w:val="15"/>
              </w:rPr>
              <w:t>政府采购目录序号</w:t>
            </w:r>
          </w:p>
        </w:tc>
        <w:tc>
          <w:tcPr>
            <w:tcW w:w="709" w:type="dxa"/>
            <w:vMerge w:val="restart"/>
            <w:vAlign w:val="center"/>
          </w:tcPr>
          <w:p>
            <w:pPr>
              <w:pStyle w:val="17"/>
              <w:rPr>
                <w:rFonts w:ascii="宋体" w:hAnsi="宋体" w:eastAsia="宋体" w:cs="宋体"/>
                <w:sz w:val="15"/>
                <w:szCs w:val="15"/>
              </w:rPr>
            </w:pPr>
            <w:r>
              <w:rPr>
                <w:rFonts w:hint="eastAsia" w:ascii="宋体" w:hAnsi="宋体" w:eastAsia="宋体" w:cs="宋体"/>
                <w:sz w:val="15"/>
                <w:szCs w:val="15"/>
              </w:rPr>
              <w:t>计量</w:t>
            </w:r>
            <w:r>
              <w:rPr>
                <w:rFonts w:ascii="宋体" w:hAnsi="宋体" w:eastAsia="宋体" w:cs="宋体"/>
                <w:sz w:val="15"/>
                <w:szCs w:val="15"/>
              </w:rPr>
              <w:t xml:space="preserve">  </w:t>
            </w:r>
            <w:r>
              <w:rPr>
                <w:rFonts w:hint="eastAsia" w:ascii="宋体" w:hAnsi="宋体" w:eastAsia="宋体" w:cs="宋体"/>
                <w:sz w:val="15"/>
                <w:szCs w:val="15"/>
              </w:rPr>
              <w:t>单位</w:t>
            </w:r>
          </w:p>
        </w:tc>
        <w:tc>
          <w:tcPr>
            <w:tcW w:w="850" w:type="dxa"/>
            <w:vMerge w:val="restart"/>
            <w:vAlign w:val="center"/>
          </w:tcPr>
          <w:p>
            <w:pPr>
              <w:pStyle w:val="17"/>
              <w:rPr>
                <w:rFonts w:ascii="宋体" w:hAnsi="宋体" w:eastAsia="宋体" w:cs="宋体"/>
                <w:sz w:val="15"/>
                <w:szCs w:val="15"/>
              </w:rPr>
            </w:pPr>
            <w:r>
              <w:rPr>
                <w:rFonts w:hint="eastAsia" w:ascii="宋体" w:hAnsi="宋体" w:eastAsia="宋体" w:cs="宋体"/>
                <w:sz w:val="15"/>
                <w:szCs w:val="15"/>
              </w:rPr>
              <w:t>数量</w:t>
            </w:r>
          </w:p>
        </w:tc>
        <w:tc>
          <w:tcPr>
            <w:tcW w:w="730" w:type="dxa"/>
            <w:vMerge w:val="restart"/>
            <w:vAlign w:val="center"/>
          </w:tcPr>
          <w:p>
            <w:pPr>
              <w:pStyle w:val="17"/>
              <w:rPr>
                <w:rFonts w:ascii="宋体" w:hAnsi="宋体" w:eastAsia="宋体" w:cs="宋体"/>
                <w:sz w:val="15"/>
                <w:szCs w:val="15"/>
              </w:rPr>
            </w:pPr>
            <w:r>
              <w:rPr>
                <w:rFonts w:hint="eastAsia" w:ascii="宋体" w:hAnsi="宋体" w:eastAsia="宋体" w:cs="宋体"/>
                <w:sz w:val="15"/>
                <w:szCs w:val="15"/>
              </w:rPr>
              <w:t>单价</w:t>
            </w:r>
          </w:p>
        </w:tc>
        <w:tc>
          <w:tcPr>
            <w:tcW w:w="7551" w:type="dxa"/>
            <w:gridSpan w:val="8"/>
            <w:vAlign w:val="center"/>
          </w:tcPr>
          <w:p>
            <w:pPr>
              <w:pStyle w:val="17"/>
              <w:rPr>
                <w:rFonts w:ascii="宋体" w:hAnsi="宋体" w:eastAsia="宋体" w:cs="宋体"/>
                <w:sz w:val="15"/>
                <w:szCs w:val="15"/>
              </w:rPr>
            </w:pPr>
            <w:r>
              <w:rPr>
                <w:rFonts w:hint="eastAsia" w:ascii="宋体" w:hAnsi="宋体" w:eastAsia="宋体" w:cs="宋体"/>
                <w:sz w:val="15"/>
                <w:szCs w:val="15"/>
              </w:rPr>
              <w:t>政府采购金额（当年部门预算安排资金）</w:t>
            </w:r>
          </w:p>
        </w:tc>
        <w:tc>
          <w:tcPr>
            <w:tcW w:w="1005" w:type="dxa"/>
            <w:vMerge w:val="restart"/>
            <w:vAlign w:val="center"/>
          </w:tcPr>
          <w:p>
            <w:pPr>
              <w:pStyle w:val="17"/>
              <w:rPr>
                <w:rFonts w:ascii="宋体" w:hAnsi="宋体" w:eastAsia="宋体" w:cs="宋体"/>
                <w:sz w:val="15"/>
                <w:szCs w:val="15"/>
              </w:rPr>
            </w:pPr>
            <w:r>
              <w:rPr>
                <w:rFonts w:ascii="宋体" w:hAnsi="宋体" w:eastAsia="宋体" w:cs="宋体"/>
                <w:sz w:val="15"/>
                <w:szCs w:val="15"/>
              </w:rPr>
              <w:t>202</w:t>
            </w:r>
            <w:r>
              <w:rPr>
                <w:rFonts w:hint="eastAsia" w:ascii="宋体" w:hAnsi="宋体" w:eastAsia="宋体" w:cs="宋体"/>
                <w:sz w:val="15"/>
                <w:szCs w:val="15"/>
                <w:lang w:val="en-US" w:eastAsia="zh-CN"/>
              </w:rPr>
              <w:t>1</w:t>
            </w:r>
            <w:r>
              <w:rPr>
                <w:rFonts w:hint="eastAsia" w:ascii="宋体" w:hAnsi="宋体" w:eastAsia="宋体" w:cs="宋体"/>
                <w:sz w:val="15"/>
                <w:szCs w:val="15"/>
              </w:rPr>
              <w:t>年预</w:t>
            </w:r>
            <w:r>
              <w:rPr>
                <w:rFonts w:hint="eastAsia" w:ascii="宋体" w:hAnsi="宋体" w:eastAsia="宋体" w:cs="宋体"/>
                <w:sz w:val="15"/>
                <w:szCs w:val="15"/>
                <w:lang w:val="en-US" w:eastAsia="zh-CN"/>
              </w:rPr>
              <w:t>留</w:t>
            </w:r>
            <w:r>
              <w:rPr>
                <w:rFonts w:hint="eastAsia" w:ascii="宋体" w:hAnsi="宋体" w:eastAsia="宋体" w:cs="宋体"/>
                <w:sz w:val="15"/>
                <w:szCs w:val="15"/>
              </w:rPr>
              <w:t>中小微企</w:t>
            </w:r>
            <w:r>
              <w:rPr>
                <w:rFonts w:ascii="宋体" w:hAnsi="宋体" w:eastAsia="宋体" w:cs="宋体"/>
                <w:sz w:val="15"/>
                <w:szCs w:val="15"/>
              </w:rPr>
              <w:t xml:space="preserve">  </w:t>
            </w:r>
            <w:r>
              <w:rPr>
                <w:rFonts w:hint="eastAsia" w:ascii="宋体" w:hAnsi="宋体" w:eastAsia="宋体" w:cs="宋体"/>
                <w:sz w:val="15"/>
                <w:szCs w:val="15"/>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09" w:type="dxa"/>
            <w:vAlign w:val="center"/>
          </w:tcPr>
          <w:p>
            <w:pPr>
              <w:pStyle w:val="17"/>
              <w:rPr>
                <w:rFonts w:ascii="宋体" w:hAnsi="宋体" w:eastAsia="宋体" w:cs="宋体"/>
                <w:sz w:val="15"/>
                <w:szCs w:val="15"/>
              </w:rPr>
            </w:pPr>
            <w:r>
              <w:rPr>
                <w:rFonts w:hint="eastAsia" w:ascii="宋体" w:hAnsi="宋体" w:eastAsia="宋体" w:cs="宋体"/>
                <w:sz w:val="15"/>
                <w:szCs w:val="15"/>
              </w:rPr>
              <w:t>项目名称</w:t>
            </w:r>
          </w:p>
        </w:tc>
        <w:tc>
          <w:tcPr>
            <w:tcW w:w="1051" w:type="dxa"/>
            <w:vAlign w:val="center"/>
          </w:tcPr>
          <w:p>
            <w:pPr>
              <w:pStyle w:val="17"/>
              <w:rPr>
                <w:rFonts w:ascii="宋体" w:hAnsi="宋体" w:eastAsia="宋体" w:cs="宋体"/>
                <w:sz w:val="15"/>
                <w:szCs w:val="15"/>
              </w:rPr>
            </w:pPr>
            <w:r>
              <w:rPr>
                <w:rFonts w:hint="eastAsia" w:ascii="宋体" w:hAnsi="宋体" w:eastAsia="宋体" w:cs="宋体"/>
                <w:sz w:val="15"/>
                <w:szCs w:val="15"/>
              </w:rPr>
              <w:t>预</w:t>
            </w:r>
            <w:r>
              <w:rPr>
                <w:rFonts w:hint="eastAsia" w:ascii="宋体" w:hAnsi="宋体" w:eastAsia="宋体" w:cs="宋体"/>
                <w:sz w:val="15"/>
                <w:szCs w:val="15"/>
                <w:lang w:val="en-US" w:eastAsia="zh-CN"/>
              </w:rPr>
              <w:t>算</w:t>
            </w:r>
            <w:r>
              <w:rPr>
                <w:rFonts w:hint="eastAsia" w:ascii="宋体" w:hAnsi="宋体" w:eastAsia="宋体" w:cs="宋体"/>
                <w:sz w:val="15"/>
                <w:szCs w:val="15"/>
              </w:rPr>
              <w:t>资金</w:t>
            </w:r>
          </w:p>
        </w:tc>
        <w:tc>
          <w:tcPr>
            <w:tcW w:w="1047" w:type="dxa"/>
            <w:vMerge w:val="continue"/>
          </w:tcPr>
          <w:p>
            <w:pPr>
              <w:rPr>
                <w:rFonts w:ascii="宋体" w:cs="宋体"/>
                <w:sz w:val="15"/>
                <w:szCs w:val="15"/>
              </w:rPr>
            </w:pPr>
          </w:p>
        </w:tc>
        <w:tc>
          <w:tcPr>
            <w:tcW w:w="1134" w:type="dxa"/>
            <w:vMerge w:val="continue"/>
          </w:tcPr>
          <w:p>
            <w:pPr>
              <w:rPr>
                <w:rFonts w:ascii="宋体" w:cs="宋体"/>
                <w:sz w:val="15"/>
                <w:szCs w:val="15"/>
              </w:rPr>
            </w:pPr>
          </w:p>
        </w:tc>
        <w:tc>
          <w:tcPr>
            <w:tcW w:w="709" w:type="dxa"/>
            <w:vMerge w:val="continue"/>
          </w:tcPr>
          <w:p>
            <w:pPr>
              <w:rPr>
                <w:rFonts w:ascii="宋体" w:cs="宋体"/>
                <w:sz w:val="15"/>
                <w:szCs w:val="15"/>
              </w:rPr>
            </w:pPr>
          </w:p>
        </w:tc>
        <w:tc>
          <w:tcPr>
            <w:tcW w:w="850" w:type="dxa"/>
            <w:vMerge w:val="continue"/>
          </w:tcPr>
          <w:p>
            <w:pPr>
              <w:rPr>
                <w:rFonts w:ascii="宋体" w:cs="宋体"/>
                <w:sz w:val="15"/>
                <w:szCs w:val="15"/>
              </w:rPr>
            </w:pPr>
          </w:p>
        </w:tc>
        <w:tc>
          <w:tcPr>
            <w:tcW w:w="730" w:type="dxa"/>
            <w:vMerge w:val="continue"/>
          </w:tcPr>
          <w:p>
            <w:pPr>
              <w:rPr>
                <w:rFonts w:ascii="宋体" w:cs="宋体"/>
                <w:sz w:val="15"/>
                <w:szCs w:val="15"/>
              </w:rPr>
            </w:pPr>
          </w:p>
        </w:tc>
        <w:tc>
          <w:tcPr>
            <w:tcW w:w="1084" w:type="dxa"/>
            <w:vAlign w:val="center"/>
          </w:tcPr>
          <w:p>
            <w:pPr>
              <w:pStyle w:val="17"/>
              <w:rPr>
                <w:rFonts w:ascii="宋体" w:hAnsi="宋体" w:eastAsia="宋体" w:cs="宋体"/>
                <w:sz w:val="15"/>
                <w:szCs w:val="15"/>
              </w:rPr>
            </w:pPr>
            <w:r>
              <w:rPr>
                <w:rFonts w:hint="eastAsia" w:ascii="宋体" w:hAnsi="宋体" w:eastAsia="宋体" w:cs="宋体"/>
                <w:sz w:val="15"/>
                <w:szCs w:val="15"/>
              </w:rPr>
              <w:t>合计</w:t>
            </w:r>
          </w:p>
        </w:tc>
        <w:tc>
          <w:tcPr>
            <w:tcW w:w="964" w:type="dxa"/>
            <w:vAlign w:val="center"/>
          </w:tcPr>
          <w:p>
            <w:pPr>
              <w:pStyle w:val="17"/>
              <w:rPr>
                <w:rFonts w:ascii="宋体" w:hAnsi="宋体" w:eastAsia="宋体" w:cs="宋体"/>
                <w:sz w:val="15"/>
                <w:szCs w:val="15"/>
              </w:rPr>
            </w:pPr>
            <w:r>
              <w:rPr>
                <w:rFonts w:hint="eastAsia" w:ascii="宋体" w:hAnsi="宋体" w:eastAsia="宋体" w:cs="宋体"/>
                <w:sz w:val="15"/>
                <w:szCs w:val="15"/>
              </w:rPr>
              <w:t>一般公共预算拨款</w:t>
            </w:r>
          </w:p>
        </w:tc>
        <w:tc>
          <w:tcPr>
            <w:tcW w:w="964" w:type="dxa"/>
            <w:vAlign w:val="center"/>
          </w:tcPr>
          <w:p>
            <w:pPr>
              <w:pStyle w:val="17"/>
              <w:rPr>
                <w:rFonts w:ascii="宋体" w:hAnsi="宋体" w:eastAsia="宋体" w:cs="宋体"/>
                <w:sz w:val="15"/>
                <w:szCs w:val="15"/>
              </w:rPr>
            </w:pPr>
            <w:r>
              <w:rPr>
                <w:rFonts w:hint="eastAsia" w:ascii="宋体" w:hAnsi="宋体" w:eastAsia="宋体" w:cs="宋体"/>
                <w:sz w:val="15"/>
                <w:szCs w:val="15"/>
              </w:rPr>
              <w:t>基金预算拨款</w:t>
            </w:r>
          </w:p>
        </w:tc>
        <w:tc>
          <w:tcPr>
            <w:tcW w:w="964" w:type="dxa"/>
            <w:vAlign w:val="center"/>
          </w:tcPr>
          <w:p>
            <w:pPr>
              <w:pStyle w:val="17"/>
              <w:rPr>
                <w:rFonts w:ascii="宋体" w:hAnsi="宋体" w:eastAsia="宋体" w:cs="宋体"/>
                <w:sz w:val="15"/>
                <w:szCs w:val="15"/>
              </w:rPr>
            </w:pPr>
            <w:r>
              <w:rPr>
                <w:rFonts w:hint="eastAsia" w:ascii="宋体" w:hAnsi="宋体" w:eastAsia="宋体" w:cs="宋体"/>
                <w:sz w:val="15"/>
                <w:szCs w:val="15"/>
              </w:rPr>
              <w:t>国有资本经营预算拨款</w:t>
            </w:r>
          </w:p>
        </w:tc>
        <w:tc>
          <w:tcPr>
            <w:tcW w:w="964" w:type="dxa"/>
            <w:vAlign w:val="center"/>
          </w:tcPr>
          <w:p>
            <w:pPr>
              <w:pStyle w:val="17"/>
              <w:rPr>
                <w:rFonts w:ascii="宋体" w:hAnsi="宋体" w:eastAsia="宋体" w:cs="宋体"/>
                <w:sz w:val="15"/>
                <w:szCs w:val="15"/>
              </w:rPr>
            </w:pPr>
            <w:r>
              <w:rPr>
                <w:rFonts w:hint="eastAsia" w:ascii="宋体" w:hAnsi="宋体" w:eastAsia="宋体" w:cs="宋体"/>
                <w:sz w:val="15"/>
                <w:szCs w:val="15"/>
              </w:rPr>
              <w:t>财政专户核拨</w:t>
            </w:r>
          </w:p>
        </w:tc>
        <w:tc>
          <w:tcPr>
            <w:tcW w:w="691" w:type="dxa"/>
            <w:vAlign w:val="center"/>
          </w:tcPr>
          <w:p>
            <w:pPr>
              <w:pStyle w:val="17"/>
              <w:rPr>
                <w:rFonts w:ascii="宋体" w:hAnsi="宋体" w:eastAsia="宋体" w:cs="宋体"/>
                <w:sz w:val="15"/>
                <w:szCs w:val="15"/>
              </w:rPr>
            </w:pPr>
            <w:r>
              <w:rPr>
                <w:rFonts w:hint="eastAsia" w:ascii="宋体" w:hAnsi="宋体" w:eastAsia="宋体" w:cs="宋体"/>
                <w:sz w:val="15"/>
                <w:szCs w:val="15"/>
              </w:rPr>
              <w:t>单位</w:t>
            </w:r>
            <w:r>
              <w:rPr>
                <w:rFonts w:ascii="宋体" w:hAnsi="宋体" w:eastAsia="宋体" w:cs="宋体"/>
                <w:sz w:val="15"/>
                <w:szCs w:val="15"/>
              </w:rPr>
              <w:t xml:space="preserve">    </w:t>
            </w:r>
            <w:r>
              <w:rPr>
                <w:rFonts w:hint="eastAsia" w:ascii="宋体" w:hAnsi="宋体" w:eastAsia="宋体" w:cs="宋体"/>
                <w:sz w:val="15"/>
                <w:szCs w:val="15"/>
              </w:rPr>
              <w:t>资金</w:t>
            </w:r>
          </w:p>
        </w:tc>
        <w:tc>
          <w:tcPr>
            <w:tcW w:w="750" w:type="dxa"/>
            <w:vAlign w:val="center"/>
          </w:tcPr>
          <w:p>
            <w:pPr>
              <w:pStyle w:val="17"/>
              <w:rPr>
                <w:rFonts w:ascii="宋体" w:hAnsi="宋体" w:eastAsia="宋体" w:cs="宋体"/>
                <w:sz w:val="15"/>
                <w:szCs w:val="15"/>
              </w:rPr>
            </w:pPr>
            <w:r>
              <w:rPr>
                <w:rFonts w:hint="eastAsia" w:ascii="宋体" w:hAnsi="宋体" w:eastAsia="宋体" w:cs="宋体"/>
                <w:sz w:val="15"/>
                <w:szCs w:val="15"/>
              </w:rPr>
              <w:t>财政拨</w:t>
            </w:r>
            <w:r>
              <w:rPr>
                <w:rFonts w:ascii="宋体" w:hAnsi="宋体" w:eastAsia="宋体" w:cs="宋体"/>
                <w:sz w:val="15"/>
                <w:szCs w:val="15"/>
              </w:rPr>
              <w:t xml:space="preserve">    </w:t>
            </w:r>
            <w:r>
              <w:rPr>
                <w:rFonts w:hint="eastAsia" w:ascii="宋体" w:hAnsi="宋体" w:eastAsia="宋体" w:cs="宋体"/>
                <w:sz w:val="15"/>
                <w:szCs w:val="15"/>
              </w:rPr>
              <w:t>款结转</w:t>
            </w:r>
          </w:p>
        </w:tc>
        <w:tc>
          <w:tcPr>
            <w:tcW w:w="1170" w:type="dxa"/>
            <w:vAlign w:val="center"/>
          </w:tcPr>
          <w:p>
            <w:pPr>
              <w:pStyle w:val="17"/>
              <w:rPr>
                <w:rFonts w:ascii="宋体" w:hAnsi="宋体" w:eastAsia="宋体" w:cs="宋体"/>
                <w:sz w:val="15"/>
                <w:szCs w:val="15"/>
              </w:rPr>
            </w:pPr>
            <w:r>
              <w:rPr>
                <w:rFonts w:hint="eastAsia" w:ascii="宋体" w:hAnsi="宋体" w:eastAsia="宋体" w:cs="宋体"/>
                <w:sz w:val="15"/>
                <w:szCs w:val="15"/>
              </w:rPr>
              <w:t>非财政拨款结</w:t>
            </w:r>
            <w:r>
              <w:rPr>
                <w:rFonts w:ascii="宋体" w:hAnsi="宋体" w:eastAsia="宋体" w:cs="宋体"/>
                <w:sz w:val="15"/>
                <w:szCs w:val="15"/>
              </w:rPr>
              <w:t xml:space="preserve">    </w:t>
            </w:r>
            <w:r>
              <w:rPr>
                <w:rFonts w:hint="eastAsia" w:ascii="宋体" w:hAnsi="宋体" w:eastAsia="宋体" w:cs="宋体"/>
                <w:sz w:val="15"/>
                <w:szCs w:val="15"/>
              </w:rPr>
              <w:t>转结余</w:t>
            </w:r>
          </w:p>
        </w:tc>
        <w:tc>
          <w:tcPr>
            <w:tcW w:w="1005" w:type="dxa"/>
            <w:vMerge w:val="continue"/>
          </w:tcPr>
          <w:p>
            <w:pPr>
              <w:rPr>
                <w:rFonts w:ascii="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9" w:type="dxa"/>
            <w:vAlign w:val="center"/>
          </w:tcPr>
          <w:p>
            <w:pPr>
              <w:pStyle w:val="19"/>
              <w:rPr>
                <w:rFonts w:ascii="宋体" w:hAnsi="宋体" w:eastAsia="宋体" w:cs="宋体"/>
                <w:sz w:val="15"/>
                <w:szCs w:val="15"/>
              </w:rPr>
            </w:pPr>
          </w:p>
        </w:tc>
        <w:tc>
          <w:tcPr>
            <w:tcW w:w="1051" w:type="dxa"/>
            <w:vAlign w:val="center"/>
          </w:tcPr>
          <w:p>
            <w:pPr>
              <w:pStyle w:val="20"/>
              <w:rPr>
                <w:rFonts w:ascii="宋体" w:hAnsi="宋体" w:eastAsia="宋体" w:cs="宋体"/>
                <w:sz w:val="15"/>
                <w:szCs w:val="15"/>
              </w:rPr>
            </w:pPr>
          </w:p>
        </w:tc>
        <w:tc>
          <w:tcPr>
            <w:tcW w:w="1047" w:type="dxa"/>
            <w:vAlign w:val="center"/>
          </w:tcPr>
          <w:p>
            <w:pPr>
              <w:pStyle w:val="19"/>
              <w:rPr>
                <w:rFonts w:ascii="宋体" w:hAnsi="宋体" w:eastAsia="宋体" w:cs="宋体"/>
                <w:sz w:val="15"/>
                <w:szCs w:val="15"/>
              </w:rPr>
            </w:pPr>
          </w:p>
        </w:tc>
        <w:tc>
          <w:tcPr>
            <w:tcW w:w="1134" w:type="dxa"/>
            <w:vAlign w:val="center"/>
          </w:tcPr>
          <w:p>
            <w:pPr>
              <w:pStyle w:val="19"/>
              <w:rPr>
                <w:rFonts w:ascii="宋体" w:hAnsi="宋体" w:eastAsia="宋体" w:cs="宋体"/>
                <w:sz w:val="15"/>
                <w:szCs w:val="15"/>
              </w:rPr>
            </w:pPr>
          </w:p>
        </w:tc>
        <w:tc>
          <w:tcPr>
            <w:tcW w:w="709" w:type="dxa"/>
            <w:vAlign w:val="center"/>
          </w:tcPr>
          <w:p>
            <w:pPr>
              <w:pStyle w:val="18"/>
              <w:rPr>
                <w:rFonts w:ascii="宋体" w:hAnsi="宋体" w:eastAsia="宋体" w:cs="宋体"/>
                <w:sz w:val="15"/>
                <w:szCs w:val="15"/>
              </w:rPr>
            </w:pPr>
          </w:p>
        </w:tc>
        <w:tc>
          <w:tcPr>
            <w:tcW w:w="850" w:type="dxa"/>
            <w:vAlign w:val="center"/>
          </w:tcPr>
          <w:p>
            <w:pPr>
              <w:pStyle w:val="20"/>
              <w:rPr>
                <w:rFonts w:ascii="宋体" w:hAnsi="宋体" w:eastAsia="宋体" w:cs="宋体"/>
                <w:sz w:val="15"/>
                <w:szCs w:val="15"/>
              </w:rPr>
            </w:pPr>
          </w:p>
        </w:tc>
        <w:tc>
          <w:tcPr>
            <w:tcW w:w="730" w:type="dxa"/>
            <w:vAlign w:val="center"/>
          </w:tcPr>
          <w:p>
            <w:pPr>
              <w:pStyle w:val="20"/>
              <w:rPr>
                <w:rFonts w:ascii="宋体" w:hAnsi="宋体" w:eastAsia="宋体" w:cs="宋体"/>
                <w:sz w:val="15"/>
                <w:szCs w:val="15"/>
              </w:rPr>
            </w:pPr>
          </w:p>
        </w:tc>
        <w:tc>
          <w:tcPr>
            <w:tcW w:w="1084" w:type="dxa"/>
            <w:vAlign w:val="center"/>
          </w:tcPr>
          <w:p>
            <w:pPr>
              <w:pStyle w:val="20"/>
              <w:rPr>
                <w:rFonts w:ascii="宋体" w:hAnsi="宋体" w:eastAsia="宋体" w:cs="宋体"/>
                <w:sz w:val="15"/>
                <w:szCs w:val="15"/>
              </w:rPr>
            </w:pPr>
          </w:p>
        </w:tc>
        <w:tc>
          <w:tcPr>
            <w:tcW w:w="964" w:type="dxa"/>
            <w:vAlign w:val="center"/>
          </w:tcPr>
          <w:p>
            <w:pPr>
              <w:pStyle w:val="20"/>
              <w:rPr>
                <w:rFonts w:ascii="宋体" w:hAnsi="宋体" w:eastAsia="宋体" w:cs="宋体"/>
                <w:sz w:val="15"/>
                <w:szCs w:val="15"/>
              </w:rPr>
            </w:pPr>
          </w:p>
        </w:tc>
        <w:tc>
          <w:tcPr>
            <w:tcW w:w="964" w:type="dxa"/>
            <w:vAlign w:val="center"/>
          </w:tcPr>
          <w:p>
            <w:pPr>
              <w:pStyle w:val="20"/>
              <w:rPr>
                <w:rFonts w:ascii="宋体" w:hAnsi="宋体" w:eastAsia="宋体" w:cs="宋体"/>
                <w:sz w:val="15"/>
                <w:szCs w:val="15"/>
              </w:rPr>
            </w:pPr>
          </w:p>
        </w:tc>
        <w:tc>
          <w:tcPr>
            <w:tcW w:w="964" w:type="dxa"/>
            <w:vAlign w:val="center"/>
          </w:tcPr>
          <w:p>
            <w:pPr>
              <w:pStyle w:val="20"/>
              <w:rPr>
                <w:rFonts w:ascii="宋体" w:hAnsi="宋体" w:eastAsia="宋体" w:cs="宋体"/>
                <w:sz w:val="15"/>
                <w:szCs w:val="15"/>
              </w:rPr>
            </w:pPr>
          </w:p>
        </w:tc>
        <w:tc>
          <w:tcPr>
            <w:tcW w:w="964" w:type="dxa"/>
            <w:vAlign w:val="center"/>
          </w:tcPr>
          <w:p>
            <w:pPr>
              <w:pStyle w:val="20"/>
              <w:rPr>
                <w:rFonts w:ascii="宋体" w:hAnsi="宋体" w:eastAsia="宋体" w:cs="宋体"/>
                <w:sz w:val="15"/>
                <w:szCs w:val="15"/>
              </w:rPr>
            </w:pPr>
          </w:p>
        </w:tc>
        <w:tc>
          <w:tcPr>
            <w:tcW w:w="691" w:type="dxa"/>
            <w:vAlign w:val="center"/>
          </w:tcPr>
          <w:p>
            <w:pPr>
              <w:pStyle w:val="20"/>
              <w:rPr>
                <w:rFonts w:ascii="宋体" w:hAnsi="宋体" w:eastAsia="宋体" w:cs="宋体"/>
                <w:sz w:val="15"/>
                <w:szCs w:val="15"/>
              </w:rPr>
            </w:pPr>
          </w:p>
        </w:tc>
        <w:tc>
          <w:tcPr>
            <w:tcW w:w="750" w:type="dxa"/>
            <w:vAlign w:val="center"/>
          </w:tcPr>
          <w:p>
            <w:pPr>
              <w:pStyle w:val="20"/>
              <w:rPr>
                <w:rFonts w:ascii="宋体" w:hAnsi="宋体" w:eastAsia="宋体" w:cs="宋体"/>
                <w:sz w:val="15"/>
                <w:szCs w:val="15"/>
              </w:rPr>
            </w:pPr>
          </w:p>
        </w:tc>
        <w:tc>
          <w:tcPr>
            <w:tcW w:w="1170" w:type="dxa"/>
            <w:vAlign w:val="center"/>
          </w:tcPr>
          <w:p>
            <w:pPr>
              <w:pStyle w:val="20"/>
              <w:rPr>
                <w:rFonts w:ascii="宋体" w:hAnsi="宋体" w:eastAsia="宋体" w:cs="宋体"/>
                <w:sz w:val="15"/>
                <w:szCs w:val="15"/>
              </w:rPr>
            </w:pPr>
          </w:p>
        </w:tc>
        <w:tc>
          <w:tcPr>
            <w:tcW w:w="1005" w:type="dxa"/>
            <w:vAlign w:val="center"/>
          </w:tcPr>
          <w:p>
            <w:pPr>
              <w:pStyle w:val="20"/>
              <w:rPr>
                <w:rFonts w:ascii="宋体" w:hAnsi="宋体" w:eastAsia="宋体" w:cs="宋体"/>
                <w:sz w:val="15"/>
                <w:szCs w:val="15"/>
              </w:rPr>
            </w:pPr>
          </w:p>
        </w:tc>
      </w:tr>
    </w:tbl>
    <w:p>
      <w:pPr>
        <w:keepNext w:val="0"/>
        <w:keepLines w:val="0"/>
        <w:pageBreakBefore w:val="0"/>
        <w:widowControl/>
        <w:kinsoku/>
        <w:wordWrap/>
        <w:overflowPunct/>
        <w:topLinePunct w:val="0"/>
        <w:autoSpaceDE/>
        <w:autoSpaceDN/>
        <w:bidi w:val="0"/>
        <w:adjustRightInd/>
        <w:snapToGrid/>
        <w:spacing w:line="360" w:lineRule="auto"/>
        <w:ind w:firstLine="300" w:firstLineChars="200"/>
        <w:textAlignment w:val="auto"/>
        <w:rPr>
          <w:rFonts w:hint="eastAsia" w:ascii="宋体" w:eastAsia="宋体" w:cs="宋体"/>
          <w:sz w:val="15"/>
          <w:szCs w:val="15"/>
          <w:lang w:val="en-US" w:eastAsia="zh-CN"/>
        </w:rPr>
      </w:pPr>
      <w:r>
        <w:rPr>
          <w:rFonts w:hint="eastAsia" w:ascii="宋体" w:hAnsi="宋体" w:cs="宋体"/>
          <w:color w:val="000000"/>
          <w:sz w:val="15"/>
          <w:szCs w:val="15"/>
        </w:rPr>
        <w:t>注：同一采购目录序号的物品，其单价会因配置规格不同而变动，均符合资产配置标准。涉密采购事项按照相关规定</w:t>
      </w:r>
      <w:r>
        <w:rPr>
          <w:rFonts w:hint="eastAsia" w:ascii="宋体" w:hAnsi="宋体" w:cs="宋体"/>
          <w:color w:val="000000"/>
          <w:sz w:val="15"/>
          <w:szCs w:val="15"/>
          <w:lang w:val="en-US" w:eastAsia="zh-CN"/>
        </w:rPr>
        <w:t>执行。</w:t>
      </w:r>
    </w:p>
    <w:p>
      <w:pPr>
        <w:keepNext w:val="0"/>
        <w:keepLines w:val="0"/>
        <w:pageBreakBefore w:val="0"/>
        <w:widowControl/>
        <w:kinsoku/>
        <w:wordWrap/>
        <w:overflowPunct/>
        <w:topLinePunct w:val="0"/>
        <w:autoSpaceDE/>
        <w:autoSpaceDN/>
        <w:bidi w:val="0"/>
        <w:adjustRightInd/>
        <w:snapToGrid/>
        <w:spacing w:line="360" w:lineRule="auto"/>
        <w:ind w:firstLine="300" w:firstLineChars="200"/>
        <w:textAlignment w:val="auto"/>
        <w:rPr>
          <w:rFonts w:ascii="宋体" w:cs="宋体"/>
          <w:sz w:val="15"/>
          <w:szCs w:val="15"/>
        </w:rPr>
      </w:pPr>
      <w:r>
        <w:rPr>
          <w:rFonts w:hint="eastAsia" w:ascii="宋体" w:hAnsi="宋体" w:cs="宋体"/>
          <w:color w:val="000000"/>
          <w:sz w:val="15"/>
          <w:szCs w:val="15"/>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37" w:name="_Toc1104"/>
      <w:bookmarkStart w:id="38" w:name="_Toc14622"/>
      <w:bookmarkStart w:id="39" w:name="_Toc31635"/>
      <w:r>
        <w:rPr>
          <w:rFonts w:hint="eastAsia" w:ascii="黑体" w:hAnsi="黑体" w:eastAsia="黑体" w:cs="黑体"/>
          <w:color w:val="000000"/>
          <w:sz w:val="36"/>
          <w:szCs w:val="36"/>
        </w:rPr>
        <w:t>七、国有资产信息</w:t>
      </w:r>
      <w:bookmarkEnd w:id="37"/>
      <w:bookmarkEnd w:id="38"/>
      <w:bookmarkEnd w:id="39"/>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秦皇岛市山海关区房屋征收</w:t>
      </w:r>
      <w:r>
        <w:rPr>
          <w:rFonts w:hint="eastAsia" w:ascii="宋体" w:hAnsi="宋体" w:eastAsia="宋体" w:cs="宋体"/>
          <w:color w:val="000000"/>
          <w:sz w:val="28"/>
          <w:szCs w:val="28"/>
        </w:rPr>
        <w:t>中心上年末固定资产金额为</w:t>
      </w:r>
      <w:r>
        <w:rPr>
          <w:rFonts w:hint="eastAsia" w:ascii="宋体" w:hAnsi="宋体" w:eastAsia="宋体" w:cs="宋体"/>
          <w:color w:val="000000"/>
          <w:sz w:val="28"/>
          <w:szCs w:val="28"/>
          <w:lang w:eastAsia="zh-CN"/>
        </w:rPr>
        <w:t>111.44312</w:t>
      </w:r>
      <w:r>
        <w:rPr>
          <w:rFonts w:hint="eastAsia" w:ascii="宋体" w:hAnsi="宋体" w:eastAsia="宋体" w:cs="宋体"/>
          <w:color w:val="000000"/>
          <w:sz w:val="28"/>
          <w:szCs w:val="28"/>
        </w:rPr>
        <w:t>万元（详见下表）。本年度拟购置固定资产总额为0.00万元，已按要求列入政府采购预算，详见政府采购预算表。</w:t>
      </w:r>
    </w:p>
    <w:p>
      <w:pPr>
        <w:jc w:val="center"/>
        <w:rPr>
          <w:rFonts w:hint="eastAsia" w:ascii="宋体" w:hAnsi="宋体" w:eastAsia="宋体" w:cs="宋体"/>
          <w:color w:val="000000"/>
          <w:sz w:val="28"/>
          <w:szCs w:val="28"/>
        </w:rPr>
      </w:pPr>
    </w:p>
    <w:p>
      <w:pPr>
        <w:jc w:val="both"/>
        <w:rPr>
          <w:rFonts w:ascii="方正小标宋_GBK" w:hAnsi="方正小标宋_GBK" w:eastAsia="方正小标宋_GBK" w:cs="方正小标宋_GBK"/>
          <w:color w:val="000000"/>
          <w:sz w:val="28"/>
          <w:szCs w:val="28"/>
        </w:rPr>
      </w:pPr>
    </w:p>
    <w:p>
      <w:pPr>
        <w:jc w:val="both"/>
        <w:rPr>
          <w:rFonts w:ascii="方正小标宋_GBK" w:hAnsi="方正小标宋_GBK" w:eastAsia="方正小标宋_GBK" w:cs="方正小标宋_GBK"/>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sz w:val="28"/>
          <w:szCs w:val="28"/>
        </w:rPr>
      </w:pPr>
      <w:r>
        <w:rPr>
          <w:rFonts w:hint="eastAsia" w:ascii="宋体" w:hAnsi="宋体" w:cs="宋体"/>
          <w:color w:val="000000"/>
          <w:sz w:val="28"/>
          <w:szCs w:val="28"/>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5669" w:type="dxa"/>
            <w:gridSpan w:val="2"/>
            <w:tcBorders>
              <w:top w:val="single" w:color="FFFFFF" w:sz="6" w:space="0"/>
              <w:left w:val="single" w:color="FFFFFF" w:sz="6" w:space="0"/>
              <w:right w:val="single" w:color="FFFFFF" w:sz="6" w:space="0"/>
            </w:tcBorders>
            <w:vAlign w:val="center"/>
          </w:tcPr>
          <w:p>
            <w:pPr>
              <w:pStyle w:val="16"/>
              <w:rPr>
                <w:rFonts w:ascii="宋体" w:hAnsi="宋体" w:eastAsia="宋体" w:cs="宋体"/>
                <w:sz w:val="15"/>
                <w:szCs w:val="15"/>
              </w:rPr>
            </w:pPr>
            <w:r>
              <w:rPr>
                <w:rFonts w:hint="eastAsia" w:ascii="宋体" w:hAnsi="宋体" w:eastAsia="宋体" w:cs="宋体"/>
                <w:sz w:val="15"/>
                <w:szCs w:val="15"/>
              </w:rPr>
              <w:t>截止时间：</w:t>
            </w:r>
            <w:r>
              <w:rPr>
                <w:rFonts w:ascii="宋体" w:hAnsi="宋体" w:eastAsia="宋体" w:cs="宋体"/>
                <w:sz w:val="15"/>
                <w:szCs w:val="15"/>
              </w:rPr>
              <w:t>202</w:t>
            </w:r>
            <w:r>
              <w:rPr>
                <w:rFonts w:hint="eastAsia" w:ascii="宋体" w:hAnsi="宋体" w:eastAsia="宋体" w:cs="宋体"/>
                <w:sz w:val="15"/>
                <w:szCs w:val="15"/>
                <w:lang w:val="en-US" w:eastAsia="zh-CN"/>
              </w:rPr>
              <w:t>0</w:t>
            </w:r>
            <w:r>
              <w:rPr>
                <w:rFonts w:ascii="宋体" w:hAnsi="宋体" w:eastAsia="宋体" w:cs="宋体"/>
                <w:sz w:val="15"/>
                <w:szCs w:val="15"/>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9"/>
              <w:rPr>
                <w:rFonts w:ascii="宋体" w:hAnsi="宋体" w:eastAsia="宋体" w:cs="宋体"/>
                <w:sz w:val="15"/>
                <w:szCs w:val="15"/>
              </w:rPr>
            </w:pPr>
            <w:r>
              <w:rPr>
                <w:rFonts w:hint="eastAsia" w:ascii="宋体" w:hAnsi="宋体" w:eastAsia="宋体" w:cs="宋体"/>
                <w:sz w:val="15"/>
                <w:szCs w:val="15"/>
              </w:rPr>
              <w:t>项</w:t>
            </w:r>
            <w:r>
              <w:rPr>
                <w:rFonts w:ascii="宋体" w:hAnsi="宋体" w:eastAsia="宋体" w:cs="宋体"/>
                <w:sz w:val="15"/>
                <w:szCs w:val="15"/>
              </w:rPr>
              <w:t xml:space="preserve">   </w:t>
            </w:r>
            <w:r>
              <w:rPr>
                <w:rFonts w:hint="eastAsia" w:ascii="宋体" w:hAnsi="宋体" w:eastAsia="宋体" w:cs="宋体"/>
                <w:sz w:val="15"/>
                <w:szCs w:val="15"/>
              </w:rPr>
              <w:t>目</w:t>
            </w:r>
          </w:p>
        </w:tc>
        <w:tc>
          <w:tcPr>
            <w:tcW w:w="2835" w:type="dxa"/>
            <w:vAlign w:val="center"/>
          </w:tcPr>
          <w:p>
            <w:pPr>
              <w:pStyle w:val="19"/>
              <w:rPr>
                <w:rFonts w:ascii="宋体" w:hAnsi="宋体" w:eastAsia="宋体" w:cs="宋体"/>
                <w:sz w:val="15"/>
                <w:szCs w:val="15"/>
              </w:rPr>
            </w:pPr>
            <w:r>
              <w:rPr>
                <w:rFonts w:hint="eastAsia" w:ascii="宋体" w:hAnsi="宋体" w:eastAsia="宋体" w:cs="宋体"/>
                <w:sz w:val="15"/>
                <w:szCs w:val="15"/>
              </w:rPr>
              <w:t>数量</w:t>
            </w:r>
          </w:p>
        </w:tc>
        <w:tc>
          <w:tcPr>
            <w:tcW w:w="2835" w:type="dxa"/>
            <w:vAlign w:val="center"/>
          </w:tcPr>
          <w:p>
            <w:pPr>
              <w:pStyle w:val="19"/>
              <w:rPr>
                <w:rFonts w:ascii="宋体" w:hAnsi="宋体" w:eastAsia="宋体" w:cs="宋体"/>
                <w:sz w:val="15"/>
                <w:szCs w:val="15"/>
              </w:rPr>
            </w:pPr>
            <w:r>
              <w:rPr>
                <w:rFonts w:hint="eastAsia" w:ascii="宋体" w:hAnsi="宋体" w:eastAsia="宋体" w:cs="宋体"/>
                <w:sz w:val="15"/>
                <w:szCs w:val="15"/>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7370" w:type="dxa"/>
            <w:vAlign w:val="center"/>
          </w:tcPr>
          <w:p>
            <w:pPr>
              <w:pStyle w:val="19"/>
              <w:rPr>
                <w:rFonts w:ascii="宋体" w:hAnsi="宋体" w:eastAsia="宋体" w:cs="宋体"/>
                <w:sz w:val="15"/>
                <w:szCs w:val="15"/>
              </w:rPr>
            </w:pPr>
            <w:r>
              <w:rPr>
                <w:rFonts w:hint="eastAsia" w:ascii="宋体" w:hAnsi="宋体" w:eastAsia="宋体" w:cs="宋体"/>
                <w:sz w:val="15"/>
                <w:szCs w:val="15"/>
              </w:rPr>
              <w:t>资产总额</w:t>
            </w:r>
          </w:p>
        </w:tc>
        <w:tc>
          <w:tcPr>
            <w:tcW w:w="2835" w:type="dxa"/>
            <w:vAlign w:val="center"/>
          </w:tcPr>
          <w:p>
            <w:pPr>
              <w:pStyle w:val="19"/>
              <w:rPr>
                <w:rFonts w:ascii="宋体" w:hAnsi="宋体" w:eastAsia="宋体" w:cs="宋体"/>
                <w:sz w:val="15"/>
                <w:szCs w:val="15"/>
              </w:rPr>
            </w:pPr>
          </w:p>
        </w:tc>
        <w:tc>
          <w:tcPr>
            <w:tcW w:w="2835" w:type="dxa"/>
            <w:vAlign w:val="center"/>
          </w:tcPr>
          <w:p>
            <w:pPr>
              <w:pStyle w:val="19"/>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ascii="宋体" w:hAnsi="宋体" w:eastAsia="宋体" w:cs="宋体"/>
                <w:sz w:val="15"/>
                <w:szCs w:val="15"/>
              </w:rPr>
            </w:pPr>
            <w:r>
              <w:rPr>
                <w:rFonts w:ascii="宋体" w:hAnsi="宋体" w:eastAsia="宋体" w:cs="宋体"/>
                <w:sz w:val="15"/>
                <w:szCs w:val="15"/>
              </w:rPr>
              <w:t>1</w:t>
            </w:r>
            <w:r>
              <w:rPr>
                <w:rFonts w:hint="eastAsia" w:ascii="宋体" w:hAnsi="宋体" w:eastAsia="宋体" w:cs="宋体"/>
                <w:sz w:val="15"/>
                <w:szCs w:val="15"/>
              </w:rPr>
              <w:t>、房屋（平方米）</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2206.57</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78.160286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ascii="宋体" w:hAnsi="宋体" w:eastAsia="宋体" w:cs="宋体"/>
                <w:sz w:val="15"/>
                <w:szCs w:val="15"/>
              </w:rPr>
            </w:pPr>
            <w:r>
              <w:rPr>
                <w:rFonts w:hint="eastAsia" w:ascii="宋体" w:hAnsi="宋体" w:eastAsia="宋体" w:cs="宋体"/>
                <w:sz w:val="15"/>
                <w:szCs w:val="15"/>
              </w:rPr>
              <w:t>　　其中：办公用房（平方米）</w:t>
            </w:r>
          </w:p>
        </w:tc>
        <w:tc>
          <w:tcPr>
            <w:tcW w:w="2835" w:type="dxa"/>
            <w:vAlign w:val="center"/>
          </w:tcPr>
          <w:p>
            <w:pPr>
              <w:pStyle w:val="19"/>
              <w:rPr>
                <w:rFonts w:ascii="宋体" w:hAnsi="宋体" w:eastAsia="宋体" w:cs="宋体"/>
                <w:sz w:val="15"/>
                <w:szCs w:val="15"/>
              </w:rPr>
            </w:pPr>
          </w:p>
        </w:tc>
        <w:tc>
          <w:tcPr>
            <w:tcW w:w="2835" w:type="dxa"/>
            <w:vAlign w:val="center"/>
          </w:tcPr>
          <w:p>
            <w:pPr>
              <w:pStyle w:val="19"/>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ascii="宋体" w:hAnsi="宋体" w:eastAsia="宋体" w:cs="宋体"/>
                <w:sz w:val="15"/>
                <w:szCs w:val="15"/>
              </w:rPr>
            </w:pPr>
            <w:r>
              <w:rPr>
                <w:rFonts w:ascii="宋体" w:hAnsi="宋体" w:eastAsia="宋体" w:cs="宋体"/>
                <w:sz w:val="15"/>
                <w:szCs w:val="15"/>
              </w:rPr>
              <w:t>2</w:t>
            </w:r>
            <w:r>
              <w:rPr>
                <w:rFonts w:hint="eastAsia" w:ascii="宋体" w:hAnsi="宋体" w:eastAsia="宋体" w:cs="宋体"/>
                <w:sz w:val="15"/>
                <w:szCs w:val="15"/>
              </w:rPr>
              <w:t>、车辆（台、辆）</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4</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28.7215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ascii="宋体" w:hAnsi="宋体" w:eastAsia="宋体" w:cs="宋体"/>
                <w:sz w:val="15"/>
                <w:szCs w:val="15"/>
              </w:rPr>
            </w:pPr>
            <w:r>
              <w:rPr>
                <w:rFonts w:ascii="宋体" w:hAnsi="宋体" w:eastAsia="宋体" w:cs="宋体"/>
                <w:sz w:val="15"/>
                <w:szCs w:val="15"/>
              </w:rPr>
              <w:t>3</w:t>
            </w:r>
            <w:r>
              <w:rPr>
                <w:rFonts w:hint="eastAsia" w:ascii="宋体" w:hAnsi="宋体" w:eastAsia="宋体" w:cs="宋体"/>
                <w:sz w:val="15"/>
                <w:szCs w:val="15"/>
              </w:rPr>
              <w:t>、单价在</w:t>
            </w:r>
            <w:r>
              <w:rPr>
                <w:rFonts w:ascii="宋体" w:hAnsi="宋体" w:eastAsia="宋体" w:cs="宋体"/>
                <w:sz w:val="15"/>
                <w:szCs w:val="15"/>
              </w:rPr>
              <w:t>20</w:t>
            </w:r>
            <w:r>
              <w:rPr>
                <w:rFonts w:hint="eastAsia" w:ascii="宋体" w:hAnsi="宋体" w:eastAsia="宋体" w:cs="宋体"/>
                <w:sz w:val="15"/>
                <w:szCs w:val="15"/>
              </w:rPr>
              <w:t>万元以上的设备</w:t>
            </w:r>
          </w:p>
        </w:tc>
        <w:tc>
          <w:tcPr>
            <w:tcW w:w="2835" w:type="dxa"/>
            <w:vAlign w:val="center"/>
          </w:tcPr>
          <w:p>
            <w:pPr>
              <w:pStyle w:val="19"/>
              <w:rPr>
                <w:rFonts w:ascii="宋体" w:hAnsi="宋体" w:eastAsia="宋体" w:cs="宋体"/>
                <w:sz w:val="15"/>
                <w:szCs w:val="15"/>
              </w:rPr>
            </w:pPr>
          </w:p>
        </w:tc>
        <w:tc>
          <w:tcPr>
            <w:tcW w:w="2835" w:type="dxa"/>
            <w:vAlign w:val="center"/>
          </w:tcPr>
          <w:p>
            <w:pPr>
              <w:pStyle w:val="19"/>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ascii="宋体" w:hAnsi="宋体" w:eastAsia="宋体" w:cs="宋体"/>
                <w:sz w:val="15"/>
                <w:szCs w:val="15"/>
              </w:rPr>
            </w:pPr>
            <w:r>
              <w:rPr>
                <w:rFonts w:ascii="宋体" w:hAnsi="宋体" w:eastAsia="宋体" w:cs="宋体"/>
                <w:sz w:val="15"/>
                <w:szCs w:val="15"/>
              </w:rPr>
              <w:t>4</w:t>
            </w:r>
            <w:r>
              <w:rPr>
                <w:rFonts w:hint="eastAsia" w:ascii="宋体" w:hAnsi="宋体" w:eastAsia="宋体" w:cs="宋体"/>
                <w:sz w:val="15"/>
                <w:szCs w:val="15"/>
              </w:rPr>
              <w:t>、其他固定资产</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26</w:t>
            </w:r>
          </w:p>
        </w:tc>
        <w:tc>
          <w:tcPr>
            <w:tcW w:w="2835" w:type="dxa"/>
            <w:vAlign w:val="center"/>
          </w:tcPr>
          <w:p>
            <w:pPr>
              <w:pStyle w:val="19"/>
              <w:rPr>
                <w:rFonts w:ascii="宋体" w:hAnsi="宋体" w:eastAsia="宋体" w:cs="宋体"/>
                <w:sz w:val="15"/>
                <w:szCs w:val="15"/>
                <w:lang w:eastAsia="zh-CN"/>
              </w:rPr>
            </w:pPr>
            <w:r>
              <w:rPr>
                <w:rFonts w:ascii="宋体" w:hAnsi="宋体" w:eastAsia="宋体" w:cs="宋体"/>
                <w:sz w:val="15"/>
                <w:szCs w:val="15"/>
                <w:lang w:eastAsia="zh-CN"/>
              </w:rPr>
              <w:t>4.561334</w:t>
            </w:r>
          </w:p>
        </w:tc>
      </w:tr>
    </w:tbl>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bookmarkStart w:id="40" w:name="_Toc101"/>
      <w:bookmarkStart w:id="41" w:name="_Toc26564"/>
      <w:bookmarkStart w:id="42" w:name="_Toc11344"/>
      <w:r>
        <w:rPr>
          <w:rFonts w:hint="eastAsia" w:ascii="黑体" w:hAnsi="黑体" w:eastAsia="黑体" w:cs="黑体"/>
          <w:color w:val="000000"/>
          <w:sz w:val="36"/>
          <w:szCs w:val="36"/>
        </w:rPr>
        <w:t>八、名词解释</w:t>
      </w:r>
      <w:bookmarkEnd w:id="40"/>
      <w:bookmarkEnd w:id="41"/>
      <w:bookmarkEnd w:id="42"/>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rPr>
        <w:t>1、一般公共预算拨款收入：</w:t>
      </w:r>
      <w:r>
        <w:rPr>
          <w:rFonts w:hint="eastAsia" w:ascii="宋体" w:hAnsi="宋体" w:eastAsia="宋体" w:cs="宋体"/>
          <w:color w:val="000000"/>
          <w:sz w:val="28"/>
          <w:szCs w:val="28"/>
        </w:rPr>
        <w:t>指</w:t>
      </w:r>
      <w:r>
        <w:rPr>
          <w:rFonts w:hint="eastAsia" w:ascii="宋体" w:hAnsi="宋体" w:eastAsia="宋体" w:cs="宋体"/>
          <w:color w:val="000000"/>
          <w:sz w:val="28"/>
          <w:szCs w:val="28"/>
          <w:lang w:eastAsia="zh-CN"/>
        </w:rPr>
        <w:t>县</w:t>
      </w:r>
      <w:r>
        <w:rPr>
          <w:rFonts w:hint="eastAsia" w:ascii="宋体" w:hAnsi="宋体" w:eastAsia="宋体" w:cs="宋体"/>
          <w:color w:val="000000"/>
          <w:sz w:val="28"/>
          <w:szCs w:val="28"/>
        </w:rPr>
        <w:t>级财政当年拨付的资金。</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2、事业收入：</w:t>
      </w:r>
      <w:r>
        <w:rPr>
          <w:rFonts w:hint="eastAsia" w:ascii="宋体" w:hAnsi="宋体" w:eastAsia="宋体" w:cs="宋体"/>
          <w:color w:val="000000"/>
          <w:sz w:val="28"/>
          <w:szCs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3、其他收入：</w:t>
      </w:r>
      <w:r>
        <w:rPr>
          <w:rFonts w:hint="eastAsia" w:ascii="宋体" w:hAnsi="宋体" w:eastAsia="宋体" w:cs="宋体"/>
          <w:color w:val="000000"/>
          <w:sz w:val="28"/>
          <w:szCs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4、基本支出：</w:t>
      </w:r>
      <w:r>
        <w:rPr>
          <w:rFonts w:hint="eastAsia" w:ascii="宋体" w:hAnsi="宋体" w:eastAsia="宋体" w:cs="宋体"/>
          <w:color w:val="000000"/>
          <w:sz w:val="28"/>
          <w:szCs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5、项目支出：</w:t>
      </w:r>
      <w:r>
        <w:rPr>
          <w:rFonts w:hint="eastAsia" w:ascii="宋体" w:hAnsi="宋体" w:eastAsia="宋体" w:cs="宋体"/>
          <w:color w:val="000000"/>
          <w:sz w:val="28"/>
          <w:szCs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6、上缴上级支出：</w:t>
      </w:r>
      <w:r>
        <w:rPr>
          <w:rFonts w:hint="eastAsia" w:ascii="宋体" w:hAnsi="宋体" w:eastAsia="宋体" w:cs="宋体"/>
          <w:color w:val="000000"/>
          <w:sz w:val="28"/>
          <w:szCs w:val="28"/>
        </w:rPr>
        <w:t>指下级单位上缴上级的支出。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7、“三公”经费：</w:t>
      </w:r>
      <w:r>
        <w:rPr>
          <w:rFonts w:hint="eastAsia" w:ascii="宋体" w:hAnsi="宋体" w:eastAsia="宋体" w:cs="宋体"/>
          <w:color w:val="000000"/>
          <w:sz w:val="28"/>
          <w:szCs w:val="28"/>
        </w:rPr>
        <w:t>纳入</w:t>
      </w:r>
      <w:r>
        <w:rPr>
          <w:rFonts w:hint="eastAsia" w:ascii="宋体" w:hAnsi="宋体" w:cs="宋体"/>
          <w:color w:val="000000"/>
          <w:sz w:val="28"/>
          <w:szCs w:val="28"/>
          <w:lang w:val="en-US" w:eastAsia="zh-CN"/>
        </w:rPr>
        <w:t>县</w:t>
      </w:r>
      <w:r>
        <w:rPr>
          <w:rFonts w:hint="eastAsia" w:ascii="宋体" w:hAnsi="宋体" w:eastAsia="宋体" w:cs="宋体"/>
          <w:color w:val="000000"/>
          <w:sz w:val="28"/>
          <w:szCs w:val="28"/>
        </w:rPr>
        <w:t>级财政预算管理的“三公”经费，是指</w:t>
      </w:r>
      <w:r>
        <w:rPr>
          <w:rFonts w:hint="eastAsia" w:ascii="宋体" w:hAnsi="宋体" w:cs="宋体"/>
          <w:color w:val="000000"/>
          <w:sz w:val="28"/>
          <w:szCs w:val="28"/>
          <w:lang w:val="en-US" w:eastAsia="zh-CN"/>
        </w:rPr>
        <w:t>县级</w:t>
      </w:r>
      <w:r>
        <w:rPr>
          <w:rFonts w:hint="eastAsia" w:ascii="宋体" w:hAnsi="宋体" w:eastAsia="宋体" w:cs="宋体"/>
          <w:color w:val="000000"/>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8、机关运行费：</w:t>
      </w:r>
      <w:r>
        <w:rPr>
          <w:rFonts w:hint="eastAsia" w:ascii="宋体" w:hAnsi="宋体" w:eastAsia="宋体" w:cs="宋体"/>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9、上年结转：</w:t>
      </w:r>
      <w:r>
        <w:rPr>
          <w:rFonts w:hint="eastAsia" w:ascii="宋体" w:hAnsi="宋体" w:eastAsia="宋体" w:cs="宋体"/>
          <w:color w:val="000000"/>
          <w:sz w:val="28"/>
          <w:szCs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10、事业单位经营支出：</w:t>
      </w:r>
      <w:r>
        <w:rPr>
          <w:rFonts w:hint="eastAsia" w:ascii="宋体" w:hAnsi="宋体" w:eastAsia="宋体" w:cs="宋体"/>
          <w:color w:val="000000"/>
          <w:sz w:val="28"/>
          <w:szCs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rFonts w:hint="eastAsia" w:ascii="黑体" w:hAnsi="黑体" w:eastAsia="黑体" w:cs="黑体"/>
          <w:color w:val="000000"/>
          <w:sz w:val="36"/>
          <w:szCs w:val="36"/>
          <w:lang w:eastAsia="zh-CN"/>
        </w:rPr>
      </w:pPr>
      <w:bookmarkStart w:id="43" w:name="_Toc3330"/>
      <w:bookmarkStart w:id="44" w:name="_Toc727"/>
      <w:bookmarkStart w:id="45" w:name="_Toc1672"/>
      <w:r>
        <w:rPr>
          <w:rFonts w:hint="eastAsia" w:ascii="黑体" w:hAnsi="黑体" w:eastAsia="黑体" w:cs="黑体"/>
          <w:color w:val="000000"/>
          <w:sz w:val="36"/>
          <w:szCs w:val="36"/>
          <w:lang w:eastAsia="zh-CN"/>
        </w:rPr>
        <w:t>九、其他需要说明的事项</w:t>
      </w:r>
      <w:bookmarkEnd w:id="43"/>
      <w:bookmarkEnd w:id="44"/>
      <w:bookmarkEnd w:id="45"/>
    </w:p>
    <w:p>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我单位无其他需要说明的事项。</w:t>
      </w:r>
    </w:p>
    <w:sectPr>
      <w:headerReference r:id="rId3" w:type="default"/>
      <w:footerReference r:id="rId4" w:type="default"/>
      <w:pgSz w:w="16838" w:h="11906" w:orient="landscape"/>
      <w:pgMar w:top="1361"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rect id="4098" o:spid="_x0000_s4097" o:spt="1"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4"/>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w:t>
                </w:r>
                <w:r>
                  <w:rPr>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6"/>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C06"/>
    <w:rsid w:val="00005C06"/>
    <w:rsid w:val="00646FAD"/>
    <w:rsid w:val="00673335"/>
    <w:rsid w:val="007169A1"/>
    <w:rsid w:val="007D4862"/>
    <w:rsid w:val="008E7451"/>
    <w:rsid w:val="0C1E1901"/>
    <w:rsid w:val="0DBC58F6"/>
    <w:rsid w:val="0F373BF9"/>
    <w:rsid w:val="11F17F5E"/>
    <w:rsid w:val="1F884882"/>
    <w:rsid w:val="211B39F2"/>
    <w:rsid w:val="21DE7FBA"/>
    <w:rsid w:val="24FD1EC9"/>
    <w:rsid w:val="25AB23AC"/>
    <w:rsid w:val="25F34519"/>
    <w:rsid w:val="26231BDA"/>
    <w:rsid w:val="27490257"/>
    <w:rsid w:val="2D406C8E"/>
    <w:rsid w:val="2F1918C4"/>
    <w:rsid w:val="2FC46771"/>
    <w:rsid w:val="302832D1"/>
    <w:rsid w:val="30DE29C7"/>
    <w:rsid w:val="38A1694D"/>
    <w:rsid w:val="3A757327"/>
    <w:rsid w:val="3D03150F"/>
    <w:rsid w:val="3F44575B"/>
    <w:rsid w:val="3F801101"/>
    <w:rsid w:val="3FB83C29"/>
    <w:rsid w:val="409370DC"/>
    <w:rsid w:val="42E24160"/>
    <w:rsid w:val="436704AF"/>
    <w:rsid w:val="43B03F9F"/>
    <w:rsid w:val="43BB1E79"/>
    <w:rsid w:val="471E5D28"/>
    <w:rsid w:val="482F5AAD"/>
    <w:rsid w:val="484C6E56"/>
    <w:rsid w:val="4A8A534C"/>
    <w:rsid w:val="4DE77861"/>
    <w:rsid w:val="523C5EA4"/>
    <w:rsid w:val="548728E1"/>
    <w:rsid w:val="56861E52"/>
    <w:rsid w:val="5AA573F7"/>
    <w:rsid w:val="5E370E83"/>
    <w:rsid w:val="5E4B1B42"/>
    <w:rsid w:val="5FEA4945"/>
    <w:rsid w:val="61950914"/>
    <w:rsid w:val="67800EE0"/>
    <w:rsid w:val="687478C7"/>
    <w:rsid w:val="69C71740"/>
    <w:rsid w:val="6D3A0799"/>
    <w:rsid w:val="6D86005A"/>
    <w:rsid w:val="7027157D"/>
    <w:rsid w:val="70CE2A4A"/>
    <w:rsid w:val="70F22B4D"/>
    <w:rsid w:val="714A44A6"/>
    <w:rsid w:val="72D006EF"/>
    <w:rsid w:val="74B93B6F"/>
    <w:rsid w:val="791E7940"/>
    <w:rsid w:val="7AA07E83"/>
    <w:rsid w:val="7B370F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28"/>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link w:val="29"/>
    <w:qFormat/>
    <w:uiPriority w:val="99"/>
  </w:style>
  <w:style w:type="paragraph" w:styleId="7">
    <w:name w:val="toc 2"/>
    <w:basedOn w:val="1"/>
    <w:next w:val="1"/>
    <w:qFormat/>
    <w:uiPriority w:val="99"/>
    <w:pPr>
      <w:ind w:left="420" w:leftChars="200"/>
    </w:pPr>
  </w:style>
  <w:style w:type="character" w:customStyle="1" w:styleId="10">
    <w:name w:val="Footer Char"/>
    <w:basedOn w:val="9"/>
    <w:link w:val="4"/>
    <w:semiHidden/>
    <w:qFormat/>
    <w:uiPriority w:val="99"/>
    <w:rPr>
      <w:kern w:val="0"/>
      <w:sz w:val="18"/>
      <w:szCs w:val="18"/>
      <w:lang w:eastAsia="uk-UA"/>
    </w:rPr>
  </w:style>
  <w:style w:type="character" w:customStyle="1" w:styleId="11">
    <w:name w:val="Header Char"/>
    <w:basedOn w:val="9"/>
    <w:link w:val="5"/>
    <w:semiHidden/>
    <w:qFormat/>
    <w:uiPriority w:val="99"/>
    <w:rPr>
      <w:kern w:val="0"/>
      <w:sz w:val="18"/>
      <w:szCs w:val="18"/>
      <w:lang w:eastAsia="uk-UA"/>
    </w:rPr>
  </w:style>
  <w:style w:type="paragraph" w:customStyle="1" w:styleId="1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3">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21"/>
    <w:basedOn w:val="1"/>
    <w:qFormat/>
    <w:uiPriority w:val="99"/>
    <w:pPr>
      <w:jc w:val="center"/>
    </w:pPr>
    <w:rPr>
      <w:rFonts w:ascii="方正小标宋_GBK" w:hAnsi="方正小标宋_GBK" w:eastAsia="方正小标宋_GBK" w:cs="方正小标宋_GBK"/>
    </w:rPr>
  </w:style>
  <w:style w:type="paragraph" w:customStyle="1" w:styleId="16">
    <w:name w:val="单元格样式22"/>
    <w:basedOn w:val="1"/>
    <w:qFormat/>
    <w:uiPriority w:val="99"/>
    <w:pPr>
      <w:jc w:val="right"/>
    </w:pPr>
    <w:rPr>
      <w:rFonts w:ascii="方正小标宋_GBK" w:hAnsi="方正小标宋_GBK" w:eastAsia="方正小标宋_GBK" w:cs="方正小标宋_GBK"/>
    </w:rPr>
  </w:style>
  <w:style w:type="paragraph" w:customStyle="1" w:styleId="17">
    <w:name w:val="单元格样式1"/>
    <w:basedOn w:val="1"/>
    <w:qFormat/>
    <w:uiPriority w:val="99"/>
    <w:pPr>
      <w:jc w:val="center"/>
    </w:pPr>
    <w:rPr>
      <w:rFonts w:ascii="方正书宋_GBK" w:hAnsi="方正书宋_GBK" w:eastAsia="方正书宋_GBK" w:cs="方正书宋_GBK"/>
      <w:b/>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2"/>
    <w:basedOn w:val="1"/>
    <w:qFormat/>
    <w:uiPriority w:val="99"/>
    <w:rPr>
      <w:rFonts w:ascii="方正书宋_GBK" w:hAnsi="方正书宋_GBK" w:eastAsia="方正书宋_GBK" w:cs="方正书宋_GBK"/>
      <w:sz w:val="21"/>
    </w:rPr>
  </w:style>
  <w:style w:type="paragraph" w:customStyle="1" w:styleId="20">
    <w:name w:val="单元格样式4"/>
    <w:basedOn w:val="1"/>
    <w:qFormat/>
    <w:uiPriority w:val="99"/>
    <w:pPr>
      <w:jc w:val="right"/>
    </w:pPr>
    <w:rPr>
      <w:rFonts w:ascii="方正书宋_GBK" w:hAnsi="方正书宋_GBK" w:eastAsia="方正书宋_GBK" w:cs="方正书宋_GBK"/>
      <w:sz w:val="21"/>
    </w:rPr>
  </w:style>
  <w:style w:type="paragraph" w:customStyle="1" w:styleId="21">
    <w:name w:val="单元格样式6"/>
    <w:basedOn w:val="1"/>
    <w:qFormat/>
    <w:uiPriority w:val="99"/>
    <w:pPr>
      <w:jc w:val="center"/>
    </w:pPr>
    <w:rPr>
      <w:rFonts w:ascii="方正书宋_GBK" w:hAnsi="方正书宋_GBK" w:eastAsia="方正书宋_GBK" w:cs="方正书宋_GBK"/>
      <w:b/>
      <w:sz w:val="21"/>
    </w:rPr>
  </w:style>
  <w:style w:type="paragraph" w:customStyle="1" w:styleId="22">
    <w:name w:val="单元格样式7"/>
    <w:basedOn w:val="1"/>
    <w:qFormat/>
    <w:uiPriority w:val="99"/>
    <w:pPr>
      <w:jc w:val="right"/>
    </w:pPr>
    <w:rPr>
      <w:rFonts w:ascii="方正书宋_GBK" w:hAnsi="方正书宋_GBK" w:eastAsia="方正书宋_GBK" w:cs="方正书宋_GBK"/>
      <w:b/>
      <w:sz w:val="21"/>
    </w:rPr>
  </w:style>
  <w:style w:type="paragraph" w:customStyle="1" w:styleId="23">
    <w:name w:val="单元格样式5"/>
    <w:basedOn w:val="1"/>
    <w:qFormat/>
    <w:uiPriority w:val="99"/>
    <w:rPr>
      <w:rFonts w:ascii="方正书宋_GBK" w:hAnsi="方正书宋_GBK" w:eastAsia="方正书宋_GBK" w:cs="方正书宋_GBK"/>
      <w:b/>
      <w:sz w:val="21"/>
    </w:rPr>
  </w:style>
  <w:style w:type="paragraph" w:customStyle="1" w:styleId="2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character" w:customStyle="1" w:styleId="28">
    <w:name w:val="标题 1 Char"/>
    <w:link w:val="2"/>
    <w:qFormat/>
    <w:uiPriority w:val="0"/>
    <w:rPr>
      <w:b/>
      <w:kern w:val="44"/>
      <w:sz w:val="44"/>
    </w:rPr>
  </w:style>
  <w:style w:type="character" w:customStyle="1" w:styleId="29">
    <w:name w:val="目录 1 Char"/>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1239</Words>
  <Characters>7063</Characters>
  <Lines>0</Lines>
  <Paragraphs>0</Paragraphs>
  <TotalTime>72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2022-06-20T03:00:00Z</dcterms:created>
  <dc:creator>Administrator</dc:creator>
  <cp:lastModifiedBy>Administrator</cp:lastModifiedBy>
  <dcterms:modified xsi:type="dcterms:W3CDTF">2024-01-19T06:23:07Z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aa36cf848c5246ff8f65a66ffa50748a</vt:lpwstr>
  </property>
</Properties>
</file>