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eastAsia="黑体"/>
          <w:lang w:eastAsia="zh-CN"/>
        </w:rPr>
      </w:pPr>
      <w:r>
        <w:rPr>
          <w:rFonts w:hint="eastAsia" w:ascii="黑体" w:hAnsi="黑体" w:eastAsia="黑体" w:cs="黑体"/>
          <w:b/>
          <w:color w:val="000000"/>
          <w:sz w:val="44"/>
          <w:lang w:eastAsia="zh-CN"/>
        </w:rPr>
        <w:t>中共秦皇岛市山海关区委办公室本级</w:t>
      </w: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r>
        <w:rPr>
          <w:rFonts w:hint="eastAsia" w:ascii="黑体" w:hAnsi="黑体" w:eastAsia="黑体" w:cs="黑体"/>
          <w:b/>
          <w:color w:val="000000"/>
          <w:sz w:val="44"/>
          <w:lang w:eastAsia="zh-CN"/>
        </w:rPr>
        <w:t>目录</w:t>
      </w:r>
    </w:p>
    <w:p>
      <w:pPr>
        <w:jc w:val="center"/>
      </w:pPr>
      <w:r>
        <w:rPr>
          <w:rFonts w:ascii="黑体" w:hAnsi="黑体" w:eastAsia="黑体" w:cs="黑体"/>
          <w:b/>
          <w:color w:val="000000"/>
          <w:sz w:val="30"/>
        </w:rPr>
        <w:t xml:space="preserve"> </w:t>
      </w:r>
    </w:p>
    <w:p>
      <w:pPr>
        <w:pStyle w:val="5"/>
        <w:tabs>
          <w:tab w:val="right" w:leader="dot" w:pos="14562"/>
        </w:tabs>
      </w:pPr>
      <w:r>
        <w:fldChar w:fldCharType="begin"/>
      </w:r>
      <w:r>
        <w:instrText xml:space="preserve">TOC \o "4-4" \h \z \u</w:instrText>
      </w:r>
      <w:r>
        <w:fldChar w:fldCharType="separate"/>
      </w:r>
    </w:p>
    <w:p>
      <w:pPr>
        <w:spacing w:before="0" w:after="0" w:line="240" w:lineRule="auto"/>
        <w:ind w:firstLine="0"/>
        <w:jc w:val="left"/>
        <w:outlineLvl w:val="9"/>
        <w:rPr>
          <w:rFonts w:hint="eastAsia" w:ascii="方正楷体_GBK" w:hAnsi="方正楷体_GBK" w:eastAsia="方正楷体_GBK" w:cs="方正楷体_GBK"/>
          <w:b/>
          <w:color w:val="000000"/>
          <w:sz w:val="28"/>
          <w:lang w:eastAsia="zh-CN"/>
        </w:rPr>
      </w:pPr>
      <w:r>
        <w:rPr>
          <w:rFonts w:ascii="方正楷体_GBK" w:hAnsi="方正楷体_GBK" w:eastAsia="方正楷体_GBK" w:cs="方正楷体_GBK"/>
          <w:b/>
          <w:color w:val="000000"/>
          <w:sz w:val="28"/>
        </w:rPr>
        <w:t>区委</w:t>
      </w:r>
      <w:r>
        <w:rPr>
          <w:rFonts w:hint="eastAsia" w:ascii="方正楷体_GBK" w:hAnsi="方正楷体_GBK" w:eastAsia="方正楷体_GBK" w:cs="方正楷体_GBK"/>
          <w:b/>
          <w:color w:val="000000"/>
          <w:sz w:val="28"/>
          <w:lang w:eastAsia="zh-CN"/>
        </w:rPr>
        <w:t>办公室</w:t>
      </w:r>
      <w:r>
        <w:rPr>
          <w:rFonts w:ascii="方正楷体_GBK" w:hAnsi="方正楷体_GBK" w:eastAsia="方正楷体_GBK" w:cs="方正楷体_GBK"/>
          <w:b/>
          <w:color w:val="000000"/>
          <w:sz w:val="28"/>
        </w:rPr>
        <w:t>本级</w:t>
      </w:r>
      <w:r>
        <w:rPr>
          <w:rFonts w:hint="eastAsia" w:ascii="方正楷体_GBK" w:hAnsi="方正楷体_GBK" w:eastAsia="方正楷体_GBK" w:cs="方正楷体_GBK"/>
          <w:b/>
          <w:color w:val="000000"/>
          <w:sz w:val="28"/>
          <w:lang w:eastAsia="zh-CN"/>
        </w:rPr>
        <w:t>收支预算</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8</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1</w:t>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区委</w:t>
      </w:r>
      <w:r>
        <w:rPr>
          <w:rFonts w:hint="eastAsia" w:ascii="方正楷体_GBK" w:hAnsi="方正楷体_GBK" w:eastAsia="方正楷体_GBK" w:cs="方正楷体_GBK"/>
          <w:b/>
          <w:color w:val="000000"/>
          <w:sz w:val="28"/>
          <w:lang w:eastAsia="zh-CN"/>
        </w:rPr>
        <w:t>办公室</w:t>
      </w:r>
      <w:r>
        <w:rPr>
          <w:rFonts w:ascii="方正楷体_GBK" w:hAnsi="方正楷体_GBK" w:eastAsia="方正楷体_GBK" w:cs="方正楷体_GBK"/>
          <w:b/>
          <w:color w:val="000000"/>
          <w:sz w:val="28"/>
        </w:rPr>
        <w:t>本级预算信息公开情况说明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二、预算安排的总体情况</w:t>
      </w:r>
      <w:r>
        <w:tab/>
      </w:r>
      <w:r>
        <w:rPr>
          <w:rFonts w:hint="eastAsia"/>
          <w:lang w:val="en-US" w:eastAsia="zh-CN"/>
        </w:rPr>
        <w:t>1</w:t>
      </w:r>
      <w:r>
        <w:fldChar w:fldCharType="end"/>
      </w:r>
      <w:r>
        <w:rPr>
          <w:rFonts w:hint="eastAsia"/>
          <w:lang w:val="en-US" w:eastAsia="zh-CN"/>
        </w:rPr>
        <w:t>7</w:t>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9</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pPr>
        <w:pStyle w:val="5"/>
        <w:tabs>
          <w:tab w:val="right" w:leader="dot" w:pos="14562"/>
        </w:tabs>
      </w:pPr>
      <w:r>
        <w:fldChar w:fldCharType="end"/>
      </w:r>
      <w:r>
        <w:fldChar w:fldCharType="begin"/>
      </w:r>
      <w:r>
        <w:instrText xml:space="preserve"> HYPERLINK \l "_Toc_4_4_0000000020" </w:instrText>
      </w:r>
      <w:r>
        <w:fldChar w:fldCharType="separate"/>
      </w:r>
      <w:r>
        <w:fldChar w:fldCharType="end"/>
      </w:r>
    </w:p>
    <w:p>
      <w:pPr>
        <w:pStyle w:val="5"/>
        <w:tabs>
          <w:tab w:val="right" w:leader="dot" w:pos="14562"/>
        </w:tabs>
      </w:pPr>
      <w:r>
        <w:fldChar w:fldCharType="begin"/>
      </w:r>
      <w:r>
        <w:instrText xml:space="preserve"> HYPERLINK \l "_Toc_4_4_0000000021" </w:instrText>
      </w:r>
      <w:r>
        <w:fldChar w:fldCharType="separate"/>
      </w:r>
      <w:r>
        <w:fldChar w:fldCharType="end"/>
      </w:r>
    </w:p>
    <w:p>
      <w:pPr>
        <w:pStyle w:val="5"/>
        <w:tabs>
          <w:tab w:val="right" w:leader="dot" w:pos="14562"/>
        </w:tabs>
      </w:pPr>
      <w:r>
        <w:fldChar w:fldCharType="begin"/>
      </w:r>
      <w:r>
        <w:instrText xml:space="preserve"> HYPERLINK \l "_Toc_4_4_0000000022" </w:instrText>
      </w:r>
      <w:r>
        <w:fldChar w:fldCharType="separate"/>
      </w:r>
      <w:r>
        <w:fldChar w:fldCharType="end"/>
      </w:r>
    </w:p>
    <w:p>
      <w:pPr>
        <w:jc w:val="center"/>
        <w:outlineLvl w:val="3"/>
      </w:pPr>
      <w: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中共秦皇岛市山海关区委办公室</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一、一般公共预算拨款收入</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5315318.20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一、一般公共服务支出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二、政府性基金预算拨款收入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二、外交支出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三、国有资本经营预算拨款收入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三、国防支出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4</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四、财政专户管理资金收入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四、公共安全支出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五、事业收入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五、教育支出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6</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六、事业单位经营收入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六、科学技术支出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七、上级补助收入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七、文化旅游体育与传媒支出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八、附属单位上缴收入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八、社会保障和就业支出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九、其他收入</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九、社会保险基金支出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10</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十、卫生健康支出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11</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十一、节能环保支出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12</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十二、城乡社区支出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13</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十三、农林水支出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14</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十四、交通运输支出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15</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十五、资源勘探工业信息等支出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16</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十六、商业服务业等支出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17</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十七、金融支出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18</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十八、援助其他地区支出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19</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十九、自然资源海洋气象等支出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20</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二十、住房保障支出</w:t>
            </w:r>
          </w:p>
        </w:tc>
        <w:tc>
          <w:tcPr>
            <w:tcW w:w="212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二十一、粮油物资储备支出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二十二、国有资本经营预算支出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23</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24</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二十四、预备费</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25</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二十五、其他支出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26</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二十六、转移性支出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27</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二十七、债务还本支出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28</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二十八、债务付息支出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29</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二十九、债务发行费用支出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w:t>
            </w:r>
          </w:p>
        </w:tc>
        <w:tc>
          <w:tcPr>
            <w:tcW w:w="4535" w:type="dxa"/>
            <w:vAlign w:val="center"/>
          </w:tcPr>
          <w:p>
            <w:pPr>
              <w:jc w:val="left"/>
            </w:pP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三十、抗疫特别国债安排的支出</w:t>
            </w:r>
          </w:p>
        </w:tc>
        <w:tc>
          <w:tcPr>
            <w:tcW w:w="2126"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31</w:t>
            </w:r>
          </w:p>
        </w:tc>
        <w:tc>
          <w:tcPr>
            <w:tcW w:w="4535" w:type="dxa"/>
            <w:vAlign w:val="center"/>
          </w:tcPr>
          <w:p>
            <w:pPr>
              <w:pStyle w:val="19"/>
              <w:rPr>
                <w:rFonts w:hint="default"/>
                <w:sz w:val="18"/>
                <w:szCs w:val="18"/>
                <w:lang w:val="en-US" w:eastAsia="zh-CN"/>
              </w:rPr>
            </w:pPr>
            <w:r>
              <w:rPr>
                <w:rFonts w:hint="eastAsia"/>
                <w:sz w:val="18"/>
                <w:szCs w:val="18"/>
                <w:lang w:val="en-US" w:eastAsia="zh-CN"/>
              </w:rPr>
              <w:t>本年收入合计</w:t>
            </w:r>
          </w:p>
        </w:tc>
        <w:tc>
          <w:tcPr>
            <w:tcW w:w="2126" w:type="dxa"/>
            <w:vAlign w:val="center"/>
          </w:tcPr>
          <w:p>
            <w:pPr>
              <w:pStyle w:val="19"/>
              <w:jc w:val="right"/>
              <w:rPr>
                <w:rFonts w:hint="default"/>
                <w:lang w:val="en-US" w:eastAsia="zh-CN"/>
              </w:rPr>
            </w:pPr>
            <w:r>
              <w:rPr>
                <w:rFonts w:hint="eastAsia"/>
                <w:sz w:val="18"/>
                <w:szCs w:val="18"/>
                <w:lang w:val="en-US" w:eastAsia="zh-CN"/>
              </w:rPr>
              <w:t>5315318.20</w:t>
            </w:r>
          </w:p>
        </w:tc>
        <w:tc>
          <w:tcPr>
            <w:tcW w:w="4535" w:type="dxa"/>
            <w:vAlign w:val="center"/>
          </w:tcPr>
          <w:p>
            <w:pPr>
              <w:pStyle w:val="19"/>
              <w:rPr>
                <w:rFonts w:hint="default"/>
                <w:lang w:val="en-US" w:eastAsia="zh-CN"/>
              </w:rPr>
            </w:pPr>
            <w:r>
              <w:rPr>
                <w:rFonts w:hint="eastAsia"/>
                <w:sz w:val="18"/>
                <w:szCs w:val="18"/>
                <w:lang w:val="en-US" w:eastAsia="zh-CN"/>
              </w:rPr>
              <w:t>本年支出合计</w:t>
            </w:r>
          </w:p>
        </w:tc>
        <w:tc>
          <w:tcPr>
            <w:tcW w:w="2126"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18"/>
                <w:szCs w:val="18"/>
                <w:lang w:val="en-US" w:eastAsia="zh-CN" w:bidi="ar-SA"/>
              </w:rPr>
            </w:pPr>
            <w:r>
              <w:rPr>
                <w:rFonts w:hint="eastAsia" w:ascii="方正书宋_GBK" w:hAnsi="方正书宋_GBK" w:eastAsia="方正书宋_GBK" w:cs="方正书宋_GBK"/>
                <w:b/>
                <w:sz w:val="18"/>
                <w:szCs w:val="18"/>
                <w:lang w:val="en-US" w:eastAsia="zh-CN" w:bidi="ar-SA"/>
              </w:rPr>
              <w:t>5315318.20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32</w:t>
            </w:r>
          </w:p>
        </w:tc>
        <w:tc>
          <w:tcPr>
            <w:tcW w:w="4535" w:type="dxa"/>
            <w:vAlign w:val="center"/>
          </w:tcPr>
          <w:p>
            <w:pPr>
              <w:keepNext w:val="0"/>
              <w:keepLines w:val="0"/>
              <w:widowControl/>
              <w:suppressLineNumbers w:val="0"/>
              <w:jc w:val="left"/>
              <w:textAlignment w:val="center"/>
              <w:rPr>
                <w:sz w:val="18"/>
                <w:szCs w:val="18"/>
              </w:rPr>
            </w:pPr>
            <w:r>
              <w:rPr>
                <w:rFonts w:hint="eastAsia" w:ascii="宋体" w:hAnsi="宋体" w:eastAsia="宋体" w:cs="宋体"/>
                <w:i w:val="0"/>
                <w:color w:val="000000"/>
                <w:kern w:val="0"/>
                <w:sz w:val="18"/>
                <w:szCs w:val="18"/>
                <w:u w:val="none"/>
                <w:lang w:val="en-US" w:eastAsia="zh-CN" w:bidi="ar"/>
              </w:rPr>
              <w:t>上年结转结余</w:t>
            </w:r>
          </w:p>
        </w:tc>
        <w:tc>
          <w:tcPr>
            <w:tcW w:w="2126" w:type="dxa"/>
            <w:vAlign w:val="center"/>
          </w:tcPr>
          <w:p>
            <w:pPr>
              <w:jc w:val="right"/>
            </w:pP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年终结转结余</w:t>
            </w:r>
          </w:p>
        </w:tc>
        <w:tc>
          <w:tcPr>
            <w:tcW w:w="2126" w:type="dxa"/>
            <w:vAlign w:val="center"/>
          </w:tcPr>
          <w:p>
            <w:pPr>
              <w:keepNext w:val="0"/>
              <w:keepLines w:val="0"/>
              <w:widowControl/>
              <w:suppressLineNumbers w:val="0"/>
              <w:jc w:val="right"/>
              <w:textAlignment w:val="center"/>
              <w:rPr>
                <w:rFonts w:hint="eastAsia" w:ascii="方正书宋_GBK" w:hAnsi="方正书宋_GBK" w:eastAsia="方正书宋_GBK" w:cs="方正书宋_GBK"/>
                <w:b/>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33</w:t>
            </w:r>
          </w:p>
        </w:tc>
        <w:tc>
          <w:tcPr>
            <w:tcW w:w="4535" w:type="dxa"/>
            <w:vAlign w:val="center"/>
          </w:tcPr>
          <w:p>
            <w:pPr>
              <w:pStyle w:val="19"/>
              <w:rPr>
                <w:rFonts w:hint="default"/>
                <w:sz w:val="18"/>
                <w:szCs w:val="18"/>
                <w:lang w:val="en-US" w:eastAsia="zh-CN"/>
              </w:rPr>
            </w:pPr>
            <w:r>
              <w:rPr>
                <w:rFonts w:hint="eastAsia"/>
                <w:sz w:val="18"/>
                <w:szCs w:val="18"/>
                <w:lang w:val="en-US" w:eastAsia="zh-CN"/>
              </w:rPr>
              <w:t>收入总计</w:t>
            </w:r>
          </w:p>
        </w:tc>
        <w:tc>
          <w:tcPr>
            <w:tcW w:w="2126"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18"/>
                <w:szCs w:val="18"/>
                <w:lang w:val="en-US" w:eastAsia="zh-CN" w:bidi="ar-SA"/>
              </w:rPr>
              <w:t>5315318.20</w:t>
            </w:r>
          </w:p>
        </w:tc>
        <w:tc>
          <w:tcPr>
            <w:tcW w:w="4535" w:type="dxa"/>
            <w:vAlign w:val="center"/>
          </w:tcPr>
          <w:p>
            <w:pPr>
              <w:pStyle w:val="19"/>
              <w:rPr>
                <w:rFonts w:hint="default"/>
                <w:lang w:val="en-US" w:eastAsia="zh-CN"/>
              </w:rPr>
            </w:pPr>
            <w:r>
              <w:rPr>
                <w:rFonts w:hint="eastAsia"/>
                <w:sz w:val="18"/>
                <w:szCs w:val="18"/>
                <w:lang w:val="en-US" w:eastAsia="zh-CN"/>
              </w:rPr>
              <w:t>支出总计</w:t>
            </w:r>
          </w:p>
        </w:tc>
        <w:tc>
          <w:tcPr>
            <w:tcW w:w="2126"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18"/>
                <w:szCs w:val="18"/>
                <w:lang w:val="en-US" w:eastAsia="zh-CN" w:bidi="ar-SA"/>
              </w:rPr>
              <w:t>5315318.20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69"/>
        <w:gridCol w:w="138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69" w:type="dxa"/>
            <w:vAlign w:val="center"/>
          </w:tcPr>
          <w:p>
            <w:pPr>
              <w:pStyle w:val="15"/>
            </w:pPr>
            <w:r>
              <w:t>科目    编码</w:t>
            </w:r>
          </w:p>
        </w:tc>
        <w:tc>
          <w:tcPr>
            <w:tcW w:w="1382"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169" w:type="dxa"/>
            <w:vAlign w:val="center"/>
          </w:tcPr>
          <w:p>
            <w:pPr>
              <w:pStyle w:val="15"/>
            </w:pPr>
            <w:r>
              <w:t>1</w:t>
            </w:r>
          </w:p>
        </w:tc>
        <w:tc>
          <w:tcPr>
            <w:tcW w:w="1382"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1</w:t>
            </w:r>
          </w:p>
        </w:tc>
        <w:tc>
          <w:tcPr>
            <w:tcW w:w="1169" w:type="dxa"/>
            <w:vAlign w:val="center"/>
          </w:tcPr>
          <w:p>
            <w:pPr>
              <w:jc w:val="left"/>
            </w:pPr>
          </w:p>
        </w:tc>
        <w:tc>
          <w:tcPr>
            <w:tcW w:w="1382" w:type="dxa"/>
            <w:vAlign w:val="center"/>
          </w:tcPr>
          <w:p>
            <w:pPr>
              <w:keepNext w:val="0"/>
              <w:keepLines w:val="0"/>
              <w:widowControl/>
              <w:suppressLineNumbers w:val="0"/>
              <w:jc w:val="center"/>
              <w:textAlignment w:val="center"/>
              <w:rPr>
                <w:b/>
                <w:bCs/>
              </w:rPr>
            </w:pPr>
            <w:r>
              <w:rPr>
                <w:rFonts w:hint="eastAsia" w:ascii="宋体" w:hAnsi="宋体" w:eastAsia="宋体" w:cs="宋体"/>
                <w:b/>
                <w:bCs/>
                <w:i w:val="0"/>
                <w:color w:val="000000"/>
                <w:kern w:val="0"/>
                <w:sz w:val="18"/>
                <w:szCs w:val="18"/>
                <w:u w:val="none"/>
                <w:lang w:val="en-US" w:eastAsia="zh-CN" w:bidi="ar"/>
              </w:rPr>
              <w:t>合计</w:t>
            </w:r>
          </w:p>
        </w:tc>
        <w:tc>
          <w:tcPr>
            <w:tcW w:w="1134"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5315318.20</w:t>
            </w:r>
          </w:p>
        </w:tc>
        <w:tc>
          <w:tcPr>
            <w:tcW w:w="1134"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5315318.20</w:t>
            </w:r>
          </w:p>
        </w:tc>
        <w:tc>
          <w:tcPr>
            <w:tcW w:w="1134"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5315318.20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一般公共服务支出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党委办公厅（室）及相关机构事务</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2013101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行政运行</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2013199</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其他党委办公厅（室）及相关机构事务支出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社会保障和就业支出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行政事业单位养老支出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行政单位离退休</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56436.00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56436.00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56436.00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2080505</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卫生健康支出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行政单位医疗</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2101103</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公务员医疗补助</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住房保障支出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住房改革支出</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6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2210201</w:t>
            </w:r>
          </w:p>
        </w:tc>
        <w:tc>
          <w:tcPr>
            <w:tcW w:w="138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住房公积金</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50"/>
        <w:gridCol w:w="437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50" w:type="dxa"/>
            <w:vAlign w:val="center"/>
          </w:tcPr>
          <w:p>
            <w:pPr>
              <w:pStyle w:val="15"/>
            </w:pPr>
            <w:r>
              <w:t>科目    编码</w:t>
            </w:r>
          </w:p>
        </w:tc>
        <w:tc>
          <w:tcPr>
            <w:tcW w:w="4378"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50" w:type="dxa"/>
            <w:vAlign w:val="center"/>
          </w:tcPr>
          <w:p>
            <w:pPr>
              <w:pStyle w:val="15"/>
            </w:pPr>
            <w:r>
              <w:t>1</w:t>
            </w:r>
          </w:p>
        </w:tc>
        <w:tc>
          <w:tcPr>
            <w:tcW w:w="4378"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eastAsia="zh-CN"/>
              </w:rPr>
            </w:pPr>
            <w:r>
              <w:rPr>
                <w:rFonts w:hint="eastAsia"/>
                <w:lang w:val="en-US" w:eastAsia="zh-CN"/>
              </w:rPr>
              <w:t>1</w:t>
            </w:r>
          </w:p>
        </w:tc>
        <w:tc>
          <w:tcPr>
            <w:tcW w:w="1150" w:type="dxa"/>
            <w:vAlign w:val="center"/>
          </w:tcPr>
          <w:p>
            <w:pPr>
              <w:jc w:val="left"/>
            </w:pPr>
          </w:p>
        </w:tc>
        <w:tc>
          <w:tcPr>
            <w:tcW w:w="4378" w:type="dxa"/>
            <w:vAlign w:val="center"/>
          </w:tcPr>
          <w:p>
            <w:pPr>
              <w:keepNext w:val="0"/>
              <w:keepLines w:val="0"/>
              <w:widowControl/>
              <w:suppressLineNumbers w:val="0"/>
              <w:jc w:val="center"/>
              <w:textAlignment w:val="center"/>
              <w:rPr>
                <w:b/>
                <w:bCs/>
              </w:rPr>
            </w:pPr>
            <w:r>
              <w:rPr>
                <w:rFonts w:hint="eastAsia" w:ascii="宋体" w:hAnsi="宋体" w:eastAsia="宋体" w:cs="宋体"/>
                <w:b/>
                <w:bCs/>
                <w:i w:val="0"/>
                <w:color w:val="000000"/>
                <w:kern w:val="0"/>
                <w:sz w:val="18"/>
                <w:szCs w:val="18"/>
                <w:u w:val="none"/>
                <w:lang w:val="en-US" w:eastAsia="zh-CN" w:bidi="ar"/>
              </w:rPr>
              <w:t>合计</w:t>
            </w:r>
          </w:p>
        </w:tc>
        <w:tc>
          <w:tcPr>
            <w:tcW w:w="136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5315318.20</w:t>
            </w:r>
          </w:p>
        </w:tc>
        <w:tc>
          <w:tcPr>
            <w:tcW w:w="136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4382318.20</w:t>
            </w:r>
          </w:p>
        </w:tc>
        <w:tc>
          <w:tcPr>
            <w:tcW w:w="136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933000.00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一般公共服务支出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党委办公厅（室）及相关机构事务</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2013101</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行政运行</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2013199</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其他党委办公厅（室）及相关机构事务支出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1361"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社会保障和就业支出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行政事业单位养老支出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2080501</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行政单位离退休</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56436.00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56436.00</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2080505</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卫生健康支出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2101101</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行政单位医疗</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2101103</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公务员医疗补助</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住房保障支出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5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w:t>
            </w:r>
          </w:p>
        </w:tc>
        <w:tc>
          <w:tcPr>
            <w:tcW w:w="437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住房改革支出</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16</w:t>
            </w:r>
          </w:p>
        </w:tc>
        <w:tc>
          <w:tcPr>
            <w:tcW w:w="1150"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2210201</w:t>
            </w:r>
          </w:p>
        </w:tc>
        <w:tc>
          <w:tcPr>
            <w:tcW w:w="4378"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住房公积金</w:t>
            </w:r>
          </w:p>
        </w:tc>
        <w:tc>
          <w:tcPr>
            <w:tcW w:w="1361" w:type="dxa"/>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299823.36</w:t>
            </w:r>
          </w:p>
        </w:tc>
        <w:tc>
          <w:tcPr>
            <w:tcW w:w="1361" w:type="dxa"/>
            <w:vAlign w:val="center"/>
          </w:tcPr>
          <w:p>
            <w:pPr>
              <w:keepNext w:val="0"/>
              <w:keepLines w:val="0"/>
              <w:widowControl/>
              <w:suppressLineNumbers w:val="0"/>
              <w:jc w:val="right"/>
              <w:textAlignment w:val="center"/>
              <w:rPr>
                <w:rFonts w:hint="default" w:ascii="Calibri" w:hAnsi="Calibri" w:eastAsia="宋体" w:cs="Calibri"/>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299823.36</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639"/>
        <w:gridCol w:w="1237"/>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3639"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659" w:type="dxa"/>
            <w:gridSpan w:val="4"/>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639" w:type="dxa"/>
            <w:vAlign w:val="center"/>
          </w:tcPr>
          <w:p>
            <w:pPr>
              <w:pStyle w:val="15"/>
            </w:pPr>
            <w:r>
              <w:t>项  目</w:t>
            </w:r>
          </w:p>
        </w:tc>
        <w:tc>
          <w:tcPr>
            <w:tcW w:w="1237"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639" w:type="dxa"/>
            <w:vAlign w:val="center"/>
          </w:tcPr>
          <w:p>
            <w:pPr>
              <w:pStyle w:val="15"/>
            </w:pPr>
            <w:r>
              <w:t>3</w:t>
            </w:r>
          </w:p>
        </w:tc>
        <w:tc>
          <w:tcPr>
            <w:tcW w:w="1237"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一、一般公共预算拨款</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5315318.20</w:t>
            </w: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一、一般公共服务支出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二、政府性基金预算拨款</w:t>
            </w: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二、外交支出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三、国有资本经营预算拨款</w:t>
            </w: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三、国防支出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四、公共安全支出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五、教育支出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六、科学技术支出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七、文化旅游体育与传媒支出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八、社会保障和就业支出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九、社会保险基金支出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十、卫生健康支出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十一、节能环保支出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十二、城乡社区支出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十三、农林水支出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十四、交通运输支出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十五、资源勘探工业信息等支出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十六、商业服务业等支出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十七、金融支出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十八、援助其他地区支出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十九、自然资源海洋气象等支出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二十、住房保障支出</w:t>
            </w:r>
          </w:p>
        </w:tc>
        <w:tc>
          <w:tcPr>
            <w:tcW w:w="1237"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47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二十一、粮油物资储备支出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二十二、国有资本经营预算支出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3</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4</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二十四、预备费</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5</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二十五、其他支出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6</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二十六、转移性支出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7</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二十七、债务还本支出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8</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二十八、债务付息支出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2</w:t>
            </w:r>
            <w:r>
              <w:rPr>
                <w:rFonts w:hint="eastAsia"/>
                <w:lang w:val="en-US" w:eastAsia="zh-CN"/>
              </w:rPr>
              <w:t>9</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二十九、债务发行费用支出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30</w:t>
            </w:r>
          </w:p>
        </w:tc>
        <w:tc>
          <w:tcPr>
            <w:tcW w:w="3402" w:type="dxa"/>
            <w:vAlign w:val="center"/>
          </w:tcPr>
          <w:p>
            <w:pPr>
              <w:jc w:val="left"/>
            </w:pPr>
          </w:p>
        </w:tc>
        <w:tc>
          <w:tcPr>
            <w:tcW w:w="1474" w:type="dxa"/>
            <w:vAlign w:val="center"/>
          </w:tcPr>
          <w:p>
            <w:pPr>
              <w:jc w:val="right"/>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三十、抗疫特别国债安排的支出</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31</w:t>
            </w:r>
          </w:p>
        </w:tc>
        <w:tc>
          <w:tcPr>
            <w:tcW w:w="3402" w:type="dxa"/>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本年收入合计</w:t>
            </w:r>
          </w:p>
        </w:tc>
        <w:tc>
          <w:tcPr>
            <w:tcW w:w="1474"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5315318.20</w:t>
            </w:r>
          </w:p>
        </w:tc>
        <w:tc>
          <w:tcPr>
            <w:tcW w:w="3639"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本年支出合计</w:t>
            </w:r>
          </w:p>
        </w:tc>
        <w:tc>
          <w:tcPr>
            <w:tcW w:w="1237"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5315318.20</w:t>
            </w:r>
          </w:p>
        </w:tc>
        <w:tc>
          <w:tcPr>
            <w:tcW w:w="1474"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5315318.20</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2</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年初财政拨款结转和结余</w:t>
            </w:r>
          </w:p>
        </w:tc>
        <w:tc>
          <w:tcPr>
            <w:tcW w:w="1474" w:type="dxa"/>
            <w:vAlign w:val="center"/>
          </w:tcPr>
          <w:p>
            <w:pPr>
              <w:jc w:val="right"/>
              <w:rPr>
                <w:b/>
                <w:bCs/>
              </w:rPr>
            </w:pPr>
          </w:p>
        </w:tc>
        <w:tc>
          <w:tcPr>
            <w:tcW w:w="3639"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年末财政拨款结转和结余</w:t>
            </w: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3</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一、一般公共预算拨款</w:t>
            </w:r>
          </w:p>
        </w:tc>
        <w:tc>
          <w:tcPr>
            <w:tcW w:w="1474" w:type="dxa"/>
            <w:vAlign w:val="center"/>
          </w:tcPr>
          <w:p>
            <w:pPr>
              <w:jc w:val="right"/>
              <w:rPr>
                <w:b/>
                <w:bCs/>
              </w:rPr>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4</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二、政府性基金预算拨款</w:t>
            </w:r>
          </w:p>
        </w:tc>
        <w:tc>
          <w:tcPr>
            <w:tcW w:w="1474" w:type="dxa"/>
            <w:vAlign w:val="center"/>
          </w:tcPr>
          <w:p>
            <w:pPr>
              <w:jc w:val="right"/>
              <w:rPr>
                <w:b/>
                <w:bCs/>
              </w:rPr>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5</w:t>
            </w:r>
          </w:p>
        </w:tc>
        <w:tc>
          <w:tcPr>
            <w:tcW w:w="3402"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三、国有资本经营预算拨款</w:t>
            </w:r>
          </w:p>
        </w:tc>
        <w:tc>
          <w:tcPr>
            <w:tcW w:w="1474" w:type="dxa"/>
            <w:vAlign w:val="center"/>
          </w:tcPr>
          <w:p>
            <w:pPr>
              <w:jc w:val="right"/>
              <w:rPr>
                <w:b/>
                <w:bCs/>
              </w:rPr>
            </w:pPr>
          </w:p>
        </w:tc>
        <w:tc>
          <w:tcPr>
            <w:tcW w:w="3639" w:type="dxa"/>
            <w:vAlign w:val="center"/>
          </w:tcPr>
          <w:p>
            <w:pPr>
              <w:jc w:val="left"/>
            </w:pPr>
          </w:p>
        </w:tc>
        <w:tc>
          <w:tcPr>
            <w:tcW w:w="1237" w:type="dxa"/>
            <w:vAlign w:val="center"/>
          </w:tcPr>
          <w:p>
            <w:pPr>
              <w:jc w:val="right"/>
            </w:pPr>
          </w:p>
        </w:tc>
        <w:tc>
          <w:tcPr>
            <w:tcW w:w="1474" w:type="dxa"/>
            <w:vAlign w:val="center"/>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3</w:t>
            </w:r>
            <w:r>
              <w:rPr>
                <w:rFonts w:hint="eastAsia"/>
                <w:lang w:val="en-US" w:eastAsia="zh-CN"/>
              </w:rPr>
              <w:t>6</w:t>
            </w:r>
          </w:p>
        </w:tc>
        <w:tc>
          <w:tcPr>
            <w:tcW w:w="3402"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收入总计</w:t>
            </w:r>
          </w:p>
        </w:tc>
        <w:tc>
          <w:tcPr>
            <w:tcW w:w="1474" w:type="dxa"/>
            <w:vAlign w:val="center"/>
          </w:tcPr>
          <w:p>
            <w:pPr>
              <w:keepNext w:val="0"/>
              <w:keepLines w:val="0"/>
              <w:widowControl/>
              <w:suppressLineNumbers w:val="0"/>
              <w:jc w:val="right"/>
              <w:textAlignment w:val="center"/>
              <w:rPr>
                <w:rFonts w:hint="default" w:ascii="Calibri" w:hAnsi="Calibri" w:eastAsia="宋体" w:cs="Calibri"/>
                <w:b/>
                <w:bCs/>
                <w:i w:val="0"/>
                <w:color w:val="000000"/>
                <w:kern w:val="0"/>
                <w:sz w:val="22"/>
                <w:szCs w:val="22"/>
                <w:u w:val="none"/>
                <w:lang w:val="en-US" w:eastAsia="zh-CN" w:bidi="ar"/>
              </w:rPr>
            </w:pPr>
            <w:r>
              <w:rPr>
                <w:rFonts w:hint="eastAsia" w:ascii="宋体" w:hAnsi="宋体" w:eastAsia="宋体" w:cs="宋体"/>
                <w:b/>
                <w:bCs/>
                <w:i w:val="0"/>
                <w:color w:val="000000"/>
                <w:kern w:val="0"/>
                <w:sz w:val="18"/>
                <w:szCs w:val="18"/>
                <w:u w:val="none"/>
                <w:lang w:val="en-US" w:eastAsia="zh-CN" w:bidi="ar"/>
              </w:rPr>
              <w:t>5315318.20</w:t>
            </w:r>
          </w:p>
        </w:tc>
        <w:tc>
          <w:tcPr>
            <w:tcW w:w="3639" w:type="dxa"/>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支出总计</w:t>
            </w:r>
          </w:p>
        </w:tc>
        <w:tc>
          <w:tcPr>
            <w:tcW w:w="1237"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5315318.20</w:t>
            </w:r>
          </w:p>
        </w:tc>
        <w:tc>
          <w:tcPr>
            <w:tcW w:w="1474" w:type="dxa"/>
            <w:vAlign w:val="center"/>
          </w:tcPr>
          <w:p>
            <w:pPr>
              <w:keepNext w:val="0"/>
              <w:keepLines w:val="0"/>
              <w:widowControl/>
              <w:suppressLineNumbers w:val="0"/>
              <w:jc w:val="right"/>
              <w:textAlignment w:val="center"/>
              <w:rPr>
                <w:rFonts w:hint="default" w:ascii="宋体" w:hAnsi="宋体" w:eastAsia="宋体" w:cs="宋体"/>
                <w:b/>
                <w:bCs/>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5315318.20</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jc w:val="left"/>
            </w:pPr>
          </w:p>
        </w:tc>
        <w:tc>
          <w:tcPr>
            <w:tcW w:w="4535" w:type="dxa"/>
            <w:vAlign w:val="center"/>
          </w:tcPr>
          <w:p>
            <w:pPr>
              <w:keepNext w:val="0"/>
              <w:keepLines w:val="0"/>
              <w:widowControl/>
              <w:suppressLineNumbers w:val="0"/>
              <w:jc w:val="center"/>
              <w:textAlignment w:val="center"/>
              <w:rPr>
                <w:b/>
                <w:bCs/>
              </w:rPr>
            </w:pPr>
            <w:r>
              <w:rPr>
                <w:rFonts w:hint="eastAsia" w:ascii="宋体" w:hAnsi="宋体" w:eastAsia="宋体" w:cs="宋体"/>
                <w:b/>
                <w:bCs/>
                <w:i w:val="0"/>
                <w:color w:val="000000"/>
                <w:kern w:val="0"/>
                <w:sz w:val="18"/>
                <w:szCs w:val="18"/>
                <w:u w:val="none"/>
                <w:lang w:val="en-US" w:eastAsia="zh-CN" w:bidi="ar"/>
              </w:rPr>
              <w:t>合计</w:t>
            </w:r>
          </w:p>
        </w:tc>
        <w:tc>
          <w:tcPr>
            <w:tcW w:w="255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5315318.20</w:t>
            </w:r>
          </w:p>
        </w:tc>
        <w:tc>
          <w:tcPr>
            <w:tcW w:w="255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4382318.20</w:t>
            </w:r>
          </w:p>
        </w:tc>
        <w:tc>
          <w:tcPr>
            <w:tcW w:w="255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3910910.36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一般公共服务支出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2748604.60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党委办公厅（室）及相关机构事务</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4143460.44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2748604.60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行政运行</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3210460.44</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2748604.60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2013199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其他党委办公厅（室）及相关机构事务支出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933000.00</w:t>
            </w:r>
          </w:p>
        </w:tc>
        <w:tc>
          <w:tcPr>
            <w:tcW w:w="2551" w:type="dxa"/>
            <w:vAlign w:val="center"/>
          </w:tcPr>
          <w:p>
            <w:pPr>
              <w:jc w:val="right"/>
            </w:pP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社会保障和就业支出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446648.48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行政事业单位养老支出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456200.48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446648.48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行政单位离退休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56436.00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56436.00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46884.00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2080505</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卫生健康支出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415833.92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行政单位医疗</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公务员医疗补助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住房保障支出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住房改革支出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center"/>
          </w:tcPr>
          <w:p>
            <w:pPr>
              <w:jc w:val="left"/>
            </w:pPr>
          </w:p>
        </w:tc>
        <w:tc>
          <w:tcPr>
            <w:tcW w:w="4535" w:type="dxa"/>
            <w:vAlign w:val="center"/>
          </w:tcPr>
          <w:p>
            <w:pPr>
              <w:keepNext w:val="0"/>
              <w:keepLines w:val="0"/>
              <w:widowControl/>
              <w:suppressLineNumbers w:val="0"/>
              <w:jc w:val="center"/>
              <w:textAlignment w:val="center"/>
              <w:rPr>
                <w:b/>
                <w:bCs/>
              </w:rPr>
            </w:pPr>
            <w:r>
              <w:rPr>
                <w:rFonts w:hint="eastAsia" w:ascii="宋体" w:hAnsi="宋体" w:eastAsia="宋体" w:cs="宋体"/>
                <w:b/>
                <w:bCs/>
                <w:i w:val="0"/>
                <w:color w:val="000000"/>
                <w:kern w:val="0"/>
                <w:sz w:val="18"/>
                <w:szCs w:val="18"/>
                <w:u w:val="none"/>
                <w:lang w:val="en-US" w:eastAsia="zh-CN" w:bidi="ar"/>
              </w:rPr>
              <w:t>合计</w:t>
            </w:r>
          </w:p>
        </w:tc>
        <w:tc>
          <w:tcPr>
            <w:tcW w:w="255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4382318.20</w:t>
            </w:r>
          </w:p>
        </w:tc>
        <w:tc>
          <w:tcPr>
            <w:tcW w:w="255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3910910.36</w:t>
            </w:r>
          </w:p>
        </w:tc>
        <w:tc>
          <w:tcPr>
            <w:tcW w:w="2552"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471407.84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工资福利支出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3856706.36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3856706.36</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基本工资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1248192.00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1248192.00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津贴补贴</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1051836.00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1051836.00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奖金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76456.00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76456.00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绩效工资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347560.00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347560.00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399764.48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职工基本医疗保险缴费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193635.92</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公务员医疗补助缴费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222198.00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其他社会保障缴费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17240.60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17240.60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30113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299823.36</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商品和服务支出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465967.84</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465967.84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办公费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64840.00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64840.00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印刷费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10000.00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邮电费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43000.00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差旅费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10000.00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30213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维修(护)费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30216</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培训费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18722.88</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18722.88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30217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公务接待费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3217.60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30228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工会经费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49970.56</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49970.56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30229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福利费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31204.80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31204.80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30231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公务用车运行维护费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48000.00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30239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其他交通费用</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168480.00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168480.00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30299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其他商品和服务支出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17032.00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17032.00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303</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对个人和家庭的补助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54204.00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54204.00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30302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退休费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46884.00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46884.00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30309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奖励金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1560.00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1560.00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30399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其他对个人和家庭的补助</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5760.00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5760.00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资本性支出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5440.00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31002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办公设备购置</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5440.00</w:t>
            </w:r>
          </w:p>
        </w:tc>
        <w:tc>
          <w:tcPr>
            <w:tcW w:w="2551" w:type="dxa"/>
            <w:vAlign w:val="center"/>
          </w:tcPr>
          <w:p>
            <w:pPr>
              <w:jc w:val="right"/>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5440.00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201</w:t>
            </w:r>
            <w:r>
              <w:t>001</w:t>
            </w:r>
            <w:r>
              <w:rPr>
                <w:rFonts w:hint="eastAsia"/>
                <w:lang w:eastAsia="zh-CN"/>
              </w:rPr>
              <w:t>中共秦皇岛市山海关区委办公室</w:t>
            </w:r>
            <w: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keepNext w:val="0"/>
              <w:keepLines w:val="0"/>
              <w:widowControl/>
              <w:suppressLineNumbers w:val="0"/>
              <w:jc w:val="right"/>
              <w:textAlignment w:val="center"/>
              <w:rPr>
                <w:rFonts w:hint="default"/>
                <w:b/>
                <w:bCs/>
                <w:lang w:val="en-US"/>
              </w:rPr>
            </w:pPr>
            <w:r>
              <w:rPr>
                <w:rFonts w:hint="eastAsia" w:ascii="宋体" w:hAnsi="宋体" w:eastAsia="宋体" w:cs="宋体"/>
                <w:b/>
                <w:bCs/>
                <w:i w:val="0"/>
                <w:color w:val="000000"/>
                <w:kern w:val="0"/>
                <w:sz w:val="18"/>
                <w:szCs w:val="18"/>
                <w:u w:val="none"/>
                <w:lang w:val="en-US" w:eastAsia="zh-CN" w:bidi="ar"/>
              </w:rPr>
              <w:t>563682.40</w:t>
            </w:r>
          </w:p>
        </w:tc>
        <w:tc>
          <w:tcPr>
            <w:tcW w:w="2381" w:type="dxa"/>
            <w:vAlign w:val="center"/>
          </w:tcPr>
          <w:p>
            <w:pPr>
              <w:keepNext w:val="0"/>
              <w:keepLines w:val="0"/>
              <w:widowControl/>
              <w:suppressLineNumbers w:val="0"/>
              <w:jc w:val="right"/>
              <w:textAlignment w:val="center"/>
              <w:rPr>
                <w:b/>
                <w:bCs/>
              </w:rPr>
            </w:pPr>
            <w:r>
              <w:rPr>
                <w:rFonts w:hint="eastAsia" w:ascii="宋体" w:hAnsi="宋体" w:eastAsia="宋体" w:cs="宋体"/>
                <w:b/>
                <w:bCs/>
                <w:i w:val="0"/>
                <w:color w:val="000000"/>
                <w:kern w:val="0"/>
                <w:sz w:val="18"/>
                <w:szCs w:val="18"/>
                <w:u w:val="none"/>
                <w:lang w:val="en-US" w:eastAsia="zh-CN" w:bidi="ar"/>
              </w:rPr>
              <w:t>563682.40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340000.00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340000.00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340000.00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340000.00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color w:val="000000"/>
                <w:kern w:val="0"/>
                <w:sz w:val="18"/>
                <w:szCs w:val="18"/>
                <w:u w:val="none"/>
                <w:lang w:val="en-US" w:eastAsia="zh-CN" w:bidi="ar"/>
              </w:rPr>
              <w:t>223682.40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223682.40</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中共秦皇岛市山海关区委办公室</w:t>
      </w:r>
      <w:r>
        <w:rPr>
          <w:rFonts w:ascii="方正小标宋_GBK" w:hAnsi="方正小标宋_GBK" w:eastAsia="方正小标宋_GBK" w:cs="方正小标宋_GBK"/>
          <w:color w:val="000000"/>
          <w:sz w:val="44"/>
        </w:rPr>
        <w:t>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按照《</w:t>
      </w:r>
      <w:r>
        <w:rPr>
          <w:rFonts w:hint="eastAsia" w:eastAsia="方正仿宋_GBK"/>
          <w:color w:val="000000"/>
          <w:sz w:val="28"/>
        </w:rPr>
        <w:t>中华人民共和国预算法</w:t>
      </w:r>
      <w:bookmarkStart w:id="11" w:name="_GoBack"/>
      <w:bookmarkEnd w:id="11"/>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中共秦皇岛市山海关区委办公室</w:t>
      </w:r>
      <w:r>
        <w:rPr>
          <w:rFonts w:eastAsia="方正仿宋_GBK"/>
          <w:color w:val="000000"/>
          <w:sz w:val="28"/>
        </w:rPr>
        <w:t>本级202</w:t>
      </w:r>
      <w:r>
        <w:rPr>
          <w:rFonts w:hint="eastAsia" w:eastAsia="方正仿宋_GBK"/>
          <w:color w:val="000000"/>
          <w:sz w:val="28"/>
          <w:lang w:val="en-US" w:eastAsia="zh-CN"/>
        </w:rPr>
        <w:t>1</w:t>
      </w:r>
      <w:r>
        <w:rPr>
          <w:rFonts w:eastAsia="方正仿宋_GBK"/>
          <w:color w:val="000000"/>
          <w:sz w:val="28"/>
        </w:rPr>
        <w:t>年单位预算公开如下：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一、单位职责及机构设置情况</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（一）负责推动党中央和省、市、区委决策部署的落实，按照区委要求协调有关方面开展工作，承担区委运行保障具体事务。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（二）负责区委和区委办公室文件、区委领导各类文稿的起草、修改等工作。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（三）负责党中央和省、市、区委重要决策部署贯彻落实的督促检查，中央和省、市、区委领导批示和交办事项的催办反馈，区委统一部署的重大专项活动给的推进落实。</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（四）围绕党中央和省、市、区委总体工作部署及全区重大问题开展调查研究，提出意见和建议；负责收集和处理政务信息、反映动态；负责社情民意相关工作。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（五）负责区委全委会、区委常委会和区委其他重要会议的会务工作；负责区委领导参加重大活动和日常工作活动的组织安排。</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（六）负责区委日常文书处理；负责区委文件和区委办公室代区委行文的审核工作；负责区委制定党内规范性文件的服务工作；负责统筹协调和督促指导全区党务公开工作。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（七）负责区委总值班及全区紧急情况、突发事件的传报、反馈工作。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（八）负责区委保密委员会和区密码工作领导小组的日常工作。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（九）负责区委全面深化改革委员会的日常工作。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（十）负责区委国家安全委员会交办的工作任务。</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（十一）负责区委落实全面从严治党主体责任领导小组的日常工作。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（十二）负责全区档案事业宏观管理和执法复议、监督指导工作。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（十三）负责全区对外联络及暑期服务工作。</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（十四）负责区委、区委办公室机关行政后勤、公务管理、财务管理工作；负责区委办公室离退休人员的服务工作。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（十五）完成区委交办的其他工作任务。</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中共秦皇岛市山海关区委办公室</w:t>
            </w:r>
            <w:r>
              <w:t>本级</w:t>
            </w:r>
          </w:p>
        </w:tc>
        <w:tc>
          <w:tcPr>
            <w:tcW w:w="1843" w:type="dxa"/>
            <w:vAlign w:val="center"/>
          </w:tcPr>
          <w:p>
            <w:pPr>
              <w:pStyle w:val="18"/>
            </w:pPr>
            <w:r>
              <w:t>行政</w:t>
            </w:r>
          </w:p>
        </w:tc>
        <w:tc>
          <w:tcPr>
            <w:tcW w:w="2126" w:type="dxa"/>
            <w:vAlign w:val="center"/>
          </w:tcPr>
          <w:p>
            <w:pPr>
              <w:pStyle w:val="18"/>
            </w:pPr>
            <w:r>
              <w:t>正</w:t>
            </w:r>
            <w:r>
              <w:rPr>
                <w:rFonts w:hint="eastAsia"/>
                <w:lang w:eastAsia="zh-CN"/>
              </w:rPr>
              <w:t>科</w:t>
            </w:r>
            <w:r>
              <w:t>级</w:t>
            </w:r>
          </w:p>
        </w:tc>
        <w:tc>
          <w:tcPr>
            <w:tcW w:w="3827" w:type="dxa"/>
            <w:vAlign w:val="center"/>
          </w:tcPr>
          <w:p>
            <w:pPr>
              <w:pStyle w:val="18"/>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firstLineChars="200"/>
        <w:jc w:val="left"/>
        <w:rPr>
          <w:rFonts w:hint="eastAsia" w:ascii="Times New Roman" w:hAnsi="Times New Roman" w:eastAsia="方正仿宋_GBK" w:cs="Times New Roman"/>
          <w:color w:val="FF0000"/>
          <w:sz w:val="28"/>
          <w:szCs w:val="24"/>
          <w:lang w:val="en-US" w:eastAsia="uk-UA" w:bidi="ar-SA"/>
        </w:rPr>
      </w:pPr>
      <w:r>
        <w:rPr>
          <w:rFonts w:hint="eastAsia" w:ascii="Times New Roman" w:hAnsi="Times New Roman" w:eastAsia="方正仿宋_GBK" w:cs="Times New Roman"/>
          <w:sz w:val="28"/>
          <w:szCs w:val="24"/>
          <w:lang w:val="en-US" w:eastAsia="uk-UA" w:bidi="ar-SA"/>
        </w:rPr>
        <w:t>按照预算管理有关规定，目前我区</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预算的编制实行综合预算制度，即全部收入和支出都反映在预算中。</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1、收入说明</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反映本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当年全部收入。2021年预算收入为5315318.20元，其中：一般公共预算收入5315318.20元，基金预算收入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元，财政专户核拨收入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元，其他来源收入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2、支出说明</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w:t>
      </w:r>
      <w:r>
        <w:rPr>
          <w:rFonts w:hint="eastAsia" w:eastAsia="方正仿宋_GBK" w:cs="Times New Roman"/>
          <w:sz w:val="28"/>
          <w:szCs w:val="24"/>
          <w:lang w:val="en-US" w:eastAsia="zh-CN" w:bidi="ar-SA"/>
        </w:rPr>
        <w:t>中共秦皇岛市</w:t>
      </w:r>
      <w:r>
        <w:rPr>
          <w:rFonts w:hint="eastAsia" w:ascii="Times New Roman" w:hAnsi="Times New Roman" w:eastAsia="方正仿宋_GBK" w:cs="Times New Roman"/>
          <w:sz w:val="28"/>
          <w:szCs w:val="24"/>
          <w:lang w:val="en-US" w:eastAsia="uk-UA" w:bidi="ar-SA"/>
        </w:rPr>
        <w:t>山海关区</w:t>
      </w:r>
      <w:r>
        <w:rPr>
          <w:rFonts w:hint="eastAsia" w:ascii="Times New Roman" w:hAnsi="Times New Roman" w:eastAsia="方正仿宋_GBK" w:cs="Times New Roman"/>
          <w:sz w:val="28"/>
          <w:szCs w:val="24"/>
          <w:lang w:val="en-US" w:eastAsia="zh-CN" w:bidi="ar-SA"/>
        </w:rPr>
        <w:t>委办公室</w:t>
      </w:r>
      <w:r>
        <w:rPr>
          <w:rFonts w:hint="eastAsia" w:ascii="Times New Roman" w:hAnsi="Times New Roman" w:eastAsia="方正仿宋_GBK" w:cs="Times New Roman"/>
          <w:sz w:val="28"/>
          <w:szCs w:val="24"/>
          <w:lang w:val="en-US" w:eastAsia="uk-UA" w:bidi="ar-SA"/>
        </w:rPr>
        <w:t>年度</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预算中支出预算的总体情况。2021年预算支出为5315318.20元，其中：基本支出4382318.20元，主要是人员经费3910910.36元和日常公用经费471407.84元；项目支出933000.00元，主要为保密宣传技术防范工作经费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115000.00</w:t>
      </w:r>
      <w:r>
        <w:rPr>
          <w:rFonts w:hint="eastAsia" w:ascii="Times New Roman" w:hAnsi="Times New Roman" w:eastAsia="方正仿宋_GBK" w:cs="Times New Roman"/>
          <w:sz w:val="28"/>
          <w:szCs w:val="24"/>
          <w:lang w:val="en-US" w:eastAsia="zh-CN" w:bidi="ar-SA"/>
        </w:rPr>
        <w:t>元；</w:t>
      </w:r>
      <w:r>
        <w:rPr>
          <w:rFonts w:hint="eastAsia" w:ascii="Times New Roman" w:hAnsi="Times New Roman" w:eastAsia="方正仿宋_GBK" w:cs="Times New Roman"/>
          <w:sz w:val="28"/>
          <w:szCs w:val="24"/>
          <w:lang w:val="en-US" w:eastAsia="uk-UA" w:bidi="ar-SA"/>
        </w:rPr>
        <w:t>电子政务内网及红机二级网配套设备维护检测费、涉密监测专线</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61200.00</w:t>
      </w:r>
      <w:r>
        <w:rPr>
          <w:rFonts w:hint="eastAsia" w:ascii="Times New Roman" w:hAnsi="Times New Roman" w:eastAsia="方正仿宋_GBK" w:cs="Times New Roman"/>
          <w:sz w:val="28"/>
          <w:szCs w:val="24"/>
          <w:lang w:val="en-US" w:eastAsia="zh-CN" w:bidi="ar-SA"/>
        </w:rPr>
        <w:t>元；</w:t>
      </w:r>
      <w:r>
        <w:rPr>
          <w:rFonts w:hint="eastAsia" w:ascii="Times New Roman" w:hAnsi="Times New Roman" w:eastAsia="方正仿宋_GBK" w:cs="Times New Roman"/>
          <w:sz w:val="28"/>
          <w:szCs w:val="24"/>
          <w:lang w:val="en-US" w:eastAsia="uk-UA" w:bidi="ar-SA"/>
        </w:rPr>
        <w:t>会务活动承办费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200000.00</w:t>
      </w:r>
      <w:r>
        <w:rPr>
          <w:rFonts w:hint="eastAsia" w:ascii="Times New Roman" w:hAnsi="Times New Roman" w:eastAsia="方正仿宋_GBK" w:cs="Times New Roman"/>
          <w:sz w:val="28"/>
          <w:szCs w:val="24"/>
          <w:lang w:val="en-US" w:eastAsia="zh-CN" w:bidi="ar-SA"/>
        </w:rPr>
        <w:t>元；</w:t>
      </w:r>
      <w:r>
        <w:rPr>
          <w:rFonts w:hint="eastAsia" w:ascii="Times New Roman" w:hAnsi="Times New Roman" w:eastAsia="方正仿宋_GBK" w:cs="Times New Roman"/>
          <w:sz w:val="28"/>
          <w:szCs w:val="24"/>
          <w:lang w:val="en-US" w:eastAsia="uk-UA" w:bidi="ar-SA"/>
        </w:rPr>
        <w:t>密码通信配套设备购置维护费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74800.00</w:t>
      </w:r>
      <w:r>
        <w:rPr>
          <w:rFonts w:hint="eastAsia" w:ascii="Times New Roman" w:hAnsi="Times New Roman" w:eastAsia="方正仿宋_GBK" w:cs="Times New Roman"/>
          <w:sz w:val="28"/>
          <w:szCs w:val="24"/>
          <w:lang w:val="en-US" w:eastAsia="zh-CN" w:bidi="ar-SA"/>
        </w:rPr>
        <w:t>元；</w:t>
      </w:r>
      <w:r>
        <w:rPr>
          <w:rFonts w:hint="eastAsia" w:ascii="Times New Roman" w:hAnsi="Times New Roman" w:eastAsia="方正仿宋_GBK" w:cs="Times New Roman"/>
          <w:sz w:val="28"/>
          <w:szCs w:val="24"/>
          <w:lang w:val="en-US" w:eastAsia="uk-UA" w:bidi="ar-SA"/>
        </w:rPr>
        <w:t>网站网络维护管理经费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50000.00</w:t>
      </w:r>
      <w:r>
        <w:rPr>
          <w:rFonts w:hint="eastAsia" w:ascii="Times New Roman" w:hAnsi="Times New Roman" w:eastAsia="方正仿宋_GBK" w:cs="Times New Roman"/>
          <w:sz w:val="28"/>
          <w:szCs w:val="24"/>
          <w:lang w:val="en-US" w:eastAsia="zh-CN" w:bidi="ar-SA"/>
        </w:rPr>
        <w:t>元；</w:t>
      </w:r>
      <w:r>
        <w:rPr>
          <w:rFonts w:hint="eastAsia" w:ascii="Times New Roman" w:hAnsi="Times New Roman" w:eastAsia="方正仿宋_GBK" w:cs="Times New Roman"/>
          <w:sz w:val="28"/>
          <w:szCs w:val="24"/>
          <w:lang w:val="en-US" w:eastAsia="uk-UA" w:bidi="ar-SA"/>
        </w:rPr>
        <w:t>综合保障管理费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400000.00</w:t>
      </w:r>
      <w:r>
        <w:rPr>
          <w:rFonts w:hint="eastAsia" w:ascii="Times New Roman" w:hAnsi="Times New Roman" w:eastAsia="方正仿宋_GBK" w:cs="Times New Roman"/>
          <w:sz w:val="28"/>
          <w:szCs w:val="24"/>
          <w:lang w:val="en-US" w:eastAsia="zh-CN" w:bidi="ar-SA"/>
        </w:rPr>
        <w:t>元；</w:t>
      </w:r>
      <w:r>
        <w:rPr>
          <w:rFonts w:hint="eastAsia" w:ascii="Times New Roman" w:hAnsi="Times New Roman" w:eastAsia="方正仿宋_GBK" w:cs="Times New Roman"/>
          <w:sz w:val="28"/>
          <w:szCs w:val="24"/>
          <w:lang w:val="en-US" w:eastAsia="uk-UA" w:bidi="ar-SA"/>
        </w:rPr>
        <w:t>车辆保险费</w:t>
      </w:r>
      <w:r>
        <w:rPr>
          <w:rFonts w:hint="eastAsia" w:ascii="Times New Roman" w:hAnsi="Times New Roman" w:eastAsia="方正仿宋_GBK" w:cs="Times New Roman"/>
          <w:sz w:val="28"/>
          <w:szCs w:val="24"/>
          <w:lang w:val="en-US" w:eastAsia="zh-CN" w:bidi="ar-SA"/>
        </w:rPr>
        <w:t>安排</w:t>
      </w:r>
      <w:r>
        <w:rPr>
          <w:rFonts w:hint="eastAsia" w:ascii="Times New Roman" w:hAnsi="Times New Roman" w:eastAsia="方正仿宋_GBK" w:cs="Times New Roman"/>
          <w:sz w:val="28"/>
          <w:szCs w:val="24"/>
          <w:lang w:val="en-US" w:eastAsia="uk-UA" w:bidi="ar-SA"/>
        </w:rPr>
        <w:t>32000.00</w:t>
      </w:r>
      <w:r>
        <w:rPr>
          <w:rFonts w:hint="eastAsia" w:ascii="Times New Roman" w:hAnsi="Times New Roman" w:eastAsia="方正仿宋_GBK" w:cs="Times New Roman"/>
          <w:sz w:val="28"/>
          <w:szCs w:val="24"/>
          <w:lang w:val="en-US" w:eastAsia="zh-CN" w:bidi="ar-SA"/>
        </w:rPr>
        <w:t>元。</w:t>
      </w:r>
    </w:p>
    <w:p>
      <w:pPr>
        <w:spacing w:line="500" w:lineRule="exact"/>
        <w:ind w:firstLine="560" w:firstLineChars="20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3、比上年增减情况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2021年预算支出安排5315318.20元，较2020年预算减少</w:t>
      </w:r>
      <w:r>
        <w:rPr>
          <w:rFonts w:hint="eastAsia" w:ascii="Times New Roman" w:hAnsi="Times New Roman" w:eastAsia="方正仿宋_GBK" w:cs="Times New Roman"/>
          <w:sz w:val="28"/>
          <w:szCs w:val="24"/>
          <w:lang w:val="en-US" w:eastAsia="zh-CN" w:bidi="ar-SA"/>
        </w:rPr>
        <w:t>1516073.58</w:t>
      </w:r>
      <w:r>
        <w:rPr>
          <w:rFonts w:hint="eastAsia" w:ascii="Times New Roman" w:hAnsi="Times New Roman" w:eastAsia="方正仿宋_GBK" w:cs="Times New Roman"/>
          <w:sz w:val="28"/>
          <w:szCs w:val="24"/>
          <w:lang w:val="en-US" w:eastAsia="uk-UA" w:bidi="ar-SA"/>
        </w:rPr>
        <w:t>元，其中：基本支出减少</w:t>
      </w:r>
      <w:r>
        <w:rPr>
          <w:rFonts w:hint="eastAsia" w:ascii="Times New Roman" w:hAnsi="Times New Roman" w:eastAsia="方正仿宋_GBK" w:cs="Times New Roman"/>
          <w:sz w:val="28"/>
          <w:szCs w:val="24"/>
          <w:lang w:val="en-US" w:eastAsia="zh-CN" w:bidi="ar-SA"/>
        </w:rPr>
        <w:t>851503.58</w:t>
      </w:r>
      <w:r>
        <w:rPr>
          <w:rFonts w:hint="eastAsia" w:ascii="Times New Roman" w:hAnsi="Times New Roman" w:eastAsia="方正仿宋_GBK" w:cs="Times New Roman"/>
          <w:sz w:val="28"/>
          <w:szCs w:val="24"/>
          <w:lang w:val="en-US" w:eastAsia="uk-UA" w:bidi="ar-SA"/>
        </w:rPr>
        <w:t>元，主要为</w:t>
      </w:r>
      <w:r>
        <w:rPr>
          <w:rFonts w:hint="eastAsia" w:ascii="Times New Roman" w:hAnsi="Times New Roman" w:eastAsia="方正仿宋_GBK" w:cs="Times New Roman"/>
          <w:sz w:val="28"/>
          <w:szCs w:val="24"/>
          <w:lang w:val="en-US" w:eastAsia="zh-CN" w:bidi="ar-SA"/>
        </w:rPr>
        <w:t>人员减少，人员经费和日常公用经费</w:t>
      </w:r>
      <w:r>
        <w:rPr>
          <w:rFonts w:hint="eastAsia" w:ascii="Times New Roman" w:hAnsi="Times New Roman" w:eastAsia="方正仿宋_GBK" w:cs="Times New Roman"/>
          <w:sz w:val="28"/>
          <w:szCs w:val="24"/>
          <w:lang w:val="en-US" w:eastAsia="uk-UA" w:bidi="ar-SA"/>
        </w:rPr>
        <w:t>支出</w:t>
      </w:r>
      <w:r>
        <w:rPr>
          <w:rFonts w:hint="eastAsia" w:ascii="Times New Roman" w:hAnsi="Times New Roman" w:eastAsia="方正仿宋_GBK" w:cs="Times New Roman"/>
          <w:sz w:val="28"/>
          <w:szCs w:val="24"/>
          <w:lang w:val="en-US" w:eastAsia="zh-CN" w:bidi="ar-SA"/>
        </w:rPr>
        <w:t>减少</w:t>
      </w:r>
      <w:r>
        <w:rPr>
          <w:rFonts w:hint="eastAsia" w:ascii="Times New Roman" w:hAnsi="Times New Roman" w:eastAsia="方正仿宋_GBK" w:cs="Times New Roman"/>
          <w:sz w:val="28"/>
          <w:szCs w:val="24"/>
          <w:lang w:val="en-US" w:eastAsia="uk-UA" w:bidi="ar-SA"/>
        </w:rPr>
        <w:t>；项目支出减少</w:t>
      </w:r>
      <w:r>
        <w:rPr>
          <w:rFonts w:hint="eastAsia" w:ascii="Times New Roman" w:hAnsi="Times New Roman" w:eastAsia="方正仿宋_GBK" w:cs="Times New Roman"/>
          <w:sz w:val="28"/>
          <w:szCs w:val="24"/>
          <w:lang w:val="en-US" w:eastAsia="zh-CN" w:bidi="ar-SA"/>
        </w:rPr>
        <w:t>664570</w:t>
      </w:r>
      <w:r>
        <w:rPr>
          <w:rFonts w:hint="eastAsia" w:ascii="Times New Roman" w:hAnsi="Times New Roman" w:eastAsia="方正仿宋_GBK" w:cs="Times New Roman"/>
          <w:sz w:val="28"/>
          <w:szCs w:val="24"/>
          <w:lang w:val="en-US" w:eastAsia="uk-UA" w:bidi="ar-SA"/>
        </w:rPr>
        <w:t>元，主要为</w:t>
      </w:r>
      <w:r>
        <w:rPr>
          <w:rFonts w:hint="eastAsia" w:ascii="Times New Roman" w:hAnsi="Times New Roman" w:eastAsia="方正仿宋_GBK" w:cs="Times New Roman"/>
          <w:sz w:val="28"/>
          <w:szCs w:val="24"/>
          <w:lang w:val="en-US" w:eastAsia="zh-CN" w:bidi="ar-SA"/>
        </w:rPr>
        <w:t>人事代理专项补助</w:t>
      </w:r>
      <w:r>
        <w:rPr>
          <w:rFonts w:hint="eastAsia" w:ascii="Times New Roman" w:hAnsi="Times New Roman" w:eastAsia="方正仿宋_GBK" w:cs="Times New Roman"/>
          <w:sz w:val="28"/>
          <w:szCs w:val="24"/>
          <w:lang w:val="en-US" w:eastAsia="uk-UA" w:bidi="ar-SA"/>
        </w:rPr>
        <w:t>支出</w:t>
      </w:r>
      <w:r>
        <w:rPr>
          <w:rFonts w:hint="eastAsia" w:ascii="Times New Roman" w:hAnsi="Times New Roman" w:eastAsia="方正仿宋_GBK" w:cs="Times New Roman"/>
          <w:sz w:val="28"/>
          <w:szCs w:val="24"/>
          <w:lang w:val="en-US" w:eastAsia="zh-CN" w:bidi="ar-SA"/>
        </w:rPr>
        <w:t>减少</w:t>
      </w:r>
      <w:r>
        <w:rPr>
          <w:rFonts w:hint="eastAsia" w:ascii="Times New Roman" w:hAnsi="Times New Roman" w:eastAsia="方正仿宋_GBK" w:cs="Times New Roman"/>
          <w:sz w:val="28"/>
          <w:szCs w:val="24"/>
          <w:lang w:val="en-US" w:eastAsia="uk-UA" w:bidi="ar-SA"/>
        </w:rPr>
        <w:t>。</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年我单位机关运行经费共计安排471407.84元，主要用于办公及印刷费</w:t>
      </w:r>
      <w:r>
        <w:rPr>
          <w:rFonts w:hint="eastAsia" w:ascii="Times New Roman" w:hAnsi="Times New Roman" w:eastAsia="方正仿宋_GBK" w:cs="Times New Roman"/>
          <w:sz w:val="28"/>
          <w:szCs w:val="24"/>
          <w:lang w:val="en-US" w:eastAsia="zh-CN" w:bidi="ar-SA"/>
        </w:rPr>
        <w:t>7</w:t>
      </w:r>
      <w:r>
        <w:rPr>
          <w:rFonts w:hint="eastAsia" w:ascii="Times New Roman" w:hAnsi="Times New Roman" w:eastAsia="方正仿宋_GBK" w:cs="Times New Roman"/>
          <w:sz w:val="28"/>
          <w:szCs w:val="24"/>
          <w:lang w:val="en-US" w:eastAsia="uk-UA" w:bidi="ar-SA"/>
        </w:rPr>
        <w:t>4840元、邮电费43000元、差旅费10000元、会议费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元、福利费</w:t>
      </w:r>
      <w:r>
        <w:rPr>
          <w:rFonts w:hint="eastAsia" w:ascii="Times New Roman" w:hAnsi="Times New Roman" w:eastAsia="方正仿宋_GBK" w:cs="Times New Roman"/>
          <w:sz w:val="28"/>
          <w:szCs w:val="24"/>
          <w:lang w:val="en-US" w:eastAsia="zh-CN" w:bidi="ar-SA"/>
        </w:rPr>
        <w:t>31204.8</w:t>
      </w:r>
      <w:r>
        <w:rPr>
          <w:rFonts w:hint="eastAsia" w:ascii="Times New Roman" w:hAnsi="Times New Roman" w:eastAsia="方正仿宋_GBK" w:cs="Times New Roman"/>
          <w:sz w:val="28"/>
          <w:szCs w:val="24"/>
          <w:lang w:val="en-US" w:eastAsia="uk-UA" w:bidi="ar-SA"/>
        </w:rPr>
        <w:t>元、日常维修费1500元、专用材料及一般设备购置费5440元、办公用房水电费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元、办公用房取暖费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元、办公用房物业管理费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元、公务用车运行维护费以及其他费用</w:t>
      </w:r>
      <w:r>
        <w:rPr>
          <w:rFonts w:hint="eastAsia" w:ascii="Times New Roman" w:hAnsi="Times New Roman" w:eastAsia="方正仿宋_GBK" w:cs="Times New Roman"/>
          <w:sz w:val="28"/>
          <w:szCs w:val="24"/>
          <w:lang w:val="en-US" w:eastAsia="zh-CN" w:bidi="ar-SA"/>
        </w:rPr>
        <w:t>305423.04</w:t>
      </w:r>
      <w:r>
        <w:rPr>
          <w:rFonts w:hint="eastAsia" w:ascii="Times New Roman" w:hAnsi="Times New Roman" w:eastAsia="方正仿宋_GBK" w:cs="Times New Roman"/>
          <w:sz w:val="28"/>
          <w:szCs w:val="24"/>
          <w:lang w:val="en-US" w:eastAsia="uk-UA" w:bidi="ar-SA"/>
        </w:rPr>
        <w:t>元等日常运行支出。</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00" w:lineRule="exact"/>
        <w:ind w:firstLine="640"/>
        <w:textAlignment w:val="auto"/>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keepNext w:val="0"/>
        <w:keepLines w:val="0"/>
        <w:pageBreakBefore w:val="0"/>
        <w:widowControl/>
        <w:kinsoku/>
        <w:wordWrap/>
        <w:overflowPunct/>
        <w:topLinePunct w:val="0"/>
        <w:autoSpaceDE/>
        <w:autoSpaceDN/>
        <w:bidi w:val="0"/>
        <w:adjustRightInd/>
        <w:snapToGrid/>
        <w:spacing w:line="500" w:lineRule="exact"/>
        <w:ind w:firstLine="640"/>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1</w:t>
      </w:r>
      <w:r>
        <w:rPr>
          <w:rFonts w:hint="eastAsia"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财政拨款“三公”经费预算安排563682.4元，较上年减少30000元。其中：因公出国（境）费0元，与上年持平，无增减变化；公务用车购置费0元，与上年持平，无增减变化；公务用车运行维护费340000元，与上年持平，无增减变化；公务接待费223682.4元，比上年减少30000元，主要是调出指标。</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五、预算绩效信息</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outlineLvl w:val="3"/>
        <w:rPr>
          <w:rFonts w:ascii="方正仿宋_GBK" w:hAnsi="方正仿宋_GBK" w:eastAsia="方正仿宋_GBK" w:cs="方正仿宋_GBK"/>
          <w:color w:val="000000"/>
          <w:sz w:val="28"/>
        </w:rPr>
      </w:pPr>
      <w:bookmarkStart w:id="1" w:name="_Toc_4_4_0000000004"/>
      <w:r>
        <w:rPr>
          <w:rFonts w:ascii="方正仿宋_GBK" w:hAnsi="方正仿宋_GBK" w:eastAsia="方正仿宋_GBK" w:cs="方正仿宋_GBK"/>
          <w:color w:val="000000"/>
          <w:sz w:val="28"/>
        </w:rPr>
        <w:t>1.车辆保险费绩效目标表</w:t>
      </w:r>
      <w:bookmarkEnd w:id="1"/>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7"/>
        <w:gridCol w:w="1678"/>
        <w:gridCol w:w="1890"/>
        <w:gridCol w:w="2349"/>
        <w:gridCol w:w="1929"/>
        <w:gridCol w:w="1895"/>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201001</w:t>
            </w:r>
            <w:r>
              <w:rPr>
                <w:rFonts w:hint="eastAsia" w:ascii="方正书宋_GBK" w:eastAsia="方正书宋_GBK"/>
                <w:b/>
              </w:rPr>
              <w:t>中共秦皇岛市山海关区委办公室本级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130303210XGGG4UE82OXZ</w:t>
            </w:r>
          </w:p>
        </w:tc>
        <w:tc>
          <w:tcPr>
            <w:tcW w:w="843"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32000.00</w:t>
            </w:r>
          </w:p>
        </w:tc>
        <w:tc>
          <w:tcPr>
            <w:tcW w:w="843"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32000.00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缴纳车辆保险费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3"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及时足额缴纳车辆保险费，保障车辆正常运转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7"/>
        <w:gridCol w:w="4282"/>
        <w:gridCol w:w="1888"/>
        <w:gridCol w:w="2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缴纳车辆保险数量</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缴纳车辆保险数量</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辆</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车辆正常运行率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车辆正常运行率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节约资源，降低能耗</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调查中单位人员对单位车辆使用满意和较满意的人数占调查总人数的比率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keepNext w:val="0"/>
        <w:keepLines w:val="0"/>
        <w:pageBreakBefore w:val="0"/>
        <w:widowControl/>
        <w:kinsoku/>
        <w:wordWrap/>
        <w:overflowPunct/>
        <w:topLinePunct w:val="0"/>
        <w:autoSpaceDE/>
        <w:autoSpaceDN/>
        <w:bidi w:val="0"/>
        <w:adjustRightInd/>
        <w:snapToGrid/>
        <w:spacing w:line="500" w:lineRule="exact"/>
        <w:textAlignment w:val="auto"/>
        <w:outlineLvl w:val="3"/>
        <w:rPr>
          <w:rFonts w:ascii="方正仿宋_GBK" w:hAnsi="方正仿宋_GBK" w:eastAsia="方正仿宋_GBK" w:cs="方正仿宋_GBK"/>
          <w:color w:val="000000"/>
          <w:sz w:val="28"/>
        </w:rPr>
      </w:pPr>
    </w:p>
    <w:p>
      <w:pPr>
        <w:spacing w:line="2" w:lineRule="exact"/>
        <w:jc w:val="center"/>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cols w:space="720" w:num="1"/>
        </w:sectPr>
      </w:pPr>
    </w:p>
    <w:p>
      <w:pPr>
        <w:jc w:val="left"/>
        <w:rPr>
          <w:rFonts w:ascii="Times New Roman" w:hAnsi="宋体"/>
          <w:b/>
          <w:sz w:val="28"/>
        </w:rPr>
      </w:pPr>
      <w:r>
        <w:rPr>
          <w:rFonts w:ascii="方正仿宋_GBK" w:hAnsi="方正仿宋_GBK" w:eastAsia="方正仿宋_GBK" w:cs="方正仿宋_GBK"/>
          <w:color w:val="000000"/>
          <w:sz w:val="28"/>
        </w:rPr>
        <w:t xml:space="preserve"> </w:t>
      </w:r>
      <w:bookmarkStart w:id="2" w:name="_Toc61445553"/>
      <w:bookmarkStart w:id="3" w:name="_Toc_4_4_0000000005"/>
      <w:r>
        <w:rPr>
          <w:rFonts w:hint="eastAsia" w:ascii="方正仿宋_GBK" w:hAnsi="方正仿宋_GBK" w:eastAsia="方正仿宋_GBK" w:cs="方正仿宋_GBK"/>
          <w:color w:val="000000"/>
          <w:sz w:val="28"/>
          <w:lang w:val="en-US" w:eastAsia="zh-CN"/>
        </w:rPr>
        <w:t xml:space="preserve">    </w:t>
      </w:r>
      <w:r>
        <w:rPr>
          <w:rFonts w:hint="eastAsia" w:ascii="方正仿宋_GBK" w:eastAsia="方正仿宋_GBK"/>
          <w:b/>
          <w:sz w:val="28"/>
        </w:rPr>
        <w:t>2.综合保障管理费绩效目标表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2、综合保障管理费绩效目标表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201001</w:t>
            </w:r>
            <w:r>
              <w:rPr>
                <w:rFonts w:hint="eastAsia" w:ascii="方正书宋_GBK" w:eastAsia="方正书宋_GBK"/>
                <w:b/>
              </w:rPr>
              <w:t>中共秦皇岛市山海关区委办公室本级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130303212ZB1WOHFY7AAN</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综合保障管理费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400000.00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400000.00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1"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保障业务正常开展，单位正常运转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36"/>
        <w:gridCol w:w="2017"/>
        <w:gridCol w:w="2017"/>
        <w:gridCol w:w="6165"/>
        <w:gridCol w:w="870"/>
        <w:gridCol w:w="16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3"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723"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723"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210"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312"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85"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723"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723"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312" w:type="pct"/>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人</w:t>
            </w:r>
          </w:p>
        </w:tc>
        <w:tc>
          <w:tcPr>
            <w:tcW w:w="585"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continue"/>
            <w:noWrap w:val="0"/>
            <w:vAlign w:val="center"/>
          </w:tcPr>
          <w:p>
            <w:pPr>
              <w:spacing w:line="300" w:lineRule="exact"/>
              <w:jc w:val="center"/>
              <w:rPr>
                <w:rFonts w:hint="eastAsia" w:ascii="方正书宋_GBK" w:eastAsia="方正书宋_GBK"/>
              </w:rPr>
            </w:pP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办公设备正常运行率</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办公设备正常运行率</w:t>
            </w:r>
          </w:p>
        </w:tc>
        <w:tc>
          <w:tcPr>
            <w:tcW w:w="312"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continue"/>
            <w:noWrap w:val="0"/>
            <w:vAlign w:val="center"/>
          </w:tcPr>
          <w:p>
            <w:pPr>
              <w:spacing w:line="300" w:lineRule="exact"/>
              <w:jc w:val="center"/>
              <w:rPr>
                <w:rFonts w:hint="eastAsia" w:ascii="方正书宋_GBK" w:eastAsia="方正书宋_GBK"/>
              </w:rPr>
            </w:pP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312"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continue"/>
            <w:noWrap w:val="0"/>
            <w:vAlign w:val="center"/>
          </w:tcPr>
          <w:p>
            <w:pPr>
              <w:spacing w:line="300" w:lineRule="exact"/>
              <w:jc w:val="center"/>
              <w:rPr>
                <w:rFonts w:hint="eastAsia" w:ascii="方正书宋_GBK" w:eastAsia="方正书宋_GBK"/>
              </w:rPr>
            </w:pP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312"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312"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continue"/>
            <w:noWrap w:val="0"/>
            <w:vAlign w:val="center"/>
          </w:tcPr>
          <w:p>
            <w:pPr>
              <w:spacing w:line="300" w:lineRule="exact"/>
              <w:jc w:val="center"/>
              <w:rPr>
                <w:rFonts w:hint="eastAsia" w:ascii="方正书宋_GBK" w:eastAsia="方正书宋_GBK"/>
              </w:rPr>
            </w:pP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312"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continue"/>
            <w:noWrap w:val="0"/>
            <w:vAlign w:val="center"/>
          </w:tcPr>
          <w:p>
            <w:pPr>
              <w:spacing w:line="300" w:lineRule="exact"/>
              <w:jc w:val="center"/>
              <w:rPr>
                <w:rFonts w:hint="eastAsia" w:ascii="方正书宋_GBK" w:eastAsia="方正书宋_GBK"/>
              </w:rPr>
            </w:pP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312"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vMerge w:val="continue"/>
            <w:noWrap w:val="0"/>
            <w:vAlign w:val="center"/>
          </w:tcPr>
          <w:p>
            <w:pPr>
              <w:spacing w:line="300" w:lineRule="exact"/>
              <w:jc w:val="center"/>
              <w:rPr>
                <w:rFonts w:hint="eastAsia" w:ascii="方正书宋_GBK" w:eastAsia="方正书宋_GBK"/>
              </w:rPr>
            </w:pP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312"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3"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723"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2210" w:type="pct"/>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312"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85"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bookmarkEnd w:id="3"/>
    <w:p>
      <w:pPr>
        <w:ind w:firstLine="562" w:firstLineChars="200"/>
        <w:jc w:val="left"/>
        <w:outlineLvl w:val="3"/>
        <w:rPr>
          <w:rFonts w:ascii="Times New Roman" w:hAnsi="宋体"/>
          <w:b/>
          <w:sz w:val="28"/>
        </w:rPr>
      </w:pPr>
      <w:bookmarkStart w:id="4" w:name="_Toc61445554"/>
      <w:bookmarkStart w:id="5" w:name="_Toc_4_4_0000000006"/>
      <w:r>
        <w:rPr>
          <w:rFonts w:hint="eastAsia" w:ascii="方正仿宋_GBK" w:eastAsia="方正仿宋_GBK"/>
          <w:b/>
          <w:sz w:val="28"/>
        </w:rPr>
        <w:t>3.密码通信配套设备购置维护费绩效目标表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3、密码通信配套设备购置维护费绩效目标表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46"/>
        <w:gridCol w:w="1344"/>
        <w:gridCol w:w="2266"/>
        <w:gridCol w:w="2511"/>
        <w:gridCol w:w="1550"/>
        <w:gridCol w:w="1567"/>
        <w:gridCol w:w="1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443"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201001</w:t>
            </w:r>
            <w:r>
              <w:rPr>
                <w:rFonts w:hint="eastAsia" w:ascii="方正书宋_GBK" w:eastAsia="方正书宋_GBK"/>
                <w:b/>
              </w:rPr>
              <w:t>中共秦皇岛市山海关区委办公室本级</w:t>
            </w:r>
          </w:p>
        </w:tc>
        <w:tc>
          <w:tcPr>
            <w:tcW w:w="556"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95" w:type="pct"/>
            <w:gridSpan w:val="2"/>
            <w:noWrap w:val="0"/>
            <w:vAlign w:val="center"/>
          </w:tcPr>
          <w:p>
            <w:pPr>
              <w:spacing w:line="300" w:lineRule="exact"/>
              <w:jc w:val="left"/>
              <w:rPr>
                <w:rFonts w:ascii="方正书宋_GBK" w:eastAsia="方正书宋_GBK"/>
              </w:rPr>
            </w:pPr>
            <w:r>
              <w:rPr>
                <w:rFonts w:ascii="方正书宋_GBK" w:eastAsia="方正书宋_GBK"/>
              </w:rPr>
              <w:t>130303215NGQXDKOME6UX</w:t>
            </w:r>
          </w:p>
        </w:tc>
        <w:tc>
          <w:tcPr>
            <w:tcW w:w="901"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673" w:type="pct"/>
            <w:gridSpan w:val="3"/>
            <w:noWrap w:val="0"/>
            <w:vAlign w:val="center"/>
          </w:tcPr>
          <w:p>
            <w:pPr>
              <w:spacing w:line="300" w:lineRule="exact"/>
              <w:jc w:val="left"/>
              <w:rPr>
                <w:rFonts w:ascii="方正书宋_GBK" w:eastAsia="方正书宋_GBK"/>
              </w:rPr>
            </w:pPr>
            <w:r>
              <w:rPr>
                <w:rFonts w:hint="eastAsia" w:ascii="方正书宋_GBK" w:eastAsia="方正书宋_GBK"/>
              </w:rPr>
              <w:t>密码通信配套设备购置维护费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48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813" w:type="pct"/>
            <w:noWrap w:val="0"/>
            <w:vAlign w:val="center"/>
          </w:tcPr>
          <w:p>
            <w:pPr>
              <w:spacing w:line="300" w:lineRule="exact"/>
              <w:jc w:val="left"/>
              <w:rPr>
                <w:rFonts w:ascii="方正书宋_GBK" w:eastAsia="方正书宋_GBK"/>
              </w:rPr>
            </w:pPr>
            <w:r>
              <w:rPr>
                <w:rFonts w:ascii="方正书宋_GBK" w:eastAsia="方正书宋_GBK"/>
              </w:rPr>
              <w:t>74800.00</w:t>
            </w:r>
          </w:p>
        </w:tc>
        <w:tc>
          <w:tcPr>
            <w:tcW w:w="901"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56" w:type="pct"/>
            <w:noWrap w:val="0"/>
            <w:vAlign w:val="center"/>
          </w:tcPr>
          <w:p>
            <w:pPr>
              <w:spacing w:line="300" w:lineRule="exact"/>
              <w:jc w:val="left"/>
              <w:rPr>
                <w:rFonts w:ascii="方正书宋_GBK" w:eastAsia="方正书宋_GBK"/>
              </w:rPr>
            </w:pPr>
            <w:r>
              <w:rPr>
                <w:rFonts w:ascii="方正书宋_GBK" w:eastAsia="方正书宋_GBK"/>
              </w:rPr>
              <w:t>74800.00</w:t>
            </w:r>
          </w:p>
        </w:tc>
        <w:tc>
          <w:tcPr>
            <w:tcW w:w="559"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56"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pct"/>
            <w:vMerge w:val="continue"/>
            <w:noWrap w:val="0"/>
            <w:vAlign w:val="center"/>
          </w:tcPr>
          <w:p>
            <w:pPr>
              <w:spacing w:line="300" w:lineRule="exact"/>
              <w:jc w:val="left"/>
              <w:outlineLvl w:val="3"/>
            </w:pPr>
          </w:p>
        </w:tc>
        <w:tc>
          <w:tcPr>
            <w:tcW w:w="3870"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95"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901"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56"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116"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pct"/>
            <w:vMerge w:val="continue"/>
            <w:tcBorders>
              <w:bottom w:val="single" w:color="000000" w:sz="6" w:space="0"/>
            </w:tcBorders>
            <w:noWrap w:val="0"/>
            <w:vAlign w:val="center"/>
          </w:tcPr>
          <w:p>
            <w:pPr>
              <w:spacing w:line="300" w:lineRule="exact"/>
              <w:jc w:val="left"/>
              <w:outlineLvl w:val="3"/>
            </w:pPr>
          </w:p>
        </w:tc>
        <w:tc>
          <w:tcPr>
            <w:tcW w:w="1295"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901"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556"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116"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3870"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保障业务正常开展，单位正常运转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7"/>
        <w:gridCol w:w="4282"/>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办公设备正常运行率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办公设备正常运行率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bookmarkEnd w:id="5"/>
    </w:tbl>
    <w:p>
      <w:pPr>
        <w:jc w:val="center"/>
      </w:pPr>
      <w:r>
        <w:rPr>
          <w:rFonts w:ascii="方正仿宋_GBK" w:hAnsi="方正仿宋_GBK" w:eastAsia="方正仿宋_GBK" w:cs="方正仿宋_GBK"/>
          <w:color w:val="000000"/>
          <w:sz w:val="28"/>
        </w:rPr>
        <w:t xml:space="preserve"> </w:t>
      </w:r>
    </w:p>
    <w:p>
      <w:pPr>
        <w:ind w:firstLine="562" w:firstLineChars="200"/>
        <w:jc w:val="left"/>
        <w:outlineLvl w:val="3"/>
        <w:rPr>
          <w:rFonts w:ascii="Times New Roman" w:hAnsi="宋体"/>
          <w:b/>
          <w:sz w:val="28"/>
        </w:rPr>
      </w:pPr>
      <w:bookmarkStart w:id="6" w:name="_Toc61445555"/>
      <w:bookmarkStart w:id="7" w:name="_Toc_4_4_0000000007"/>
      <w:r>
        <w:rPr>
          <w:rFonts w:hint="eastAsia" w:ascii="方正仿宋_GBK" w:eastAsia="方正仿宋_GBK"/>
          <w:b/>
          <w:sz w:val="28"/>
        </w:rPr>
        <w:t>4.电子政务内网及红机二级网配套设备维护检测费、涉密监测专线绩效目标表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4、电子政务内网及红机二级网配套设备维护检测费、涉密监测专线绩效目标表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9"/>
        <w:gridCol w:w="1928"/>
        <w:gridCol w:w="1895"/>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201001</w:t>
            </w:r>
            <w:r>
              <w:rPr>
                <w:rFonts w:hint="eastAsia" w:ascii="方正书宋_GBK" w:eastAsia="方正书宋_GBK"/>
                <w:b/>
              </w:rPr>
              <w:t>中共秦皇岛市山海关区委办公室本级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13030321KOLDB5IFIXB0G</w:t>
            </w:r>
          </w:p>
        </w:tc>
        <w:tc>
          <w:tcPr>
            <w:tcW w:w="843"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电子政务内网及红机二级网配套设备维护检测费、涉密监测专线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61200.00</w:t>
            </w:r>
          </w:p>
        </w:tc>
        <w:tc>
          <w:tcPr>
            <w:tcW w:w="843"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61200.00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3"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1"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3"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1" w:type="pct"/>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保障业务正常开展，单位正常运转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7"/>
        <w:gridCol w:w="4282"/>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办公设备正常运行率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办公设备正常运行率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bookmarkEnd w:id="7"/>
    </w:tbl>
    <w:p>
      <w:pPr>
        <w:ind w:firstLine="562" w:firstLineChars="200"/>
        <w:jc w:val="left"/>
        <w:outlineLvl w:val="3"/>
        <w:rPr>
          <w:rFonts w:ascii="Times New Roman" w:hAnsi="宋体"/>
          <w:b/>
          <w:sz w:val="28"/>
        </w:rPr>
      </w:pPr>
      <w:bookmarkStart w:id="8" w:name="_Toc61445556"/>
      <w:r>
        <w:rPr>
          <w:rFonts w:hint="eastAsia" w:ascii="方正仿宋_GBK" w:eastAsia="方正仿宋_GBK"/>
          <w:b/>
          <w:sz w:val="28"/>
        </w:rPr>
        <w:t>5.保密宣传技术防范工作经费绩效目标表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5、保密宣传技术防范工作经费绩效目标表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201001</w:t>
            </w:r>
            <w:r>
              <w:rPr>
                <w:rFonts w:hint="eastAsia" w:ascii="方正书宋_GBK" w:eastAsia="方正书宋_GBK"/>
                <w:b/>
              </w:rPr>
              <w:t>中共秦皇岛市山海关区委办公室本级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13030321U1KGRTTLER6FI</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保密宣传技术防范工作经费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115000.00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115000.00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保障业务正常开展，单位正常运转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支付经费人数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办公设备正常运行率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办公设备正常运行率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bookmarkStart w:id="9" w:name="_Toc61445557"/>
      <w:r>
        <w:rPr>
          <w:rFonts w:hint="eastAsia" w:ascii="方正仿宋_GBK" w:eastAsia="方正仿宋_GBK"/>
          <w:b/>
          <w:sz w:val="28"/>
        </w:rPr>
        <w:t>6.网站网络维护管理经费绩效目标表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6、网站网络维护管理经费绩效目标表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201001</w:t>
            </w:r>
            <w:r>
              <w:rPr>
                <w:rFonts w:hint="eastAsia" w:ascii="方正书宋_GBK" w:eastAsia="方正书宋_GBK"/>
                <w:b/>
              </w:rPr>
              <w:t>中共秦皇岛市山海关区委办公室本级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13030321U223KMH4KAQ44</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网站网络维护管理经费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50000.00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50000.00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保障业务正常开展，单位正常运转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保障业务正常开展，单位正常运转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3"/>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互联网重大突发事件应急处置率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互联网重大突发事件应急处置率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办公设备正常运行率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办公设备正常运行率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ind w:firstLine="562" w:firstLineChars="200"/>
        <w:jc w:val="left"/>
        <w:outlineLvl w:val="3"/>
        <w:rPr>
          <w:rFonts w:ascii="Times New Roman" w:hAnsi="宋体"/>
          <w:b/>
          <w:sz w:val="28"/>
        </w:rPr>
      </w:pPr>
      <w:bookmarkStart w:id="10" w:name="_Toc61445558"/>
      <w:r>
        <w:rPr>
          <w:rFonts w:hint="eastAsia" w:ascii="方正仿宋_GBK" w:eastAsia="方正仿宋_GBK"/>
          <w:b/>
          <w:sz w:val="28"/>
        </w:rPr>
        <w:t>7.会务活动承办费绩效目标表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7、会务活动承办费绩效目标表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201001</w:t>
            </w:r>
            <w:r>
              <w:rPr>
                <w:rFonts w:hint="eastAsia" w:ascii="方正书宋_GBK" w:eastAsia="方正书宋_GBK"/>
                <w:b/>
              </w:rPr>
              <w:t>中共秦皇岛市山海关区委办公室本级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13030321VSZK3814KWK4L</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会务活动承办费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200000.00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200000.00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保障大型会议、各种公务活动、公务接待等顺利举办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保障大型会议、各种公务活动、公务接待等顺利举办</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举办活动场次</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举办活动场次</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活动顺利举办率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活动顺利举办率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对经济发展的促进作用</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对经济发展的促进作用</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执行相关标准，降低成本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持续发展作用力</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持续发展作用力</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服务对象满意和较满意的人数占总人数的比率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before="10" w:after="10"/>
        <w:ind w:firstLine="640"/>
        <w:outlineLvl w:val="5"/>
      </w:pPr>
      <w:r>
        <w:rPr>
          <w:rFonts w:ascii="黑体" w:hAnsi="黑体" w:eastAsia="黑体" w:cs="黑体"/>
          <w:color w:val="000000"/>
          <w:sz w:val="32"/>
        </w:rPr>
        <w:t>六、政府采购预算情况</w:t>
      </w:r>
    </w:p>
    <w:p>
      <w:pPr>
        <w:ind w:firstLine="640"/>
        <w:jc w:val="left"/>
        <w:rPr>
          <w:rFonts w:hint="eastAsia" w:ascii="仿宋_GB2312" w:eastAsia="仿宋_GB2312"/>
          <w:sz w:val="32"/>
          <w:szCs w:val="32"/>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中共秦皇岛市山海关区委办公室本级</w:t>
      </w:r>
      <w:r>
        <w:rPr>
          <w:rFonts w:hint="eastAsia" w:eastAsia="方正仿宋_GBK"/>
          <w:color w:val="000000"/>
          <w:sz w:val="28"/>
        </w:rPr>
        <w:t>安排政府采购预算具体内容见下表。</w:t>
      </w:r>
    </w:p>
    <w:p>
      <w:pPr>
        <w:jc w:val="center"/>
      </w:pPr>
      <w:r>
        <w:rPr>
          <w:rFonts w:hint="eastAsia" w:ascii="仿宋_GB2312" w:eastAsia="仿宋_GB2312"/>
          <w:sz w:val="32"/>
          <w:szCs w:val="32"/>
        </w:rPr>
        <w:t xml:space="preserve">   </w:t>
      </w:r>
      <w:r>
        <w:rPr>
          <w:rFonts w:ascii="方正小标宋_GBK" w:hAnsi="方正小标宋_GBK" w:eastAsia="方正小标宋_GBK" w:cs="方正小标宋_GBK"/>
          <w:color w:val="000000"/>
          <w:sz w:val="36"/>
        </w:rPr>
        <w:t>单位政府采购预算</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91"/>
        <w:gridCol w:w="904"/>
        <w:gridCol w:w="1060"/>
        <w:gridCol w:w="1060"/>
        <w:gridCol w:w="664"/>
        <w:gridCol w:w="796"/>
        <w:gridCol w:w="805"/>
        <w:gridCol w:w="901"/>
        <w:gridCol w:w="901"/>
        <w:gridCol w:w="901"/>
        <w:gridCol w:w="901"/>
        <w:gridCol w:w="901"/>
        <w:gridCol w:w="901"/>
        <w:gridCol w:w="901"/>
        <w:gridCol w:w="922"/>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91" w:type="pct"/>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201001中共秦皇岛市山海关区委办公室</w:t>
            </w:r>
            <w:r>
              <w:t>本级</w:t>
            </w:r>
          </w:p>
        </w:tc>
        <w:tc>
          <w:tcPr>
            <w:tcW w:w="2708" w:type="pct"/>
            <w:gridSpan w:val="9"/>
            <w:tcBorders>
              <w:top w:val="single" w:color="FFFFFF" w:sz="6" w:space="0"/>
              <w:left w:val="single" w:color="FFFFFF" w:sz="6" w:space="0"/>
              <w:right w:val="single" w:color="FFFFFF" w:sz="6" w:space="0"/>
            </w:tcBorders>
            <w:vAlign w:val="center"/>
          </w:tcPr>
          <w:p>
            <w:pPr>
              <w:pStyle w:val="33"/>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1" w:type="pct"/>
            <w:gridSpan w:val="2"/>
            <w:vAlign w:val="center"/>
          </w:tcPr>
          <w:p>
            <w:pPr>
              <w:pStyle w:val="15"/>
            </w:pPr>
            <w:r>
              <w:t>政府采购项目来源</w:t>
            </w:r>
          </w:p>
        </w:tc>
        <w:tc>
          <w:tcPr>
            <w:tcW w:w="353" w:type="pct"/>
            <w:vMerge w:val="restart"/>
            <w:vAlign w:val="center"/>
          </w:tcPr>
          <w:p>
            <w:pPr>
              <w:pStyle w:val="15"/>
            </w:pPr>
            <w:r>
              <w:t>采购物品名称</w:t>
            </w:r>
          </w:p>
        </w:tc>
        <w:tc>
          <w:tcPr>
            <w:tcW w:w="353" w:type="pct"/>
            <w:vMerge w:val="restart"/>
            <w:vAlign w:val="center"/>
          </w:tcPr>
          <w:p>
            <w:pPr>
              <w:pStyle w:val="15"/>
            </w:pPr>
            <w:r>
              <w:t>政府采购目录序号</w:t>
            </w:r>
          </w:p>
        </w:tc>
        <w:tc>
          <w:tcPr>
            <w:tcW w:w="221" w:type="pct"/>
            <w:vMerge w:val="restart"/>
            <w:vAlign w:val="center"/>
          </w:tcPr>
          <w:p>
            <w:pPr>
              <w:pStyle w:val="15"/>
            </w:pPr>
            <w:r>
              <w:t>计量  单位</w:t>
            </w:r>
          </w:p>
        </w:tc>
        <w:tc>
          <w:tcPr>
            <w:tcW w:w="265" w:type="pct"/>
            <w:vMerge w:val="restart"/>
            <w:vAlign w:val="center"/>
          </w:tcPr>
          <w:p>
            <w:pPr>
              <w:pStyle w:val="15"/>
            </w:pPr>
            <w:r>
              <w:t>数量</w:t>
            </w:r>
          </w:p>
        </w:tc>
        <w:tc>
          <w:tcPr>
            <w:tcW w:w="265" w:type="pct"/>
            <w:vMerge w:val="restart"/>
            <w:vAlign w:val="center"/>
          </w:tcPr>
          <w:p>
            <w:pPr>
              <w:pStyle w:val="15"/>
            </w:pPr>
            <w:r>
              <w:t>单价</w:t>
            </w:r>
          </w:p>
        </w:tc>
        <w:tc>
          <w:tcPr>
            <w:tcW w:w="2407" w:type="pct"/>
            <w:gridSpan w:val="8"/>
            <w:vAlign w:val="center"/>
          </w:tcPr>
          <w:p>
            <w:pPr>
              <w:pStyle w:val="15"/>
            </w:pPr>
            <w:r>
              <w:t>政府采购金额（当年部门预算安排资金）</w:t>
            </w:r>
          </w:p>
        </w:tc>
        <w:tc>
          <w:tcPr>
            <w:tcW w:w="301" w:type="pct"/>
            <w:vMerge w:val="restart"/>
            <w:vAlign w:val="center"/>
          </w:tcPr>
          <w:p>
            <w:pPr>
              <w:pStyle w:val="15"/>
            </w:pPr>
            <w:r>
              <w:t>202</w:t>
            </w:r>
            <w:r>
              <w:rPr>
                <w:rFonts w:hint="eastAsia"/>
                <w:lang w:val="en-US" w:eastAsia="zh-CN"/>
              </w:rPr>
              <w:t>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30" w:type="pct"/>
            <w:vAlign w:val="center"/>
          </w:tcPr>
          <w:p>
            <w:pPr>
              <w:pStyle w:val="15"/>
            </w:pPr>
            <w:r>
              <w:t>项目名称</w:t>
            </w:r>
          </w:p>
        </w:tc>
        <w:tc>
          <w:tcPr>
            <w:tcW w:w="301" w:type="pct"/>
            <w:vAlign w:val="center"/>
          </w:tcPr>
          <w:p>
            <w:pPr>
              <w:pStyle w:val="15"/>
            </w:pPr>
            <w:r>
              <w:t>预算    资金</w:t>
            </w:r>
          </w:p>
        </w:tc>
        <w:tc>
          <w:tcPr>
            <w:tcW w:w="353" w:type="pct"/>
            <w:vMerge w:val="continue"/>
          </w:tcPr>
          <w:p/>
        </w:tc>
        <w:tc>
          <w:tcPr>
            <w:tcW w:w="353" w:type="pct"/>
            <w:vMerge w:val="continue"/>
          </w:tcPr>
          <w:p/>
        </w:tc>
        <w:tc>
          <w:tcPr>
            <w:tcW w:w="221" w:type="pct"/>
            <w:vMerge w:val="continue"/>
          </w:tcPr>
          <w:p/>
        </w:tc>
        <w:tc>
          <w:tcPr>
            <w:tcW w:w="265" w:type="pct"/>
            <w:vMerge w:val="continue"/>
          </w:tcPr>
          <w:p/>
        </w:tc>
        <w:tc>
          <w:tcPr>
            <w:tcW w:w="265" w:type="pct"/>
            <w:vMerge w:val="continue"/>
          </w:tcPr>
          <w:p/>
        </w:tc>
        <w:tc>
          <w:tcPr>
            <w:tcW w:w="300" w:type="pct"/>
            <w:vAlign w:val="center"/>
          </w:tcPr>
          <w:p>
            <w:pPr>
              <w:pStyle w:val="15"/>
            </w:pPr>
            <w:r>
              <w:t>合计</w:t>
            </w:r>
          </w:p>
        </w:tc>
        <w:tc>
          <w:tcPr>
            <w:tcW w:w="300" w:type="pct"/>
            <w:vAlign w:val="center"/>
          </w:tcPr>
          <w:p>
            <w:pPr>
              <w:pStyle w:val="15"/>
            </w:pPr>
            <w:r>
              <w:t>一般公共预算拨款</w:t>
            </w:r>
          </w:p>
        </w:tc>
        <w:tc>
          <w:tcPr>
            <w:tcW w:w="300" w:type="pct"/>
            <w:vAlign w:val="center"/>
          </w:tcPr>
          <w:p>
            <w:pPr>
              <w:pStyle w:val="15"/>
            </w:pPr>
            <w:r>
              <w:t>基金预算拨款</w:t>
            </w:r>
          </w:p>
        </w:tc>
        <w:tc>
          <w:tcPr>
            <w:tcW w:w="300" w:type="pct"/>
            <w:vAlign w:val="center"/>
          </w:tcPr>
          <w:p>
            <w:pPr>
              <w:pStyle w:val="15"/>
            </w:pPr>
            <w:r>
              <w:t>国有资本经营预算拨款</w:t>
            </w:r>
          </w:p>
        </w:tc>
        <w:tc>
          <w:tcPr>
            <w:tcW w:w="300" w:type="pct"/>
            <w:vAlign w:val="center"/>
          </w:tcPr>
          <w:p>
            <w:pPr>
              <w:pStyle w:val="15"/>
            </w:pPr>
            <w:r>
              <w:t>财政专户核拨</w:t>
            </w:r>
          </w:p>
        </w:tc>
        <w:tc>
          <w:tcPr>
            <w:tcW w:w="300" w:type="pct"/>
            <w:vAlign w:val="center"/>
          </w:tcPr>
          <w:p>
            <w:pPr>
              <w:pStyle w:val="15"/>
            </w:pPr>
            <w:r>
              <w:t>单位    资金</w:t>
            </w:r>
          </w:p>
        </w:tc>
        <w:tc>
          <w:tcPr>
            <w:tcW w:w="300" w:type="pct"/>
            <w:vAlign w:val="center"/>
          </w:tcPr>
          <w:p>
            <w:pPr>
              <w:pStyle w:val="15"/>
            </w:pPr>
            <w:r>
              <w:t>财政拨    款结转</w:t>
            </w:r>
          </w:p>
        </w:tc>
        <w:tc>
          <w:tcPr>
            <w:tcW w:w="302" w:type="pct"/>
            <w:vAlign w:val="center"/>
          </w:tcPr>
          <w:p>
            <w:pPr>
              <w:pStyle w:val="15"/>
            </w:pPr>
            <w:r>
              <w:t>非财政    拨款结    转结余</w:t>
            </w:r>
          </w:p>
        </w:tc>
        <w:tc>
          <w:tcPr>
            <w:tcW w:w="301"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30" w:type="pct"/>
            <w:vAlign w:val="center"/>
          </w:tcPr>
          <w:p>
            <w:pPr>
              <w:pStyle w:val="19"/>
            </w:pPr>
            <w:r>
              <w:t>合  计</w:t>
            </w:r>
          </w:p>
        </w:tc>
        <w:tc>
          <w:tcPr>
            <w:tcW w:w="301" w:type="pct"/>
            <w:vAlign w:val="center"/>
          </w:tcPr>
          <w:p>
            <w:pPr>
              <w:pStyle w:val="20"/>
            </w:pPr>
          </w:p>
        </w:tc>
        <w:tc>
          <w:tcPr>
            <w:tcW w:w="353" w:type="pct"/>
            <w:vAlign w:val="center"/>
          </w:tcPr>
          <w:p>
            <w:pPr>
              <w:pStyle w:val="21"/>
            </w:pPr>
          </w:p>
        </w:tc>
        <w:tc>
          <w:tcPr>
            <w:tcW w:w="353" w:type="pct"/>
            <w:vAlign w:val="center"/>
          </w:tcPr>
          <w:p>
            <w:pPr>
              <w:pStyle w:val="21"/>
            </w:pPr>
          </w:p>
        </w:tc>
        <w:tc>
          <w:tcPr>
            <w:tcW w:w="221" w:type="pct"/>
            <w:vAlign w:val="center"/>
          </w:tcPr>
          <w:p>
            <w:pPr>
              <w:pStyle w:val="19"/>
            </w:pPr>
          </w:p>
        </w:tc>
        <w:tc>
          <w:tcPr>
            <w:tcW w:w="265" w:type="pct"/>
            <w:vAlign w:val="center"/>
          </w:tcPr>
          <w:p>
            <w:pPr>
              <w:pStyle w:val="20"/>
            </w:pPr>
          </w:p>
        </w:tc>
        <w:tc>
          <w:tcPr>
            <w:tcW w:w="265"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2" w:type="pct"/>
            <w:vAlign w:val="center"/>
          </w:tcPr>
          <w:p>
            <w:pPr>
              <w:pStyle w:val="20"/>
            </w:pPr>
          </w:p>
        </w:tc>
        <w:tc>
          <w:tcPr>
            <w:tcW w:w="301"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30" w:type="pct"/>
            <w:vAlign w:val="center"/>
          </w:tcPr>
          <w:p>
            <w:pPr>
              <w:pStyle w:val="19"/>
            </w:pPr>
          </w:p>
        </w:tc>
        <w:tc>
          <w:tcPr>
            <w:tcW w:w="301" w:type="pct"/>
            <w:vAlign w:val="center"/>
          </w:tcPr>
          <w:p>
            <w:pPr>
              <w:pStyle w:val="20"/>
            </w:pPr>
          </w:p>
        </w:tc>
        <w:tc>
          <w:tcPr>
            <w:tcW w:w="353" w:type="pct"/>
            <w:vAlign w:val="center"/>
          </w:tcPr>
          <w:p>
            <w:pPr>
              <w:pStyle w:val="21"/>
            </w:pPr>
          </w:p>
        </w:tc>
        <w:tc>
          <w:tcPr>
            <w:tcW w:w="353" w:type="pct"/>
            <w:vAlign w:val="center"/>
          </w:tcPr>
          <w:p>
            <w:pPr>
              <w:pStyle w:val="21"/>
            </w:pPr>
          </w:p>
        </w:tc>
        <w:tc>
          <w:tcPr>
            <w:tcW w:w="221" w:type="pct"/>
            <w:vAlign w:val="center"/>
          </w:tcPr>
          <w:p>
            <w:pPr>
              <w:pStyle w:val="19"/>
            </w:pPr>
          </w:p>
        </w:tc>
        <w:tc>
          <w:tcPr>
            <w:tcW w:w="265" w:type="pct"/>
            <w:vAlign w:val="center"/>
          </w:tcPr>
          <w:p>
            <w:pPr>
              <w:pStyle w:val="20"/>
            </w:pPr>
          </w:p>
        </w:tc>
        <w:tc>
          <w:tcPr>
            <w:tcW w:w="265"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0" w:type="pct"/>
            <w:vAlign w:val="center"/>
          </w:tcPr>
          <w:p>
            <w:pPr>
              <w:pStyle w:val="20"/>
            </w:pPr>
          </w:p>
        </w:tc>
        <w:tc>
          <w:tcPr>
            <w:tcW w:w="302" w:type="pct"/>
            <w:vAlign w:val="center"/>
          </w:tcPr>
          <w:p>
            <w:pPr>
              <w:pStyle w:val="20"/>
            </w:pPr>
          </w:p>
        </w:tc>
        <w:tc>
          <w:tcPr>
            <w:tcW w:w="301" w:type="pct"/>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30" w:type="pct"/>
            <w:vAlign w:val="center"/>
          </w:tcPr>
          <w:p>
            <w:pPr>
              <w:pStyle w:val="17"/>
            </w:pPr>
          </w:p>
        </w:tc>
        <w:tc>
          <w:tcPr>
            <w:tcW w:w="301" w:type="pct"/>
            <w:vAlign w:val="center"/>
          </w:tcPr>
          <w:p>
            <w:pPr>
              <w:pStyle w:val="16"/>
            </w:pPr>
          </w:p>
        </w:tc>
        <w:tc>
          <w:tcPr>
            <w:tcW w:w="353" w:type="pct"/>
            <w:vAlign w:val="center"/>
          </w:tcPr>
          <w:p>
            <w:pPr>
              <w:pStyle w:val="17"/>
            </w:pPr>
          </w:p>
        </w:tc>
        <w:tc>
          <w:tcPr>
            <w:tcW w:w="353" w:type="pct"/>
            <w:vAlign w:val="center"/>
          </w:tcPr>
          <w:p>
            <w:pPr>
              <w:pStyle w:val="17"/>
            </w:pPr>
          </w:p>
        </w:tc>
        <w:tc>
          <w:tcPr>
            <w:tcW w:w="221" w:type="pct"/>
            <w:vAlign w:val="center"/>
          </w:tcPr>
          <w:p>
            <w:pPr>
              <w:pStyle w:val="18"/>
            </w:pPr>
          </w:p>
        </w:tc>
        <w:tc>
          <w:tcPr>
            <w:tcW w:w="265" w:type="pct"/>
            <w:vAlign w:val="center"/>
          </w:tcPr>
          <w:p>
            <w:pPr>
              <w:pStyle w:val="16"/>
            </w:pPr>
          </w:p>
        </w:tc>
        <w:tc>
          <w:tcPr>
            <w:tcW w:w="265"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0" w:type="pct"/>
            <w:vAlign w:val="center"/>
          </w:tcPr>
          <w:p>
            <w:pPr>
              <w:pStyle w:val="16"/>
            </w:pPr>
          </w:p>
        </w:tc>
        <w:tc>
          <w:tcPr>
            <w:tcW w:w="302" w:type="pct"/>
            <w:vAlign w:val="center"/>
          </w:tcPr>
          <w:p>
            <w:pPr>
              <w:pStyle w:val="16"/>
            </w:pPr>
          </w:p>
        </w:tc>
        <w:tc>
          <w:tcPr>
            <w:tcW w:w="301" w:type="pct"/>
            <w:vAlign w:val="center"/>
          </w:tcPr>
          <w:p>
            <w:pPr>
              <w:pStyle w:val="16"/>
            </w:pPr>
          </w:p>
        </w:tc>
      </w:tr>
    </w:tbl>
    <w:p>
      <w:pPr>
        <w:jc w:val="left"/>
        <w:rPr>
          <w:rFonts w:hint="eastAsia" w:eastAsia="方正仿宋_GBK"/>
          <w:color w:val="000000"/>
          <w:sz w:val="28"/>
          <w:lang w:eastAsia="zh-CN"/>
        </w:rPr>
      </w:pPr>
      <w:r>
        <w:rPr>
          <w:rFonts w:hint="eastAsia" w:eastAsia="方正仿宋_GBK"/>
          <w:color w:val="000000"/>
          <w:sz w:val="28"/>
          <w:lang w:eastAsia="zh-CN"/>
        </w:rPr>
        <w:t>无此项公开内容，空表列示。</w:t>
      </w:r>
    </w:p>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pPr>
      <w:r>
        <w:rPr>
          <w:rFonts w:ascii="黑体" w:hAnsi="黑体" w:eastAsia="黑体" w:cs="黑体"/>
          <w:color w:val="000000"/>
          <w:sz w:val="32"/>
        </w:rPr>
        <w:t>七、国有资产信息</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eastAsia="方正仿宋_GBK"/>
          <w:color w:val="000000"/>
          <w:sz w:val="28"/>
        </w:rPr>
      </w:pPr>
      <w:r>
        <w:rPr>
          <w:rFonts w:hint="eastAsia" w:eastAsia="方正仿宋_GBK"/>
          <w:color w:val="000000"/>
          <w:sz w:val="28"/>
        </w:rPr>
        <w:t>截至上年末，我单位固定资产总额5636819.02元，本年度有新增固定资产预算。本年度拟购置固定资产总额为27800</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eastAsia="方正仿宋_GBK"/>
          <w:color w:val="000000"/>
          <w:sz w:val="28"/>
        </w:rPr>
      </w:pPr>
      <w:r>
        <w:rPr>
          <w:rFonts w:hint="eastAsia" w:eastAsia="方正仿宋_GBK"/>
          <w:color w:val="000000"/>
          <w:sz w:val="28"/>
        </w:rPr>
        <w:t>元，具体情况如下：办公家具4件2910元，通用设备8台24890元。</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pPr>
      <w:r>
        <w:rPr>
          <w:rFonts w:ascii="方正小标宋_GBK" w:hAnsi="方正小标宋_GBK" w:eastAsia="方正小标宋_GBK" w:cs="方正小标宋_GBK"/>
          <w:color w:val="000000"/>
          <w:sz w:val="36"/>
        </w:rPr>
        <w:t>单位固定资产占用情况表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484"/>
        <w:gridCol w:w="3261"/>
        <w:gridCol w:w="3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5" w:type="pct"/>
            <w:tcBorders>
              <w:top w:val="single" w:color="FFFFFF" w:sz="6" w:space="0"/>
              <w:left w:val="single" w:color="FFFFFF" w:sz="6" w:space="0"/>
              <w:right w:val="single" w:color="FFFFFF" w:sz="6" w:space="0"/>
            </w:tcBorders>
            <w:vAlign w:val="center"/>
          </w:tcPr>
          <w:p>
            <w:pPr>
              <w:pStyle w:val="14"/>
            </w:pPr>
            <w:r>
              <w:rPr>
                <w:rFonts w:hint="eastAsia"/>
                <w:lang w:val="en-US" w:eastAsia="zh-CN"/>
              </w:rPr>
              <w:t>201001中共秦皇岛市山海关区委办公室</w:t>
            </w:r>
            <w:r>
              <w:t>本级</w:t>
            </w:r>
          </w:p>
        </w:tc>
        <w:tc>
          <w:tcPr>
            <w:tcW w:w="2174" w:type="pct"/>
            <w:gridSpan w:val="2"/>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5" w:type="pct"/>
            <w:vAlign w:val="center"/>
          </w:tcPr>
          <w:p>
            <w:pPr>
              <w:pStyle w:val="15"/>
            </w:pPr>
            <w:r>
              <w:t>项   目</w:t>
            </w:r>
          </w:p>
        </w:tc>
        <w:tc>
          <w:tcPr>
            <w:tcW w:w="1086" w:type="pct"/>
            <w:vAlign w:val="center"/>
          </w:tcPr>
          <w:p>
            <w:pPr>
              <w:pStyle w:val="15"/>
            </w:pPr>
            <w:r>
              <w:t>数量</w:t>
            </w:r>
          </w:p>
        </w:tc>
        <w:tc>
          <w:tcPr>
            <w:tcW w:w="1087" w:type="pct"/>
            <w:vAlign w:val="center"/>
          </w:tcPr>
          <w:p>
            <w:pPr>
              <w:pStyle w:val="15"/>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center"/>
            </w:pPr>
            <w:r>
              <w:rPr>
                <w:rFonts w:hint="eastAsia" w:ascii="宋体" w:hAnsi="宋体" w:cs="宋体"/>
                <w:kern w:val="0"/>
                <w:sz w:val="22"/>
              </w:rPr>
              <w:t>资产总额</w:t>
            </w:r>
          </w:p>
        </w:tc>
        <w:tc>
          <w:tcPr>
            <w:tcW w:w="1086" w:type="pct"/>
            <w:vAlign w:val="center"/>
          </w:tcPr>
          <w:p>
            <w:pPr>
              <w:jc w:val="center"/>
            </w:pPr>
          </w:p>
        </w:tc>
        <w:tc>
          <w:tcPr>
            <w:tcW w:w="1087" w:type="pct"/>
            <w:vAlign w:val="center"/>
          </w:tcPr>
          <w:p>
            <w:pPr>
              <w:jc w:val="center"/>
            </w:pPr>
            <w:r>
              <w:rPr>
                <w:rFonts w:hint="eastAsia" w:ascii="宋体" w:hAnsi="宋体" w:cs="宋体"/>
                <w:kern w:val="0"/>
                <w:sz w:val="22"/>
                <w:szCs w:val="22"/>
              </w:rPr>
              <w:t>5636819.02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1、房屋（平方米）</w:t>
            </w:r>
          </w:p>
        </w:tc>
        <w:tc>
          <w:tcPr>
            <w:tcW w:w="1086" w:type="pct"/>
            <w:vAlign w:val="center"/>
          </w:tcPr>
          <w:p>
            <w:pPr>
              <w:jc w:val="center"/>
            </w:pPr>
            <w:r>
              <w:rPr>
                <w:rFonts w:hint="eastAsia" w:ascii="宋体" w:hAnsi="宋体" w:cs="宋体"/>
                <w:kern w:val="0"/>
                <w:sz w:val="22"/>
              </w:rPr>
              <w:t>3000</w:t>
            </w:r>
          </w:p>
        </w:tc>
        <w:tc>
          <w:tcPr>
            <w:tcW w:w="1087" w:type="pct"/>
            <w:vAlign w:val="center"/>
          </w:tcPr>
          <w:p>
            <w:pPr>
              <w:jc w:val="center"/>
            </w:pPr>
            <w:r>
              <w:rPr>
                <w:rFonts w:hint="eastAsia" w:ascii="宋体" w:hAnsi="宋体" w:cs="宋体"/>
                <w:kern w:val="0"/>
                <w:sz w:val="22"/>
              </w:rPr>
              <w:t>441500</w:t>
            </w:r>
            <w:r>
              <w:rPr>
                <w:rFonts w:hint="eastAsia" w:ascii="宋体" w:hAnsi="宋体" w:cs="宋体"/>
                <w:kern w:val="0"/>
                <w:sz w:val="22"/>
                <w:lang w:val="en-US"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2、车辆（台、辆）</w:t>
            </w:r>
          </w:p>
        </w:tc>
        <w:tc>
          <w:tcPr>
            <w:tcW w:w="1086" w:type="pct"/>
            <w:vAlign w:val="center"/>
          </w:tcPr>
          <w:p>
            <w:pPr>
              <w:jc w:val="center"/>
            </w:pPr>
            <w:r>
              <w:rPr>
                <w:rFonts w:hint="eastAsia" w:ascii="宋体" w:hAnsi="宋体" w:cs="宋体"/>
                <w:kern w:val="0"/>
                <w:sz w:val="22"/>
                <w:lang w:val="en-US" w:eastAsia="zh-CN"/>
              </w:rPr>
              <w:t>10</w:t>
            </w:r>
          </w:p>
        </w:tc>
        <w:tc>
          <w:tcPr>
            <w:tcW w:w="1087" w:type="pct"/>
            <w:vAlign w:val="center"/>
          </w:tcPr>
          <w:p>
            <w:pPr>
              <w:jc w:val="center"/>
            </w:pPr>
            <w:r>
              <w:rPr>
                <w:rFonts w:hint="eastAsia" w:ascii="宋体" w:hAnsi="宋体" w:cs="宋体"/>
                <w:kern w:val="0"/>
                <w:sz w:val="22"/>
              </w:rPr>
              <w:t>2241339.00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3、单价在20</w:t>
            </w:r>
            <w:r>
              <w:rPr>
                <w:rFonts w:hint="eastAsia" w:ascii="宋体" w:hAnsi="宋体" w:cs="宋体"/>
                <w:kern w:val="0"/>
                <w:sz w:val="22"/>
                <w:lang w:eastAsia="zh-CN"/>
              </w:rPr>
              <w:t>万</w:t>
            </w:r>
            <w:r>
              <w:rPr>
                <w:rFonts w:hint="eastAsia" w:ascii="宋体" w:hAnsi="宋体" w:cs="宋体"/>
                <w:kern w:val="0"/>
                <w:sz w:val="22"/>
              </w:rPr>
              <w:t>元以上设备</w:t>
            </w:r>
          </w:p>
        </w:tc>
        <w:tc>
          <w:tcPr>
            <w:tcW w:w="1086" w:type="pct"/>
            <w:vAlign w:val="center"/>
          </w:tcPr>
          <w:p>
            <w:pPr>
              <w:jc w:val="center"/>
            </w:pPr>
          </w:p>
        </w:tc>
        <w:tc>
          <w:tcPr>
            <w:tcW w:w="1087" w:type="pct"/>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4、</w:t>
            </w:r>
            <w:r>
              <w:rPr>
                <w:rFonts w:ascii="宋体" w:hAnsi="宋体" w:cs="宋体"/>
                <w:kern w:val="0"/>
                <w:sz w:val="22"/>
              </w:rPr>
              <w:t>……………</w:t>
            </w:r>
          </w:p>
        </w:tc>
        <w:tc>
          <w:tcPr>
            <w:tcW w:w="1086" w:type="pct"/>
            <w:vAlign w:val="center"/>
          </w:tcPr>
          <w:p>
            <w:pPr>
              <w:jc w:val="center"/>
            </w:pPr>
          </w:p>
        </w:tc>
        <w:tc>
          <w:tcPr>
            <w:tcW w:w="1087" w:type="pct"/>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25" w:type="pct"/>
            <w:vAlign w:val="center"/>
          </w:tcPr>
          <w:p>
            <w:pPr>
              <w:jc w:val="left"/>
            </w:pPr>
            <w:r>
              <w:rPr>
                <w:rFonts w:hint="eastAsia" w:ascii="宋体" w:hAnsi="宋体" w:cs="宋体"/>
                <w:kern w:val="0"/>
                <w:sz w:val="22"/>
              </w:rPr>
              <w:t>5、其他固定资产</w:t>
            </w:r>
          </w:p>
        </w:tc>
        <w:tc>
          <w:tcPr>
            <w:tcW w:w="1086" w:type="pct"/>
            <w:vAlign w:val="center"/>
          </w:tcPr>
          <w:p>
            <w:pPr>
              <w:jc w:val="center"/>
            </w:pPr>
            <w:r>
              <w:rPr>
                <w:rFonts w:hint="eastAsia" w:ascii="宋体" w:hAnsi="宋体" w:cs="宋体"/>
                <w:kern w:val="0"/>
                <w:sz w:val="22"/>
                <w:lang w:val="en-US" w:eastAsia="zh-CN"/>
              </w:rPr>
              <w:t>632</w:t>
            </w:r>
          </w:p>
        </w:tc>
        <w:tc>
          <w:tcPr>
            <w:tcW w:w="1087" w:type="pct"/>
            <w:vAlign w:val="center"/>
          </w:tcPr>
          <w:p>
            <w:pPr>
              <w:jc w:val="center"/>
            </w:pPr>
            <w:r>
              <w:rPr>
                <w:rFonts w:hint="eastAsia" w:ascii="宋体" w:hAnsi="宋体" w:cs="宋体"/>
                <w:kern w:val="0"/>
                <w:sz w:val="22"/>
                <w:lang w:val="en-US" w:eastAsia="zh-CN"/>
              </w:rPr>
              <w:t>2953977.02</w:t>
            </w:r>
          </w:p>
        </w:tc>
      </w:tr>
    </w:tbl>
    <w:p>
      <w:pPr>
        <w:ind w:firstLine="640" w:firstLineChars="200"/>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500" w:lineRule="exact"/>
        <w:ind w:firstLine="640" w:firstLineChars="200"/>
        <w:textAlignment w:val="auto"/>
        <w:outlineLvl w:val="5"/>
        <w:rPr>
          <w:rFonts w:ascii="黑体" w:hAnsi="黑体" w:eastAsia="黑体" w:cs="黑体"/>
          <w:color w:val="000000"/>
          <w:sz w:val="32"/>
        </w:rPr>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lang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r>
        <w:rPr>
          <w:rFonts w:hint="eastAsia" w:eastAsia="方正仿宋_GBK"/>
          <w:color w:val="000000"/>
          <w:sz w:val="28"/>
          <w:lang w:eastAsia="zh-CN"/>
        </w:rPr>
        <w:t>。</w:t>
      </w:r>
    </w:p>
    <w:p>
      <w:pPr>
        <w:spacing w:line="500" w:lineRule="exact"/>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kV/M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ljlsc+OX7t8uPX5efX8lN&#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7JFfzIAQAAmQMAAA4AAAAAAAAAAQAgAAAAHgEAAGRycy9lMm9Eb2Mu&#10;eG1sUEsFBgAAAAAGAAYAWQEAAFgFA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EFB63"/>
    <w:multiLevelType w:val="singleLevel"/>
    <w:tmpl w:val="592EFB6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OTU3OTMxMzQ0ZmNkYTg3ODQ0ZTA2ZGU4YmRlNGM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0F564BD"/>
    <w:rsid w:val="012A5033"/>
    <w:rsid w:val="058B1AE4"/>
    <w:rsid w:val="05F16049"/>
    <w:rsid w:val="066524EE"/>
    <w:rsid w:val="06F67290"/>
    <w:rsid w:val="075F1B4E"/>
    <w:rsid w:val="091E70A5"/>
    <w:rsid w:val="09CA503E"/>
    <w:rsid w:val="0B5D5DE8"/>
    <w:rsid w:val="0C1332B2"/>
    <w:rsid w:val="0E2D7C9A"/>
    <w:rsid w:val="0EA600C4"/>
    <w:rsid w:val="105C01E7"/>
    <w:rsid w:val="11602B4C"/>
    <w:rsid w:val="12ED3C93"/>
    <w:rsid w:val="14702E18"/>
    <w:rsid w:val="16022E46"/>
    <w:rsid w:val="169C480C"/>
    <w:rsid w:val="188379E3"/>
    <w:rsid w:val="188639CB"/>
    <w:rsid w:val="19A36193"/>
    <w:rsid w:val="1E776138"/>
    <w:rsid w:val="1E7D05C0"/>
    <w:rsid w:val="1E931671"/>
    <w:rsid w:val="23417BF1"/>
    <w:rsid w:val="244206EF"/>
    <w:rsid w:val="264B1D01"/>
    <w:rsid w:val="2907521F"/>
    <w:rsid w:val="2D707BD4"/>
    <w:rsid w:val="2DBA20E2"/>
    <w:rsid w:val="2DEC3C5A"/>
    <w:rsid w:val="2E585FFB"/>
    <w:rsid w:val="2FAB18C9"/>
    <w:rsid w:val="3167312D"/>
    <w:rsid w:val="31F11256"/>
    <w:rsid w:val="3336303E"/>
    <w:rsid w:val="34184BB3"/>
    <w:rsid w:val="343628CC"/>
    <w:rsid w:val="3520130F"/>
    <w:rsid w:val="37CF5035"/>
    <w:rsid w:val="397042A6"/>
    <w:rsid w:val="398279B1"/>
    <w:rsid w:val="3B2C0D3F"/>
    <w:rsid w:val="3C8C4331"/>
    <w:rsid w:val="4022183E"/>
    <w:rsid w:val="409C0AA8"/>
    <w:rsid w:val="417E438C"/>
    <w:rsid w:val="44183943"/>
    <w:rsid w:val="44BA1C19"/>
    <w:rsid w:val="48821BAB"/>
    <w:rsid w:val="48FE58B1"/>
    <w:rsid w:val="492F0C7D"/>
    <w:rsid w:val="49316B6D"/>
    <w:rsid w:val="49870BDF"/>
    <w:rsid w:val="4BAC236D"/>
    <w:rsid w:val="4C1F57C6"/>
    <w:rsid w:val="4E2F2793"/>
    <w:rsid w:val="4E9B5BBB"/>
    <w:rsid w:val="50444100"/>
    <w:rsid w:val="506E6F0A"/>
    <w:rsid w:val="51A57BD5"/>
    <w:rsid w:val="52021C26"/>
    <w:rsid w:val="520A02C5"/>
    <w:rsid w:val="55554745"/>
    <w:rsid w:val="55C93814"/>
    <w:rsid w:val="579F4897"/>
    <w:rsid w:val="58573CDD"/>
    <w:rsid w:val="591720DE"/>
    <w:rsid w:val="596024BD"/>
    <w:rsid w:val="5B80704F"/>
    <w:rsid w:val="5C9A0B34"/>
    <w:rsid w:val="5DA54FAA"/>
    <w:rsid w:val="5E0850C1"/>
    <w:rsid w:val="5EC07C94"/>
    <w:rsid w:val="60765C09"/>
    <w:rsid w:val="608169A7"/>
    <w:rsid w:val="60AA410E"/>
    <w:rsid w:val="612040AB"/>
    <w:rsid w:val="635239E1"/>
    <w:rsid w:val="63A16B33"/>
    <w:rsid w:val="688A50D3"/>
    <w:rsid w:val="69411F11"/>
    <w:rsid w:val="69F77B2C"/>
    <w:rsid w:val="6A260EB1"/>
    <w:rsid w:val="6A3D3A7B"/>
    <w:rsid w:val="6A5B2E16"/>
    <w:rsid w:val="6B6012D5"/>
    <w:rsid w:val="6BB34BB9"/>
    <w:rsid w:val="6D837C20"/>
    <w:rsid w:val="6D9C30FF"/>
    <w:rsid w:val="6EAE3771"/>
    <w:rsid w:val="6EE44A33"/>
    <w:rsid w:val="6FB63C2C"/>
    <w:rsid w:val="70DE4785"/>
    <w:rsid w:val="732E3960"/>
    <w:rsid w:val="77EB4D48"/>
    <w:rsid w:val="7A7F1567"/>
    <w:rsid w:val="7A8439CF"/>
    <w:rsid w:val="7CA80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autoRedefine/>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autoRedefine/>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FB67A8D-248E-49CB-8DAE-776C90BCCF1B}">
  <ds:schemaRefs/>
</ds:datastoreItem>
</file>

<file path=customXml/itemProps11.xml><?xml version="1.0" encoding="utf-8"?>
<ds:datastoreItem xmlns:ds="http://schemas.openxmlformats.org/officeDocument/2006/customXml" ds:itemID="{C07A7E1E-45A2-4BC8-9837-638E0EB4F3AE}">
  <ds:schemaRefs/>
</ds:datastoreItem>
</file>

<file path=customXml/itemProps12.xml><?xml version="1.0" encoding="utf-8"?>
<ds:datastoreItem xmlns:ds="http://schemas.openxmlformats.org/officeDocument/2006/customXml" ds:itemID="{82937828-C790-4BD8-AAE7-221FEBEE022F}">
  <ds:schemaRefs/>
</ds:datastoreItem>
</file>

<file path=customXml/itemProps13.xml><?xml version="1.0" encoding="utf-8"?>
<ds:datastoreItem xmlns:ds="http://schemas.openxmlformats.org/officeDocument/2006/customXml" ds:itemID="{3CF31A63-82A0-4F7C-9AF1-4F93AB337AA7}">
  <ds:schemaRefs/>
</ds:datastoreItem>
</file>

<file path=customXml/itemProps14.xml><?xml version="1.0" encoding="utf-8"?>
<ds:datastoreItem xmlns:ds="http://schemas.openxmlformats.org/officeDocument/2006/customXml" ds:itemID="{9565B230-51E0-4C20-B4D7-15ACAE157807}">
  <ds:schemaRefs/>
</ds:datastoreItem>
</file>

<file path=customXml/itemProps15.xml><?xml version="1.0" encoding="utf-8"?>
<ds:datastoreItem xmlns:ds="http://schemas.openxmlformats.org/officeDocument/2006/customXml" ds:itemID="{90D06CF5-EB31-45B6-A403-083A49825FF4}">
  <ds:schemaRefs/>
</ds:datastoreItem>
</file>

<file path=customXml/itemProps16.xml><?xml version="1.0" encoding="utf-8"?>
<ds:datastoreItem xmlns:ds="http://schemas.openxmlformats.org/officeDocument/2006/customXml" ds:itemID="{7E9D496C-8D63-450C-949D-19880FBEC3FE}">
  <ds:schemaRefs/>
</ds:datastoreItem>
</file>

<file path=customXml/itemProps17.xml><?xml version="1.0" encoding="utf-8"?>
<ds:datastoreItem xmlns:ds="http://schemas.openxmlformats.org/officeDocument/2006/customXml" ds:itemID="{6F857038-F34E-4E57-933F-82DF716FF1A0}">
  <ds:schemaRefs/>
</ds:datastoreItem>
</file>

<file path=customXml/itemProps18.xml><?xml version="1.0" encoding="utf-8"?>
<ds:datastoreItem xmlns:ds="http://schemas.openxmlformats.org/officeDocument/2006/customXml" ds:itemID="{2CD50D00-82AF-41F0-AA7F-DD622DCAE6EF}">
  <ds:schemaRefs/>
</ds:datastoreItem>
</file>

<file path=customXml/itemProps19.xml><?xml version="1.0" encoding="utf-8"?>
<ds:datastoreItem xmlns:ds="http://schemas.openxmlformats.org/officeDocument/2006/customXml" ds:itemID="{D78EF07C-4340-4B9B-B05B-00BDDE8F6C8A}">
  <ds:schemaRefs/>
</ds:datastoreItem>
</file>

<file path=customXml/itemProps2.xml><?xml version="1.0" encoding="utf-8"?>
<ds:datastoreItem xmlns:ds="http://schemas.openxmlformats.org/officeDocument/2006/customXml" ds:itemID="{3F05F81E-811C-471C-995D-950B471207EC}">
  <ds:schemaRefs/>
</ds:datastoreItem>
</file>

<file path=customXml/itemProps20.xml><?xml version="1.0" encoding="utf-8"?>
<ds:datastoreItem xmlns:ds="http://schemas.openxmlformats.org/officeDocument/2006/customXml" ds:itemID="{6A119EDA-3D4C-4794-8FC0-7DD413DE467F}">
  <ds:schemaRefs/>
</ds:datastoreItem>
</file>

<file path=customXml/itemProps21.xml><?xml version="1.0" encoding="utf-8"?>
<ds:datastoreItem xmlns:ds="http://schemas.openxmlformats.org/officeDocument/2006/customXml" ds:itemID="{2212281B-8C1C-4D30-82D9-C3A9969F023A}">
  <ds:schemaRefs/>
</ds:datastoreItem>
</file>

<file path=customXml/itemProps22.xml><?xml version="1.0" encoding="utf-8"?>
<ds:datastoreItem xmlns:ds="http://schemas.openxmlformats.org/officeDocument/2006/customXml" ds:itemID="{1B7E6B4C-B726-4BED-805A-7C7D697C7192}">
  <ds:schemaRefs/>
</ds:datastoreItem>
</file>

<file path=customXml/itemProps23.xml><?xml version="1.0" encoding="utf-8"?>
<ds:datastoreItem xmlns:ds="http://schemas.openxmlformats.org/officeDocument/2006/customXml" ds:itemID="{8CE8DB1F-BADB-45C8-8AB8-4A00E6121841}">
  <ds:schemaRefs/>
</ds:datastoreItem>
</file>

<file path=customXml/itemProps24.xml><?xml version="1.0" encoding="utf-8"?>
<ds:datastoreItem xmlns:ds="http://schemas.openxmlformats.org/officeDocument/2006/customXml" ds:itemID="{D38D2A91-67F1-44DF-A688-069EFEEF3CC4}">
  <ds:schemaRefs/>
</ds:datastoreItem>
</file>

<file path=customXml/itemProps25.xml><?xml version="1.0" encoding="utf-8"?>
<ds:datastoreItem xmlns:ds="http://schemas.openxmlformats.org/officeDocument/2006/customXml" ds:itemID="{433FD7D1-D62E-49F9-9ACE-A5CE003E76CC}">
  <ds:schemaRefs/>
</ds:datastoreItem>
</file>

<file path=customXml/itemProps3.xml><?xml version="1.0" encoding="utf-8"?>
<ds:datastoreItem xmlns:ds="http://schemas.openxmlformats.org/officeDocument/2006/customXml" ds:itemID="{D2E40858-80D9-4F07-9AFE-4DCDC2F329A4}">
  <ds:schemaRefs/>
</ds:datastoreItem>
</file>

<file path=customXml/itemProps4.xml><?xml version="1.0" encoding="utf-8"?>
<ds:datastoreItem xmlns:ds="http://schemas.openxmlformats.org/officeDocument/2006/customXml" ds:itemID="{B0CA9BB7-80DC-46E4-BB1B-7FBBDEFF5846}">
  <ds:schemaRefs/>
</ds:datastoreItem>
</file>

<file path=customXml/itemProps5.xml><?xml version="1.0" encoding="utf-8"?>
<ds:datastoreItem xmlns:ds="http://schemas.openxmlformats.org/officeDocument/2006/customXml" ds:itemID="{AFBFE560-862B-4453-820C-530344D81E7E}">
  <ds:schemaRefs/>
</ds:datastoreItem>
</file>

<file path=customXml/itemProps6.xml><?xml version="1.0" encoding="utf-8"?>
<ds:datastoreItem xmlns:ds="http://schemas.openxmlformats.org/officeDocument/2006/customXml" ds:itemID="{797968C7-1544-4913-B02E-CC72BD280379}">
  <ds:schemaRefs/>
</ds:datastoreItem>
</file>

<file path=customXml/itemProps7.xml><?xml version="1.0" encoding="utf-8"?>
<ds:datastoreItem xmlns:ds="http://schemas.openxmlformats.org/officeDocument/2006/customXml" ds:itemID="{9FE0D322-B35C-465A-8FC8-72460E41D219}">
  <ds:schemaRefs/>
</ds:datastoreItem>
</file>

<file path=customXml/itemProps8.xml><?xml version="1.0" encoding="utf-8"?>
<ds:datastoreItem xmlns:ds="http://schemas.openxmlformats.org/officeDocument/2006/customXml" ds:itemID="{464D1B81-58C5-4607-9FD7-CC1ABBD678CF}">
  <ds:schemaRefs/>
</ds:datastoreItem>
</file>

<file path=customXml/itemProps9.xml><?xml version="1.0" encoding="utf-8"?>
<ds:datastoreItem xmlns:ds="http://schemas.openxmlformats.org/officeDocument/2006/customXml" ds:itemID="{6CDA3ED3-0D63-4469-B5F0-C6A9592633EB}">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7066</Words>
  <Characters>40277</Characters>
  <Lines>335</Lines>
  <Paragraphs>94</Paragraphs>
  <TotalTime>12</TotalTime>
  <ScaleCrop>false</ScaleCrop>
  <LinksUpToDate>false</LinksUpToDate>
  <CharactersWithSpaces>47249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2024-01-18T02:47:03Z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C6667C8AC7984B2FADA5FBFDDB720065_12</vt:lpwstr>
  </property>
</Properties>
</file>