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部门所属单位预算</w:t>
      </w:r>
    </w:p>
    <w:p>
      <w:pPr>
        <w:jc w:val="center"/>
      </w:pPr>
    </w:p>
    <w:p>
      <w:r>
        <w:rPr>
          <w:rFonts w:ascii="方正楷体_GBK" w:hAnsi="方正楷体_GBK" w:eastAsia="方正楷体_GBK" w:cs="方正楷体_GBK"/>
          <w:b/>
          <w:color w:val="000000"/>
          <w:sz w:val="28"/>
        </w:rPr>
        <w:t>秦皇岛市山海关区人民政府办公室本级预算公开表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Theme="minorEastAsia" w:hAnsiTheme="minorEastAsia" w:eastAsiaTheme="minorEastAsia"/>
          <w:lang w:eastAsia="zh-CN"/>
        </w:rPr>
        <w:t>单位</w:t>
      </w:r>
      <w:r>
        <w:t>预算收支总表</w:t>
      </w:r>
      <w:r>
        <w:tab/>
      </w:r>
      <w:r>
        <w:rPr>
          <w:rFonts w:hint="eastAsia" w:asciiTheme="minorEastAsia" w:hAnsiTheme="minorEastAsia" w:eastAsiaTheme="minorEastAsia"/>
          <w:lang w:eastAsia="zh-CN"/>
        </w:rPr>
        <w:t>4</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asciiTheme="minorEastAsia" w:hAnsiTheme="minorEastAsia" w:eastAsiaTheme="minorEastAsia"/>
          <w:lang w:eastAsia="zh-CN"/>
        </w:rPr>
        <w:t>单位</w:t>
      </w:r>
      <w:r>
        <w:t>预算收入总表</w:t>
      </w:r>
      <w:r>
        <w:tab/>
      </w:r>
      <w:r>
        <w:rPr>
          <w:rFonts w:hint="eastAsia" w:asciiTheme="minorEastAsia" w:hAnsiTheme="minorEastAsia" w:eastAsiaTheme="minorEastAsia"/>
          <w:lang w:eastAsia="zh-CN"/>
        </w:rPr>
        <w:t>6</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asciiTheme="minorEastAsia" w:hAnsiTheme="minorEastAsia" w:eastAsiaTheme="minorEastAsia"/>
          <w:lang w:eastAsia="zh-CN"/>
        </w:rPr>
        <w:t>单位</w:t>
      </w:r>
      <w:r>
        <w:t>预算支出总表</w:t>
      </w:r>
      <w:r>
        <w:tab/>
      </w:r>
      <w:r>
        <w:rPr>
          <w:rFonts w:hint="eastAsia" w:asciiTheme="minorEastAsia" w:hAnsiTheme="minorEastAsia" w:eastAsiaTheme="minorEastAsia"/>
          <w:lang w:eastAsia="zh-CN"/>
        </w:rPr>
        <w:t>8</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asciiTheme="minorEastAsia" w:hAnsiTheme="minorEastAsia" w:eastAsiaTheme="minorEastAsia"/>
          <w:lang w:eastAsia="zh-CN"/>
        </w:rPr>
        <w:t>单位</w:t>
      </w:r>
      <w:r>
        <w:t>预算财政拨款收支总表</w:t>
      </w:r>
      <w:r>
        <w:tab/>
      </w:r>
      <w:r>
        <w:rPr>
          <w:rFonts w:hint="eastAsia" w:asciiTheme="minorEastAsia" w:hAnsiTheme="minorEastAsia" w:eastAsiaTheme="minorEastAsia"/>
          <w:lang w:eastAsia="zh-CN"/>
        </w:rPr>
        <w:t>10</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asciiTheme="minorEastAsia" w:hAnsiTheme="minorEastAsia" w:eastAsiaTheme="minorEastAsia"/>
          <w:lang w:eastAsia="zh-CN"/>
        </w:rPr>
        <w:t>单位</w:t>
      </w:r>
      <w:r>
        <w:t>预算一般公共预算财政拨款支出表</w:t>
      </w:r>
      <w:r>
        <w:tab/>
      </w:r>
      <w:r>
        <w:rPr>
          <w:rFonts w:hint="eastAsia" w:asciiTheme="minorEastAsia" w:hAnsiTheme="minorEastAsia" w:eastAsiaTheme="minorEastAsia"/>
          <w:lang w:eastAsia="zh-CN"/>
        </w:rPr>
        <w:t>13</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asciiTheme="minorEastAsia" w:hAnsiTheme="minorEastAsia" w:eastAsiaTheme="minorEastAsia"/>
          <w:lang w:eastAsia="zh-CN"/>
        </w:rPr>
        <w:t>单位</w:t>
      </w:r>
      <w:r>
        <w:t>预算一般公共预算财政拨款基本支出表</w:t>
      </w:r>
      <w:r>
        <w:tab/>
      </w:r>
      <w:r>
        <w:rPr>
          <w:rFonts w:hint="eastAsia" w:asciiTheme="minorEastAsia" w:hAnsiTheme="minorEastAsia" w:eastAsiaTheme="minorEastAsia"/>
          <w:lang w:eastAsia="zh-CN"/>
        </w:rPr>
        <w:t>15</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asciiTheme="minorEastAsia" w:hAnsiTheme="minorEastAsia" w:eastAsiaTheme="minorEastAsia"/>
          <w:lang w:eastAsia="zh-CN"/>
        </w:rPr>
        <w:t>单位</w:t>
      </w:r>
      <w:r>
        <w:t>预算政府基金预算财政拨款支出表</w:t>
      </w:r>
      <w:r>
        <w:tab/>
      </w:r>
      <w:r>
        <w:rPr>
          <w:rFonts w:hint="eastAsia" w:asciiTheme="minorEastAsia" w:hAnsiTheme="minorEastAsia" w:eastAsiaTheme="minorEastAsia"/>
          <w:lang w:eastAsia="zh-CN"/>
        </w:rPr>
        <w:t>17</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asciiTheme="minorEastAsia" w:hAnsiTheme="minorEastAsia" w:eastAsiaTheme="minorEastAsia"/>
          <w:lang w:eastAsia="zh-CN"/>
        </w:rPr>
        <w:t>单位</w:t>
      </w:r>
      <w:r>
        <w:t>预算国有资本经营预算财政拨款支出表</w:t>
      </w:r>
      <w:r>
        <w:tab/>
      </w:r>
      <w:r>
        <w:rPr>
          <w:rFonts w:hint="eastAsia" w:asciiTheme="minorEastAsia" w:hAnsiTheme="minorEastAsia" w:eastAsiaTheme="minorEastAsia"/>
          <w:lang w:eastAsia="zh-CN"/>
        </w:rPr>
        <w:t>18</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asciiTheme="minorEastAsia" w:hAnsiTheme="minorEastAsia" w:eastAsiaTheme="minorEastAsia"/>
          <w:lang w:eastAsia="zh-CN"/>
        </w:rPr>
        <w:t>单位</w:t>
      </w:r>
      <w:r>
        <w:t>预算财政拨款“三公”经费支出表</w:t>
      </w:r>
      <w:r>
        <w:tab/>
      </w:r>
      <w:r>
        <w:rPr>
          <w:rFonts w:hint="eastAsia" w:asciiTheme="minorEastAsia" w:hAnsiTheme="minorEastAsia" w:eastAsiaTheme="minorEastAsia"/>
          <w:lang w:eastAsia="zh-CN"/>
        </w:rPr>
        <w:t>19</w:t>
      </w:r>
      <w:r>
        <w:rPr>
          <w:rFonts w:hint="eastAsia" w:asciiTheme="minorEastAsia" w:hAnsiTheme="minor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秦皇岛市山海关区人民政府办公室本级预算信息公开情况说明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asciiTheme="minorEastAsia" w:hAnsiTheme="minorEastAsia" w:eastAsiaTheme="minorEastAsia"/>
          <w:lang w:eastAsia="zh-CN"/>
        </w:rPr>
        <w:t>单位</w:t>
      </w:r>
      <w:r>
        <w:t>职责及机构设置情况</w:t>
      </w:r>
      <w:r>
        <w:tab/>
      </w:r>
      <w:r>
        <w:rPr>
          <w:rFonts w:hint="eastAsia" w:asciiTheme="minorEastAsia" w:hAnsiTheme="minorEastAsia" w:eastAsiaTheme="minorEastAsia"/>
          <w:lang w:eastAsia="zh-CN"/>
        </w:rPr>
        <w:t>20</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asciiTheme="minorEastAsia" w:hAnsiTheme="minorEastAsia" w:eastAsiaTheme="minorEastAsia"/>
          <w:lang w:eastAsia="zh-CN"/>
        </w:rPr>
        <w:t>单位</w:t>
      </w:r>
      <w:r>
        <w:t>预算安排的总体情况</w:t>
      </w:r>
      <w:r>
        <w:tab/>
      </w:r>
      <w:r>
        <w:rPr>
          <w:rFonts w:hint="eastAsia" w:asciiTheme="minorEastAsia" w:hAnsiTheme="minorEastAsia" w:eastAsiaTheme="minorEastAsia"/>
          <w:lang w:eastAsia="zh-CN"/>
        </w:rPr>
        <w:t>22</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asciiTheme="minorEastAsia" w:hAnsiTheme="minorEastAsia" w:eastAsiaTheme="minorEastAsia"/>
          <w:lang w:eastAsia="zh-CN"/>
        </w:rPr>
        <w:t>23</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asciiTheme="minorEastAsia" w:hAnsiTheme="minorEastAsia" w:eastAsiaTheme="minorEastAsia"/>
          <w:lang w:eastAsia="zh-CN"/>
        </w:rPr>
        <w:t>23</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rPr>
          <w:rFonts w:hint="eastAsia" w:asciiTheme="minorEastAsia" w:hAnsiTheme="minorEastAsia" w:eastAsiaTheme="minorEastAsia"/>
          <w:lang w:eastAsia="zh-CN"/>
        </w:rPr>
        <w:t>23</w:t>
      </w:r>
      <w:r>
        <w:rPr>
          <w:rFonts w:hint="eastAsia" w:asciiTheme="minorEastAsia" w:hAnsiTheme="minorEastAsia" w:eastAsiaTheme="minorEastAsia"/>
          <w:lang w:eastAsia="zh-CN"/>
        </w:rPr>
        <w:fldChar w:fldCharType="end"/>
      </w:r>
    </w:p>
    <w:p>
      <w:pPr>
        <w:pStyle w:val="32"/>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2</w:t>
      </w:r>
    </w:p>
    <w:p>
      <w:pPr>
        <w:pStyle w:val="32"/>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2</w:t>
      </w:r>
    </w:p>
    <w:p>
      <w:pPr>
        <w:pStyle w:val="32"/>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3</w:t>
      </w:r>
    </w:p>
    <w:p>
      <w:pPr>
        <w:pStyle w:val="32"/>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4</w:t>
      </w:r>
    </w:p>
    <w:p>
      <w:r>
        <w:fldChar w:fldCharType="end"/>
      </w: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ascii="黑体" w:hAnsi="黑体" w:eastAsia="黑体" w:cs="黑体"/>
          <w:b/>
          <w:color w:val="000000"/>
          <w:sz w:val="30"/>
          <w:lang w:eastAsia="zh-CN"/>
        </w:rPr>
      </w:pPr>
    </w:p>
    <w:p>
      <w:pPr>
        <w:jc w:val="center"/>
        <w:rPr>
          <w:rFonts w:hint="eastAsia"/>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w:t>
      </w:r>
      <w:r>
        <w:rPr>
          <w:rFonts w:hint="eastAsia" w:cs="方正小标宋_GBK" w:asciiTheme="minorEastAsia" w:hAnsiTheme="minorEastAsia" w:eastAsiaTheme="minorEastAsia"/>
          <w:color w:val="000000"/>
          <w:sz w:val="72"/>
          <w:lang w:eastAsia="zh-CN"/>
        </w:rPr>
        <w:t>所属单位</w:t>
      </w:r>
      <w:r>
        <w:rPr>
          <w:rFonts w:ascii="方正小标宋_GBK" w:hAnsi="方正小标宋_GBK" w:eastAsia="方正小标宋_GBK" w:cs="方正小标宋_GBK"/>
          <w:color w:val="000000"/>
          <w:sz w:val="72"/>
        </w:rPr>
        <w:t>预算</w:t>
      </w:r>
    </w:p>
    <w:p>
      <w:pPr>
        <w:jc w:val="center"/>
        <w:outlineLvl w:val="3"/>
      </w:pPr>
      <w:bookmarkStart w:id="0" w:name="_Toc_4_4_0000000019"/>
      <w:r>
        <w:rPr>
          <w:rFonts w:ascii="方正小标宋_GBK" w:hAnsi="方正小标宋_GBK" w:eastAsia="方正小标宋_GBK" w:cs="方正小标宋_GBK"/>
          <w:color w:val="000000"/>
          <w:sz w:val="44"/>
        </w:rPr>
        <w:t>一、区政府办秦皇岛市山海关区人民政府办公室本级收支预算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1079.09</w:t>
            </w:r>
          </w:p>
        </w:tc>
        <w:tc>
          <w:tcPr>
            <w:tcW w:w="4535" w:type="dxa"/>
            <w:vAlign w:val="center"/>
          </w:tcPr>
          <w:p>
            <w:pPr>
              <w:pStyle w:val="12"/>
            </w:pPr>
            <w:r>
              <w:t>一、一般公共服务支出</w:t>
            </w:r>
          </w:p>
        </w:tc>
        <w:tc>
          <w:tcPr>
            <w:tcW w:w="2126" w:type="dxa"/>
            <w:vAlign w:val="center"/>
          </w:tcPr>
          <w:p>
            <w:pPr>
              <w:pStyle w:val="11"/>
            </w:pPr>
            <w:r>
              <w:t>681.91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1079.09</w:t>
            </w:r>
          </w:p>
        </w:tc>
        <w:tc>
          <w:tcPr>
            <w:tcW w:w="4535" w:type="dxa"/>
            <w:vAlign w:val="center"/>
          </w:tcPr>
          <w:p>
            <w:pPr>
              <w:pStyle w:val="14"/>
            </w:pPr>
            <w:r>
              <w:t>本年支出合计</w:t>
            </w:r>
          </w:p>
        </w:tc>
        <w:tc>
          <w:tcPr>
            <w:tcW w:w="2126" w:type="dxa"/>
            <w:vAlign w:val="center"/>
          </w:tcPr>
          <w:p>
            <w:pPr>
              <w:pStyle w:val="15"/>
            </w:pPr>
            <w:r>
              <w:t>1079.09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1079.09</w:t>
            </w:r>
          </w:p>
        </w:tc>
        <w:tc>
          <w:tcPr>
            <w:tcW w:w="4535" w:type="dxa"/>
            <w:vAlign w:val="center"/>
          </w:tcPr>
          <w:p>
            <w:pPr>
              <w:pStyle w:val="14"/>
            </w:pPr>
            <w:r>
              <w:t>支出总计</w:t>
            </w:r>
          </w:p>
        </w:tc>
        <w:tc>
          <w:tcPr>
            <w:tcW w:w="2126" w:type="dxa"/>
            <w:vAlign w:val="center"/>
          </w:tcPr>
          <w:p>
            <w:pPr>
              <w:pStyle w:val="15"/>
            </w:pPr>
            <w:r>
              <w:t>1079.09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1079.09</w:t>
            </w:r>
          </w:p>
        </w:tc>
        <w:tc>
          <w:tcPr>
            <w:tcW w:w="1134" w:type="dxa"/>
            <w:vAlign w:val="center"/>
          </w:tcPr>
          <w:p>
            <w:pPr>
              <w:pStyle w:val="15"/>
            </w:pPr>
            <w:r>
              <w:t>1079.09</w:t>
            </w:r>
          </w:p>
        </w:tc>
        <w:tc>
          <w:tcPr>
            <w:tcW w:w="1134" w:type="dxa"/>
            <w:vAlign w:val="center"/>
          </w:tcPr>
          <w:p>
            <w:pPr>
              <w:pStyle w:val="15"/>
            </w:pPr>
            <w:r>
              <w:t>1079.09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681.91</w:t>
            </w:r>
          </w:p>
        </w:tc>
        <w:tc>
          <w:tcPr>
            <w:tcW w:w="1134" w:type="dxa"/>
            <w:vAlign w:val="center"/>
          </w:tcPr>
          <w:p>
            <w:pPr>
              <w:pStyle w:val="11"/>
            </w:pPr>
            <w:r>
              <w:t>681.91</w:t>
            </w:r>
          </w:p>
        </w:tc>
        <w:tc>
          <w:tcPr>
            <w:tcW w:w="1134" w:type="dxa"/>
            <w:vAlign w:val="center"/>
          </w:tcPr>
          <w:p>
            <w:pPr>
              <w:pStyle w:val="11"/>
            </w:pPr>
            <w:r>
              <w:t>681.91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681.91</w:t>
            </w:r>
          </w:p>
        </w:tc>
        <w:tc>
          <w:tcPr>
            <w:tcW w:w="1134" w:type="dxa"/>
            <w:vAlign w:val="center"/>
          </w:tcPr>
          <w:p>
            <w:pPr>
              <w:pStyle w:val="11"/>
            </w:pPr>
            <w:r>
              <w:t>681.91</w:t>
            </w:r>
          </w:p>
        </w:tc>
        <w:tc>
          <w:tcPr>
            <w:tcW w:w="1134" w:type="dxa"/>
            <w:vAlign w:val="center"/>
          </w:tcPr>
          <w:p>
            <w:pPr>
              <w:pStyle w:val="11"/>
            </w:pPr>
            <w:r>
              <w:t>681.91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411.51</w:t>
            </w:r>
          </w:p>
        </w:tc>
        <w:tc>
          <w:tcPr>
            <w:tcW w:w="1134" w:type="dxa"/>
            <w:vAlign w:val="center"/>
          </w:tcPr>
          <w:p>
            <w:pPr>
              <w:pStyle w:val="11"/>
            </w:pPr>
            <w:r>
              <w:t>411.51</w:t>
            </w:r>
          </w:p>
        </w:tc>
        <w:tc>
          <w:tcPr>
            <w:tcW w:w="1134" w:type="dxa"/>
            <w:vAlign w:val="center"/>
          </w:tcPr>
          <w:p>
            <w:pPr>
              <w:pStyle w:val="11"/>
            </w:pPr>
            <w:r>
              <w:t>411.51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270.40</w:t>
            </w:r>
          </w:p>
        </w:tc>
        <w:tc>
          <w:tcPr>
            <w:tcW w:w="1134" w:type="dxa"/>
            <w:vAlign w:val="center"/>
          </w:tcPr>
          <w:p>
            <w:pPr>
              <w:pStyle w:val="11"/>
            </w:pPr>
            <w:r>
              <w:t>270.40</w:t>
            </w:r>
          </w:p>
        </w:tc>
        <w:tc>
          <w:tcPr>
            <w:tcW w:w="1134" w:type="dxa"/>
            <w:vAlign w:val="center"/>
          </w:tcPr>
          <w:p>
            <w:pPr>
              <w:pStyle w:val="11"/>
            </w:pPr>
            <w:r>
              <w:t>270.40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158.92</w:t>
            </w:r>
          </w:p>
        </w:tc>
        <w:tc>
          <w:tcPr>
            <w:tcW w:w="1134" w:type="dxa"/>
            <w:vAlign w:val="center"/>
          </w:tcPr>
          <w:p>
            <w:pPr>
              <w:pStyle w:val="11"/>
            </w:pPr>
            <w:r>
              <w:t>158.92</w:t>
            </w:r>
          </w:p>
        </w:tc>
        <w:tc>
          <w:tcPr>
            <w:tcW w:w="1134" w:type="dxa"/>
            <w:vAlign w:val="center"/>
          </w:tcPr>
          <w:p>
            <w:pPr>
              <w:pStyle w:val="11"/>
            </w:pPr>
            <w:r>
              <w:t>158.92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155.59</w:t>
            </w:r>
          </w:p>
        </w:tc>
        <w:tc>
          <w:tcPr>
            <w:tcW w:w="1134" w:type="dxa"/>
            <w:vAlign w:val="center"/>
          </w:tcPr>
          <w:p>
            <w:pPr>
              <w:pStyle w:val="11"/>
            </w:pPr>
            <w:r>
              <w:t>155.59</w:t>
            </w:r>
          </w:p>
        </w:tc>
        <w:tc>
          <w:tcPr>
            <w:tcW w:w="1134" w:type="dxa"/>
            <w:vAlign w:val="center"/>
          </w:tcPr>
          <w:p>
            <w:pPr>
              <w:pStyle w:val="11"/>
            </w:pPr>
            <w:r>
              <w:t>155.59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103.80</w:t>
            </w:r>
          </w:p>
        </w:tc>
        <w:tc>
          <w:tcPr>
            <w:tcW w:w="1134" w:type="dxa"/>
            <w:vAlign w:val="center"/>
          </w:tcPr>
          <w:p>
            <w:pPr>
              <w:pStyle w:val="11"/>
            </w:pPr>
            <w:r>
              <w:t>103.80</w:t>
            </w:r>
          </w:p>
        </w:tc>
        <w:tc>
          <w:tcPr>
            <w:tcW w:w="1134" w:type="dxa"/>
            <w:vAlign w:val="center"/>
          </w:tcPr>
          <w:p>
            <w:pPr>
              <w:pStyle w:val="11"/>
            </w:pPr>
            <w:r>
              <w:t>103.80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51.80</w:t>
            </w:r>
          </w:p>
        </w:tc>
        <w:tc>
          <w:tcPr>
            <w:tcW w:w="1134" w:type="dxa"/>
            <w:vAlign w:val="center"/>
          </w:tcPr>
          <w:p>
            <w:pPr>
              <w:pStyle w:val="11"/>
            </w:pPr>
            <w:r>
              <w:t>51.80</w:t>
            </w:r>
          </w:p>
        </w:tc>
        <w:tc>
          <w:tcPr>
            <w:tcW w:w="1134" w:type="dxa"/>
            <w:vAlign w:val="center"/>
          </w:tcPr>
          <w:p>
            <w:pPr>
              <w:pStyle w:val="11"/>
            </w:pPr>
            <w:r>
              <w:t>51.80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3.33</w:t>
            </w:r>
          </w:p>
        </w:tc>
        <w:tc>
          <w:tcPr>
            <w:tcW w:w="1134" w:type="dxa"/>
            <w:vAlign w:val="center"/>
          </w:tcPr>
          <w:p>
            <w:pPr>
              <w:pStyle w:val="11"/>
            </w:pPr>
            <w:r>
              <w:t>3.33</w:t>
            </w:r>
          </w:p>
        </w:tc>
        <w:tc>
          <w:tcPr>
            <w:tcW w:w="1134" w:type="dxa"/>
            <w:vAlign w:val="center"/>
          </w:tcPr>
          <w:p>
            <w:pPr>
              <w:pStyle w:val="11"/>
            </w:pPr>
            <w:r>
              <w:t>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3.33</w:t>
            </w:r>
          </w:p>
        </w:tc>
        <w:tc>
          <w:tcPr>
            <w:tcW w:w="1134" w:type="dxa"/>
            <w:vAlign w:val="center"/>
          </w:tcPr>
          <w:p>
            <w:pPr>
              <w:pStyle w:val="11"/>
            </w:pPr>
            <w:r>
              <w:t>3.33</w:t>
            </w:r>
          </w:p>
        </w:tc>
        <w:tc>
          <w:tcPr>
            <w:tcW w:w="1134" w:type="dxa"/>
            <w:vAlign w:val="center"/>
          </w:tcPr>
          <w:p>
            <w:pPr>
              <w:pStyle w:val="11"/>
            </w:pPr>
            <w:r>
              <w:t>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60.47</w:t>
            </w:r>
          </w:p>
        </w:tc>
        <w:tc>
          <w:tcPr>
            <w:tcW w:w="1134" w:type="dxa"/>
            <w:vAlign w:val="center"/>
          </w:tcPr>
          <w:p>
            <w:pPr>
              <w:pStyle w:val="11"/>
            </w:pPr>
            <w:r>
              <w:t>60.47</w:t>
            </w:r>
          </w:p>
        </w:tc>
        <w:tc>
          <w:tcPr>
            <w:tcW w:w="1134" w:type="dxa"/>
            <w:vAlign w:val="center"/>
          </w:tcPr>
          <w:p>
            <w:pPr>
              <w:pStyle w:val="11"/>
            </w:pPr>
            <w:r>
              <w:t>60.47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60.47</w:t>
            </w:r>
          </w:p>
        </w:tc>
        <w:tc>
          <w:tcPr>
            <w:tcW w:w="1134" w:type="dxa"/>
            <w:vAlign w:val="center"/>
          </w:tcPr>
          <w:p>
            <w:pPr>
              <w:pStyle w:val="11"/>
            </w:pPr>
            <w:r>
              <w:t>60.47</w:t>
            </w:r>
          </w:p>
        </w:tc>
        <w:tc>
          <w:tcPr>
            <w:tcW w:w="1134" w:type="dxa"/>
            <w:vAlign w:val="center"/>
          </w:tcPr>
          <w:p>
            <w:pPr>
              <w:pStyle w:val="11"/>
            </w:pPr>
            <w:r>
              <w:t>60.47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20.63</w:t>
            </w:r>
          </w:p>
        </w:tc>
        <w:tc>
          <w:tcPr>
            <w:tcW w:w="1134" w:type="dxa"/>
            <w:vAlign w:val="center"/>
          </w:tcPr>
          <w:p>
            <w:pPr>
              <w:pStyle w:val="11"/>
            </w:pPr>
            <w:r>
              <w:t>20.63</w:t>
            </w:r>
          </w:p>
        </w:tc>
        <w:tc>
          <w:tcPr>
            <w:tcW w:w="1134" w:type="dxa"/>
            <w:vAlign w:val="center"/>
          </w:tcPr>
          <w:p>
            <w:pPr>
              <w:pStyle w:val="11"/>
            </w:pPr>
            <w:r>
              <w:t>20.63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39.84</w:t>
            </w:r>
          </w:p>
        </w:tc>
        <w:tc>
          <w:tcPr>
            <w:tcW w:w="1134" w:type="dxa"/>
            <w:vAlign w:val="center"/>
          </w:tcPr>
          <w:p>
            <w:pPr>
              <w:pStyle w:val="11"/>
            </w:pPr>
            <w:r>
              <w:t>39.84</w:t>
            </w:r>
          </w:p>
        </w:tc>
        <w:tc>
          <w:tcPr>
            <w:tcW w:w="1134" w:type="dxa"/>
            <w:vAlign w:val="center"/>
          </w:tcPr>
          <w:p>
            <w:pPr>
              <w:pStyle w:val="11"/>
            </w:pPr>
            <w:r>
              <w:t>39.84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138.00</w:t>
            </w:r>
          </w:p>
        </w:tc>
        <w:tc>
          <w:tcPr>
            <w:tcW w:w="1134" w:type="dxa"/>
            <w:vAlign w:val="center"/>
          </w:tcPr>
          <w:p>
            <w:pPr>
              <w:pStyle w:val="11"/>
            </w:pPr>
            <w:r>
              <w:t>138.00</w:t>
            </w:r>
          </w:p>
        </w:tc>
        <w:tc>
          <w:tcPr>
            <w:tcW w:w="1134" w:type="dxa"/>
            <w:vAlign w:val="center"/>
          </w:tcPr>
          <w:p>
            <w:pPr>
              <w:pStyle w:val="11"/>
            </w:pPr>
            <w:r>
              <w:t>138.00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138.00</w:t>
            </w:r>
          </w:p>
        </w:tc>
        <w:tc>
          <w:tcPr>
            <w:tcW w:w="1134" w:type="dxa"/>
            <w:vAlign w:val="center"/>
          </w:tcPr>
          <w:p>
            <w:pPr>
              <w:pStyle w:val="11"/>
            </w:pPr>
            <w:r>
              <w:t>138.00</w:t>
            </w:r>
          </w:p>
        </w:tc>
        <w:tc>
          <w:tcPr>
            <w:tcW w:w="1134" w:type="dxa"/>
            <w:vAlign w:val="center"/>
          </w:tcPr>
          <w:p>
            <w:pPr>
              <w:pStyle w:val="11"/>
            </w:pPr>
            <w:r>
              <w:t>138.00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2110399</w:t>
            </w:r>
          </w:p>
        </w:tc>
        <w:tc>
          <w:tcPr>
            <w:tcW w:w="1559" w:type="dxa"/>
            <w:vAlign w:val="center"/>
          </w:tcPr>
          <w:p>
            <w:pPr>
              <w:pStyle w:val="12"/>
            </w:pPr>
            <w:r>
              <w:t>其他污染防治支出</w:t>
            </w:r>
          </w:p>
        </w:tc>
        <w:tc>
          <w:tcPr>
            <w:tcW w:w="1134" w:type="dxa"/>
            <w:vAlign w:val="center"/>
          </w:tcPr>
          <w:p>
            <w:pPr>
              <w:pStyle w:val="11"/>
            </w:pPr>
            <w:r>
              <w:t>138.00</w:t>
            </w:r>
          </w:p>
        </w:tc>
        <w:tc>
          <w:tcPr>
            <w:tcW w:w="1134" w:type="dxa"/>
            <w:vAlign w:val="center"/>
          </w:tcPr>
          <w:p>
            <w:pPr>
              <w:pStyle w:val="11"/>
            </w:pPr>
            <w:r>
              <w:t>138.00</w:t>
            </w:r>
          </w:p>
        </w:tc>
        <w:tc>
          <w:tcPr>
            <w:tcW w:w="1134" w:type="dxa"/>
            <w:vAlign w:val="center"/>
          </w:tcPr>
          <w:p>
            <w:pPr>
              <w:pStyle w:val="11"/>
            </w:pPr>
            <w:r>
              <w:t>138.00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39.78</w:t>
            </w:r>
          </w:p>
        </w:tc>
        <w:tc>
          <w:tcPr>
            <w:tcW w:w="1134" w:type="dxa"/>
            <w:vAlign w:val="center"/>
          </w:tcPr>
          <w:p>
            <w:pPr>
              <w:pStyle w:val="11"/>
            </w:pPr>
            <w:r>
              <w:t>39.78</w:t>
            </w:r>
          </w:p>
        </w:tc>
        <w:tc>
          <w:tcPr>
            <w:tcW w:w="1134" w:type="dxa"/>
            <w:vAlign w:val="center"/>
          </w:tcPr>
          <w:p>
            <w:pPr>
              <w:pStyle w:val="11"/>
            </w:pPr>
            <w:r>
              <w:t>39.78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39.78</w:t>
            </w:r>
          </w:p>
        </w:tc>
        <w:tc>
          <w:tcPr>
            <w:tcW w:w="1134" w:type="dxa"/>
            <w:vAlign w:val="center"/>
          </w:tcPr>
          <w:p>
            <w:pPr>
              <w:pStyle w:val="11"/>
            </w:pPr>
            <w:r>
              <w:t>39.78</w:t>
            </w:r>
          </w:p>
        </w:tc>
        <w:tc>
          <w:tcPr>
            <w:tcW w:w="1134" w:type="dxa"/>
            <w:vAlign w:val="center"/>
          </w:tcPr>
          <w:p>
            <w:pPr>
              <w:pStyle w:val="11"/>
            </w:pPr>
            <w:r>
              <w:t>39.78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39.78</w:t>
            </w:r>
          </w:p>
        </w:tc>
        <w:tc>
          <w:tcPr>
            <w:tcW w:w="1134" w:type="dxa"/>
            <w:vAlign w:val="center"/>
          </w:tcPr>
          <w:p>
            <w:pPr>
              <w:pStyle w:val="11"/>
            </w:pPr>
            <w:r>
              <w:t>39.78</w:t>
            </w:r>
          </w:p>
        </w:tc>
        <w:tc>
          <w:tcPr>
            <w:tcW w:w="1134" w:type="dxa"/>
            <w:vAlign w:val="center"/>
          </w:tcPr>
          <w:p>
            <w:pPr>
              <w:pStyle w:val="11"/>
            </w:pPr>
            <w:r>
              <w:t>39.78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1079.09</w:t>
            </w:r>
          </w:p>
        </w:tc>
        <w:tc>
          <w:tcPr>
            <w:tcW w:w="1361" w:type="dxa"/>
            <w:vAlign w:val="center"/>
          </w:tcPr>
          <w:p>
            <w:pPr>
              <w:pStyle w:val="15"/>
            </w:pPr>
            <w:r>
              <w:t>670.69</w:t>
            </w:r>
          </w:p>
        </w:tc>
        <w:tc>
          <w:tcPr>
            <w:tcW w:w="1361" w:type="dxa"/>
            <w:vAlign w:val="center"/>
          </w:tcPr>
          <w:p>
            <w:pPr>
              <w:pStyle w:val="15"/>
            </w:pPr>
            <w:r>
              <w:t>408.40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681.91</w:t>
            </w:r>
          </w:p>
        </w:tc>
        <w:tc>
          <w:tcPr>
            <w:tcW w:w="1361" w:type="dxa"/>
            <w:vAlign w:val="center"/>
          </w:tcPr>
          <w:p>
            <w:pPr>
              <w:pStyle w:val="11"/>
            </w:pPr>
            <w:r>
              <w:t>411.51</w:t>
            </w:r>
          </w:p>
        </w:tc>
        <w:tc>
          <w:tcPr>
            <w:tcW w:w="1361" w:type="dxa"/>
            <w:vAlign w:val="center"/>
          </w:tcPr>
          <w:p>
            <w:pPr>
              <w:pStyle w:val="11"/>
            </w:pPr>
            <w:r>
              <w:t>270.40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681.91</w:t>
            </w:r>
          </w:p>
        </w:tc>
        <w:tc>
          <w:tcPr>
            <w:tcW w:w="1361" w:type="dxa"/>
            <w:vAlign w:val="center"/>
          </w:tcPr>
          <w:p>
            <w:pPr>
              <w:pStyle w:val="11"/>
            </w:pPr>
            <w:r>
              <w:t>411.51</w:t>
            </w:r>
          </w:p>
        </w:tc>
        <w:tc>
          <w:tcPr>
            <w:tcW w:w="1361" w:type="dxa"/>
            <w:vAlign w:val="center"/>
          </w:tcPr>
          <w:p>
            <w:pPr>
              <w:pStyle w:val="11"/>
            </w:pPr>
            <w:r>
              <w:t>270.40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411.51</w:t>
            </w:r>
          </w:p>
        </w:tc>
        <w:tc>
          <w:tcPr>
            <w:tcW w:w="1361" w:type="dxa"/>
            <w:vAlign w:val="center"/>
          </w:tcPr>
          <w:p>
            <w:pPr>
              <w:pStyle w:val="11"/>
            </w:pPr>
            <w:r>
              <w:t>411.51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270.40</w:t>
            </w:r>
          </w:p>
        </w:tc>
        <w:tc>
          <w:tcPr>
            <w:tcW w:w="1361" w:type="dxa"/>
            <w:vAlign w:val="center"/>
          </w:tcPr>
          <w:p>
            <w:pPr>
              <w:pStyle w:val="11"/>
            </w:pPr>
          </w:p>
        </w:tc>
        <w:tc>
          <w:tcPr>
            <w:tcW w:w="1361" w:type="dxa"/>
            <w:vAlign w:val="center"/>
          </w:tcPr>
          <w:p>
            <w:pPr>
              <w:pStyle w:val="11"/>
            </w:pPr>
            <w:r>
              <w:t>270.40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158.92</w:t>
            </w:r>
          </w:p>
        </w:tc>
        <w:tc>
          <w:tcPr>
            <w:tcW w:w="1361" w:type="dxa"/>
            <w:vAlign w:val="center"/>
          </w:tcPr>
          <w:p>
            <w:pPr>
              <w:pStyle w:val="11"/>
            </w:pPr>
            <w:r>
              <w:t>158.92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155.59</w:t>
            </w:r>
          </w:p>
        </w:tc>
        <w:tc>
          <w:tcPr>
            <w:tcW w:w="1361" w:type="dxa"/>
            <w:vAlign w:val="center"/>
          </w:tcPr>
          <w:p>
            <w:pPr>
              <w:pStyle w:val="11"/>
            </w:pPr>
            <w:r>
              <w:t>155.59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103.80</w:t>
            </w:r>
          </w:p>
        </w:tc>
        <w:tc>
          <w:tcPr>
            <w:tcW w:w="1361" w:type="dxa"/>
            <w:vAlign w:val="center"/>
          </w:tcPr>
          <w:p>
            <w:pPr>
              <w:pStyle w:val="11"/>
            </w:pPr>
            <w:r>
              <w:t>103.80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51.80</w:t>
            </w:r>
          </w:p>
        </w:tc>
        <w:tc>
          <w:tcPr>
            <w:tcW w:w="1361" w:type="dxa"/>
            <w:vAlign w:val="center"/>
          </w:tcPr>
          <w:p>
            <w:pPr>
              <w:pStyle w:val="11"/>
            </w:pPr>
            <w:r>
              <w:t>51.80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3.33</w:t>
            </w:r>
          </w:p>
        </w:tc>
        <w:tc>
          <w:tcPr>
            <w:tcW w:w="1361" w:type="dxa"/>
            <w:vAlign w:val="center"/>
          </w:tcPr>
          <w:p>
            <w:pPr>
              <w:pStyle w:val="11"/>
            </w:pPr>
            <w:r>
              <w:t>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3.33</w:t>
            </w:r>
          </w:p>
        </w:tc>
        <w:tc>
          <w:tcPr>
            <w:tcW w:w="1361" w:type="dxa"/>
            <w:vAlign w:val="center"/>
          </w:tcPr>
          <w:p>
            <w:pPr>
              <w:pStyle w:val="11"/>
            </w:pPr>
            <w:r>
              <w:t>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60.47</w:t>
            </w:r>
          </w:p>
        </w:tc>
        <w:tc>
          <w:tcPr>
            <w:tcW w:w="1361" w:type="dxa"/>
            <w:vAlign w:val="center"/>
          </w:tcPr>
          <w:p>
            <w:pPr>
              <w:pStyle w:val="11"/>
            </w:pPr>
            <w:r>
              <w:t>60.47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60.47</w:t>
            </w:r>
          </w:p>
        </w:tc>
        <w:tc>
          <w:tcPr>
            <w:tcW w:w="1361" w:type="dxa"/>
            <w:vAlign w:val="center"/>
          </w:tcPr>
          <w:p>
            <w:pPr>
              <w:pStyle w:val="11"/>
            </w:pPr>
            <w:r>
              <w:t>60.47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20.63</w:t>
            </w:r>
          </w:p>
        </w:tc>
        <w:tc>
          <w:tcPr>
            <w:tcW w:w="1361" w:type="dxa"/>
            <w:vAlign w:val="center"/>
          </w:tcPr>
          <w:p>
            <w:pPr>
              <w:pStyle w:val="11"/>
            </w:pPr>
            <w:r>
              <w:t>20.63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39.84</w:t>
            </w:r>
          </w:p>
        </w:tc>
        <w:tc>
          <w:tcPr>
            <w:tcW w:w="1361" w:type="dxa"/>
            <w:vAlign w:val="center"/>
          </w:tcPr>
          <w:p>
            <w:pPr>
              <w:pStyle w:val="11"/>
            </w:pPr>
            <w:r>
              <w:t>39.84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2110399</w:t>
            </w:r>
          </w:p>
        </w:tc>
        <w:tc>
          <w:tcPr>
            <w:tcW w:w="4535" w:type="dxa"/>
            <w:vAlign w:val="center"/>
          </w:tcPr>
          <w:p>
            <w:pPr>
              <w:pStyle w:val="12"/>
            </w:pPr>
            <w:r>
              <w:t>其他污染防治支出</w:t>
            </w: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r>
              <w:t>138.00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39.78</w:t>
            </w:r>
          </w:p>
        </w:tc>
        <w:tc>
          <w:tcPr>
            <w:tcW w:w="1361" w:type="dxa"/>
            <w:vAlign w:val="center"/>
          </w:tcPr>
          <w:p>
            <w:pPr>
              <w:pStyle w:val="11"/>
            </w:pPr>
            <w:r>
              <w:t>39.78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39.78</w:t>
            </w:r>
          </w:p>
        </w:tc>
        <w:tc>
          <w:tcPr>
            <w:tcW w:w="1361" w:type="dxa"/>
            <w:vAlign w:val="center"/>
          </w:tcPr>
          <w:p>
            <w:pPr>
              <w:pStyle w:val="11"/>
            </w:pPr>
            <w:r>
              <w:t>39.78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39.78</w:t>
            </w:r>
          </w:p>
        </w:tc>
        <w:tc>
          <w:tcPr>
            <w:tcW w:w="1361" w:type="dxa"/>
            <w:vAlign w:val="center"/>
          </w:tcPr>
          <w:p>
            <w:pPr>
              <w:pStyle w:val="11"/>
            </w:pPr>
            <w:r>
              <w:t>39.78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1079.09</w:t>
            </w:r>
          </w:p>
        </w:tc>
        <w:tc>
          <w:tcPr>
            <w:tcW w:w="3402" w:type="dxa"/>
            <w:vAlign w:val="center"/>
          </w:tcPr>
          <w:p>
            <w:pPr>
              <w:pStyle w:val="12"/>
            </w:pPr>
            <w:r>
              <w:t>一、一般公共服务支出</w:t>
            </w:r>
          </w:p>
        </w:tc>
        <w:tc>
          <w:tcPr>
            <w:tcW w:w="1474" w:type="dxa"/>
            <w:vAlign w:val="center"/>
          </w:tcPr>
          <w:p>
            <w:pPr>
              <w:pStyle w:val="11"/>
            </w:pPr>
            <w:r>
              <w:t>681.91</w:t>
            </w:r>
          </w:p>
        </w:tc>
        <w:tc>
          <w:tcPr>
            <w:tcW w:w="1474" w:type="dxa"/>
            <w:vAlign w:val="center"/>
          </w:tcPr>
          <w:p>
            <w:pPr>
              <w:pStyle w:val="11"/>
            </w:pPr>
            <w:r>
              <w:t>681.91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158.92</w:t>
            </w:r>
          </w:p>
        </w:tc>
        <w:tc>
          <w:tcPr>
            <w:tcW w:w="1474" w:type="dxa"/>
            <w:vAlign w:val="center"/>
          </w:tcPr>
          <w:p>
            <w:pPr>
              <w:pStyle w:val="11"/>
            </w:pPr>
            <w:r>
              <w:t>158.92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60.47</w:t>
            </w:r>
          </w:p>
        </w:tc>
        <w:tc>
          <w:tcPr>
            <w:tcW w:w="1474" w:type="dxa"/>
            <w:vAlign w:val="center"/>
          </w:tcPr>
          <w:p>
            <w:pPr>
              <w:pStyle w:val="11"/>
            </w:pPr>
            <w:r>
              <w:t>60.47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138.00</w:t>
            </w:r>
          </w:p>
        </w:tc>
        <w:tc>
          <w:tcPr>
            <w:tcW w:w="1474" w:type="dxa"/>
            <w:vAlign w:val="center"/>
          </w:tcPr>
          <w:p>
            <w:pPr>
              <w:pStyle w:val="11"/>
            </w:pPr>
            <w:r>
              <w:t>138.00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39.78</w:t>
            </w:r>
          </w:p>
        </w:tc>
        <w:tc>
          <w:tcPr>
            <w:tcW w:w="1474" w:type="dxa"/>
            <w:vAlign w:val="center"/>
          </w:tcPr>
          <w:p>
            <w:pPr>
              <w:pStyle w:val="11"/>
            </w:pPr>
            <w:r>
              <w:t>39.78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1079.09</w:t>
            </w:r>
          </w:p>
        </w:tc>
        <w:tc>
          <w:tcPr>
            <w:tcW w:w="3402" w:type="dxa"/>
            <w:vAlign w:val="center"/>
          </w:tcPr>
          <w:p>
            <w:pPr>
              <w:pStyle w:val="14"/>
            </w:pPr>
            <w:r>
              <w:t>本年支出合计</w:t>
            </w:r>
          </w:p>
        </w:tc>
        <w:tc>
          <w:tcPr>
            <w:tcW w:w="1474" w:type="dxa"/>
            <w:vAlign w:val="center"/>
          </w:tcPr>
          <w:p>
            <w:pPr>
              <w:pStyle w:val="15"/>
            </w:pPr>
            <w:r>
              <w:t>1079.09</w:t>
            </w:r>
          </w:p>
        </w:tc>
        <w:tc>
          <w:tcPr>
            <w:tcW w:w="1474" w:type="dxa"/>
            <w:vAlign w:val="center"/>
          </w:tcPr>
          <w:p>
            <w:pPr>
              <w:pStyle w:val="15"/>
            </w:pPr>
            <w:r>
              <w:t>1079.09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1079.09</w:t>
            </w:r>
          </w:p>
        </w:tc>
        <w:tc>
          <w:tcPr>
            <w:tcW w:w="3402" w:type="dxa"/>
            <w:vAlign w:val="center"/>
          </w:tcPr>
          <w:p>
            <w:pPr>
              <w:pStyle w:val="14"/>
            </w:pPr>
            <w:r>
              <w:t>支出总计</w:t>
            </w:r>
          </w:p>
        </w:tc>
        <w:tc>
          <w:tcPr>
            <w:tcW w:w="1474" w:type="dxa"/>
            <w:vAlign w:val="center"/>
          </w:tcPr>
          <w:p>
            <w:pPr>
              <w:pStyle w:val="15"/>
            </w:pPr>
            <w:r>
              <w:t>1079.09</w:t>
            </w:r>
          </w:p>
        </w:tc>
        <w:tc>
          <w:tcPr>
            <w:tcW w:w="1474" w:type="dxa"/>
            <w:vAlign w:val="center"/>
          </w:tcPr>
          <w:p>
            <w:pPr>
              <w:pStyle w:val="15"/>
            </w:pPr>
            <w:r>
              <w:t>1079.09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1079.09</w:t>
            </w:r>
          </w:p>
        </w:tc>
        <w:tc>
          <w:tcPr>
            <w:tcW w:w="2551" w:type="dxa"/>
            <w:vAlign w:val="center"/>
          </w:tcPr>
          <w:p>
            <w:pPr>
              <w:pStyle w:val="15"/>
            </w:pPr>
            <w:r>
              <w:t>670.69</w:t>
            </w:r>
          </w:p>
        </w:tc>
        <w:tc>
          <w:tcPr>
            <w:tcW w:w="2551" w:type="dxa"/>
            <w:vAlign w:val="center"/>
          </w:tcPr>
          <w:p>
            <w:pPr>
              <w:pStyle w:val="15"/>
            </w:pPr>
            <w:r>
              <w:t>408.40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681.91</w:t>
            </w:r>
          </w:p>
        </w:tc>
        <w:tc>
          <w:tcPr>
            <w:tcW w:w="2551" w:type="dxa"/>
            <w:vAlign w:val="center"/>
          </w:tcPr>
          <w:p>
            <w:pPr>
              <w:pStyle w:val="11"/>
            </w:pPr>
            <w:r>
              <w:t>411.51</w:t>
            </w:r>
          </w:p>
        </w:tc>
        <w:tc>
          <w:tcPr>
            <w:tcW w:w="2551" w:type="dxa"/>
            <w:vAlign w:val="center"/>
          </w:tcPr>
          <w:p>
            <w:pPr>
              <w:pStyle w:val="11"/>
            </w:pPr>
            <w:r>
              <w:t>270.40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681.91</w:t>
            </w:r>
          </w:p>
        </w:tc>
        <w:tc>
          <w:tcPr>
            <w:tcW w:w="2551" w:type="dxa"/>
            <w:vAlign w:val="center"/>
          </w:tcPr>
          <w:p>
            <w:pPr>
              <w:pStyle w:val="11"/>
            </w:pPr>
            <w:r>
              <w:t>411.51</w:t>
            </w:r>
          </w:p>
        </w:tc>
        <w:tc>
          <w:tcPr>
            <w:tcW w:w="2551" w:type="dxa"/>
            <w:vAlign w:val="center"/>
          </w:tcPr>
          <w:p>
            <w:pPr>
              <w:pStyle w:val="11"/>
            </w:pPr>
            <w:r>
              <w:t>270.40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411.51</w:t>
            </w:r>
          </w:p>
        </w:tc>
        <w:tc>
          <w:tcPr>
            <w:tcW w:w="2551" w:type="dxa"/>
            <w:vAlign w:val="center"/>
          </w:tcPr>
          <w:p>
            <w:pPr>
              <w:pStyle w:val="11"/>
            </w:pPr>
            <w:r>
              <w:t>411.51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270.40</w:t>
            </w:r>
          </w:p>
        </w:tc>
        <w:tc>
          <w:tcPr>
            <w:tcW w:w="2551" w:type="dxa"/>
            <w:vAlign w:val="center"/>
          </w:tcPr>
          <w:p>
            <w:pPr>
              <w:pStyle w:val="11"/>
            </w:pPr>
          </w:p>
        </w:tc>
        <w:tc>
          <w:tcPr>
            <w:tcW w:w="2551" w:type="dxa"/>
            <w:vAlign w:val="center"/>
          </w:tcPr>
          <w:p>
            <w:pPr>
              <w:pStyle w:val="11"/>
            </w:pPr>
            <w:r>
              <w:t>270.40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158.92</w:t>
            </w:r>
          </w:p>
        </w:tc>
        <w:tc>
          <w:tcPr>
            <w:tcW w:w="2551" w:type="dxa"/>
            <w:vAlign w:val="center"/>
          </w:tcPr>
          <w:p>
            <w:pPr>
              <w:pStyle w:val="11"/>
            </w:pPr>
            <w:r>
              <w:t>158.92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155.59</w:t>
            </w:r>
          </w:p>
        </w:tc>
        <w:tc>
          <w:tcPr>
            <w:tcW w:w="2551" w:type="dxa"/>
            <w:vAlign w:val="center"/>
          </w:tcPr>
          <w:p>
            <w:pPr>
              <w:pStyle w:val="11"/>
            </w:pPr>
            <w:r>
              <w:t>155.59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103.80</w:t>
            </w:r>
          </w:p>
        </w:tc>
        <w:tc>
          <w:tcPr>
            <w:tcW w:w="2551" w:type="dxa"/>
            <w:vAlign w:val="center"/>
          </w:tcPr>
          <w:p>
            <w:pPr>
              <w:pStyle w:val="11"/>
            </w:pPr>
            <w:r>
              <w:t>103.80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51.80</w:t>
            </w:r>
          </w:p>
        </w:tc>
        <w:tc>
          <w:tcPr>
            <w:tcW w:w="2551" w:type="dxa"/>
            <w:vAlign w:val="center"/>
          </w:tcPr>
          <w:p>
            <w:pPr>
              <w:pStyle w:val="11"/>
            </w:pPr>
            <w:r>
              <w:t>51.80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3.33</w:t>
            </w:r>
          </w:p>
        </w:tc>
        <w:tc>
          <w:tcPr>
            <w:tcW w:w="2551" w:type="dxa"/>
            <w:vAlign w:val="center"/>
          </w:tcPr>
          <w:p>
            <w:pPr>
              <w:pStyle w:val="11"/>
            </w:pPr>
            <w:r>
              <w:t>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3.33</w:t>
            </w:r>
          </w:p>
        </w:tc>
        <w:tc>
          <w:tcPr>
            <w:tcW w:w="2551" w:type="dxa"/>
            <w:vAlign w:val="center"/>
          </w:tcPr>
          <w:p>
            <w:pPr>
              <w:pStyle w:val="11"/>
            </w:pPr>
            <w:r>
              <w:t>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60.47</w:t>
            </w:r>
          </w:p>
        </w:tc>
        <w:tc>
          <w:tcPr>
            <w:tcW w:w="2551" w:type="dxa"/>
            <w:vAlign w:val="center"/>
          </w:tcPr>
          <w:p>
            <w:pPr>
              <w:pStyle w:val="11"/>
            </w:pPr>
            <w:r>
              <w:t>60.47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60.47</w:t>
            </w:r>
          </w:p>
        </w:tc>
        <w:tc>
          <w:tcPr>
            <w:tcW w:w="2551" w:type="dxa"/>
            <w:vAlign w:val="center"/>
          </w:tcPr>
          <w:p>
            <w:pPr>
              <w:pStyle w:val="11"/>
            </w:pPr>
            <w:r>
              <w:t>60.47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20.63</w:t>
            </w:r>
          </w:p>
        </w:tc>
        <w:tc>
          <w:tcPr>
            <w:tcW w:w="2551" w:type="dxa"/>
            <w:vAlign w:val="center"/>
          </w:tcPr>
          <w:p>
            <w:pPr>
              <w:pStyle w:val="11"/>
            </w:pPr>
            <w:r>
              <w:t>20.63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39.84</w:t>
            </w:r>
          </w:p>
        </w:tc>
        <w:tc>
          <w:tcPr>
            <w:tcW w:w="2551" w:type="dxa"/>
            <w:vAlign w:val="center"/>
          </w:tcPr>
          <w:p>
            <w:pPr>
              <w:pStyle w:val="11"/>
            </w:pPr>
            <w:r>
              <w:t>39.84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138.00</w:t>
            </w:r>
          </w:p>
        </w:tc>
        <w:tc>
          <w:tcPr>
            <w:tcW w:w="2551" w:type="dxa"/>
            <w:vAlign w:val="center"/>
          </w:tcPr>
          <w:p>
            <w:pPr>
              <w:pStyle w:val="11"/>
            </w:pPr>
          </w:p>
        </w:tc>
        <w:tc>
          <w:tcPr>
            <w:tcW w:w="2551" w:type="dxa"/>
            <w:vAlign w:val="center"/>
          </w:tcPr>
          <w:p>
            <w:pPr>
              <w:pStyle w:val="11"/>
            </w:pPr>
            <w: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138.00</w:t>
            </w:r>
          </w:p>
        </w:tc>
        <w:tc>
          <w:tcPr>
            <w:tcW w:w="2551" w:type="dxa"/>
            <w:vAlign w:val="center"/>
          </w:tcPr>
          <w:p>
            <w:pPr>
              <w:pStyle w:val="11"/>
            </w:pPr>
          </w:p>
        </w:tc>
        <w:tc>
          <w:tcPr>
            <w:tcW w:w="2551" w:type="dxa"/>
            <w:vAlign w:val="center"/>
          </w:tcPr>
          <w:p>
            <w:pPr>
              <w:pStyle w:val="11"/>
            </w:pPr>
            <w: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2110399</w:t>
            </w:r>
          </w:p>
        </w:tc>
        <w:tc>
          <w:tcPr>
            <w:tcW w:w="4535" w:type="dxa"/>
            <w:vAlign w:val="center"/>
          </w:tcPr>
          <w:p>
            <w:pPr>
              <w:pStyle w:val="12"/>
            </w:pPr>
            <w:r>
              <w:t>其他污染防治支出</w:t>
            </w:r>
          </w:p>
        </w:tc>
        <w:tc>
          <w:tcPr>
            <w:tcW w:w="2551" w:type="dxa"/>
            <w:vAlign w:val="center"/>
          </w:tcPr>
          <w:p>
            <w:pPr>
              <w:pStyle w:val="11"/>
            </w:pPr>
            <w:r>
              <w:t>138.00</w:t>
            </w:r>
          </w:p>
        </w:tc>
        <w:tc>
          <w:tcPr>
            <w:tcW w:w="2551" w:type="dxa"/>
            <w:vAlign w:val="center"/>
          </w:tcPr>
          <w:p>
            <w:pPr>
              <w:pStyle w:val="11"/>
            </w:pPr>
          </w:p>
        </w:tc>
        <w:tc>
          <w:tcPr>
            <w:tcW w:w="2551" w:type="dxa"/>
            <w:vAlign w:val="center"/>
          </w:tcPr>
          <w:p>
            <w:pPr>
              <w:pStyle w:val="11"/>
            </w:pPr>
            <w: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39.78</w:t>
            </w:r>
          </w:p>
        </w:tc>
        <w:tc>
          <w:tcPr>
            <w:tcW w:w="2551" w:type="dxa"/>
            <w:vAlign w:val="center"/>
          </w:tcPr>
          <w:p>
            <w:pPr>
              <w:pStyle w:val="11"/>
            </w:pPr>
            <w:r>
              <w:t>39.78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39.78</w:t>
            </w:r>
          </w:p>
        </w:tc>
        <w:tc>
          <w:tcPr>
            <w:tcW w:w="2551" w:type="dxa"/>
            <w:vAlign w:val="center"/>
          </w:tcPr>
          <w:p>
            <w:pPr>
              <w:pStyle w:val="11"/>
            </w:pPr>
            <w:r>
              <w:t>39.78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39.78</w:t>
            </w:r>
          </w:p>
        </w:tc>
        <w:tc>
          <w:tcPr>
            <w:tcW w:w="2551" w:type="dxa"/>
            <w:vAlign w:val="center"/>
          </w:tcPr>
          <w:p>
            <w:pPr>
              <w:pStyle w:val="11"/>
            </w:pPr>
            <w:r>
              <w:t>39.78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670.69</w:t>
            </w:r>
          </w:p>
        </w:tc>
        <w:tc>
          <w:tcPr>
            <w:tcW w:w="2551" w:type="dxa"/>
            <w:vAlign w:val="center"/>
          </w:tcPr>
          <w:p>
            <w:pPr>
              <w:pStyle w:val="15"/>
            </w:pPr>
            <w:r>
              <w:t>612.00</w:t>
            </w:r>
          </w:p>
        </w:tc>
        <w:tc>
          <w:tcPr>
            <w:tcW w:w="2551" w:type="dxa"/>
            <w:vAlign w:val="center"/>
          </w:tcPr>
          <w:p>
            <w:pPr>
              <w:pStyle w:val="15"/>
            </w:pPr>
            <w:r>
              <w:t>58.68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510.33</w:t>
            </w:r>
          </w:p>
        </w:tc>
        <w:tc>
          <w:tcPr>
            <w:tcW w:w="2551" w:type="dxa"/>
            <w:vAlign w:val="center"/>
          </w:tcPr>
          <w:p>
            <w:pPr>
              <w:pStyle w:val="11"/>
            </w:pPr>
            <w:r>
              <w:t>510.33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164.88</w:t>
            </w:r>
          </w:p>
        </w:tc>
        <w:tc>
          <w:tcPr>
            <w:tcW w:w="2551" w:type="dxa"/>
            <w:vAlign w:val="center"/>
          </w:tcPr>
          <w:p>
            <w:pPr>
              <w:pStyle w:val="11"/>
            </w:pPr>
            <w:r>
              <w:t>164.88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123.04</w:t>
            </w:r>
          </w:p>
        </w:tc>
        <w:tc>
          <w:tcPr>
            <w:tcW w:w="2551" w:type="dxa"/>
            <w:vAlign w:val="center"/>
          </w:tcPr>
          <w:p>
            <w:pPr>
              <w:pStyle w:val="11"/>
            </w:pPr>
            <w:r>
              <w:t>123.04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36.61</w:t>
            </w:r>
          </w:p>
        </w:tc>
        <w:tc>
          <w:tcPr>
            <w:tcW w:w="2551" w:type="dxa"/>
            <w:vAlign w:val="center"/>
          </w:tcPr>
          <w:p>
            <w:pPr>
              <w:pStyle w:val="11"/>
            </w:pPr>
            <w:r>
              <w:t>36.61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31.75</w:t>
            </w:r>
          </w:p>
        </w:tc>
        <w:tc>
          <w:tcPr>
            <w:tcW w:w="2551" w:type="dxa"/>
            <w:vAlign w:val="center"/>
          </w:tcPr>
          <w:p>
            <w:pPr>
              <w:pStyle w:val="11"/>
            </w:pPr>
            <w:r>
              <w:t>31.75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51.80</w:t>
            </w:r>
          </w:p>
        </w:tc>
        <w:tc>
          <w:tcPr>
            <w:tcW w:w="2551" w:type="dxa"/>
            <w:vAlign w:val="center"/>
          </w:tcPr>
          <w:p>
            <w:pPr>
              <w:pStyle w:val="11"/>
            </w:pPr>
            <w:r>
              <w:t>51.80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20.63</w:t>
            </w:r>
          </w:p>
        </w:tc>
        <w:tc>
          <w:tcPr>
            <w:tcW w:w="2551" w:type="dxa"/>
            <w:vAlign w:val="center"/>
          </w:tcPr>
          <w:p>
            <w:pPr>
              <w:pStyle w:val="11"/>
            </w:pPr>
            <w:r>
              <w:t>20.63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39.84</w:t>
            </w:r>
          </w:p>
        </w:tc>
        <w:tc>
          <w:tcPr>
            <w:tcW w:w="2551" w:type="dxa"/>
            <w:vAlign w:val="center"/>
          </w:tcPr>
          <w:p>
            <w:pPr>
              <w:pStyle w:val="11"/>
            </w:pPr>
            <w:r>
              <w:t>39.84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2.00</w:t>
            </w:r>
          </w:p>
        </w:tc>
        <w:tc>
          <w:tcPr>
            <w:tcW w:w="2551" w:type="dxa"/>
            <w:vAlign w:val="center"/>
          </w:tcPr>
          <w:p>
            <w:pPr>
              <w:pStyle w:val="11"/>
            </w:pPr>
            <w:r>
              <w:t>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39.78</w:t>
            </w:r>
          </w:p>
        </w:tc>
        <w:tc>
          <w:tcPr>
            <w:tcW w:w="2551" w:type="dxa"/>
            <w:vAlign w:val="center"/>
          </w:tcPr>
          <w:p>
            <w:pPr>
              <w:pStyle w:val="11"/>
            </w:pPr>
            <w:r>
              <w:t>39.78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58.68</w:t>
            </w:r>
          </w:p>
        </w:tc>
        <w:tc>
          <w:tcPr>
            <w:tcW w:w="2551" w:type="dxa"/>
            <w:vAlign w:val="center"/>
          </w:tcPr>
          <w:p>
            <w:pPr>
              <w:pStyle w:val="11"/>
            </w:pPr>
          </w:p>
        </w:tc>
        <w:tc>
          <w:tcPr>
            <w:tcW w:w="2551" w:type="dxa"/>
            <w:vAlign w:val="center"/>
          </w:tcPr>
          <w:p>
            <w:pPr>
              <w:pStyle w:val="11"/>
            </w:pPr>
            <w:r>
              <w:t>58.68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5.84</w:t>
            </w:r>
          </w:p>
        </w:tc>
        <w:tc>
          <w:tcPr>
            <w:tcW w:w="2551" w:type="dxa"/>
            <w:vAlign w:val="center"/>
          </w:tcPr>
          <w:p>
            <w:pPr>
              <w:pStyle w:val="11"/>
            </w:pPr>
          </w:p>
        </w:tc>
        <w:tc>
          <w:tcPr>
            <w:tcW w:w="2551" w:type="dxa"/>
            <w:vAlign w:val="center"/>
          </w:tcPr>
          <w:p>
            <w:pPr>
              <w:pStyle w:val="11"/>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4.44</w:t>
            </w:r>
          </w:p>
        </w:tc>
        <w:tc>
          <w:tcPr>
            <w:tcW w:w="2551" w:type="dxa"/>
            <w:vAlign w:val="center"/>
          </w:tcPr>
          <w:p>
            <w:pPr>
              <w:pStyle w:val="11"/>
            </w:pPr>
          </w:p>
        </w:tc>
        <w:tc>
          <w:tcPr>
            <w:tcW w:w="2551" w:type="dxa"/>
            <w:vAlign w:val="center"/>
          </w:tcPr>
          <w:p>
            <w:pPr>
              <w:pStyle w:val="11"/>
            </w:pPr>
            <w: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1.68</w:t>
            </w:r>
          </w:p>
        </w:tc>
        <w:tc>
          <w:tcPr>
            <w:tcW w:w="2551" w:type="dxa"/>
            <w:vAlign w:val="center"/>
          </w:tcPr>
          <w:p>
            <w:pPr>
              <w:pStyle w:val="11"/>
            </w:pPr>
          </w:p>
        </w:tc>
        <w:tc>
          <w:tcPr>
            <w:tcW w:w="2551" w:type="dxa"/>
            <w:vAlign w:val="center"/>
          </w:tcPr>
          <w:p>
            <w:pPr>
              <w:pStyle w:val="11"/>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0.34</w:t>
            </w:r>
          </w:p>
        </w:tc>
        <w:tc>
          <w:tcPr>
            <w:tcW w:w="2551" w:type="dxa"/>
            <w:vAlign w:val="center"/>
          </w:tcPr>
          <w:p>
            <w:pPr>
              <w:pStyle w:val="11"/>
            </w:pPr>
          </w:p>
        </w:tc>
        <w:tc>
          <w:tcPr>
            <w:tcW w:w="2551" w:type="dxa"/>
            <w:vAlign w:val="center"/>
          </w:tcPr>
          <w:p>
            <w:pPr>
              <w:pStyle w:val="11"/>
            </w:pPr>
            <w:r>
              <w:t>0.34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6.11</w:t>
            </w:r>
          </w:p>
        </w:tc>
        <w:tc>
          <w:tcPr>
            <w:tcW w:w="2551" w:type="dxa"/>
            <w:vAlign w:val="center"/>
          </w:tcPr>
          <w:p>
            <w:pPr>
              <w:pStyle w:val="11"/>
            </w:pPr>
          </w:p>
        </w:tc>
        <w:tc>
          <w:tcPr>
            <w:tcW w:w="2551" w:type="dxa"/>
            <w:vAlign w:val="center"/>
          </w:tcPr>
          <w:p>
            <w:pPr>
              <w:pStyle w:val="11"/>
            </w:pPr>
            <w: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4.12</w:t>
            </w:r>
          </w:p>
        </w:tc>
        <w:tc>
          <w:tcPr>
            <w:tcW w:w="2551" w:type="dxa"/>
            <w:vAlign w:val="center"/>
          </w:tcPr>
          <w:p>
            <w:pPr>
              <w:pStyle w:val="11"/>
            </w:pPr>
          </w:p>
        </w:tc>
        <w:tc>
          <w:tcPr>
            <w:tcW w:w="2551" w:type="dxa"/>
            <w:vAlign w:val="center"/>
          </w:tcPr>
          <w:p>
            <w:pPr>
              <w:pStyle w:val="11"/>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20.63</w:t>
            </w:r>
          </w:p>
        </w:tc>
        <w:tc>
          <w:tcPr>
            <w:tcW w:w="2551" w:type="dxa"/>
            <w:vAlign w:val="center"/>
          </w:tcPr>
          <w:p>
            <w:pPr>
              <w:pStyle w:val="11"/>
            </w:pPr>
          </w:p>
        </w:tc>
        <w:tc>
          <w:tcPr>
            <w:tcW w:w="2551" w:type="dxa"/>
            <w:vAlign w:val="center"/>
          </w:tcPr>
          <w:p>
            <w:pPr>
              <w:pStyle w:val="11"/>
            </w:pPr>
            <w:r>
              <w:t>20.63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9.17</w:t>
            </w:r>
          </w:p>
        </w:tc>
        <w:tc>
          <w:tcPr>
            <w:tcW w:w="2551" w:type="dxa"/>
            <w:vAlign w:val="center"/>
          </w:tcPr>
          <w:p>
            <w:pPr>
              <w:pStyle w:val="11"/>
            </w:pPr>
          </w:p>
        </w:tc>
        <w:tc>
          <w:tcPr>
            <w:tcW w:w="2551" w:type="dxa"/>
            <w:vAlign w:val="center"/>
          </w:tcPr>
          <w:p>
            <w:pPr>
              <w:pStyle w:val="11"/>
            </w:pPr>
            <w:r>
              <w:t>9.17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101.67</w:t>
            </w:r>
          </w:p>
        </w:tc>
        <w:tc>
          <w:tcPr>
            <w:tcW w:w="2551" w:type="dxa"/>
            <w:vAlign w:val="center"/>
          </w:tcPr>
          <w:p>
            <w:pPr>
              <w:pStyle w:val="11"/>
            </w:pPr>
            <w:r>
              <w:t>101.67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52.68</w:t>
            </w:r>
          </w:p>
        </w:tc>
        <w:tc>
          <w:tcPr>
            <w:tcW w:w="2551" w:type="dxa"/>
            <w:vAlign w:val="center"/>
          </w:tcPr>
          <w:p>
            <w:pPr>
              <w:pStyle w:val="11"/>
            </w:pPr>
            <w:r>
              <w:t>52.68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44.98</w:t>
            </w:r>
          </w:p>
        </w:tc>
        <w:tc>
          <w:tcPr>
            <w:tcW w:w="2551" w:type="dxa"/>
            <w:vAlign w:val="center"/>
          </w:tcPr>
          <w:p>
            <w:pPr>
              <w:pStyle w:val="11"/>
            </w:pPr>
            <w:r>
              <w:t>44.98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3.33</w:t>
            </w:r>
          </w:p>
        </w:tc>
        <w:tc>
          <w:tcPr>
            <w:tcW w:w="2551" w:type="dxa"/>
            <w:vAlign w:val="center"/>
          </w:tcPr>
          <w:p>
            <w:pPr>
              <w:pStyle w:val="11"/>
            </w:pPr>
            <w:r>
              <w:t>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12.36</w:t>
            </w:r>
          </w:p>
        </w:tc>
        <w:tc>
          <w:tcPr>
            <w:tcW w:w="2381" w:type="dxa"/>
            <w:vAlign w:val="center"/>
          </w:tcPr>
          <w:p>
            <w:pPr>
              <w:pStyle w:val="15"/>
            </w:pPr>
            <w:r>
              <w:t>12.36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10.86</w:t>
            </w:r>
          </w:p>
        </w:tc>
        <w:tc>
          <w:tcPr>
            <w:tcW w:w="2381" w:type="dxa"/>
            <w:vAlign w:val="center"/>
          </w:tcPr>
          <w:p>
            <w:pPr>
              <w:pStyle w:val="11"/>
            </w:pPr>
            <w:r>
              <w:t>10.86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10.86</w:t>
            </w:r>
          </w:p>
        </w:tc>
        <w:tc>
          <w:tcPr>
            <w:tcW w:w="2381" w:type="dxa"/>
            <w:vAlign w:val="center"/>
          </w:tcPr>
          <w:p>
            <w:pPr>
              <w:pStyle w:val="11"/>
            </w:pPr>
            <w:r>
              <w:t>10.86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1.49</w:t>
            </w:r>
          </w:p>
        </w:tc>
        <w:tc>
          <w:tcPr>
            <w:tcW w:w="2381" w:type="dxa"/>
            <w:vAlign w:val="center"/>
          </w:tcPr>
          <w:p>
            <w:pPr>
              <w:pStyle w:val="11"/>
            </w:pPr>
            <w:r>
              <w:t>1.49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区政府办秦皇岛市山海关区人民政府办公室本级2023年单位预算信息公开情况说明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、《地方预决算公开操作规程》和《关于进一步推进预算公开工作的实施意见》规定，现将区政府办秦皇岛市山海关区人民政府办公室本级2023年单位预算公开如下：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根据《区政府办职能配置、内设机构和人员编制规定》， 区政府办公室的主要职责是：</w:t>
      </w:r>
    </w:p>
    <w:p>
      <w:pPr>
        <w:pStyle w:val="25"/>
      </w:pPr>
      <w:r>
        <w:t>（一）负责组织起草或审核上报市政府、市政府办和致函市政府各部门的公文，以及以区政府、区政府办公室名义发布的公文；办理区政府各部门报送区政府的文件。</w:t>
      </w:r>
    </w:p>
    <w:p>
      <w:pPr>
        <w:pStyle w:val="25"/>
      </w:pPr>
      <w:r>
        <w:t>（二）负责区政府领导活动的组织和协调工作；负责区政府会议的准备和服务工作，协助区政府领导组织落实会议决定事项。</w:t>
      </w:r>
    </w:p>
    <w:p>
      <w:pPr>
        <w:pStyle w:val="25"/>
      </w:pPr>
      <w:r>
        <w:t>（三）研究区政府各部门等请示区政府的事项，提出审核意见，报区政府领导审批。</w:t>
      </w:r>
    </w:p>
    <w:p>
      <w:pPr>
        <w:pStyle w:val="25"/>
      </w:pPr>
      <w:r>
        <w:t>（四）根据区政府领导的批示，对区政府各部门间出现的争议问题提出处理意见，报区政府领导决定。</w:t>
      </w:r>
    </w:p>
    <w:p>
      <w:pPr>
        <w:pStyle w:val="25"/>
      </w:pPr>
      <w:r>
        <w:t>（五）组织起草区政府领导重要讲话及其他重要文稿。</w:t>
      </w:r>
    </w:p>
    <w:p>
      <w:pPr>
        <w:pStyle w:val="25"/>
      </w:pPr>
      <w:r>
        <w:t>（六）督促检查各镇人民政府、街道办事处、区政府各部门对市政府和区政府决定事项及市政府、区政府领导重要批示的执行落实情况并跟踪调研，及时向区政府领导报告。</w:t>
      </w:r>
    </w:p>
    <w:p>
      <w:pPr>
        <w:pStyle w:val="25"/>
      </w:pPr>
      <w:r>
        <w:t>（七）组织承办人大代表建议和政协提案工作。</w:t>
      </w:r>
    </w:p>
    <w:p>
      <w:pPr>
        <w:pStyle w:val="25"/>
      </w:pPr>
      <w:r>
        <w:t>（八）负责承办区政府提请区人大常委会任免议案和提请区政府任命工作人员的行政任免有关手续。</w:t>
      </w:r>
    </w:p>
    <w:p>
      <w:pPr>
        <w:pStyle w:val="25"/>
      </w:pPr>
      <w:r>
        <w:t>（九）负责区政府值班工作，与区委值班室合署办公，及时报告重要情况，传达和督促落实区政府领导工作要求。</w:t>
      </w:r>
    </w:p>
    <w:p>
      <w:pPr>
        <w:pStyle w:val="25"/>
      </w:pPr>
      <w:r>
        <w:t>（十）根据区政府工作部署和区政府领导要求，对我区改革开放和经济社会发展中重大问题等进行调查研究，及时反映情况，提出政策性建议。</w:t>
      </w:r>
    </w:p>
    <w:p>
      <w:pPr>
        <w:pStyle w:val="25"/>
      </w:pPr>
      <w:r>
        <w:t>（十一）负责推进、指导、协调、监督、考核评估全区政务公开和政府信息公开工作。</w:t>
      </w:r>
    </w:p>
    <w:p>
      <w:pPr>
        <w:pStyle w:val="25"/>
      </w:pPr>
      <w:r>
        <w:t>（十二）负责全区政务信息的搜集、整理、上报。</w:t>
      </w:r>
    </w:p>
    <w:p>
      <w:pPr>
        <w:pStyle w:val="25"/>
      </w:pPr>
      <w:r>
        <w:t>（十三）协同有关部门统筹协调区政府新闻宣传、舆情回应等工作。</w:t>
      </w:r>
    </w:p>
    <w:p>
      <w:pPr>
        <w:pStyle w:val="25"/>
      </w:pPr>
      <w:r>
        <w:t>（十四）负责全区政府系统电子政务工作。</w:t>
      </w:r>
    </w:p>
    <w:p>
      <w:pPr>
        <w:pStyle w:val="25"/>
      </w:pPr>
      <w:r>
        <w:t>（十五）负责全区优化营商环境的综合协调工作。</w:t>
      </w:r>
    </w:p>
    <w:p>
      <w:pPr>
        <w:pStyle w:val="25"/>
      </w:pPr>
      <w:r>
        <w:t>（十六）组织协调全区“放管服”改革工作。指导、督促贯彻落实党中央、国务院和省委、省政府，市委、市政府，区委、区政府关于“放管服”改革重要领域、关键环节重大政策措施，承担区推进政府职能转变和“放管服”改革协调小组工作。</w:t>
      </w:r>
    </w:p>
    <w:p>
      <w:pPr>
        <w:pStyle w:val="25"/>
      </w:pPr>
      <w:r>
        <w:t>（十七）负责区政府办公室所属单位的管理工作。</w:t>
      </w:r>
    </w:p>
    <w:p>
      <w:pPr>
        <w:pStyle w:val="25"/>
      </w:pPr>
      <w:r>
        <w:t>（十八）贯彻执行国家、省、市金融方针政策和法律法规，制定全区金融业发展政策规划并组织实施。</w:t>
      </w:r>
    </w:p>
    <w:p>
      <w:pPr>
        <w:pStyle w:val="25"/>
      </w:pPr>
      <w:r>
        <w:t>（十九）负责协调引导各类金融机构支持服务我区实体经济发展，组织做好全区金融生态环境建设、地方金融改革创新等工作。</w:t>
      </w:r>
    </w:p>
    <w:p>
      <w:pPr>
        <w:pStyle w:val="25"/>
      </w:pPr>
      <w:r>
        <w:t>（二十）负责全区地方金融机构的监督管理工作。</w:t>
      </w:r>
    </w:p>
    <w:p>
      <w:pPr>
        <w:pStyle w:val="25"/>
      </w:pPr>
      <w:r>
        <w:t>（二十一）负责全区金融风险的监测预警、防范和处置化解工作。</w:t>
      </w:r>
    </w:p>
    <w:p>
      <w:pPr>
        <w:pStyle w:val="25"/>
      </w:pPr>
      <w:r>
        <w:t>（二十二）负责全区外事工作，贯彻执行上级对外方针、政策，承办涉外有关事宜。</w:t>
      </w:r>
    </w:p>
    <w:p>
      <w:pPr>
        <w:pStyle w:val="25"/>
      </w:pPr>
      <w:r>
        <w:t>（二十三）完成区政府交办的其他任务。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区政府办秦皇岛市山海关区人民政府办公室本级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按照预算管理有关规定，目前我区部门预算的编制实行综合预算制度，即全部收入和支出都反映在预算中。山海关区人民政府办公室机关及所属事业单位的收支包含在部门预算中。</w:t>
      </w:r>
    </w:p>
    <w:p>
      <w:pPr>
        <w:pStyle w:val="26"/>
      </w:pPr>
      <w:r>
        <w:t>1、收入说明</w:t>
      </w:r>
    </w:p>
    <w:p>
      <w:pPr>
        <w:pStyle w:val="26"/>
      </w:pPr>
      <w:r>
        <w:t>反映本部门当年全部收入。2023年预算收入为1079.09万元，其中：一般公共预算收入1079.09万元，基金预算收入0元，财政专户核拨收入0元，其他来源收入0元。</w:t>
      </w:r>
    </w:p>
    <w:p>
      <w:pPr>
        <w:pStyle w:val="26"/>
      </w:pPr>
      <w:r>
        <w:t>2、支出说明</w:t>
      </w:r>
    </w:p>
    <w:p>
      <w:pPr>
        <w:pStyle w:val="26"/>
      </w:pPr>
      <w:r>
        <w:t>收支预算总表支出栏、基本支出表、项目支出表按经济分类和支出功能分类科目编制，反映山海关区人民政府办公室年度部门预算中支出预算的总体情况。2023年预算支出为702.04万元，其中：基本支出670.69万元，主要是人员经费612万元和日常公用经费58.68万元；项目支出408.4万元，主要为保证车辆正常运行的车保险项目安排2.8万元；保障机关正常运转的综合事务经费50万元；保证疫情防控办工作经费8万元；保证财务管理、公物管理、办公设备购置，楼内设施维修、车辆管理维修、老干部服务、加班、值班人员生活保障性支出，领导交办的其他工作的行政后勤经费为50万元保证大气污染环境治理工作经费7万元；大气业务经费10万；一中国控点搬迁经费120万，秦皇岛“第一关”国控城市点位搬迁以及周边环境提升项目经费138万，安可替代设备购置经费9.3万；政府网站工作经费3.3万。</w:t>
      </w:r>
    </w:p>
    <w:p>
      <w:pPr>
        <w:pStyle w:val="26"/>
      </w:pPr>
      <w:r>
        <w:t>3、比上年增减情况</w:t>
      </w:r>
    </w:p>
    <w:p>
      <w:pPr>
        <w:pStyle w:val="26"/>
      </w:pPr>
      <w:r>
        <w:t>2023年预算支出安排1079.09万元，较2022年预算702.04万元增加377.05万元，其中：基本支出增加82.85万元，原因是人员工资和保险增长；项目支出增加294.2万元，主要为项目支出增加，本年度增加大气污染业务经费10万一中国控点搬迁经费120万，秦皇岛“第一关”国控城市点位搬迁以及周边环境提升项目经费138万，安可替代设备购置经费9.3万；政府网站工作经费3.3万，保障机关正常运转,行政后勤经费增加14万元，车辆保险费减少0.4万元。</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58.68万元，主要用于办公费5.84万元、邮电费4.44万元、差旅费2万元、公务用车运行维护费4.2万元、离休干部公用经费6.13万元、公务交通补贴20.63万元、培训费1.68万元、公务接待费0.34元、工会经费6.11元、福利费4.12元、党组织活动经费0.52万元，网络运行维护费0.15万元、其他商品和服务支出2.52万元等日常运行支出。（明细相加=机关运行经费安排数=预算公开表格中的日常公用经费合计）</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部门财政拨款“三公”经费预算安排12.35万元，与上年持平，无增减变化。其中：因公出国（境）费0元，与上年持平，无增减变化；公务用车购置费0元，与上年持平，无增减变化；公务用车运行维护费10.86万元，与上年持平，无增减变化；公务接待费1.49元，与上年持平，无增减变化。主要原因是严格按照三公经费预算要求，切实落实勤俭节约各项规定，严格控制支出。</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ind w:firstLine="640"/>
      </w:pPr>
      <w:r>
        <w:rPr>
          <w:rFonts w:ascii="方正楷体_GBK" w:hAnsi="方正楷体_GBK" w:eastAsia="方正楷体_GBK" w:cs="方正楷体_GBK"/>
          <w:b/>
          <w:color w:val="000000"/>
          <w:sz w:val="32"/>
        </w:rPr>
        <w:t>第一部分 部门整体绩效目标</w:t>
      </w:r>
    </w:p>
    <w:p>
      <w:pPr>
        <w:pStyle w:val="21"/>
      </w:pPr>
      <w:r>
        <w:t>一、总体绩效目标</w:t>
      </w:r>
    </w:p>
    <w:p>
      <w:pPr>
        <w:pStyle w:val="21"/>
      </w:pPr>
      <w:r>
        <w:t>深入贯彻习近平总书记系列重要讲话精神，认真落实中央纪委和省、市关于政府办公室工作部署，按照区委要求，坚持全面从严治党、依规治党，坚持把纪律和规矩挺在前面，严格落实“两个责任”，加强监督检查，加大政府办公室工作力度，持之以恒纠正“四风”，以铁的纪律加强政府办公室工作建设，为全区经济社会又好又快发展营造风清气正、干事创业的良好政治生态。</w:t>
      </w:r>
    </w:p>
    <w:p>
      <w:pPr>
        <w:pStyle w:val="21"/>
      </w:pPr>
      <w:r>
        <w:t>（一）秘书股。负责区政府办公室日常工作的传达、办理，区政府和政府办公室印、信的保管及使用，区政府和区政府办公室的会议安排、通知等；负责公文格式的审核把关及公文的收发、传阅、归档；负责区政府办公室保密工作；负责拟定区政府年度文件、会议计划；负责区政府系统精简文件工作的监督指导工作；负责区政府、区政府办公室的值班工作；负责与区司法局衔接和沟通规范性文件的审核工作；承办领导交办的其他事项。</w:t>
      </w:r>
    </w:p>
    <w:p>
      <w:pPr>
        <w:pStyle w:val="21"/>
      </w:pPr>
      <w:r>
        <w:t xml:space="preserve">（二）综合股（研究室）。负责区政府和区政府办公室文件材料、重要综合文字的起草、把关；区政府工作报告、总结及其他综合材料的起草、把关；政府公文的审核把关工作；负责区政府主要领导同志文稿和区政府有关综合性文字材料的起草、把关或组织撰写工作。                      </w:t>
      </w:r>
    </w:p>
    <w:p>
      <w:pPr>
        <w:pStyle w:val="21"/>
      </w:pPr>
      <w:r>
        <w:t>根据区委、区政府工作部署，承担或参与重要政策的调查研究工作；对我区改革开放和经济社会发展中重大问题进行调查研究，提出政策性建议；承接市政府研究室布置的调研课题；对区政府的重大决策及中心工作进行调研，为区政府领导决策提供依据；承办领导交办的其他事项。</w:t>
      </w:r>
    </w:p>
    <w:p>
      <w:pPr>
        <w:pStyle w:val="21"/>
      </w:pPr>
      <w:r>
        <w:t>（三）区政府督查室（电子政务股）。负责市政府重大决策部署及市政府《政府工作报告》涉及山海关区事项落实情况的督促检查工作;负责区政府重大决策部署、区《政府工作报告》、民生实事等任务目标分解和落实情况的督促检查工作;负责区政府重要会议议定事项、区政府主要领导批示交办事项的督办反馈;组织开展区政府重大专项督查; 负责政府系统承办的各级人大代表建议、政协提案办理工作。</w:t>
      </w:r>
    </w:p>
    <w:p>
      <w:pPr>
        <w:pStyle w:val="21"/>
      </w:pPr>
      <w:r>
        <w:t>负责推进、指导、协调、监督、考核评估全区政务公开和政府信息公开工作;承办区政府和区政府办公室的政务公开、政府信息公开工作;协调管理区政府和区政府办公室的电子政务工作；负责区政府门户网站的建设和信息更新督促管理；负责网民留言平台的回复办理工作；协同有关部门统筹协调区政府门户网站新闻宣传、舆情回应等工作。</w:t>
      </w:r>
    </w:p>
    <w:p>
      <w:pPr>
        <w:pStyle w:val="21"/>
      </w:pPr>
      <w:r>
        <w:t>负责沟通协调区政府推进政府职能转变和“放管服”改革协调小组各专题组、保障组工作；组织开展“放管服”改革重大问题调查研究；统筹研究推进全区“放管服”改革重要领域、关键环节的重大政策措施，协调推动解决重点难点问题；联系主管部门组织媒体做好政策宣传解读和舆论引导工作；督促各部门落实改革措施；承担区推进政府职能转变和“放管服”改革协调小组办公室的日常工作；承办领导交办的其他事项。</w:t>
      </w:r>
    </w:p>
    <w:p>
      <w:pPr>
        <w:pStyle w:val="21"/>
      </w:pPr>
      <w:r>
        <w:t>（四）人事股。负责办理区政府党组、区政府办公室党组、区政府办公室党总支及机关党支部日常事务；负责区政府党组、区政府办公室党组有关文字材料的起草或组织撰写工作；协助区政府党组、区政府办公室党组推进全面从严治党主体责任工作；负责区政府办公室机关意识形态工作；负责组织党内学习及党务活动；负责区政府办公室考核和表彰奖励工作；负责借调人员的管理、备案工作；负责区政府办公室精神文明建设工作；负责机关及下属单位的党风廉政建设和组织协调反腐败工作；抓好共青团和妇联工作；负责党报、党刊杂志征订；承办领导交办的其他事项。</w:t>
      </w:r>
    </w:p>
    <w:p>
      <w:pPr>
        <w:pStyle w:val="21"/>
      </w:pPr>
      <w:r>
        <w:t>（五）金融股（外事办）。负责金融服务实体经济工作，统筹协调各类金融机构有序服务全区产业发展项目和实体企业；负责联系银行、证券、保险等金融机构，协调做好需地方政府配合的相关工作；负责开展全区金融扶贫工作；负责拟定多层次资本市场培育的政策措施，协调推动、培育推荐企业挂牌上市，服务企业直接融资；承办领导交办的其他事项。</w:t>
      </w:r>
    </w:p>
    <w:p>
      <w:pPr>
        <w:pStyle w:val="21"/>
      </w:pPr>
      <w:r>
        <w:t>负责全区小额贷款公司监督管理工作；负责全区各类金融风险的监测预警、防范和处置化解以及信息上报等工作，与“河北金融云”监管平台建立信息共享机制；协助有关部门依法查处非法金融案件、处理地方金融突发和重大事件；协调有关部门处理地方金融消费者权益保护、信访、舆情等工作；负责协调有关部门依法做好防范和处置非法集资工作，开展宣传教育、政策解释和业务指导工作，承担全区处置非法集资领导小组办公室、山海关区省融投风险处置领导小组办公室、全区金融风险排查领导小组办公室、全区p2p互联网金融整治领导小组办公室等职责。承办领导交办的其他事项。</w:t>
      </w:r>
    </w:p>
    <w:p>
      <w:pPr>
        <w:pStyle w:val="21"/>
      </w:pPr>
      <w:r>
        <w:t>贯彻执行国家对外工作方针政策；负责统筹协调外事工作；负责综合管理全区因公出国（境）、赴港澳工作；管理本区邀请外国人来访工作；负责区政府办公室在职职工的因私出国（境）管理工作；负责管理本区邀请外国人来访工作；负责群众来信来访工作；负责区政府主要领导出席的公务或商务接待的统筹协调工作；承办领导交办的其他事项。</w:t>
      </w:r>
    </w:p>
    <w:p>
      <w:pPr>
        <w:pStyle w:val="21"/>
      </w:pPr>
      <w:r>
        <w:t>（六）信息股。负责政务信息的收集、选择、提供、反馈工作；编发信息刊物；负责向省、市政府办公厅报送国家方针、政策和上级决策部署在我区的落实情况，反映我区政府工作的思路举措、进展成效和经济社会发展情况；负责区政府领导和区政府办公室领导对信息刊物批件的督办落实和结果反馈工作；负责对全区政府系统开展业务培训、督促指导和年度考核；负责《山海关区人民政府大事记》的编辑印发工作；负责开展信息调研工作。承办领导交办的其他事项。</w:t>
      </w:r>
    </w:p>
    <w:p>
      <w:pPr>
        <w:pStyle w:val="21"/>
      </w:pPr>
      <w:r>
        <w:t>（七）行财股。负责机关的财务和国有资产管理工作; 负责公务车辆的管理使用工作；负责办公用房的管理使用工作；负责机关人员集体活动的组织；负责办公设备及用品的采购、登记、维护及保管；负责机关财务档案管理工作；负责机关干部职工工资福利待遇的核定、申报、审批工作；负责机关离退休干部和退休工勤人员的服务管理工作；负责离退休手续办理等工作；机关工会工作。</w:t>
      </w:r>
    </w:p>
    <w:p>
      <w:pPr>
        <w:pStyle w:val="22"/>
      </w:pPr>
      <w:r>
        <w:t>二、分项绩效目标</w:t>
      </w:r>
    </w:p>
    <w:p>
      <w:pPr>
        <w:pStyle w:val="22"/>
      </w:pPr>
      <w:r>
        <w:t>（一）公文会议</w:t>
      </w:r>
    </w:p>
    <w:p>
      <w:pPr>
        <w:pStyle w:val="22"/>
      </w:pPr>
      <w:r>
        <w:t>主要职责：宋体绩效目标：精减公文数量，做到“三个不发”。提高公文质量，对每份文稿都精益求精、精雕细琢。规范公文标准，杜绝不规范公文。</w:t>
      </w:r>
    </w:p>
    <w:p>
      <w:pPr>
        <w:pStyle w:val="22"/>
      </w:pPr>
      <w:r>
        <w:t>绩效目标：提高办文办会效率和质量，坚持“规范、及时、高效”的工作原则，认真学习公文处理规范和会议组织协调；</w:t>
      </w:r>
    </w:p>
    <w:p>
      <w:pPr>
        <w:pStyle w:val="22"/>
      </w:pPr>
      <w:r>
        <w:t>绩效指标：公文处理准确率。</w:t>
      </w:r>
    </w:p>
    <w:p>
      <w:pPr>
        <w:pStyle w:val="22"/>
      </w:pPr>
      <w:r>
        <w:t>绩效标准：活动率完成大于90%的为优；活动完成率80%-90%为良；活动完成率70%-80%为中；活动完成率70%以下为差。</w:t>
      </w:r>
    </w:p>
    <w:p>
      <w:pPr>
        <w:pStyle w:val="22"/>
      </w:pPr>
      <w:r>
        <w:t>（二）综合文字、调研</w:t>
      </w:r>
    </w:p>
    <w:p>
      <w:pPr>
        <w:pStyle w:val="22"/>
      </w:pPr>
      <w:r>
        <w:t>主要职责：区政府及政府办公室各类综合性文字材料的起草、把关及政务调研工作。</w:t>
      </w:r>
    </w:p>
    <w:p>
      <w:pPr>
        <w:pStyle w:val="22"/>
      </w:pPr>
      <w:r>
        <w:t>绩效目标：综合文字材料精益求精，优质高效，充分发挥好以文辅政作用。</w:t>
      </w:r>
    </w:p>
    <w:p>
      <w:pPr>
        <w:pStyle w:val="22"/>
      </w:pPr>
      <w:r>
        <w:t>绩效指标：综合文字优质率，完成率，差错率</w:t>
      </w:r>
    </w:p>
    <w:p>
      <w:pPr>
        <w:pStyle w:val="22"/>
      </w:pPr>
      <w:r>
        <w:t>绩效标准：活动率完成大于90%的为优；活动完成率80%-90%为良；活动完成率70%-80%为中；活动完成率70%以下为差。</w:t>
      </w:r>
    </w:p>
    <w:p>
      <w:pPr>
        <w:pStyle w:val="22"/>
      </w:pPr>
      <w:r>
        <w:t>（三）督查（电子政务）</w:t>
      </w:r>
    </w:p>
    <w:p>
      <w:pPr>
        <w:pStyle w:val="22"/>
      </w:pPr>
      <w:r>
        <w:t>主要职责：政务公开、督查督办、政务联络等工作。</w:t>
      </w:r>
    </w:p>
    <w:p>
      <w:pPr>
        <w:pStyle w:val="22"/>
      </w:pPr>
      <w:r>
        <w:t>绩效目标：突出政务、加强事务、提升服务，力求重点工作出精品，难点工作求突破、基础工作有创新、常规工作见特色。以机关干部作风量化指标为依据，增强了工作综合服务实力</w:t>
      </w:r>
    </w:p>
    <w:p>
      <w:pPr>
        <w:pStyle w:val="22"/>
      </w:pPr>
      <w:r>
        <w:t>绩效指标：确保国务院和省、区政府决定事项及国务院、省、区政府领导重要指示得到贯彻落实。</w:t>
      </w:r>
    </w:p>
    <w:p>
      <w:pPr>
        <w:pStyle w:val="22"/>
      </w:pPr>
      <w:r>
        <w:t>绩效标准：活动率完成大于80%的为优；活动完成率70%为良；活动完成率60为中；活动完成率60%以下为差。</w:t>
      </w:r>
    </w:p>
    <w:p>
      <w:pPr>
        <w:pStyle w:val="22"/>
      </w:pPr>
      <w:r>
        <w:t>（四）人事管理</w:t>
      </w:r>
    </w:p>
    <w:p>
      <w:pPr>
        <w:pStyle w:val="22"/>
      </w:pPr>
      <w:r>
        <w:t>主要职责：负责区政府办公室机关意识形态工作。负责党员干部的教育、培训工作。负责日常考核、年度考核、目标绩效管理和表彰奖励工作；负责借调人员的管理、备案工作。</w:t>
      </w:r>
    </w:p>
    <w:p>
      <w:pPr>
        <w:pStyle w:val="22"/>
      </w:pPr>
      <w:r>
        <w:t>绩效目标：贯彻落实意识形态工作责任制，做好思想政治工作。按照考核、表彰制度，做好考核工作。推进机关精神文明建设。认真做好区政府党组、政府办党组、政府办党总支及机关党支部日常事务。机关人事任免、录用、调配相关程序办理，管理相关资料。</w:t>
      </w:r>
    </w:p>
    <w:p>
      <w:pPr>
        <w:pStyle w:val="22"/>
      </w:pPr>
      <w:r>
        <w:t>绩效指标：深入学习政治理论知识；严格党的组织生活；贯彻从严治党责任要求，培养党员干部遵规守纪、廉洁从政；按期进行考核，更新个人档案资料；加强思想道德建设，组织党员志愿服务活动。</w:t>
      </w:r>
    </w:p>
    <w:p>
      <w:pPr>
        <w:pStyle w:val="22"/>
      </w:pPr>
      <w:r>
        <w:t>绩效标准：活动率完成大于90%的为优；活动完成率80%-90%为良；活动完成率70%-80%为中；活动完成率70%以下为差。</w:t>
      </w:r>
    </w:p>
    <w:p>
      <w:pPr>
        <w:pStyle w:val="22"/>
      </w:pPr>
      <w:r>
        <w:t>（五）金融（外事）服务。</w:t>
      </w:r>
    </w:p>
    <w:p>
      <w:pPr>
        <w:pStyle w:val="22"/>
      </w:pPr>
      <w:r>
        <w:t>主要职责：负责金融风险排查；防范和处置非法集资；金融领域扫黑除恶；推动企业上市；对地方非银行金融组织进行监管；上级部署的其他工作任务。审批申报因公出国任务、重要外宾来关接待；归侨侨眷管理服务工作。</w:t>
      </w:r>
    </w:p>
    <w:p>
      <w:pPr>
        <w:pStyle w:val="22"/>
      </w:pPr>
      <w:r>
        <w:t>绩效目标：金融监管外事、侨务管理</w:t>
      </w:r>
    </w:p>
    <w:p>
      <w:pPr>
        <w:pStyle w:val="22"/>
      </w:pPr>
      <w:r>
        <w:t>绩效指标：推进企业上市，力争于2020年底前完成上市企业1家；做好金融领域风险隐患排查、处置工作。扩大对外交流推进项目进展；维护归侨侨眷合法权益。</w:t>
      </w:r>
    </w:p>
    <w:p>
      <w:pPr>
        <w:pStyle w:val="22"/>
      </w:pPr>
      <w:r>
        <w:t>绩效标准：活动率完成大于95%的为优；活动完成率85%-95%为良；活动完成率80%-85%为中；活动完成率80%以下为差。</w:t>
      </w:r>
    </w:p>
    <w:p>
      <w:pPr>
        <w:pStyle w:val="22"/>
      </w:pPr>
      <w:r>
        <w:t>（六）信息管理</w:t>
      </w:r>
    </w:p>
    <w:p>
      <w:pPr>
        <w:pStyle w:val="22"/>
      </w:pPr>
      <w:r>
        <w:t>主要职责：负责政务信息的收集、选择、提供、反馈、上报工作以及对全区政务信息的统筹管理和业务指导。</w:t>
      </w:r>
    </w:p>
    <w:p>
      <w:pPr>
        <w:pStyle w:val="22"/>
      </w:pPr>
      <w:r>
        <w:t>绩效目标：为区领导及区政务信息网络单位提供有参考价值的重要信息，及时向省、市提供反馈各类信息，做</w:t>
      </w:r>
    </w:p>
    <w:p>
      <w:pPr>
        <w:pStyle w:val="22"/>
      </w:pPr>
      <w:r>
        <w:t>好信息上报工作。为区领导及区政务信息网络单位提供有参考价值的重要信息，及时向省、市提供反馈各类信息，做好信息上报工作。</w:t>
      </w:r>
    </w:p>
    <w:p>
      <w:pPr>
        <w:pStyle w:val="22"/>
      </w:pPr>
      <w:r>
        <w:t xml:space="preserve">绩效标准：活动率完成大于90%的为优；活动完成率80%-90%为良；活动完成率70%-80%为中；活动完成率70%以下为差。    </w:t>
      </w:r>
    </w:p>
    <w:p>
      <w:pPr>
        <w:pStyle w:val="22"/>
      </w:pPr>
      <w:r>
        <w:t>（七）行政后勤 </w:t>
      </w:r>
    </w:p>
    <w:p>
      <w:pPr>
        <w:pStyle w:val="22"/>
      </w:pPr>
      <w:r>
        <w:t>主要职责：负责财务管理、公物管理、办公设备购置，楼内设施维修、车辆管理维修、老干部服务、加班、值班人员生活保障性支出，领导交办的其他工作</w:t>
      </w:r>
    </w:p>
    <w:p>
      <w:pPr>
        <w:pStyle w:val="22"/>
      </w:pPr>
      <w:r>
        <w:t>绩效目标：保障领导和机关工作的正常运转。</w:t>
      </w:r>
    </w:p>
    <w:p>
      <w:pPr>
        <w:pStyle w:val="22"/>
      </w:pPr>
      <w:r>
        <w:t>绩效指标：老干部服务、加班、值班人员生活保障率，财务工作完成率，公物管理、办公设备维修正常使用率，公务车、办公楼内设施正常使用率。</w:t>
      </w:r>
    </w:p>
    <w:p>
      <w:pPr>
        <w:pStyle w:val="22"/>
      </w:pPr>
      <w:r>
        <w:t>绩效标准：活动率完成大于95%的为优；活动完成率95%-92%为良；活动完成率90%-92%中；活动完成率90%以下为差。</w:t>
      </w:r>
    </w:p>
    <w:p>
      <w:pPr>
        <w:pStyle w:val="23"/>
      </w:pPr>
      <w:r>
        <w:t>三、工作保障措施</w:t>
      </w:r>
    </w:p>
    <w:p>
      <w:pPr>
        <w:pStyle w:val="23"/>
      </w:pPr>
      <w:r>
        <w:t>一是率先垂范，加强理论学习。围绕区委、区政府对全区理论学习的具体安排，按时参加理论学习等集中学习活动，提高办公室全力领导干部的政治理论水平，通过组织举办专题党课、撰写心得体会、参观教育基地等活动，积极开展新思想的学习活动，调动钻研政治理论的积极性和主动性。</w:t>
      </w:r>
    </w:p>
    <w:p>
      <w:pPr>
        <w:pStyle w:val="23"/>
      </w:pPr>
      <w:r>
        <w:t>二是规范工作流程，确保有序运转。按照细致、周到、规范、有序的原则，进一步规范政府系统的办文、办会、办事工作，同时，做好每一件群众来电、来信、来访工作，为畅通领导与市民的联系铺设桥梁。</w:t>
      </w:r>
    </w:p>
    <w:p>
      <w:pPr>
        <w:pStyle w:val="23"/>
      </w:pPr>
      <w:r>
        <w:t>三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w:t>
      </w:r>
    </w:p>
    <w:p>
      <w:pPr>
        <w:pStyle w:val="23"/>
      </w:pPr>
      <w:r>
        <w:t>四是提高管理效能，搞好后勤保障。严肃财经纪律，杜绝违法违纪行为;开展节能节支活动，最大可能降低消耗，反对铺张浪费。</w:t>
      </w:r>
    </w:p>
    <w:p>
      <w:pPr>
        <w:pStyle w:val="23"/>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rPr>
          <w:rFonts w:ascii="黑体" w:hAnsi="黑体" w:eastAsia="黑体" w:cs="黑体"/>
          <w:color w:val="000000"/>
          <w:sz w:val="32"/>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第三部分  预算项目绩效目</w:t>
      </w:r>
    </w:p>
    <w:p>
      <w:pPr>
        <w:ind w:firstLine="562" w:firstLineChars="200"/>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1.保障车辆合法运行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缴纳车辆保险数量</w:t>
            </w:r>
          </w:p>
        </w:tc>
        <w:tc>
          <w:tcPr>
            <w:tcW w:w="2835" w:type="dxa"/>
            <w:vAlign w:val="center"/>
          </w:tcPr>
          <w:p>
            <w:pPr>
              <w:pStyle w:val="12"/>
            </w:pPr>
            <w:r>
              <w:t>缴纳车辆保险数量</w:t>
            </w:r>
          </w:p>
        </w:tc>
        <w:tc>
          <w:tcPr>
            <w:tcW w:w="2551" w:type="dxa"/>
            <w:vAlign w:val="center"/>
          </w:tcPr>
          <w:p>
            <w:pPr>
              <w:pStyle w:val="12"/>
            </w:pPr>
            <w:r>
              <w:t>7辆</w:t>
            </w:r>
          </w:p>
        </w:tc>
        <w:tc>
          <w:tcPr>
            <w:tcW w:w="2268" w:type="dxa"/>
            <w:vAlign w:val="center"/>
          </w:tcPr>
          <w:p>
            <w:pPr>
              <w:pStyle w:val="12"/>
            </w:pPr>
            <w:r>
              <w:t>实际使用车辆数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车辆正常运行率</w:t>
            </w:r>
          </w:p>
        </w:tc>
        <w:tc>
          <w:tcPr>
            <w:tcW w:w="2835" w:type="dxa"/>
            <w:vAlign w:val="center"/>
          </w:tcPr>
          <w:p>
            <w:pPr>
              <w:pStyle w:val="12"/>
            </w:pPr>
            <w:r>
              <w:t>车辆正常运行率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按时缴纳车辆保险</w:t>
            </w:r>
          </w:p>
        </w:tc>
        <w:tc>
          <w:tcPr>
            <w:tcW w:w="2835" w:type="dxa"/>
            <w:vAlign w:val="center"/>
          </w:tcPr>
          <w:p>
            <w:pPr>
              <w:pStyle w:val="12"/>
            </w:pPr>
            <w:r>
              <w:t>缴纳车辆保险的及时性</w:t>
            </w:r>
          </w:p>
        </w:tc>
        <w:tc>
          <w:tcPr>
            <w:tcW w:w="2551" w:type="dxa"/>
            <w:vAlign w:val="center"/>
          </w:tcPr>
          <w:p>
            <w:pPr>
              <w:pStyle w:val="12"/>
            </w:pPr>
            <w:r>
              <w:t>及时缴纳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不超过财政经费支持</w:t>
            </w:r>
          </w:p>
        </w:tc>
        <w:tc>
          <w:tcPr>
            <w:tcW w:w="2551" w:type="dxa"/>
            <w:vAlign w:val="center"/>
          </w:tcPr>
          <w:p>
            <w:pPr>
              <w:pStyle w:val="12"/>
            </w:pPr>
            <w:r>
              <w:t>≤2.8万元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w:t>
            </w:r>
          </w:p>
        </w:tc>
        <w:tc>
          <w:tcPr>
            <w:tcW w:w="2835" w:type="dxa"/>
            <w:vAlign w:val="center"/>
          </w:tcPr>
          <w:p>
            <w:pPr>
              <w:pStyle w:val="12"/>
            </w:pPr>
            <w:r>
              <w:t>保障相关业务、工作等其开展的情况</w:t>
            </w:r>
          </w:p>
        </w:tc>
        <w:tc>
          <w:tcPr>
            <w:tcW w:w="2551" w:type="dxa"/>
            <w:vAlign w:val="center"/>
          </w:tcPr>
          <w:p>
            <w:pPr>
              <w:pStyle w:val="12"/>
            </w:pPr>
            <w:r>
              <w:t>保障有力</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2、安可替代设备购置经费绩效目标表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1.保障业务正常开展，单位正常运转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专业设备购置数量（台/件/辆/</w:t>
            </w:r>
          </w:p>
        </w:tc>
        <w:tc>
          <w:tcPr>
            <w:tcW w:w="2835" w:type="dxa"/>
            <w:vAlign w:val="center"/>
          </w:tcPr>
          <w:p>
            <w:pPr>
              <w:pStyle w:val="12"/>
            </w:pPr>
            <w:r>
              <w:t>专业设备购置数量（台/件/辆/套）</w:t>
            </w:r>
          </w:p>
        </w:tc>
        <w:tc>
          <w:tcPr>
            <w:tcW w:w="2551" w:type="dxa"/>
            <w:vAlign w:val="center"/>
          </w:tcPr>
          <w:p>
            <w:pPr>
              <w:pStyle w:val="12"/>
            </w:pPr>
            <w:r>
              <w:t>按要求购置</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购置先进设备</w:t>
            </w:r>
          </w:p>
        </w:tc>
        <w:tc>
          <w:tcPr>
            <w:tcW w:w="2835" w:type="dxa"/>
            <w:vAlign w:val="center"/>
          </w:tcPr>
          <w:p>
            <w:pPr>
              <w:pStyle w:val="12"/>
            </w:pPr>
            <w:r>
              <w:t>购置先进设备</w:t>
            </w:r>
          </w:p>
        </w:tc>
        <w:tc>
          <w:tcPr>
            <w:tcW w:w="2551" w:type="dxa"/>
            <w:vAlign w:val="center"/>
          </w:tcPr>
          <w:p>
            <w:pPr>
              <w:pStyle w:val="12"/>
            </w:pPr>
            <w:r>
              <w:t>购置设备质量合格</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购买设备完成时间</w:t>
            </w:r>
          </w:p>
        </w:tc>
        <w:tc>
          <w:tcPr>
            <w:tcW w:w="2835" w:type="dxa"/>
            <w:vAlign w:val="center"/>
          </w:tcPr>
          <w:p>
            <w:pPr>
              <w:pStyle w:val="12"/>
            </w:pPr>
            <w:r>
              <w:t>购买设备完成时间</w:t>
            </w:r>
          </w:p>
        </w:tc>
        <w:tc>
          <w:tcPr>
            <w:tcW w:w="2551" w:type="dxa"/>
            <w:vAlign w:val="center"/>
          </w:tcPr>
          <w:p>
            <w:pPr>
              <w:pStyle w:val="12"/>
            </w:pPr>
            <w:r>
              <w:t>按时完成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办公设备购置费用</w:t>
            </w:r>
            <w:r>
              <w:tab/>
            </w:r>
          </w:p>
        </w:tc>
        <w:tc>
          <w:tcPr>
            <w:tcW w:w="2835" w:type="dxa"/>
            <w:vAlign w:val="center"/>
          </w:tcPr>
          <w:p>
            <w:pPr>
              <w:pStyle w:val="12"/>
            </w:pPr>
            <w:r>
              <w:t>办公设备购置费用</w:t>
            </w:r>
            <w:r>
              <w:tab/>
            </w:r>
          </w:p>
        </w:tc>
        <w:tc>
          <w:tcPr>
            <w:tcW w:w="2551" w:type="dxa"/>
            <w:vAlign w:val="center"/>
          </w:tcPr>
          <w:p>
            <w:pPr>
              <w:pStyle w:val="12"/>
            </w:pPr>
            <w:r>
              <w:t>≤9.3万元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3、大气污染防治经费绩效目标表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1.大气污染防治工作经费</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设备维护次数</w:t>
            </w:r>
          </w:p>
        </w:tc>
        <w:tc>
          <w:tcPr>
            <w:tcW w:w="2835" w:type="dxa"/>
            <w:vAlign w:val="center"/>
          </w:tcPr>
          <w:p>
            <w:pPr>
              <w:pStyle w:val="12"/>
            </w:pPr>
            <w:r>
              <w:t>全年定期组织设备维护次数</w:t>
            </w:r>
          </w:p>
        </w:tc>
        <w:tc>
          <w:tcPr>
            <w:tcW w:w="2551" w:type="dxa"/>
            <w:vAlign w:val="center"/>
          </w:tcPr>
          <w:p>
            <w:pPr>
              <w:pStyle w:val="12"/>
            </w:pPr>
            <w:r>
              <w:t>按需求完成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各项工作任务按时完成时限</w:t>
            </w:r>
          </w:p>
        </w:tc>
        <w:tc>
          <w:tcPr>
            <w:tcW w:w="2835" w:type="dxa"/>
            <w:vAlign w:val="center"/>
          </w:tcPr>
          <w:p>
            <w:pPr>
              <w:pStyle w:val="12"/>
            </w:pPr>
            <w:r>
              <w:t>按照工作要求按时完成预定计划</w:t>
            </w:r>
          </w:p>
        </w:tc>
        <w:tc>
          <w:tcPr>
            <w:tcW w:w="2551" w:type="dxa"/>
            <w:vAlign w:val="center"/>
          </w:tcPr>
          <w:p>
            <w:pPr>
              <w:pStyle w:val="12"/>
            </w:pPr>
            <w:r>
              <w:t>按时完成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服务区政府各项决策部署</w:t>
            </w:r>
          </w:p>
        </w:tc>
        <w:tc>
          <w:tcPr>
            <w:tcW w:w="2835" w:type="dxa"/>
            <w:vAlign w:val="center"/>
          </w:tcPr>
          <w:p>
            <w:pPr>
              <w:pStyle w:val="12"/>
            </w:pPr>
            <w:r>
              <w:t>服务区政府各项决策部署</w:t>
            </w:r>
          </w:p>
        </w:tc>
        <w:tc>
          <w:tcPr>
            <w:tcW w:w="2551" w:type="dxa"/>
            <w:vAlign w:val="center"/>
          </w:tcPr>
          <w:p>
            <w:pPr>
              <w:pStyle w:val="12"/>
            </w:pPr>
            <w:r>
              <w:t>有所提升</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4、大气业务经费绩效目标表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1.保障大气业务工作顺利开展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设备维护次数</w:t>
            </w:r>
          </w:p>
        </w:tc>
        <w:tc>
          <w:tcPr>
            <w:tcW w:w="2835" w:type="dxa"/>
            <w:vAlign w:val="center"/>
          </w:tcPr>
          <w:p>
            <w:pPr>
              <w:pStyle w:val="12"/>
            </w:pPr>
            <w:r>
              <w:t>全年定期组织设备维护次数</w:t>
            </w:r>
          </w:p>
        </w:tc>
        <w:tc>
          <w:tcPr>
            <w:tcW w:w="2551" w:type="dxa"/>
            <w:vAlign w:val="center"/>
          </w:tcPr>
          <w:p>
            <w:pPr>
              <w:pStyle w:val="12"/>
            </w:pPr>
            <w:r>
              <w:t>≥10次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各项工作任务按时完成时限</w:t>
            </w:r>
          </w:p>
        </w:tc>
        <w:tc>
          <w:tcPr>
            <w:tcW w:w="2835" w:type="dxa"/>
            <w:vAlign w:val="center"/>
          </w:tcPr>
          <w:p>
            <w:pPr>
              <w:pStyle w:val="12"/>
            </w:pPr>
            <w:r>
              <w:t>按照工作要求按时完成预定计划</w:t>
            </w:r>
          </w:p>
        </w:tc>
        <w:tc>
          <w:tcPr>
            <w:tcW w:w="2551" w:type="dxa"/>
            <w:vAlign w:val="center"/>
          </w:tcPr>
          <w:p>
            <w:pPr>
              <w:pStyle w:val="12"/>
            </w:pPr>
            <w:r>
              <w:t>按时完成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≤10万元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服务区政府各项决策部署</w:t>
            </w:r>
          </w:p>
        </w:tc>
        <w:tc>
          <w:tcPr>
            <w:tcW w:w="2835" w:type="dxa"/>
            <w:vAlign w:val="center"/>
          </w:tcPr>
          <w:p>
            <w:pPr>
              <w:pStyle w:val="12"/>
            </w:pPr>
            <w:r>
              <w:t>服务区政府各项决策部署</w:t>
            </w:r>
          </w:p>
        </w:tc>
        <w:tc>
          <w:tcPr>
            <w:tcW w:w="2551" w:type="dxa"/>
            <w:vAlign w:val="center"/>
          </w:tcPr>
          <w:p>
            <w:pPr>
              <w:pStyle w:val="12"/>
            </w:pPr>
            <w:r>
              <w:t>有所提升</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5、秦皇岛市"第一关"国控城市点位搬迁以及周边环境提升项目经费绩效目标表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1.推进我区环境提升。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完成点位搬迁</w:t>
            </w:r>
          </w:p>
        </w:tc>
        <w:tc>
          <w:tcPr>
            <w:tcW w:w="2835" w:type="dxa"/>
            <w:vAlign w:val="center"/>
          </w:tcPr>
          <w:p>
            <w:pPr>
              <w:pStyle w:val="12"/>
            </w:pPr>
            <w:r>
              <w:t>点位数量</w:t>
            </w:r>
          </w:p>
        </w:tc>
        <w:tc>
          <w:tcPr>
            <w:tcW w:w="2551" w:type="dxa"/>
            <w:vAlign w:val="center"/>
          </w:tcPr>
          <w:p>
            <w:pPr>
              <w:pStyle w:val="12"/>
            </w:pPr>
            <w:r>
              <w:t>1各</w:t>
            </w:r>
          </w:p>
        </w:tc>
        <w:tc>
          <w:tcPr>
            <w:tcW w:w="2268" w:type="dxa"/>
            <w:vAlign w:val="center"/>
          </w:tcPr>
          <w:p>
            <w:pPr>
              <w:pStyle w:val="12"/>
            </w:pPr>
            <w:r>
              <w:t>搬迁点位情况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搬迁工作完成情况</w:t>
            </w:r>
          </w:p>
        </w:tc>
        <w:tc>
          <w:tcPr>
            <w:tcW w:w="2551" w:type="dxa"/>
            <w:vAlign w:val="center"/>
          </w:tcPr>
          <w:p>
            <w:pPr>
              <w:pStyle w:val="12"/>
            </w:pPr>
            <w:r>
              <w:t>100%</w:t>
            </w:r>
          </w:p>
        </w:tc>
        <w:tc>
          <w:tcPr>
            <w:tcW w:w="2268" w:type="dxa"/>
            <w:vAlign w:val="center"/>
          </w:tcPr>
          <w:p>
            <w:pPr>
              <w:pStyle w:val="12"/>
            </w:pPr>
            <w:r>
              <w:t>实际搬迁工作情况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2835" w:type="dxa"/>
            <w:vAlign w:val="center"/>
          </w:tcPr>
          <w:p>
            <w:pPr>
              <w:pStyle w:val="12"/>
            </w:pPr>
            <w:r>
              <w:t>是否按规定时间完成</w:t>
            </w:r>
          </w:p>
        </w:tc>
        <w:tc>
          <w:tcPr>
            <w:tcW w:w="2551" w:type="dxa"/>
            <w:vAlign w:val="center"/>
          </w:tcPr>
          <w:p>
            <w:pPr>
              <w:pStyle w:val="12"/>
            </w:pPr>
            <w:r>
              <w:t>是</w:t>
            </w:r>
          </w:p>
        </w:tc>
        <w:tc>
          <w:tcPr>
            <w:tcW w:w="2268" w:type="dxa"/>
            <w:vAlign w:val="center"/>
          </w:tcPr>
          <w:p>
            <w:pPr>
              <w:pStyle w:val="12"/>
            </w:pPr>
            <w:r>
              <w:t>搬迁点位完成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项目成本是否在预算以内</w:t>
            </w:r>
          </w:p>
        </w:tc>
        <w:tc>
          <w:tcPr>
            <w:tcW w:w="2551" w:type="dxa"/>
            <w:vAlign w:val="center"/>
          </w:tcPr>
          <w:p>
            <w:pPr>
              <w:pStyle w:val="12"/>
            </w:pPr>
            <w:r>
              <w:t>是</w:t>
            </w:r>
          </w:p>
        </w:tc>
        <w:tc>
          <w:tcPr>
            <w:tcW w:w="2268" w:type="dxa"/>
            <w:vAlign w:val="center"/>
          </w:tcPr>
          <w:p>
            <w:pPr>
              <w:pStyle w:val="12"/>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社会效益显著</w:t>
            </w:r>
          </w:p>
        </w:tc>
        <w:tc>
          <w:tcPr>
            <w:tcW w:w="2835" w:type="dxa"/>
            <w:vAlign w:val="center"/>
          </w:tcPr>
          <w:p>
            <w:pPr>
              <w:pStyle w:val="12"/>
            </w:pPr>
            <w:r>
              <w:t>周边环境提升情况</w:t>
            </w:r>
          </w:p>
        </w:tc>
        <w:tc>
          <w:tcPr>
            <w:tcW w:w="2551" w:type="dxa"/>
            <w:vAlign w:val="center"/>
          </w:tcPr>
          <w:p>
            <w:pPr>
              <w:pStyle w:val="12"/>
            </w:pPr>
            <w:r>
              <w:t>环境明显提升</w:t>
            </w:r>
          </w:p>
        </w:tc>
        <w:tc>
          <w:tcPr>
            <w:tcW w:w="2268" w:type="dxa"/>
            <w:vAlign w:val="center"/>
          </w:tcPr>
          <w:p>
            <w:pPr>
              <w:pStyle w:val="12"/>
            </w:pPr>
            <w:r>
              <w:t>实际检测情况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影响程度</w:t>
            </w:r>
          </w:p>
        </w:tc>
        <w:tc>
          <w:tcPr>
            <w:tcW w:w="2835" w:type="dxa"/>
            <w:vAlign w:val="center"/>
          </w:tcPr>
          <w:p>
            <w:pPr>
              <w:pStyle w:val="12"/>
            </w:pPr>
            <w:r>
              <w:t>持续影响周边环境</w:t>
            </w:r>
          </w:p>
        </w:tc>
        <w:tc>
          <w:tcPr>
            <w:tcW w:w="2551" w:type="dxa"/>
            <w:vAlign w:val="center"/>
          </w:tcPr>
          <w:p>
            <w:pPr>
              <w:pStyle w:val="12"/>
            </w:pPr>
            <w:r>
              <w:t>持续影响</w:t>
            </w:r>
          </w:p>
        </w:tc>
        <w:tc>
          <w:tcPr>
            <w:tcW w:w="2268" w:type="dxa"/>
            <w:vAlign w:val="center"/>
          </w:tcPr>
          <w:p>
            <w:pPr>
              <w:pStyle w:val="12"/>
            </w:pPr>
            <w:r>
              <w:t>实际检测情况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6、行政后勤费绩效目标表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设备维护次数</w:t>
            </w:r>
          </w:p>
        </w:tc>
        <w:tc>
          <w:tcPr>
            <w:tcW w:w="2835" w:type="dxa"/>
            <w:vAlign w:val="center"/>
          </w:tcPr>
          <w:p>
            <w:pPr>
              <w:pStyle w:val="12"/>
            </w:pPr>
            <w:r>
              <w:t>全年定期组织设备维护次数</w:t>
            </w:r>
          </w:p>
        </w:tc>
        <w:tc>
          <w:tcPr>
            <w:tcW w:w="2551" w:type="dxa"/>
            <w:vAlign w:val="center"/>
          </w:tcPr>
          <w:p>
            <w:pPr>
              <w:pStyle w:val="12"/>
            </w:pPr>
            <w:r>
              <w:t>≥30次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各项工作任务按时完成时限</w:t>
            </w:r>
          </w:p>
        </w:tc>
        <w:tc>
          <w:tcPr>
            <w:tcW w:w="2835" w:type="dxa"/>
            <w:vAlign w:val="center"/>
          </w:tcPr>
          <w:p>
            <w:pPr>
              <w:pStyle w:val="12"/>
            </w:pPr>
            <w:r>
              <w:t>按照工作要求按时完成预定计划</w:t>
            </w:r>
          </w:p>
        </w:tc>
        <w:tc>
          <w:tcPr>
            <w:tcW w:w="2551" w:type="dxa"/>
            <w:vAlign w:val="center"/>
          </w:tcPr>
          <w:p>
            <w:pPr>
              <w:pStyle w:val="12"/>
            </w:pPr>
            <w:r>
              <w:t>按时完成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≤60万元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服务区政府各项决策部署</w:t>
            </w:r>
          </w:p>
        </w:tc>
        <w:tc>
          <w:tcPr>
            <w:tcW w:w="2835" w:type="dxa"/>
            <w:vAlign w:val="center"/>
          </w:tcPr>
          <w:p>
            <w:pPr>
              <w:pStyle w:val="12"/>
            </w:pPr>
            <w:r>
              <w:t>服务区政府各项决策部署</w:t>
            </w:r>
          </w:p>
        </w:tc>
        <w:tc>
          <w:tcPr>
            <w:tcW w:w="2551" w:type="dxa"/>
            <w:vAlign w:val="center"/>
          </w:tcPr>
          <w:p>
            <w:pPr>
              <w:pStyle w:val="12"/>
            </w:pPr>
            <w:r>
              <w:t>有所提升</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7、一中国控站点搬迁经费绩效目标表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1.完成一中国控点搬迁工作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完成国控点搬迁工作</w:t>
            </w:r>
          </w:p>
        </w:tc>
        <w:tc>
          <w:tcPr>
            <w:tcW w:w="2835" w:type="dxa"/>
            <w:vAlign w:val="center"/>
          </w:tcPr>
          <w:p>
            <w:pPr>
              <w:pStyle w:val="12"/>
            </w:pPr>
            <w:r>
              <w:t>完成国控点搬迁工作</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按质量完成国控点搬迁工作</w:t>
            </w:r>
          </w:p>
        </w:tc>
        <w:tc>
          <w:tcPr>
            <w:tcW w:w="2835" w:type="dxa"/>
            <w:vAlign w:val="center"/>
          </w:tcPr>
          <w:p>
            <w:pPr>
              <w:pStyle w:val="12"/>
            </w:pPr>
            <w:r>
              <w:t>保障搬迁工作质量</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按时间节点完成搬迁工作</w:t>
            </w:r>
          </w:p>
        </w:tc>
        <w:tc>
          <w:tcPr>
            <w:tcW w:w="2835" w:type="dxa"/>
            <w:vAlign w:val="center"/>
          </w:tcPr>
          <w:p>
            <w:pPr>
              <w:pStyle w:val="12"/>
            </w:pPr>
            <w:r>
              <w:t>保证搬迁按时完成</w:t>
            </w:r>
          </w:p>
        </w:tc>
        <w:tc>
          <w:tcPr>
            <w:tcW w:w="2551" w:type="dxa"/>
            <w:vAlign w:val="center"/>
          </w:tcPr>
          <w:p>
            <w:pPr>
              <w:pStyle w:val="12"/>
            </w:pPr>
            <w:r>
              <w:t>按时完成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≤120万元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服务大气污染治理工作各项决策部署</w:t>
            </w:r>
          </w:p>
        </w:tc>
        <w:tc>
          <w:tcPr>
            <w:tcW w:w="2835" w:type="dxa"/>
            <w:vAlign w:val="center"/>
          </w:tcPr>
          <w:p>
            <w:pPr>
              <w:pStyle w:val="12"/>
            </w:pPr>
            <w:r>
              <w:t>服务大气污染防治各项工作部署</w:t>
            </w:r>
          </w:p>
        </w:tc>
        <w:tc>
          <w:tcPr>
            <w:tcW w:w="2551" w:type="dxa"/>
            <w:vAlign w:val="center"/>
          </w:tcPr>
          <w:p>
            <w:pPr>
              <w:pStyle w:val="12"/>
            </w:pPr>
            <w:r>
              <w:t>有所提升</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8、疫情防控工作经费绩效目标表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1.保障疫情防控工作正常运转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设备维护次数</w:t>
            </w:r>
          </w:p>
        </w:tc>
        <w:tc>
          <w:tcPr>
            <w:tcW w:w="2835" w:type="dxa"/>
            <w:vAlign w:val="center"/>
          </w:tcPr>
          <w:p>
            <w:pPr>
              <w:pStyle w:val="12"/>
            </w:pPr>
            <w:r>
              <w:t>全年定期组织设备维护次数</w:t>
            </w:r>
          </w:p>
        </w:tc>
        <w:tc>
          <w:tcPr>
            <w:tcW w:w="2551" w:type="dxa"/>
            <w:vAlign w:val="center"/>
          </w:tcPr>
          <w:p>
            <w:pPr>
              <w:pStyle w:val="12"/>
            </w:pPr>
            <w:r>
              <w:t>≥30次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各项工作任务按时完成时限</w:t>
            </w:r>
          </w:p>
        </w:tc>
        <w:tc>
          <w:tcPr>
            <w:tcW w:w="2835" w:type="dxa"/>
            <w:vAlign w:val="center"/>
          </w:tcPr>
          <w:p>
            <w:pPr>
              <w:pStyle w:val="12"/>
            </w:pPr>
            <w:r>
              <w:t>按照工作要求按时完成预定计划</w:t>
            </w:r>
          </w:p>
        </w:tc>
        <w:tc>
          <w:tcPr>
            <w:tcW w:w="2551" w:type="dxa"/>
            <w:vAlign w:val="center"/>
          </w:tcPr>
          <w:p>
            <w:pPr>
              <w:pStyle w:val="12"/>
            </w:pPr>
            <w:r>
              <w:t>按时完成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服务区政府各项决策部署</w:t>
            </w:r>
          </w:p>
        </w:tc>
        <w:tc>
          <w:tcPr>
            <w:tcW w:w="2835" w:type="dxa"/>
            <w:vAlign w:val="center"/>
          </w:tcPr>
          <w:p>
            <w:pPr>
              <w:pStyle w:val="12"/>
            </w:pPr>
            <w:r>
              <w:t>服务区政府各项决策部署</w:t>
            </w:r>
          </w:p>
        </w:tc>
        <w:tc>
          <w:tcPr>
            <w:tcW w:w="2551" w:type="dxa"/>
            <w:vAlign w:val="center"/>
          </w:tcPr>
          <w:p>
            <w:pPr>
              <w:pStyle w:val="12"/>
            </w:pPr>
            <w:r>
              <w:t>有所提升</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9、政府网站工作经费绩效目标表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1.保障政府网站正常运转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网站公开信息数量</w:t>
            </w:r>
          </w:p>
        </w:tc>
        <w:tc>
          <w:tcPr>
            <w:tcW w:w="2835" w:type="dxa"/>
            <w:vAlign w:val="center"/>
          </w:tcPr>
          <w:p>
            <w:pPr>
              <w:pStyle w:val="12"/>
            </w:pPr>
            <w:r>
              <w:t>网站公开信息数量</w:t>
            </w:r>
          </w:p>
        </w:tc>
        <w:tc>
          <w:tcPr>
            <w:tcW w:w="2551" w:type="dxa"/>
            <w:vAlign w:val="center"/>
          </w:tcPr>
          <w:p>
            <w:pPr>
              <w:pStyle w:val="12"/>
            </w:pPr>
            <w:r>
              <w:t>按要求数量</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达到合格网站标准</w:t>
            </w:r>
          </w:p>
        </w:tc>
        <w:tc>
          <w:tcPr>
            <w:tcW w:w="2835" w:type="dxa"/>
            <w:vAlign w:val="center"/>
          </w:tcPr>
          <w:p>
            <w:pPr>
              <w:pStyle w:val="12"/>
            </w:pPr>
            <w:r>
              <w:t>达到合格网站标准</w:t>
            </w:r>
          </w:p>
        </w:tc>
        <w:tc>
          <w:tcPr>
            <w:tcW w:w="2551" w:type="dxa"/>
            <w:vAlign w:val="center"/>
          </w:tcPr>
          <w:p>
            <w:pPr>
              <w:pStyle w:val="12"/>
            </w:pPr>
            <w:r>
              <w:t>达到合格标准</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网站信息按时公开</w:t>
            </w:r>
          </w:p>
        </w:tc>
        <w:tc>
          <w:tcPr>
            <w:tcW w:w="2835" w:type="dxa"/>
            <w:vAlign w:val="center"/>
          </w:tcPr>
          <w:p>
            <w:pPr>
              <w:pStyle w:val="12"/>
            </w:pPr>
            <w:r>
              <w:t>网站信息按时公开</w:t>
            </w:r>
          </w:p>
        </w:tc>
        <w:tc>
          <w:tcPr>
            <w:tcW w:w="2551" w:type="dxa"/>
            <w:vAlign w:val="center"/>
          </w:tcPr>
          <w:p>
            <w:pPr>
              <w:pStyle w:val="12"/>
            </w:pPr>
            <w:r>
              <w:t>按时公开</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项目控制预算数</w:t>
            </w:r>
          </w:p>
        </w:tc>
        <w:tc>
          <w:tcPr>
            <w:tcW w:w="2551" w:type="dxa"/>
            <w:vAlign w:val="center"/>
          </w:tcPr>
          <w:p>
            <w:pPr>
              <w:pStyle w:val="12"/>
            </w:pPr>
            <w:r>
              <w:t>≤3.3万元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服务政府各项决策部署</w:t>
            </w:r>
          </w:p>
        </w:tc>
        <w:tc>
          <w:tcPr>
            <w:tcW w:w="2835" w:type="dxa"/>
            <w:vAlign w:val="center"/>
          </w:tcPr>
          <w:p>
            <w:pPr>
              <w:pStyle w:val="12"/>
            </w:pPr>
            <w:r>
              <w:t>服务政府各项决策部署</w:t>
            </w:r>
          </w:p>
        </w:tc>
        <w:tc>
          <w:tcPr>
            <w:tcW w:w="2551" w:type="dxa"/>
            <w:vAlign w:val="center"/>
          </w:tcPr>
          <w:p>
            <w:pPr>
              <w:pStyle w:val="12"/>
            </w:pPr>
            <w:r>
              <w:t>有所提升</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10、综合事务保障经费绩效目标表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设备维护次数</w:t>
            </w:r>
          </w:p>
        </w:tc>
        <w:tc>
          <w:tcPr>
            <w:tcW w:w="2835" w:type="dxa"/>
            <w:vAlign w:val="center"/>
          </w:tcPr>
          <w:p>
            <w:pPr>
              <w:pStyle w:val="12"/>
            </w:pPr>
            <w:r>
              <w:t>全年定期组织设备维护次数</w:t>
            </w:r>
          </w:p>
        </w:tc>
        <w:tc>
          <w:tcPr>
            <w:tcW w:w="2551" w:type="dxa"/>
            <w:vAlign w:val="center"/>
          </w:tcPr>
          <w:p>
            <w:pPr>
              <w:pStyle w:val="12"/>
            </w:pPr>
            <w:r>
              <w:t>≥30次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各项工作任务按时完成时限</w:t>
            </w:r>
          </w:p>
        </w:tc>
        <w:tc>
          <w:tcPr>
            <w:tcW w:w="2835" w:type="dxa"/>
            <w:vAlign w:val="center"/>
          </w:tcPr>
          <w:p>
            <w:pPr>
              <w:pStyle w:val="12"/>
            </w:pPr>
            <w:r>
              <w:t>按照工作要求按时完成预定计划</w:t>
            </w:r>
          </w:p>
        </w:tc>
        <w:tc>
          <w:tcPr>
            <w:tcW w:w="2551" w:type="dxa"/>
            <w:vAlign w:val="center"/>
          </w:tcPr>
          <w:p>
            <w:pPr>
              <w:pStyle w:val="12"/>
            </w:pPr>
            <w:r>
              <w:t>按时完成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≤50万元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服务区政府各项决策部署</w:t>
            </w:r>
          </w:p>
        </w:tc>
        <w:tc>
          <w:tcPr>
            <w:tcW w:w="2835" w:type="dxa"/>
            <w:vAlign w:val="center"/>
          </w:tcPr>
          <w:p>
            <w:pPr>
              <w:pStyle w:val="12"/>
            </w:pPr>
            <w:r>
              <w:t>服务区政府各项决策部署</w:t>
            </w:r>
          </w:p>
        </w:tc>
        <w:tc>
          <w:tcPr>
            <w:tcW w:w="2551" w:type="dxa"/>
            <w:vAlign w:val="center"/>
          </w:tcPr>
          <w:p>
            <w:pPr>
              <w:pStyle w:val="12"/>
            </w:pPr>
            <w:r>
              <w:t>有所提升</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2023年，区政府办秦皇岛市山海关区人民政府办公室本级安排政府采购预算229.00万元。具体内容见下表。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229.00</w:t>
            </w:r>
          </w:p>
        </w:tc>
        <w:tc>
          <w:tcPr>
            <w:tcW w:w="964" w:type="dxa"/>
            <w:vAlign w:val="center"/>
          </w:tcPr>
          <w:p>
            <w:pPr>
              <w:pStyle w:val="15"/>
            </w:pPr>
            <w:r>
              <w:t>229.00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区政府办秦皇岛市山海关区人民政府办公室本级小计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229.00</w:t>
            </w:r>
          </w:p>
        </w:tc>
        <w:tc>
          <w:tcPr>
            <w:tcW w:w="964" w:type="dxa"/>
            <w:vAlign w:val="center"/>
          </w:tcPr>
          <w:p>
            <w:pPr>
              <w:pStyle w:val="15"/>
            </w:pPr>
            <w:r>
              <w:t>229.00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秦皇岛市"第一关"国控城市点位搬迁以及周边环境提升项目经费</w:t>
            </w:r>
          </w:p>
        </w:tc>
        <w:tc>
          <w:tcPr>
            <w:tcW w:w="964" w:type="dxa"/>
            <w:vAlign w:val="center"/>
          </w:tcPr>
          <w:p>
            <w:pPr>
              <w:pStyle w:val="11"/>
            </w:pPr>
            <w:r>
              <w:t>138.00</w:t>
            </w:r>
          </w:p>
        </w:tc>
        <w:tc>
          <w:tcPr>
            <w:tcW w:w="1134" w:type="dxa"/>
            <w:vAlign w:val="center"/>
          </w:tcPr>
          <w:p>
            <w:pPr>
              <w:pStyle w:val="12"/>
            </w:pPr>
            <w:r>
              <w:t>其他环保工程施工</w:t>
            </w:r>
          </w:p>
        </w:tc>
        <w:tc>
          <w:tcPr>
            <w:tcW w:w="1134" w:type="dxa"/>
            <w:vAlign w:val="center"/>
          </w:tcPr>
          <w:p>
            <w:pPr>
              <w:pStyle w:val="12"/>
            </w:pPr>
            <w:r>
              <w:t>B02149900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109.00</w:t>
            </w:r>
          </w:p>
        </w:tc>
        <w:tc>
          <w:tcPr>
            <w:tcW w:w="964" w:type="dxa"/>
            <w:vAlign w:val="center"/>
          </w:tcPr>
          <w:p>
            <w:pPr>
              <w:pStyle w:val="11"/>
            </w:pPr>
            <w:r>
              <w:t>109.00</w:t>
            </w:r>
          </w:p>
        </w:tc>
        <w:tc>
          <w:tcPr>
            <w:tcW w:w="964" w:type="dxa"/>
            <w:vAlign w:val="center"/>
          </w:tcPr>
          <w:p>
            <w:pPr>
              <w:pStyle w:val="11"/>
            </w:pPr>
            <w:r>
              <w:t>109.00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一中国控站点搬迁经费</w:t>
            </w:r>
          </w:p>
        </w:tc>
        <w:tc>
          <w:tcPr>
            <w:tcW w:w="964" w:type="dxa"/>
            <w:vAlign w:val="center"/>
          </w:tcPr>
          <w:p>
            <w:pPr>
              <w:pStyle w:val="11"/>
            </w:pPr>
            <w:r>
              <w:t>120.00</w:t>
            </w:r>
          </w:p>
        </w:tc>
        <w:tc>
          <w:tcPr>
            <w:tcW w:w="1134" w:type="dxa"/>
            <w:vAlign w:val="center"/>
          </w:tcPr>
          <w:p>
            <w:pPr>
              <w:pStyle w:val="12"/>
            </w:pPr>
            <w:r>
              <w:t>其他环保工程施工</w:t>
            </w:r>
          </w:p>
        </w:tc>
        <w:tc>
          <w:tcPr>
            <w:tcW w:w="1134" w:type="dxa"/>
            <w:vAlign w:val="center"/>
          </w:tcPr>
          <w:p>
            <w:pPr>
              <w:pStyle w:val="12"/>
            </w:pPr>
            <w:r>
              <w:t>B02149900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120.00</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区政府办秦皇岛市山海关区人民政府办公室本级上年末固定资产金额为491.15万元（详见下表）。本年度拟购置固定资产总额为0.00万元，已按要求列入政府采购预算，详见政府采购预算表。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434001区政府办秦皇岛市山海关区人民政府办公室本级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491.15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3911</w:t>
            </w:r>
          </w:p>
        </w:tc>
        <w:tc>
          <w:tcPr>
            <w:tcW w:w="2835"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3911</w:t>
            </w:r>
          </w:p>
        </w:tc>
        <w:tc>
          <w:tcPr>
            <w:tcW w:w="2835"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184.69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314</w:t>
            </w:r>
          </w:p>
        </w:tc>
        <w:tc>
          <w:tcPr>
            <w:tcW w:w="2835" w:type="dxa"/>
            <w:vAlign w:val="center"/>
          </w:tcPr>
          <w:p>
            <w:pPr>
              <w:pStyle w:val="11"/>
            </w:pPr>
            <w:r>
              <w:t>156.46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2E739"/>
    <w:multiLevelType w:val="singleLevel"/>
    <w:tmpl w:val="6012E73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I5MjgxYjJhZjNlNjdkNjQ0ZTMyYzdkYTQxY2Q5ZjEifQ=="/>
  </w:docVars>
  <w:rsids>
    <w:rsidRoot w:val="001269BC"/>
    <w:rsid w:val="001269BC"/>
    <w:rsid w:val="00234DBE"/>
    <w:rsid w:val="005E4D38"/>
    <w:rsid w:val="00947EC5"/>
    <w:rsid w:val="00994570"/>
    <w:rsid w:val="00A551FF"/>
    <w:rsid w:val="00DB4E02"/>
    <w:rsid w:val="00E27FA9"/>
    <w:rsid w:val="00FF2834"/>
    <w:rsid w:val="11844B38"/>
    <w:rsid w:val="23A26074"/>
    <w:rsid w:val="45624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8" Type="http://schemas.openxmlformats.org/officeDocument/2006/relationships/fontTable" Target="fontTable.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2023-02-01T16:40:23Z</dcterms:created>
  <dcterms:modified xsi:type="dcterms:W3CDTF">2023-02-01T08:40:23Z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2023-02-01T16:40:24Z</dcterms:created>
  <dcterms:modified xsi:type="dcterms:W3CDTF">2023-02-01T08:40:24Z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2023-02-01T16:40:24Z</dcterms:created>
  <dcterms:modified xsi:type="dcterms:W3CDTF">2023-02-01T08:40:24Z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2023-02-01T16:40:24Z</dcterms:created>
  <dcterms:modified xsi:type="dcterms:W3CDTF">2023-02-01T08:40:24Z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2023-02-01T16:40:23Z</dcterms:created>
  <dcterms:modified xsi:type="dcterms:W3CDTF">2023-02-01T08:40:23Z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2023-02-01T16:40:23Z</dcterms:created>
  <dcterms:modified xsi:type="dcterms:W3CDTF">2023-02-01T08:40:23Z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2023-02-01T16:40:30Z</dcterms:created>
  <dcterms:modified xsi:type="dcterms:W3CDTF">2023-02-01T08:40:30Z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2023-02-01T16:40:29Z</dcterms:created>
  <dcterms:modified xsi:type="dcterms:W3CDTF">2023-02-01T08:40:29Z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2023-02-01T16:40:24Z</dcterms:created>
  <dcterms:modified xsi:type="dcterms:W3CDTF">2023-02-01T08:40:24Z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2023-02-01T16:40:29Z</dcterms:created>
  <dcterms:modified xsi:type="dcterms:W3CDTF">2023-02-01T08:40:29Z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2023-02-01T16:40:29Z</dcterms:created>
  <dcterms:modified xsi:type="dcterms:W3CDTF">2023-02-01T08:40:29Z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2023-02-01T16:40:29Z</dcterms:created>
  <dcterms:modified xsi:type="dcterms:W3CDTF">2023-02-01T08:40:29Z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2023-02-01T16:40:21Z</dcterms:created>
  <dcterms:modified xsi:type="dcterms:W3CDTF">2023-02-01T08:40:21Z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2023-02-01T16:40:23Z</dcterms:created>
  <dcterms:modified xsi:type="dcterms:W3CDTF">2023-02-01T08:40:23Z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2023-02-01T16:40:23Z</dcterms:created>
  <dcterms:modified xsi:type="dcterms:W3CDTF">2023-02-01T08:40:23Z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2023-02-01T16:40:23Z</dcterms:created>
  <dcterms:modified xsi:type="dcterms:W3CDTF">2023-02-01T08:40:23Z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2023-02-01T16:40:30Z</dcterms:created>
  <dcterms:modified xsi:type="dcterms:W3CDTF">2023-02-01T08:40:30Z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2023-02-01T16:40:24Z</dcterms:created>
  <dcterms:modified xsi:type="dcterms:W3CDTF">2023-02-01T08:40:24Z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2023-02-01T16:40:29Z</dcterms:created>
  <dcterms:modified xsi:type="dcterms:W3CDTF">2023-02-01T08:40:29Z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2023-02-01T16:40:29Z</dcterms:created>
  <dcterms:modified xsi:type="dcterms:W3CDTF">2023-02-01T08:40:29Z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2023-02-01T16:40:30Z</dcterms:created>
  <dcterms:modified xsi:type="dcterms:W3CDTF">2023-02-01T08:40:30Z</dcterms:modified>
</cp:coreProperti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2023-02-01T16:40:30Z</dcterms:created>
  <dcterms:modified xsi:type="dcterms:W3CDTF">2023-02-01T08:40:30Z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2023-02-01T16:40:27Z</dcterms:created>
  <dcterms:modified xsi:type="dcterms:W3CDTF">2023-02-01T08:40:27Z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2023-02-01T16:40:23Z</dcterms:created>
  <dcterms:modified xsi:type="dcterms:W3CDTF">2023-02-01T08:40:23Z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2023-02-01T16:40:29Z</dcterms:created>
  <dcterms:modified xsi:type="dcterms:W3CDTF">2023-02-01T08:40:29Z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A39CA2-A2D5-4990-B8E6-258FD1718178}">
  <ds:schemaRefs/>
</ds:datastoreItem>
</file>

<file path=customXml/itemProps10.xml><?xml version="1.0" encoding="utf-8"?>
<ds:datastoreItem xmlns:ds="http://schemas.openxmlformats.org/officeDocument/2006/customXml" ds:itemID="{3EDB4032-DAF8-4DA6-8084-BE1FCF6C1886}">
  <ds:schemaRefs/>
</ds:datastoreItem>
</file>

<file path=customXml/itemProps11.xml><?xml version="1.0" encoding="utf-8"?>
<ds:datastoreItem xmlns:ds="http://schemas.openxmlformats.org/officeDocument/2006/customXml" ds:itemID="{541D7E27-422E-4C38-B4CB-E36DCBF565AA}">
  <ds:schemaRefs/>
</ds:datastoreItem>
</file>

<file path=customXml/itemProps12.xml><?xml version="1.0" encoding="utf-8"?>
<ds:datastoreItem xmlns:ds="http://schemas.openxmlformats.org/officeDocument/2006/customXml" ds:itemID="{BC8BCCA6-4027-438C-9FB2-A7AEA8F040BF}">
  <ds:schemaRefs/>
</ds:datastoreItem>
</file>

<file path=customXml/itemProps13.xml><?xml version="1.0" encoding="utf-8"?>
<ds:datastoreItem xmlns:ds="http://schemas.openxmlformats.org/officeDocument/2006/customXml" ds:itemID="{A0F15671-812F-44C0-A69C-4466B0006CBE}">
  <ds:schemaRefs/>
</ds:datastoreItem>
</file>

<file path=customXml/itemProps14.xml><?xml version="1.0" encoding="utf-8"?>
<ds:datastoreItem xmlns:ds="http://schemas.openxmlformats.org/officeDocument/2006/customXml" ds:itemID="{FCC85595-567F-496C-8479-EA769BA70650}">
  <ds:schemaRefs/>
</ds:datastoreItem>
</file>

<file path=customXml/itemProps15.xml><?xml version="1.0" encoding="utf-8"?>
<ds:datastoreItem xmlns:ds="http://schemas.openxmlformats.org/officeDocument/2006/customXml" ds:itemID="{713446FB-B8B8-4EA0-802F-A89B12E1D996}">
  <ds:schemaRefs/>
</ds:datastoreItem>
</file>

<file path=customXml/itemProps16.xml><?xml version="1.0" encoding="utf-8"?>
<ds:datastoreItem xmlns:ds="http://schemas.openxmlformats.org/officeDocument/2006/customXml" ds:itemID="{2C07E144-4AFA-425B-896C-74305B20DFED}">
  <ds:schemaRefs/>
</ds:datastoreItem>
</file>

<file path=customXml/itemProps17.xml><?xml version="1.0" encoding="utf-8"?>
<ds:datastoreItem xmlns:ds="http://schemas.openxmlformats.org/officeDocument/2006/customXml" ds:itemID="{DFA4E9BD-ACD6-4258-83AE-AB95B488F9A9}">
  <ds:schemaRefs/>
</ds:datastoreItem>
</file>

<file path=customXml/itemProps18.xml><?xml version="1.0" encoding="utf-8"?>
<ds:datastoreItem xmlns:ds="http://schemas.openxmlformats.org/officeDocument/2006/customXml" ds:itemID="{23F5F6CA-78C3-4E04-AE1B-9A7D5D537D1D}">
  <ds:schemaRefs/>
</ds:datastoreItem>
</file>

<file path=customXml/itemProps19.xml><?xml version="1.0" encoding="utf-8"?>
<ds:datastoreItem xmlns:ds="http://schemas.openxmlformats.org/officeDocument/2006/customXml" ds:itemID="{5C562AF4-42E1-4B0C-B260-215D217EEE1B}">
  <ds:schemaRefs/>
</ds:datastoreItem>
</file>

<file path=customXml/itemProps2.xml><?xml version="1.0" encoding="utf-8"?>
<ds:datastoreItem xmlns:ds="http://schemas.openxmlformats.org/officeDocument/2006/customXml" ds:itemID="{900DD5B2-B253-4552-9517-969F46A798B0}">
  <ds:schemaRefs/>
</ds:datastoreItem>
</file>

<file path=customXml/itemProps20.xml><?xml version="1.0" encoding="utf-8"?>
<ds:datastoreItem xmlns:ds="http://schemas.openxmlformats.org/officeDocument/2006/customXml" ds:itemID="{EA94B59B-B3C5-4CF1-8964-C0B75D748720}">
  <ds:schemaRefs/>
</ds:datastoreItem>
</file>

<file path=customXml/itemProps21.xml><?xml version="1.0" encoding="utf-8"?>
<ds:datastoreItem xmlns:ds="http://schemas.openxmlformats.org/officeDocument/2006/customXml" ds:itemID="{2F9B4C79-3791-4333-A3D9-73155C26ABE5}">
  <ds:schemaRefs/>
</ds:datastoreItem>
</file>

<file path=customXml/itemProps22.xml><?xml version="1.0" encoding="utf-8"?>
<ds:datastoreItem xmlns:ds="http://schemas.openxmlformats.org/officeDocument/2006/customXml" ds:itemID="{7B3F8E56-0879-423F-9BC6-88B2FE857A38}">
  <ds:schemaRefs/>
</ds:datastoreItem>
</file>

<file path=customXml/itemProps23.xml><?xml version="1.0" encoding="utf-8"?>
<ds:datastoreItem xmlns:ds="http://schemas.openxmlformats.org/officeDocument/2006/customXml" ds:itemID="{970E9FDA-00B5-43C2-80B3-76B3B4B64FD9}">
  <ds:schemaRefs/>
</ds:datastoreItem>
</file>

<file path=customXml/itemProps24.xml><?xml version="1.0" encoding="utf-8"?>
<ds:datastoreItem xmlns:ds="http://schemas.openxmlformats.org/officeDocument/2006/customXml" ds:itemID="{4FAD4442-7CA7-44B8-BD9F-F749AAAA1FCE}">
  <ds:schemaRefs/>
</ds:datastoreItem>
</file>

<file path=customXml/itemProps25.xml><?xml version="1.0" encoding="utf-8"?>
<ds:datastoreItem xmlns:ds="http://schemas.openxmlformats.org/officeDocument/2006/customXml" ds:itemID="{62B99673-67AD-4698-B39E-DFDE8012370C}">
  <ds:schemaRefs/>
</ds:datastoreItem>
</file>

<file path=customXml/itemProps26.xml><?xml version="1.0" encoding="utf-8"?>
<ds:datastoreItem xmlns:ds="http://schemas.openxmlformats.org/officeDocument/2006/customXml" ds:itemID="{4EF99DC1-EC3B-4CE6-928C-9B783F36CA38}">
  <ds:schemaRefs/>
</ds:datastoreItem>
</file>

<file path=customXml/itemProps27.xml><?xml version="1.0" encoding="utf-8"?>
<ds:datastoreItem xmlns:ds="http://schemas.openxmlformats.org/officeDocument/2006/customXml" ds:itemID="{D2CAB50C-64EC-4F51-9A93-2F2CAE2BE4B7}">
  <ds:schemaRefs/>
</ds:datastoreItem>
</file>

<file path=customXml/itemProps28.xml><?xml version="1.0" encoding="utf-8"?>
<ds:datastoreItem xmlns:ds="http://schemas.openxmlformats.org/officeDocument/2006/customXml" ds:itemID="{5C8EC235-081D-413B-BC2B-97C56B0BE94A}">
  <ds:schemaRefs/>
</ds:datastoreItem>
</file>

<file path=customXml/itemProps29.xml><?xml version="1.0" encoding="utf-8"?>
<ds:datastoreItem xmlns:ds="http://schemas.openxmlformats.org/officeDocument/2006/customXml" ds:itemID="{F39B79B3-C4E3-4078-81F0-58FB9341AB72}">
  <ds:schemaRefs/>
</ds:datastoreItem>
</file>

<file path=customXml/itemProps3.xml><?xml version="1.0" encoding="utf-8"?>
<ds:datastoreItem xmlns:ds="http://schemas.openxmlformats.org/officeDocument/2006/customXml" ds:itemID="{8EAEF002-7489-487D-A902-E1A6589B3EA3}">
  <ds:schemaRefs/>
</ds:datastoreItem>
</file>

<file path=customXml/itemProps30.xml><?xml version="1.0" encoding="utf-8"?>
<ds:datastoreItem xmlns:ds="http://schemas.openxmlformats.org/officeDocument/2006/customXml" ds:itemID="{99E542C8-86DB-4AB1-BAA5-5BADD02251DC}">
  <ds:schemaRefs/>
</ds:datastoreItem>
</file>

<file path=customXml/itemProps31.xml><?xml version="1.0" encoding="utf-8"?>
<ds:datastoreItem xmlns:ds="http://schemas.openxmlformats.org/officeDocument/2006/customXml" ds:itemID="{2E30F050-6FDD-4E5B-8EA8-E7B68F6D79ED}">
  <ds:schemaRefs/>
</ds:datastoreItem>
</file>

<file path=customXml/itemProps32.xml><?xml version="1.0" encoding="utf-8"?>
<ds:datastoreItem xmlns:ds="http://schemas.openxmlformats.org/officeDocument/2006/customXml" ds:itemID="{5C10DF18-9271-4FB9-8B42-2881155DFA3C}">
  <ds:schemaRefs/>
</ds:datastoreItem>
</file>

<file path=customXml/itemProps33.xml><?xml version="1.0" encoding="utf-8"?>
<ds:datastoreItem xmlns:ds="http://schemas.openxmlformats.org/officeDocument/2006/customXml" ds:itemID="{26C3C433-189C-4A70-950A-3D10C1B37E26}">
  <ds:schemaRefs/>
</ds:datastoreItem>
</file>

<file path=customXml/itemProps34.xml><?xml version="1.0" encoding="utf-8"?>
<ds:datastoreItem xmlns:ds="http://schemas.openxmlformats.org/officeDocument/2006/customXml" ds:itemID="{AE274684-4BFD-4271-85B6-278A58981726}">
  <ds:schemaRefs/>
</ds:datastoreItem>
</file>

<file path=customXml/itemProps35.xml><?xml version="1.0" encoding="utf-8"?>
<ds:datastoreItem xmlns:ds="http://schemas.openxmlformats.org/officeDocument/2006/customXml" ds:itemID="{DD557448-A066-4E0A-B5C3-B4BA115292EC}">
  <ds:schemaRefs/>
</ds:datastoreItem>
</file>

<file path=customXml/itemProps36.xml><?xml version="1.0" encoding="utf-8"?>
<ds:datastoreItem xmlns:ds="http://schemas.openxmlformats.org/officeDocument/2006/customXml" ds:itemID="{87E6A3DF-6BF4-419C-B786-07642CBBFFA9}">
  <ds:schemaRefs/>
</ds:datastoreItem>
</file>

<file path=customXml/itemProps37.xml><?xml version="1.0" encoding="utf-8"?>
<ds:datastoreItem xmlns:ds="http://schemas.openxmlformats.org/officeDocument/2006/customXml" ds:itemID="{FBFBCE20-1688-4DB4-BD69-3863C83E3688}">
  <ds:schemaRefs/>
</ds:datastoreItem>
</file>

<file path=customXml/itemProps38.xml><?xml version="1.0" encoding="utf-8"?>
<ds:datastoreItem xmlns:ds="http://schemas.openxmlformats.org/officeDocument/2006/customXml" ds:itemID="{91E78842-7EF2-46E1-8763-EAC75450B9DE}">
  <ds:schemaRefs/>
</ds:datastoreItem>
</file>

<file path=customXml/itemProps39.xml><?xml version="1.0" encoding="utf-8"?>
<ds:datastoreItem xmlns:ds="http://schemas.openxmlformats.org/officeDocument/2006/customXml" ds:itemID="{3D98A10E-118A-43B7-A26A-43C5E7163E01}">
  <ds:schemaRefs/>
</ds:datastoreItem>
</file>

<file path=customXml/itemProps4.xml><?xml version="1.0" encoding="utf-8"?>
<ds:datastoreItem xmlns:ds="http://schemas.openxmlformats.org/officeDocument/2006/customXml" ds:itemID="{7EF69D58-FB59-4770-B918-3E8214884061}">
  <ds:schemaRefs/>
</ds:datastoreItem>
</file>

<file path=customXml/itemProps40.xml><?xml version="1.0" encoding="utf-8"?>
<ds:datastoreItem xmlns:ds="http://schemas.openxmlformats.org/officeDocument/2006/customXml" ds:itemID="{C5BA6672-C96E-474B-9643-1363CBBAE3FB}">
  <ds:schemaRefs/>
</ds:datastoreItem>
</file>

<file path=customXml/itemProps41.xml><?xml version="1.0" encoding="utf-8"?>
<ds:datastoreItem xmlns:ds="http://schemas.openxmlformats.org/officeDocument/2006/customXml" ds:itemID="{DB5AA50A-BEB4-41B3-8BF9-52852C8BFF8B}">
  <ds:schemaRefs/>
</ds:datastoreItem>
</file>

<file path=customXml/itemProps42.xml><?xml version="1.0" encoding="utf-8"?>
<ds:datastoreItem xmlns:ds="http://schemas.openxmlformats.org/officeDocument/2006/customXml" ds:itemID="{42392012-8C58-4860-B4B2-2FB562CAFADE}">
  <ds:schemaRefs/>
</ds:datastoreItem>
</file>

<file path=customXml/itemProps43.xml><?xml version="1.0" encoding="utf-8"?>
<ds:datastoreItem xmlns:ds="http://schemas.openxmlformats.org/officeDocument/2006/customXml" ds:itemID="{14A72699-8733-48FE-8C1A-93FC32A40F2B}">
  <ds:schemaRefs/>
</ds:datastoreItem>
</file>

<file path=customXml/itemProps44.xml><?xml version="1.0" encoding="utf-8"?>
<ds:datastoreItem xmlns:ds="http://schemas.openxmlformats.org/officeDocument/2006/customXml" ds:itemID="{81381C22-1D73-4B26-8A61-8283581E52E0}">
  <ds:schemaRefs/>
</ds:datastoreItem>
</file>

<file path=customXml/itemProps45.xml><?xml version="1.0" encoding="utf-8"?>
<ds:datastoreItem xmlns:ds="http://schemas.openxmlformats.org/officeDocument/2006/customXml" ds:itemID="{B8CAADD5-8B79-4C53-AAA1-B7613A084627}">
  <ds:schemaRefs/>
</ds:datastoreItem>
</file>

<file path=customXml/itemProps46.xml><?xml version="1.0" encoding="utf-8"?>
<ds:datastoreItem xmlns:ds="http://schemas.openxmlformats.org/officeDocument/2006/customXml" ds:itemID="{572BCCD1-1D57-4BCF-A94A-EAAC535E15C4}">
  <ds:schemaRefs/>
</ds:datastoreItem>
</file>

<file path=customXml/itemProps47.xml><?xml version="1.0" encoding="utf-8"?>
<ds:datastoreItem xmlns:ds="http://schemas.openxmlformats.org/officeDocument/2006/customXml" ds:itemID="{AB4CA503-42CE-440C-824A-6414212E99E8}">
  <ds:schemaRefs/>
</ds:datastoreItem>
</file>

<file path=customXml/itemProps48.xml><?xml version="1.0" encoding="utf-8"?>
<ds:datastoreItem xmlns:ds="http://schemas.openxmlformats.org/officeDocument/2006/customXml" ds:itemID="{2F82D011-AE1E-4B53-8C85-4059EA67EA54}">
  <ds:schemaRefs/>
</ds:datastoreItem>
</file>

<file path=customXml/itemProps49.xml><?xml version="1.0" encoding="utf-8"?>
<ds:datastoreItem xmlns:ds="http://schemas.openxmlformats.org/officeDocument/2006/customXml" ds:itemID="{28BA2917-12FB-4696-A485-25987AE89AB4}">
  <ds:schemaRefs/>
</ds:datastoreItem>
</file>

<file path=customXml/itemProps5.xml><?xml version="1.0" encoding="utf-8"?>
<ds:datastoreItem xmlns:ds="http://schemas.openxmlformats.org/officeDocument/2006/customXml" ds:itemID="{5095E324-42CD-4033-89E4-1BAB237FF346}">
  <ds:schemaRefs/>
</ds:datastoreItem>
</file>

<file path=customXml/itemProps50.xml><?xml version="1.0" encoding="utf-8"?>
<ds:datastoreItem xmlns:ds="http://schemas.openxmlformats.org/officeDocument/2006/customXml" ds:itemID="{7C1C6E35-C449-4C3D-9F3B-99A8EDF0E571}">
  <ds:schemaRefs/>
</ds:datastoreItem>
</file>

<file path=customXml/itemProps51.xml><?xml version="1.0" encoding="utf-8"?>
<ds:datastoreItem xmlns:ds="http://schemas.openxmlformats.org/officeDocument/2006/customXml" ds:itemID="{F207E158-10F6-4034-9B91-B449EBAAAA71}">
  <ds:schemaRefs/>
</ds:datastoreItem>
</file>

<file path=customXml/itemProps6.xml><?xml version="1.0" encoding="utf-8"?>
<ds:datastoreItem xmlns:ds="http://schemas.openxmlformats.org/officeDocument/2006/customXml" ds:itemID="{B0DFB41C-2A9B-4133-8C46-DC4B4FBFBCF4}">
  <ds:schemaRefs/>
</ds:datastoreItem>
</file>

<file path=customXml/itemProps7.xml><?xml version="1.0" encoding="utf-8"?>
<ds:datastoreItem xmlns:ds="http://schemas.openxmlformats.org/officeDocument/2006/customXml" ds:itemID="{24375A5F-E0EF-4AA7-9ED0-3EE4D76912F5}">
  <ds:schemaRefs/>
</ds:datastoreItem>
</file>

<file path=customXml/itemProps8.xml><?xml version="1.0" encoding="utf-8"?>
<ds:datastoreItem xmlns:ds="http://schemas.openxmlformats.org/officeDocument/2006/customXml" ds:itemID="{30BABD9F-12A0-4F70-B094-E6E4AE14261E}">
  <ds:schemaRefs/>
</ds:datastoreItem>
</file>

<file path=customXml/itemProps9.xml><?xml version="1.0" encoding="utf-8"?>
<ds:datastoreItem xmlns:ds="http://schemas.openxmlformats.org/officeDocument/2006/customXml" ds:itemID="{61B5ADFB-5999-42D8-939F-381A1E5D1E2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36</Pages>
  <Words>2164</Words>
  <Characters>12337</Characters>
  <Lines>102</Lines>
  <Paragraphs>28</Paragraphs>
  <TotalTime>3</TotalTime>
  <ScaleCrop>false</ScaleCrop>
  <LinksUpToDate>false</LinksUpToDate>
  <CharactersWithSpaces>14473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2023-02-01T08:47:00Z</dcterms:created>
  <dc:creator>Administrator</dc:creator>
  <cp:lastModifiedBy>草莓味的小仙女</cp:lastModifiedBy>
  <dcterms:modified xsi:type="dcterms:W3CDTF">2024-01-17T08:13:33Z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029D1E9EA74942318A0AD04FEB8D6CEE_12</vt:lpwstr>
  </property>
</Properties>
</file>