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山海关区发展和改革局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0"/>
          <w:sz w:val="44"/>
          <w:szCs w:val="44"/>
          <w:shd w:val="clear" w:fill="FFFFFF"/>
          <w:lang w:val="en-US" w:eastAsia="zh-CN"/>
        </w:rPr>
        <w:t>2023年政务公开工作总结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年，我局在区委、区政府的正确领导下，紧密结合</w: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发改部门</w: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工作，不断规范政府信息公开内容，创新政府信息公开形式，突出政府信息公开重点，提高政府信息公开水平。按照《关于报送2023年度政务公开工作总结的通知》要求，现结合我局实际，就我局本年度政府信息公开工作总结报告</w: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222222"/>
          <w:spacing w:val="0"/>
          <w:sz w:val="32"/>
          <w:szCs w:val="32"/>
          <w:shd w:val="clear" w:fill="FFFFFF"/>
        </w:rPr>
        <w:t>一、信息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222222"/>
          <w:spacing w:val="0"/>
          <w:sz w:val="32"/>
          <w:szCs w:val="32"/>
          <w:shd w:val="clear" w:fill="FFFFFF"/>
        </w:rPr>
        <w:t>公开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222222"/>
          <w:spacing w:val="0"/>
          <w:sz w:val="32"/>
          <w:szCs w:val="32"/>
          <w:shd w:val="clear" w:fill="FFFFFF"/>
        </w:rPr>
        <w:t>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根据全区政府信息公开工作统一部署和要求，我局把政府信息公开工作列入重要议事日程，及时调整信息公开工作领导小组，明确分管领导及具体责任人。同时，明确局信息员，具体负责政府信息公开内容维护、组织协调等日常工作。确保信息公开全面、及时、准确、无差错</w: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使政府信息公开内容更为全面，以更好地接受社会监督。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年，为加强信息报送的时效性及准确性，</w: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工作人员积极学习</w: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《政府信息公开条例》，信息员参加信息公开工作培训，确保工作落实到位，信息公开及时、便捷。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黑体" w:hAnsi="黑体" w:eastAsia="黑体" w:cs="黑体"/>
          <w:i w:val="0"/>
          <w:caps w:val="0"/>
          <w:color w:val="222222"/>
          <w:spacing w:val="0"/>
          <w:sz w:val="32"/>
          <w:szCs w:val="32"/>
          <w:shd w:val="clear" w:fill="FFFFFF"/>
        </w:rPr>
        <w:t>、存在的不足和下一步工作思路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根据</w: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区政府信息科</w: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的要求，我局对网站及信息公开情况进行了自查，主要在加强基础性日常管理、丰富政务公开方式等方面存在不足，明年主要从以下方面作进一步改进和加强</w: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一</w:t>
      </w:r>
      <w:r>
        <w:rPr>
          <w:rFonts w:hint="eastAsia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进一步加强日常管理工作。继续强化专人负责信息公开工作，明确工作职责</w: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在规定的政府信息公开范围内，及时发布和更新依法应主动公开的政府信息，实现政务信息公开化，切实提高办事透明度。适时梳理信息公开内容，研究制定完善有关制度，扎实推进政府信息公开各项工作。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二</w:t>
      </w:r>
      <w:r>
        <w:rPr>
          <w:rFonts w:hint="eastAsia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shd w:val="clear" w:fill="FFFFFF"/>
        </w:rPr>
        <w:t>进一步丰富政务公开方式。以社会需求为导向，在不断深化政府信息公开内容的同时，努力做到公开方式的灵活多样。本着规范、实用、简便、易行的原则，加强政务公开的基础设施建设。</w:t>
      </w: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附件1</w:t>
      </w: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560" w:lineRule="exact"/>
        <w:ind w:firstLine="660"/>
        <w:jc w:val="center"/>
        <w:rPr>
          <w:rFonts w:hint="eastAsia" w:ascii="黑体" w:eastAsia="黑体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黑体" w:eastAsia="黑体" w:cs="宋体"/>
          <w:color w:val="000000"/>
          <w:kern w:val="0"/>
          <w:sz w:val="32"/>
          <w:szCs w:val="32"/>
          <w:lang w:bidi="ar-SA"/>
        </w:rPr>
        <w:t>主动公开政府信息情况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</w:pP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</w:p>
    <w:tbl>
      <w:tblPr>
        <w:tblStyle w:val="2"/>
        <w:tblW w:w="974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本年</w:t>
            </w:r>
            <w:r>
              <w:rPr>
                <w:rFonts w:hint="eastAsia" w:ascii="宋体"/>
                <w:color w:val="333333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现行有效件</w:t>
            </w:r>
            <w:r>
              <w:rPr>
                <w:rFonts w:hint="eastAsia" w:ascii="宋体"/>
                <w:color w:val="333333"/>
                <w:sz w:val="20"/>
                <w:szCs w:val="20"/>
              </w:rPr>
              <w:t>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Calibri" w:hAnsi="Calibri" w:eastAsia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Calibri" w:hAnsi="Calibri" w:eastAsia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/>
                <w:color w:val="333333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Calibri" w:hAnsi="Calibri" w:eastAsia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Calibri" w:hAnsi="Calibri" w:eastAsia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/>
                <w:color w:val="333333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/>
                <w:color w:val="333333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本年处理决定数量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Calibri" w:hAnsi="Calibri" w:eastAsia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Calibri" w:hAnsi="Calibri" w:eastAsia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Calibri" w:hAnsi="Calibri"/>
                <w:color w:val="333333"/>
                <w:szCs w:val="21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560" w:lineRule="exact"/>
              <w:rPr>
                <w:rFonts w:hint="eastAsia" w:ascii="宋体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/>
                <w:color w:val="333333"/>
                <w:sz w:val="24"/>
                <w:lang w:val="en-US" w:eastAsia="zh-CN"/>
              </w:rPr>
              <w:t>0</w:t>
            </w:r>
          </w:p>
        </w:tc>
      </w:tr>
    </w:tbl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560" w:lineRule="exact"/>
        <w:ind w:firstLine="540" w:firstLineChars="200"/>
        <w:jc w:val="center"/>
        <w:rPr>
          <w:rFonts w:hint="eastAsia" w:ascii="宋体" w:cs="宋体"/>
          <w:color w:val="000000"/>
          <w:kern w:val="0"/>
          <w:sz w:val="27"/>
          <w:szCs w:val="27"/>
          <w:lang w:bidi="ar-SA"/>
        </w:rPr>
      </w:pP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560" w:lineRule="exact"/>
        <w:ind w:firstLine="540" w:firstLineChars="200"/>
        <w:jc w:val="center"/>
        <w:rPr>
          <w:rFonts w:hint="eastAsia" w:ascii="宋体" w:cs="宋体"/>
          <w:color w:val="000000"/>
          <w:kern w:val="0"/>
          <w:sz w:val="27"/>
          <w:szCs w:val="27"/>
          <w:lang w:bidi="ar-SA"/>
        </w:rPr>
      </w:pP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560" w:lineRule="exact"/>
        <w:rPr>
          <w:rFonts w:hint="eastAsia" w:ascii="宋体" w:cs="宋体"/>
          <w:color w:val="000000"/>
          <w:kern w:val="0"/>
          <w:sz w:val="27"/>
          <w:szCs w:val="27"/>
          <w:lang w:bidi="ar-SA"/>
        </w:rPr>
      </w:pP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560" w:lineRule="exact"/>
        <w:jc w:val="left"/>
        <w:rPr>
          <w:rFonts w:hint="eastAsia" w:ascii="黑体" w:eastAsia="黑体" w:cs="宋体"/>
          <w:color w:val="000000"/>
          <w:kern w:val="0"/>
          <w:sz w:val="32"/>
          <w:szCs w:val="32"/>
          <w:lang w:bidi="ar-SA"/>
        </w:rPr>
      </w:pP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560" w:lineRule="exact"/>
        <w:jc w:val="left"/>
        <w:rPr>
          <w:rFonts w:hint="eastAsia" w:ascii="黑体" w:eastAsia="黑体" w:cs="宋体"/>
          <w:color w:val="000000"/>
          <w:kern w:val="0"/>
          <w:sz w:val="32"/>
          <w:szCs w:val="32"/>
          <w:lang w:bidi="ar-SA"/>
        </w:rPr>
      </w:pP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560" w:lineRule="exact"/>
        <w:jc w:val="left"/>
        <w:rPr>
          <w:rFonts w:hint="eastAsia" w:ascii="黑体" w:eastAsia="黑体" w:cs="宋体"/>
          <w:color w:val="000000"/>
          <w:kern w:val="0"/>
          <w:sz w:val="32"/>
          <w:szCs w:val="32"/>
          <w:lang w:bidi="ar-SA"/>
        </w:rPr>
      </w:pP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560" w:lineRule="exact"/>
        <w:jc w:val="left"/>
        <w:rPr>
          <w:rFonts w:hint="eastAsia" w:ascii="黑体" w:eastAsia="黑体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黑体" w:eastAsia="黑体" w:cs="宋体"/>
          <w:color w:val="000000"/>
          <w:kern w:val="0"/>
          <w:sz w:val="32"/>
          <w:szCs w:val="32"/>
          <w:lang w:bidi="ar-SA"/>
        </w:rPr>
        <w:t>附件2</w:t>
      </w:r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249" w:afterLines="80" w:line="560" w:lineRule="exact"/>
        <w:ind w:firstLine="640" w:firstLineChars="200"/>
        <w:jc w:val="center"/>
        <w:rPr>
          <w:rFonts w:hint="eastAsia" w:ascii="黑体" w:eastAsia="黑体" w:cs="宋体"/>
          <w:color w:val="000000"/>
          <w:kern w:val="0"/>
          <w:sz w:val="32"/>
          <w:szCs w:val="32"/>
          <w:lang w:bidi="ar-SA"/>
        </w:rPr>
      </w:pPr>
      <w:r>
        <w:rPr>
          <w:rFonts w:hint="eastAsia" w:ascii="黑体" w:eastAsia="黑体" w:cs="宋体"/>
          <w:color w:val="000000"/>
          <w:kern w:val="0"/>
          <w:sz w:val="32"/>
          <w:szCs w:val="32"/>
          <w:lang w:bidi="ar-SA"/>
        </w:rPr>
        <w:t>收到和处理政府信息公开申请情况</w:t>
      </w:r>
    </w:p>
    <w:tbl>
      <w:tblPr>
        <w:tblStyle w:val="2"/>
        <w:tblW w:w="974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3"/>
        <w:gridCol w:w="921"/>
        <w:gridCol w:w="3272"/>
        <w:gridCol w:w="686"/>
        <w:gridCol w:w="686"/>
        <w:gridCol w:w="686"/>
        <w:gridCol w:w="686"/>
        <w:gridCol w:w="686"/>
        <w:gridCol w:w="686"/>
        <w:gridCol w:w="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eastAsia="楷体_GB2312"/>
                <w:color w:val="333333"/>
                <w:sz w:val="20"/>
                <w:szCs w:val="20"/>
              </w:rPr>
            </w:pPr>
            <w:r>
              <w:rPr>
                <w:rFonts w:hint="eastAsia" w:ascii="楷体" w:eastAsia="楷体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0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68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自然人</w:t>
            </w:r>
          </w:p>
        </w:tc>
        <w:tc>
          <w:tcPr>
            <w:tcW w:w="343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686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68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商业</w:t>
            </w:r>
          </w:p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企业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科研</w:t>
            </w:r>
          </w:p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机构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社会公益组织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法律服务机构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686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Calibri" w:hAnsi="Calibri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Calibri" w:hAnsi="Calibri" w:eastAsia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Calibri" w:hAnsi="Calibri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41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宋体"/>
                <w:color w:val="333333"/>
                <w:sz w:val="20"/>
                <w:lang w:val="en-US" w:eastAsia="zh-CN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41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（二）部分公开</w:t>
            </w:r>
            <w:r>
              <w:rPr>
                <w:rFonts w:hint="eastAsia" w:ascii="楷体" w:eastAsia="楷体"/>
                <w:color w:val="333333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（五）不予处理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921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32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419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Calibri" w:hAnsi="Calibri"/>
                <w:color w:val="333333"/>
                <w:sz w:val="20"/>
                <w:szCs w:val="20"/>
              </w:rPr>
            </w:pPr>
            <w:r>
              <w:rPr>
                <w:rFonts w:hint="eastAsia" w:ascii="宋体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color w:val="333333"/>
                <w:sz w:val="20"/>
              </w:rPr>
            </w:pPr>
            <w:r>
              <w:rPr>
                <w:rFonts w:hint="eastAsia" w:ascii="Calibri" w:hAnsi="Calibri"/>
                <w:color w:val="333333"/>
                <w:sz w:val="20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</w:pPr>
      <w:r>
        <w:rPr>
          <w:rFonts w:hint="eastAsia" w:ascii="黑体" w:eastAsia="黑体"/>
          <w:sz w:val="32"/>
          <w:szCs w:val="32"/>
        </w:rPr>
        <w:t>附件3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lang w:bidi="ar-SA"/>
        </w:rPr>
        <w:t> </w:t>
      </w:r>
      <w:r>
        <w:rPr>
          <w:rFonts w:hint="eastAsia" w:ascii="微软雅黑" w:eastAsia="微软雅黑" w:cs="宋体"/>
          <w:color w:val="666666"/>
          <w:kern w:val="0"/>
          <w:sz w:val="27"/>
          <w:szCs w:val="27"/>
          <w:lang w:bidi="ar-SA"/>
        </w:rPr>
        <w:t> </w:t>
      </w:r>
    </w:p>
    <w:p>
      <w:pPr>
        <w:widowControl/>
        <w:shd w:val="clear" w:color="auto" w:fill="FFFFFF"/>
        <w:spacing w:after="156" w:afterLines="50" w:line="560" w:lineRule="exact"/>
        <w:ind w:firstLine="1600" w:firstLineChars="500"/>
        <w:rPr>
          <w:rFonts w:hint="eastAsia" w:ascii="黑体" w:eastAsia="黑体" w:cs="宋体"/>
          <w:bCs/>
          <w:color w:val="333333"/>
          <w:kern w:val="0"/>
          <w:sz w:val="32"/>
          <w:szCs w:val="32"/>
          <w:lang w:bidi="ar-SA"/>
        </w:rPr>
      </w:pPr>
      <w:r>
        <w:rPr>
          <w:rFonts w:hint="eastAsia" w:ascii="黑体" w:eastAsia="黑体" w:cs="宋体"/>
          <w:bCs/>
          <w:color w:val="333333"/>
          <w:kern w:val="0"/>
          <w:sz w:val="32"/>
          <w:szCs w:val="32"/>
          <w:lang w:bidi="ar-SA"/>
        </w:rPr>
        <w:t>政府信息公开行政复议、行政诉讼情况</w:t>
      </w:r>
    </w:p>
    <w:tbl>
      <w:tblPr>
        <w:tblStyle w:val="2"/>
        <w:tblW w:w="9748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5" w:type="dxa"/>
            <w:gridSpan w:val="5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宋体" w:cs="微软雅黑"/>
                <w:szCs w:val="21"/>
                <w:lang w:bidi="ar-SA"/>
              </w:rPr>
            </w:pP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宋体" w:cs="微软雅黑"/>
                <w:szCs w:val="21"/>
                <w:lang w:bidi="ar-SA"/>
              </w:rPr>
            </w:pP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宋体" w:cs="微软雅黑"/>
                <w:szCs w:val="21"/>
                <w:lang w:bidi="ar-SA"/>
              </w:rPr>
            </w:pP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宋体" w:cs="微软雅黑"/>
                <w:szCs w:val="21"/>
                <w:lang w:bidi="ar-SA"/>
              </w:rPr>
            </w:pP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宋体" w:cs="微软雅黑"/>
                <w:szCs w:val="21"/>
                <w:lang w:bidi="ar-SA"/>
              </w:rPr>
            </w:pP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t>其他</w:t>
            </w: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宋体" w:cs="微软雅黑"/>
                <w:szCs w:val="21"/>
                <w:lang w:bidi="ar-SA"/>
              </w:rPr>
            </w:pP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t>尚未</w:t>
            </w: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宋体" w:cs="微软雅黑"/>
                <w:szCs w:val="21"/>
                <w:lang w:bidi="ar-SA"/>
              </w:rPr>
            </w:pP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3248" w:type="dxa"/>
            <w:gridSpan w:val="5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宋体" w:cs="微软雅黑"/>
                <w:szCs w:val="21"/>
                <w:lang w:bidi="ar-SA"/>
              </w:rPr>
            </w:pP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宋体" w:cs="微软雅黑"/>
                <w:szCs w:val="21"/>
                <w:lang w:bidi="ar-SA"/>
              </w:rPr>
            </w:pP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vMerge w:val="continu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宋体" w:cs="微软雅黑"/>
                <w:szCs w:val="21"/>
                <w:lang w:bidi="ar-SA"/>
              </w:rPr>
            </w:pP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t>维持</w:t>
            </w:r>
          </w:p>
        </w:tc>
        <w:tc>
          <w:tcPr>
            <w:tcW w:w="64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宋体" w:cs="微软雅黑"/>
                <w:szCs w:val="21"/>
                <w:lang w:bidi="ar-SA"/>
              </w:rPr>
            </w:pP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宋体" w:cs="微软雅黑"/>
                <w:szCs w:val="21"/>
                <w:lang w:bidi="ar-SA"/>
              </w:rPr>
            </w:pP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t>其他</w:t>
            </w: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t>结果</w:t>
            </w: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宋体" w:cs="微软雅黑"/>
                <w:szCs w:val="21"/>
                <w:lang w:bidi="ar-SA"/>
              </w:rPr>
            </w:pP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t>尚未</w:t>
            </w: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t>审结</w:t>
            </w: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宋体" w:cs="微软雅黑"/>
                <w:szCs w:val="21"/>
                <w:lang w:bidi="ar-SA"/>
              </w:rPr>
            </w:pP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651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宋体" w:cs="微软雅黑"/>
                <w:szCs w:val="21"/>
                <w:lang w:bidi="ar-SA"/>
              </w:rPr>
            </w:pP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t>维持</w:t>
            </w:r>
          </w:p>
        </w:tc>
        <w:tc>
          <w:tcPr>
            <w:tcW w:w="651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宋体" w:cs="微软雅黑"/>
                <w:szCs w:val="21"/>
                <w:lang w:bidi="ar-SA"/>
              </w:rPr>
            </w:pP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51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宋体" w:cs="微软雅黑"/>
                <w:szCs w:val="21"/>
                <w:lang w:bidi="ar-SA"/>
              </w:rPr>
            </w:pP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t>其他</w:t>
            </w: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t>结果</w:t>
            </w:r>
          </w:p>
        </w:tc>
        <w:tc>
          <w:tcPr>
            <w:tcW w:w="651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宋体" w:cs="微软雅黑"/>
                <w:szCs w:val="21"/>
                <w:lang w:bidi="ar-SA"/>
              </w:rPr>
            </w:pP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t>尚未</w:t>
            </w: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t>审结</w:t>
            </w:r>
          </w:p>
        </w:tc>
        <w:tc>
          <w:tcPr>
            <w:tcW w:w="651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宋体" w:cs="微软雅黑"/>
                <w:szCs w:val="21"/>
                <w:lang w:bidi="ar-SA"/>
              </w:rPr>
            </w:pPr>
            <w:r>
              <w:rPr>
                <w:rFonts w:hint="eastAsia" w:ascii="宋体" w:cs="微软雅黑"/>
                <w:color w:val="000000"/>
                <w:kern w:val="0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4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微软雅黑" w:eastAsia="微软雅黑" w:cs="微软雅黑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微软雅黑" w:eastAsia="微软雅黑" w:cs="微软雅黑"/>
                <w:sz w:val="27"/>
                <w:szCs w:val="27"/>
                <w:lang w:val="en-US" w:eastAsia="zh-CN" w:bidi="ar-SA"/>
              </w:rPr>
              <w:t>0</w:t>
            </w:r>
          </w:p>
        </w:tc>
        <w:tc>
          <w:tcPr>
            <w:tcW w:w="64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微软雅黑" w:eastAsia="微软雅黑" w:cs="微软雅黑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微软雅黑" w:eastAsia="微软雅黑" w:cs="微软雅黑"/>
                <w:sz w:val="27"/>
                <w:szCs w:val="27"/>
                <w:lang w:val="en-US" w:eastAsia="zh-CN" w:bidi="ar-SA"/>
              </w:rPr>
              <w:t>0</w:t>
            </w:r>
          </w:p>
        </w:tc>
        <w:tc>
          <w:tcPr>
            <w:tcW w:w="64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微软雅黑" w:eastAsia="微软雅黑" w:cs="微软雅黑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微软雅黑" w:eastAsia="微软雅黑" w:cs="微软雅黑"/>
                <w:sz w:val="27"/>
                <w:szCs w:val="27"/>
                <w:lang w:val="en-US" w:eastAsia="zh-CN" w:bidi="ar-SA"/>
              </w:rPr>
              <w:t>0</w:t>
            </w:r>
          </w:p>
        </w:tc>
        <w:tc>
          <w:tcPr>
            <w:tcW w:w="64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微软雅黑" w:eastAsia="微软雅黑" w:cs="微软雅黑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微软雅黑" w:eastAsia="微软雅黑" w:cs="微软雅黑"/>
                <w:sz w:val="27"/>
                <w:szCs w:val="27"/>
                <w:lang w:val="en-US" w:eastAsia="zh-CN" w:bidi="ar-SA"/>
              </w:rPr>
              <w:t>0</w:t>
            </w:r>
          </w:p>
        </w:tc>
        <w:tc>
          <w:tcPr>
            <w:tcW w:w="64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微软雅黑" w:eastAsia="微软雅黑" w:cs="微软雅黑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微软雅黑" w:eastAsia="微软雅黑" w:cs="微软雅黑"/>
                <w:sz w:val="27"/>
                <w:szCs w:val="27"/>
                <w:lang w:val="en-US" w:eastAsia="zh-CN" w:bidi="ar-SA"/>
              </w:rPr>
              <w:t>0</w:t>
            </w:r>
          </w:p>
        </w:tc>
        <w:tc>
          <w:tcPr>
            <w:tcW w:w="64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微软雅黑" w:eastAsia="微软雅黑" w:cs="微软雅黑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微软雅黑" w:eastAsia="微软雅黑" w:cs="微软雅黑"/>
                <w:sz w:val="27"/>
                <w:szCs w:val="27"/>
                <w:lang w:val="en-US" w:eastAsia="zh-CN" w:bidi="ar-SA"/>
              </w:rPr>
              <w:t>0</w:t>
            </w:r>
          </w:p>
        </w:tc>
        <w:tc>
          <w:tcPr>
            <w:tcW w:w="649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微软雅黑" w:eastAsia="微软雅黑" w:cs="微软雅黑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微软雅黑" w:eastAsia="微软雅黑" w:cs="微软雅黑"/>
                <w:sz w:val="27"/>
                <w:szCs w:val="27"/>
                <w:lang w:val="en-US" w:eastAsia="zh-CN" w:bidi="ar-SA"/>
              </w:rPr>
              <w:t>0</w:t>
            </w: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微软雅黑" w:eastAsia="微软雅黑" w:cs="微软雅黑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微软雅黑" w:eastAsia="微软雅黑" w:cs="微软雅黑"/>
                <w:sz w:val="27"/>
                <w:szCs w:val="27"/>
                <w:lang w:val="en-US" w:eastAsia="zh-CN" w:bidi="ar-SA"/>
              </w:rPr>
              <w:t>0</w:t>
            </w: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微软雅黑" w:eastAsia="微软雅黑" w:cs="微软雅黑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微软雅黑" w:eastAsia="微软雅黑" w:cs="微软雅黑"/>
                <w:sz w:val="27"/>
                <w:szCs w:val="27"/>
                <w:lang w:val="en-US" w:eastAsia="zh-CN" w:bidi="ar-SA"/>
              </w:rPr>
              <w:t>0</w:t>
            </w:r>
          </w:p>
        </w:tc>
        <w:tc>
          <w:tcPr>
            <w:tcW w:w="650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微软雅黑" w:eastAsia="微软雅黑" w:cs="微软雅黑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微软雅黑" w:eastAsia="微软雅黑" w:cs="微软雅黑"/>
                <w:sz w:val="27"/>
                <w:szCs w:val="27"/>
                <w:lang w:val="en-US" w:eastAsia="zh-CN" w:bidi="ar-SA"/>
              </w:rPr>
              <w:t>0</w:t>
            </w:r>
          </w:p>
        </w:tc>
        <w:tc>
          <w:tcPr>
            <w:tcW w:w="651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微软雅黑" w:eastAsia="微软雅黑" w:cs="微软雅黑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微软雅黑" w:eastAsia="微软雅黑" w:cs="微软雅黑"/>
                <w:sz w:val="27"/>
                <w:szCs w:val="27"/>
                <w:lang w:val="en-US" w:eastAsia="zh-CN" w:bidi="ar-SA"/>
              </w:rPr>
              <w:t>0</w:t>
            </w:r>
          </w:p>
        </w:tc>
        <w:tc>
          <w:tcPr>
            <w:tcW w:w="651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微软雅黑" w:eastAsia="微软雅黑" w:cs="微软雅黑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微软雅黑" w:eastAsia="微软雅黑" w:cs="微软雅黑"/>
                <w:sz w:val="27"/>
                <w:szCs w:val="27"/>
                <w:lang w:val="en-US" w:eastAsia="zh-CN" w:bidi="ar-SA"/>
              </w:rPr>
              <w:t>0</w:t>
            </w:r>
          </w:p>
        </w:tc>
        <w:tc>
          <w:tcPr>
            <w:tcW w:w="651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微软雅黑" w:eastAsia="微软雅黑" w:cs="微软雅黑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微软雅黑" w:eastAsia="微软雅黑" w:cs="微软雅黑"/>
                <w:sz w:val="27"/>
                <w:szCs w:val="27"/>
                <w:lang w:val="en-US" w:eastAsia="zh-CN" w:bidi="ar-SA"/>
              </w:rPr>
              <w:t>0</w:t>
            </w:r>
          </w:p>
        </w:tc>
        <w:tc>
          <w:tcPr>
            <w:tcW w:w="651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微软雅黑" w:eastAsia="微软雅黑" w:cs="微软雅黑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微软雅黑" w:eastAsia="微软雅黑" w:cs="微软雅黑"/>
                <w:sz w:val="27"/>
                <w:szCs w:val="27"/>
                <w:lang w:val="en-US" w:eastAsia="zh-CN" w:bidi="ar-SA"/>
              </w:rPr>
              <w:t>0</w:t>
            </w:r>
          </w:p>
        </w:tc>
        <w:tc>
          <w:tcPr>
            <w:tcW w:w="651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wordWrap w:val="0"/>
              <w:spacing w:line="510" w:lineRule="atLeast"/>
              <w:jc w:val="center"/>
              <w:rPr>
                <w:rFonts w:hint="eastAsia" w:ascii="微软雅黑" w:eastAsia="微软雅黑" w:cs="微软雅黑"/>
                <w:sz w:val="27"/>
                <w:szCs w:val="27"/>
                <w:lang w:val="en-US" w:eastAsia="zh-CN" w:bidi="ar-SA"/>
              </w:rPr>
            </w:pPr>
            <w:r>
              <w:rPr>
                <w:rFonts w:hint="eastAsia" w:ascii="微软雅黑" w:eastAsia="微软雅黑" w:cs="微软雅黑"/>
                <w:sz w:val="27"/>
                <w:szCs w:val="27"/>
                <w:lang w:val="en-US" w:eastAsia="zh-CN" w:bidi="ar-SA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仿宋_GB2312" w:eastAsia="仿宋_GB2312" w:cs="宋体"/>
          <w:bCs/>
          <w:color w:val="000000"/>
          <w:sz w:val="32"/>
          <w:szCs w:val="32"/>
          <w:lang w:bidi="ar-SA"/>
        </w:rPr>
      </w:pPr>
    </w:p>
    <w:p>
      <w:pPr>
        <w:spacing w:line="560" w:lineRule="exact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山海关区发展和改革局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2024年1月3日</w:t>
      </w: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3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A0EBD"/>
    <w:rsid w:val="76E7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2024-01-03T03:14:00Z</dcterms:created>
  <dc:creator>79315</dc:creator>
  <cp:lastModifiedBy>A</cp:lastModifiedBy>
  <dcterms:modified xsi:type="dcterms:W3CDTF">2024-01-10T09:06:08Z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