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val="0"/>
        <w:snapToGrid w:val="0"/>
        <w:spacing w:line="240" w:lineRule="auto"/>
        <w:jc w:val="center"/>
        <w:textAlignment w:val="auto"/>
        <w:rPr>
          <w:rFonts w:hint="eastAsia" w:ascii="小标宋" w:hAnsi="小标宋" w:eastAsia="小标宋" w:cs="小标宋"/>
          <w:b w:val="0"/>
          <w:bCs/>
        </w:rPr>
      </w:pPr>
      <w:r>
        <w:rPr>
          <w:rFonts w:hint="eastAsia" w:ascii="小标宋" w:hAnsi="小标宋" w:eastAsia="小标宋" w:cs="小标宋"/>
          <w:b w:val="0"/>
          <w:bCs/>
        </w:rPr>
        <w:t>绩效预算信息</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val="0"/>
        <w:spacing w:line="240" w:lineRule="auto"/>
        <w:ind w:firstLine="640"/>
        <w:jc w:val="both"/>
        <w:textAlignment w:val="auto"/>
        <w:rPr>
          <w:rFonts w:hint="eastAsia" w:ascii="仿宋_GB2312" w:hAnsi="仿宋_GB2312" w:eastAsia="仿宋_GB2312" w:cs="仿宋_GB2312"/>
          <w:b/>
          <w:color w:val="auto"/>
          <w:sz w:val="32"/>
        </w:rPr>
      </w:pPr>
      <w:r>
        <w:rPr>
          <w:rFonts w:hint="eastAsia" w:ascii="仿宋_GB2312" w:hAnsi="仿宋_GB2312" w:eastAsia="仿宋_GB2312" w:cs="仿宋_GB2312"/>
          <w:b/>
          <w:color w:val="auto"/>
          <w:sz w:val="32"/>
        </w:rPr>
        <w:t>第一部分 部门整体绩效目标</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val="0"/>
        <w:spacing w:line="240" w:lineRule="auto"/>
        <w:ind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（一）总体绩效目标：</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山海关区应急管理局部门总体绩效目标经局党组研究同意，将深入贯彻习近平总书记系列重要讲话精神，以全面贯彻落实新《安全生产法》为重点，以加快建立“党政同责、一岗双责、齐抓共管”责任体系、企业安全生产诚信体系、隐患排查治理体系“三个体系”为目标，积极推进应急管理体系和能力现代化，有力防范化解重大安全风险，进一步加大安全生产事故隐患排查整力度及危险化学品和易燃易爆物品等重点行业领域的监管，突出做好应急救援管理相关工作，及时应对处置各类灾害事故，坚决保护人民群众生命财产安全和维护社会稳定。</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val="0"/>
        <w:spacing w:line="240" w:lineRule="auto"/>
        <w:ind w:firstLine="643"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color w:val="auto"/>
          <w:sz w:val="32"/>
          <w:szCs w:val="32"/>
        </w:rPr>
        <w:t>（二）分项绩效目标：</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（一）加强安全生产执法监察检查</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定期组织在全区开展安全生产督导检查活动，对重点行业和作业场所安全生产进行督导检查，加强行政执法监察，依法对违法行为实施行政处罚；不断加强安全生产监管能力建设，改善执法检测、监察检查等能力。通过督导检查全区安全生产，最大限度地发现、纠正、督促企业消除各类隐患，预防和减少事故的发生，确保全区安全生产形势持续稳定好转。</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本年实际执法检查的生产经营单位数占应检查单位总数的比率，实际隐患排查数量占隐患总数的比例，已整改隐患数占执法发现的隐患总数的比率，上述三项指标≥90%为优，≥80%为良，≥70%为中，＜70%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（二）加强重大危险源安全管理</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加强重大危险源的监测、监控、辨识与评估及登记建档、备案与核销等安全管理，开展重大危险源执法检查工作。科学准确进行重大危险源等级界定，督促企业切实加强危险源监控，有效治理隐患，落实监管责任。</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本年实际执法检查的重大危险源单位数占应检查单位总数的比率，已整改隐患数占发现的隐患总数的比率，安全运行危险源点数占危险源点总数的比率等，上述三项指标≥90%为优，≥80%为良，≥70%为中，＜70%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（三）构建和完善安全生产监管体系</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依据各行业隐患排查标准，建设区级隐患排查治理信息系统平台；组织制订和实施行业及有关综合性安全生产规章、规程和工矿商贸安全生产标准；加强全区安全生产技术服务机构及注册安全工程师管理；组织开展安全生产事故专项调查；审核提出安全生产举报奖励意见；开展安全生产宣传教育活动，定期向社会公布安全生产重大事项情况；组织对安全生产责任人及监管监察人员进行执法资格培训考试发证工作；组织全区安全生产目标管理及考核工作；促进企业全面落实安全生产诚信管理。</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开展安全宣传区域占安全监管区域比例，安全生产标准化达标的企业数占区安全生产企业总数的比率，事故处理和举报事项结案率占全部事故和举报事项总数的比率，上述三项指标≥80%为优，≥70%为良，≥60%为中，＜60%为差。本年全区发生重大安全事故的总次数（反向指标），0次为优秀，1次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（四）加强高危重点行业、工商贸及非煤矿山安全生产监管</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依法对危险化学品生产经营企业和烟花爆竹经营企业实施安全生产监管；对重点行业企业开展安全生产监督和专项整治活动。依法关闭非法和不具备安全生产条件的企业，消除高危行业隐患，加强高危行业安全生产事故排查和事故隐患治理力度。</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依法对危险化学品生产经营企业实施安全生产监管，对烟花爆竹经营企业开展打非治违专项整治，排查高危生产经营企业（家）安全隐患企业数量≥15个为优，≥10个为良，≥5个为中，＜5个为差。对重点行业企业开展安全生产监督和专项整治活动，工矿商贸生产安全事故死亡人数下降比例≥3%为优，≥2%为良，≥1%为中，＜0%为差（若未发生安全事故此项指标为优）。</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（五）组织应急预案编制及应急演练</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组织指导全区安全生产和自然灾害应急救援预案编制及安全生产备案管理，结合事故多发、易发，应急管理基础薄弱的地区、领域、时段、岗位等重点，组织开展实战化应急演练。理顺应急救援工作机制，推动应急救援指挥中心和应急平台建设，提高突发事件的应急救援能力，保证政府及时采取应对措施，避免或降低事故及其危害程度；增强组织协调能力，提高应急救援效果；加强应急预案的管理与实施，及时组织锻炼应急救援队伍，切实提升应急处置能力。</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应急救援队伍、装备和信息系统建设完备，应急平台充分发挥救援协调指挥能力和应急处置能力，应急演练完成次数，2次为优秀，1次为良。应急预案编制备案完成情况，全区安全生产应急救援预案编制和备案管理比率≥80%为优，≥70%为良，≥60%为中，＜60%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（六）加强应急救援体系建设</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加强应急救援队伍、装备和信息系统建设，完善安全生产应急平台，提高全区应急救援协调指挥能力和应急处置能力；实施区救援指挥中心能力建设，加强指挥机构管理和专业应急救援队伍训练，统一规划安全生产应急平台信息化建设和救援通信、信息网络运行保障，及时进行重大危险源预警、技术监控工作，发布预警信息。理顺应急救援工作机制，推动应急救援指挥中心和应急平台建设，提高突发事件的应急救援能力，保证政府及时采取应对措施，避免或降低事故及其危害程度。</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绩效指标：当年开展的应急管理人员培训涉及的总人次≥12人为优，≥10人为良，≥8人为中，＜8人为差。应急基地演练完成次数两年共≥2次为优，≥1次为良。</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（七）组织实施应急处置与救援</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绩效目标：启动应急预案，组织协调救援力量、装备、专家参与救援，制定救援方案，科学施救，保障救援工作顺利进行。</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绩效指标：应急救援任务完成比例，应急预案演练完成率，上述两项指标≥90%为优，≥80%为良，≥70%为中，＜70%为差。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（八）加强火灾防治工作</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指导城镇、农村消防工作规划编制并推进落实，指导消防监督、火灾预防、火灾扑救工作。负责协调调度森林扑火队伍参与社会应急救援；负责协调调度重大森林火灾救援物资和救援力量，增强火灾扑救能力。</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绩效指标：按照年度计划补充基础设施建设扑火物资储备工作，火灾发生率控制在0.3‰以下。</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（九）加强安全生产、自然灾害风险监测预警和物资保障</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组织协调紧急转移安置灾民，确保灾民吃、穿、住、医等基本生活，推进以农房保险为主要险种的救灾保险，提高抗灾水平。完善灾害信息员网络，提高专业队伍业务素质，提升救灾科技支持能力；为妥善处理遇险人员善后问题和切实保障遭受恐怖袭击等公共突发事件后物资的供应，保证突发灾害后救灾款物安全及时有效支援灾区，为重特大自然灾害救助提供有力支持。</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落实救灾、捐赠资金情况=100%为优，≥90%为良，≥80%为中，＜80%为差。建立反恐袭击物资储备库，发生恐怖袭击后，物资供应不上事件为0。农村住房保险赔付数占应赔付的比例=100%为优，≥90%为良，≥80%为中，＜80%为差。自然灾害救助完成率≥90%为优，≥80%为良，≥70%为中，＜70%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（十）加强水旱灾害救援、台风防御和地震救援</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绩效目标：完善预案体系，明确应急救援职责，提升救援队伍救援能力，加强各风险单位应急准备效果。</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绩效指标：业务人员培训完成情况，对全区重要灾害点检查计划完成情况，按当年演练计划演练完成情况，上述三项指标≥80%为优，≥70%为良，≥60%为中，＜60%为差。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（十一）加强地震灾害防御与监测预报</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绩效目标：保证地震监测台网稳定运行，努力提高地震预测预报水平，提升地震监测预报能力；提高建设工程抗震设防水平，增强全社会参与防震减灾意识和自救互救能力。</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绩效指标：周月半年和年度会商完成率≥90%为优，≥80%为良，≥70%为中，＜70%为差。组织开展的防震减灾科普宣传活动数量≥2次为优，≥1次为良。通过防震减灾科普示范学校认定的学校数量2所为优，1所为良。</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（十二）综合业务管理</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制定全区安全生产发展战略和规划、指导系统业务活动；开展安全生产专项调查研究，制订相关政策、法规规章；加强专项资金监管；开展对外合作交流；加强安全生产审批管理；开展行政复议及行政应诉工作；信访接待、业务宣传、政务信息公开等工作；开展网上行政服务；依法行政等保障各项业务工作畅通。</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绩效指标：综合业务按年度计划完成率≥90%为优，≥80%为良，≥70%为中，＜70%为差。</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（十三）综合事务管理</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绩效目标：做好会议组织管理、信息化建设与维护、机关财务和资产管理、标准化建设、基建及维修、大型设备购置、人事管理、党务管理、老干部工作等。负责直属企事业单位管理工作。</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绩效指标：退休人员管理满意度，综合事务保障率，上述两项指标≥90%为优，≥80%为良，≥70%为中，＜70%为差。</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val="0"/>
        <w:spacing w:line="240" w:lineRule="auto"/>
        <w:ind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（三）工作保障措施：</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（一）完善制度建设。制定完善预算绩效管理制度、资金管理办法、工作保障制度等，为全年预算绩效目标的实现奠定制度基础。</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（二）加强支出管理。通过优化支出结构、编细编实预算、加快履行政府采购手续、尽快启动项目、及时支付资金等多种措施，确保支出合法合理、进度达标，为应急管理工作提供有力支撑。</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（三）加强绩效运行监控。按要求开展绩效运行监控，结合应急管理工作开展情况，发现问题及时分析研判，采取措施，有效整改，确保绩效目标如期保质实现。</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（四）做好绩效自评。按要求开展上年度部门预算绩效自评和重点评价工作，对评价中发现的问题及时整改，调整优化支出结构，提高财政资金使用效益。</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keepNext w:val="0"/>
        <w:keepLines w:val="0"/>
        <w:pageBreakBefore w:val="0"/>
        <w:widowControl/>
        <w:kinsoku/>
        <w:wordWrap/>
        <w:overflowPunct/>
        <w:topLinePunct w:val="0"/>
        <w:bidi w:val="0"/>
        <w:adjustRightInd w:val="0"/>
        <w:snapToGrid w:val="0"/>
        <w:spacing w:line="24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（七）加强宣传培训调研。加强人员培训，提高本部门职工业务素质，提高资金使用效益；强化预算绩效管理意识，促进预算绩效管理水平进一步提升。</w:t>
      </w: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p>
    <w:p>
      <w:pPr>
        <w:pageBreakBefore w:val="0"/>
        <w:widowControl/>
        <w:kinsoku/>
        <w:wordWrap/>
        <w:overflowPunct/>
        <w:topLinePunct w:val="0"/>
        <w:bidi w:val="0"/>
        <w:adjustRightInd w:val="0"/>
        <w:snapToGrid w:val="0"/>
        <w:spacing w:line="240" w:lineRule="auto"/>
        <w:textAlignment w:val="auto"/>
        <w:rPr>
          <w:rFonts w:hint="eastAsia" w:ascii="仿宋_GB2312" w:hAnsi="仿宋_GB2312" w:eastAsia="仿宋_GB2312" w:cs="仿宋_GB2312"/>
          <w:b/>
          <w:color w:val="auto"/>
          <w:sz w:val="32"/>
          <w:szCs w:val="32"/>
        </w:rPr>
      </w:pPr>
    </w:p>
    <w:p>
      <w:pPr>
        <w:pageBreakBefore w:val="0"/>
        <w:widowControl/>
        <w:numPr>
          <w:ilvl w:val="0"/>
          <w:numId w:val="1"/>
        </w:numPr>
        <w:kinsoku/>
        <w:wordWrap/>
        <w:overflowPunct/>
        <w:topLinePunct w:val="0"/>
        <w:bidi w:val="0"/>
        <w:adjustRightInd w:val="0"/>
        <w:snapToGrid w:val="0"/>
        <w:spacing w:line="240" w:lineRule="auto"/>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预算项目绩效目标</w:t>
      </w:r>
    </w:p>
    <w:p>
      <w:pPr>
        <w:pageBreakBefore w:val="0"/>
        <w:widowControl/>
        <w:numPr>
          <w:ilvl w:val="0"/>
          <w:numId w:val="2"/>
        </w:numPr>
        <w:kinsoku/>
        <w:wordWrap/>
        <w:overflowPunct/>
        <w:topLinePunct w:val="0"/>
        <w:bidi w:val="0"/>
        <w:adjustRightInd w:val="0"/>
        <w:snapToGrid w:val="0"/>
        <w:spacing w:line="240" w:lineRule="auto"/>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保险费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3"/>
        <w:gridCol w:w="887"/>
        <w:gridCol w:w="1423"/>
        <w:gridCol w:w="1960"/>
        <w:gridCol w:w="2228"/>
        <w:gridCol w:w="755"/>
        <w:gridCol w:w="420"/>
        <w:gridCol w:w="1289"/>
        <w:gridCol w:w="1692"/>
        <w:gridCol w:w="3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B0C4DE" w:sz="4" w:space="0"/>
              <w:left w:val="single" w:color="B0C4DE" w:sz="4" w:space="0"/>
              <w:bottom w:val="single" w:color="B0C4DE" w:sz="4" w:space="0"/>
              <w:right w:val="single" w:color="B0C4DE"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802" w:type="pct"/>
            <w:gridSpan w:val="2"/>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507" w:type="pct"/>
            <w:gridSpan w:val="2"/>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13030322P00LDLE10009B</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337" w:type="pct"/>
            <w:gridSpan w:val="4"/>
            <w:tcBorders>
              <w:top w:val="nil"/>
              <w:left w:val="nil"/>
              <w:bottom w:val="nil"/>
              <w:right w:val="nil"/>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802" w:type="pct"/>
            <w:gridSpan w:val="2"/>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507" w:type="pct"/>
            <w:gridSpan w:val="2"/>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337" w:type="pct"/>
            <w:gridSpan w:val="4"/>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310" w:type="pct"/>
            <w:gridSpan w:val="4"/>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589" w:type="pct"/>
            <w:gridSpan w:val="5"/>
            <w:tcBorders>
              <w:top w:val="nil"/>
              <w:left w:val="nil"/>
              <w:bottom w:val="nil"/>
              <w:right w:val="nil"/>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300" w:type="pct"/>
            <w:vMerge w:val="restart"/>
            <w:tcBorders>
              <w:top w:val="nil"/>
              <w:left w:val="nil"/>
              <w:bottom w:val="nil"/>
              <w:right w:val="nil"/>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598" w:type="pct"/>
            <w:gridSpan w:val="8"/>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00" w:type="pct"/>
            <w:vMerge w:val="continue"/>
            <w:tcBorders>
              <w:top w:val="nil"/>
              <w:left w:val="nil"/>
              <w:bottom w:val="nil"/>
              <w:right w:val="nil"/>
            </w:tcBorders>
            <w:shd w:val="clear"/>
            <w:noWrap/>
            <w:vAlign w:val="top"/>
          </w:tcPr>
          <w:p>
            <w:pPr>
              <w:rPr>
                <w:rFonts w:hint="default" w:ascii="Arial" w:hAnsi="Arial" w:eastAsia="宋体" w:cs="Arial"/>
                <w:b/>
                <w:bCs/>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096" w:type="pct"/>
            <w:gridSpan w:val="7"/>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保障车辆正常投保，保障机关工作正常开展。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300"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501"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703"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803"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829" w:type="pct"/>
            <w:gridSpan w:val="3"/>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602"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1157"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703"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803"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251"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25"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451"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602"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1157"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300"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实际使用车辆人数</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实际使用车辆人数</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5"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人</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单位在编执法用车人员数</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车辆的正常运行率</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车辆的正常运行率</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5"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资金支付及时率</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资金支付及时率</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5"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保险公司续保投保要求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资金控制在预算内为满分，为完成工作计划为零分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300" w:type="pct"/>
            <w:vMerge w:val="restar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是否能提高工作效率</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是否能提高工作效率</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单位年度执法计划要求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是否能提高工作效率</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保障相关业务、工作等开展的情况</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单位年度执法计划要求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有效提供后勤保障</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有效提供后勤保障</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单位年度执法计划要求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300" w:type="pct"/>
            <w:vMerge w:val="continue"/>
            <w:tcBorders>
              <w:top w:val="nil"/>
              <w:left w:val="nil"/>
              <w:bottom w:val="nil"/>
              <w:right w:val="nil"/>
            </w:tcBorders>
            <w:shd w:val="clear"/>
            <w:noWrap/>
            <w:vAlign w:val="top"/>
          </w:tcPr>
          <w:p>
            <w:pPr>
              <w:jc w:val="center"/>
              <w:rPr>
                <w:rFonts w:hint="default" w:ascii="Calibri" w:hAnsi="Calibri" w:eastAsia="宋体" w:cs="Calibri"/>
                <w:i w:val="0"/>
                <w:iCs w:val="0"/>
                <w:color w:val="000000"/>
                <w:sz w:val="22"/>
                <w:szCs w:val="22"/>
                <w:u w:val="none"/>
              </w:rPr>
            </w:pP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保障工作顺利完成</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保障工作顺利完成</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单位年度执法计划要求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300" w:type="pct"/>
            <w:tcBorders>
              <w:top w:val="nil"/>
              <w:left w:val="nil"/>
              <w:bottom w:val="nil"/>
              <w:right w:val="nil"/>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501" w:type="pct"/>
            <w:tcBorders>
              <w:top w:val="single" w:color="B0C4DE" w:sz="4" w:space="0"/>
              <w:left w:val="single" w:color="B0C4DE" w:sz="4" w:space="0"/>
              <w:bottom w:val="single" w:color="B0C4DE" w:sz="4" w:space="0"/>
              <w:right w:val="single" w:color="B0C4DE"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7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满意度人员占单位工作人员数</w:t>
            </w:r>
          </w:p>
        </w:tc>
        <w:tc>
          <w:tcPr>
            <w:tcW w:w="803"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满意度人员占单位工作人员数</w:t>
            </w:r>
          </w:p>
        </w:tc>
        <w:tc>
          <w:tcPr>
            <w:tcW w:w="2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5" w:type="pct"/>
            <w:tcBorders>
              <w:top w:val="nil"/>
              <w:left w:val="nil"/>
              <w:bottom w:val="nil"/>
              <w:right w:val="nil"/>
            </w:tcBorders>
            <w:shd w:val="clear"/>
            <w:noWrap/>
            <w:vAlign w:val="top"/>
          </w:tcPr>
          <w:p>
            <w:pPr>
              <w:jc w:val="left"/>
              <w:rPr>
                <w:rFonts w:hint="default" w:ascii="Calibri" w:hAnsi="Calibri" w:eastAsia="宋体" w:cs="Calibri"/>
                <w:i w:val="0"/>
                <w:iCs w:val="0"/>
                <w:color w:val="000000"/>
                <w:sz w:val="22"/>
                <w:szCs w:val="22"/>
                <w:u w:val="none"/>
              </w:rPr>
            </w:pPr>
          </w:p>
        </w:tc>
        <w:tc>
          <w:tcPr>
            <w:tcW w:w="451"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02"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单位年度执法计划要求</w:t>
            </w:r>
          </w:p>
        </w:tc>
        <w:tc>
          <w:tcPr>
            <w:tcW w:w="1157" w:type="pct"/>
            <w:tcBorders>
              <w:top w:val="nil"/>
              <w:left w:val="nil"/>
              <w:bottom w:val="nil"/>
              <w:right w:val="nil"/>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应急通信保障能力提升工程专项资金</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0"/>
        <w:gridCol w:w="585"/>
        <w:gridCol w:w="882"/>
        <w:gridCol w:w="1178"/>
        <w:gridCol w:w="1178"/>
        <w:gridCol w:w="513"/>
        <w:gridCol w:w="290"/>
        <w:gridCol w:w="808"/>
        <w:gridCol w:w="6639"/>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46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808"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13030321P00426010001W</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3497"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应急通信保障能力提升工程专项资金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46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808"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3497"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275"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3646"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7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745"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中长期目标（2021年-2021年）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454"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目标内容1保障我区如期完成通信保障能力提升工程应急通信系统（装备）的采购任务，按时与省市系统实现并网对接。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17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29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40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40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489"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250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649"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250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17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完成采购设备数量</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完成采购设备数量</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个</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保障设备性能良好</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保障设备性能良好</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保障设备及时安装</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保障资金控制在预算范围内</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保障资金控制在预算范围内</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资金控制在预算内为满分，每超过1000元扣1分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7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提升应急通信水平</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提升应急通信水平</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保障应急通信工作顺利开展</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保障应急通信工作顺利开展</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7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保障应急通信工作可持续开展</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保障应急通信工作可持续开展</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7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保障供货方满意</w:t>
            </w:r>
          </w:p>
        </w:tc>
        <w:tc>
          <w:tcPr>
            <w:tcW w:w="4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保障供货方满意</w:t>
            </w:r>
          </w:p>
        </w:tc>
        <w:tc>
          <w:tcPr>
            <w:tcW w:w="14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5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《关于统一组织采购河北省应急通信保障能力提升工程“应急通讯系统（装备）”的通知》，《秦皇岛市应急管理局转发&lt;关于明确河北省重大活动应急通信保障能力提升工程投资概算的通知&gt;的通知》</w:t>
            </w:r>
          </w:p>
        </w:tc>
        <w:tc>
          <w:tcPr>
            <w:tcW w:w="64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按采购合同完成采购为满分，每超过一天扣1分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自然灾害救助专项资金（提前下达）</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4"/>
        <w:gridCol w:w="701"/>
        <w:gridCol w:w="1089"/>
        <w:gridCol w:w="2058"/>
        <w:gridCol w:w="2058"/>
        <w:gridCol w:w="606"/>
        <w:gridCol w:w="364"/>
        <w:gridCol w:w="992"/>
        <w:gridCol w:w="4031"/>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59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493"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13030322P004316100011</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646"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自然灾害救助专项资金（提前下达）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59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493"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646"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089"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832"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2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98"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325"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切实增强受灾群众抵御自然灾害的能力，化解灾害引起的政府风险，减轻财政支出的压力，确保政策性农村住房保险工作持续、健康发展。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2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37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74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74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615"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50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71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50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2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确保为有参保意愿的农户提供配套资金</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确保为有参保意愿的农户提供配套资金</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农房保险出险赔付数量占应赔付数量的比例</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农房保险出险赔付数量占应赔付数量的比例</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2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保障业务工作情况</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保障业务工作情况</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减轻社会组织经济负担</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减轻社会组织经济负担</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保障受灾群众基本生活</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保障受灾群众基本生活</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有效保障受灾群众基本生活</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有效保障受灾群众基本生活</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2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3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参保农民满意度</w:t>
            </w:r>
          </w:p>
        </w:tc>
        <w:tc>
          <w:tcPr>
            <w:tcW w:w="74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参保农民满意度</w:t>
            </w:r>
          </w:p>
        </w:tc>
        <w:tc>
          <w:tcPr>
            <w:tcW w:w="1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3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《关于提前下达2022年自然灾害救助专项资金预算指的通知》（秦财企【2021】673号）</w:t>
            </w:r>
          </w:p>
        </w:tc>
        <w:tc>
          <w:tcPr>
            <w:tcW w:w="7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农村住房保险补助资金</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8"/>
        <w:gridCol w:w="769"/>
        <w:gridCol w:w="1212"/>
        <w:gridCol w:w="2319"/>
        <w:gridCol w:w="2319"/>
        <w:gridCol w:w="661"/>
        <w:gridCol w:w="385"/>
        <w:gridCol w:w="1101"/>
        <w:gridCol w:w="2429"/>
        <w:gridCol w:w="2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674"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687"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13030322P0062J410002H</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34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农村住房保险补助资金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674"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687"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34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36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553"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5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63"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241"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切实增强受灾群众抵御自然灾害的能力，化解灾害引起的政府风险，减轻财政支出的压力，确保政策性农村住房保险工作持续、健康发展。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5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4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84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84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696"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88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97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4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4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88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97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5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确保为有参保意愿的农户提供配套资金</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确保为有参保意愿的农户提供配套资金</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是否完成年度工作计划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农房保险出险赔付数量占应赔付数量的比例</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农房保险出险赔付数量占应赔付数量的比例</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保险公司实际赔付完成情况</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是否应赔尽赔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保险公司实际赔付完成情况</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是否按规定支出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5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减轻社会组织经济负担</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减轻社会组织经济负担</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化解灾害引起的政府风险，减轻财政支出压力</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是否化解灾害引起的政府风险，减轻财政支出压力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保障受灾群众基本生活</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保障受灾群众基本生活</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提高群众抵御自然灾害的能力</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是否提高群众抵御自然灾害的能力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有效保障受灾群众基本生活</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是否有效保障受灾群众基生活本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保障业务工作情况</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保障业务工作情况</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年度工作计划</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是否完成年度工作计划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8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参保满意度</w:t>
            </w:r>
          </w:p>
        </w:tc>
        <w:tc>
          <w:tcPr>
            <w:tcW w:w="84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参保农民满意度</w:t>
            </w:r>
          </w:p>
        </w:tc>
        <w:tc>
          <w:tcPr>
            <w:tcW w:w="21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37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参保农民满意度测评情况</w:t>
            </w:r>
          </w:p>
        </w:tc>
        <w:tc>
          <w:tcPr>
            <w:tcW w:w="9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参保农民是否满意</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应急及安全生产监管经费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5"/>
        <w:gridCol w:w="803"/>
        <w:gridCol w:w="1272"/>
        <w:gridCol w:w="1507"/>
        <w:gridCol w:w="2211"/>
        <w:gridCol w:w="688"/>
        <w:gridCol w:w="335"/>
        <w:gridCol w:w="1155"/>
        <w:gridCol w:w="3302"/>
        <w:gridCol w:w="2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71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33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13030322P00B48410002M</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64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应急及安全生产监管经费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71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33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64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046"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864"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6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44"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199"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目标内容：提高执法质量，优化我区经济发展环境。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6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44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53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80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712"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21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93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21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6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覆盖率</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评估覆盖率</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覆盖范围每少1%扣1分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完成率</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行政处罚优质案件率</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w:t>
            </w: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优质案卷率每少1%扣一分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工作按时完成率</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工作按时完成率</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工作及时完成率每少1%扣1分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每超预算1万元扣1分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6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资金使用效益</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资金使用是否为安全生产工作做出贡献</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计划顺利完成为满分，每发生一起事故扣3分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是否减少事故发生</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是否减少事故发生</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计划顺利完成为满分，每发生一起事故扣3分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是否保障社会发展</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计划顺利完成为满分，每发生一起事故扣3分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监督检查结果是否应用</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监督检查结果是否应用</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计划顺利完成为满分，每发生一起事故扣3分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4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53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监督行为及效果是否满意</w:t>
            </w:r>
          </w:p>
        </w:tc>
        <w:tc>
          <w:tcPr>
            <w:tcW w:w="8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监督行为及效果是否满意</w:t>
            </w:r>
          </w:p>
        </w:tc>
        <w:tc>
          <w:tcPr>
            <w:tcW w:w="2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21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2022年度，国家、省、市、区各专项监管监察工作部署文件</w:t>
            </w:r>
          </w:p>
        </w:tc>
        <w:tc>
          <w:tcPr>
            <w:tcW w:w="93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计划顺利完成为满分，每发生一起事故扣3分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自然灾害防治体系建设补助资金（全国自然灾害综合风险普查经费）</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4"/>
        <w:gridCol w:w="696"/>
        <w:gridCol w:w="1080"/>
        <w:gridCol w:w="3289"/>
        <w:gridCol w:w="3289"/>
        <w:gridCol w:w="602"/>
        <w:gridCol w:w="362"/>
        <w:gridCol w:w="984"/>
        <w:gridCol w:w="1229"/>
        <w:gridCol w:w="2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590"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2442"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13030321P003830100013</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1703"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自然灾害防治体系建设补助资金（全国自然灾害综合风险普查经费）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96"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590"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2442"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1703"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3033"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1888"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700"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中长期目标（2021年-2021年）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331"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进行普查清查，摸清普查对象的数量、分布和规模，准确界定普查对象的普查方式及填报单位。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目标2</w:t>
            </w:r>
          </w:p>
        </w:tc>
        <w:tc>
          <w:tcPr>
            <w:tcW w:w="4331"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开展全面的调查工作，汇总形成调查数据。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目标3</w:t>
            </w:r>
          </w:p>
        </w:tc>
        <w:tc>
          <w:tcPr>
            <w:tcW w:w="4331"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开展好普查的调查阶段的宣传工作。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目标4</w:t>
            </w:r>
          </w:p>
        </w:tc>
        <w:tc>
          <w:tcPr>
            <w:tcW w:w="4331"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针对调查对象和内容，开展调查数据质检、汇交等重点工作。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9</w:t>
            </w:r>
          </w:p>
        </w:tc>
        <w:tc>
          <w:tcPr>
            <w:tcW w:w="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369"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1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1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609"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42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85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10</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42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清查、调查任务覆盖数量</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清查、调查任务覆盖数量</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普查对象清查覆盖全县的概率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普查对象清查覆盖全县的概率</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调查任务完成的程度</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调查任务完成的程度</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85</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普查宣传工作覆盖的程度</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普查宣传工作覆盖的程度</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普查人员参与培训的覆盖率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普查人员参与培训的覆盖率</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县级普查数据成果质检核查通过程度</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县级普查数据成果质检核查通过程度</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完成进度与预计发生偏差的程度</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完成进度与预计发生偏差的程度</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偏差1个月内</w:t>
            </w: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在规定时限内办理完成得满分，超出时限酌情扣分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对成本控制的有效性</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对成本控制的有效性</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在规定时限内办理完成得满分，超出时限酌情扣分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2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普查成果为自然灾害防治、应急管理等工作提供科学依据，减轻灾害损失</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普查成果为自然灾害防治、应急管理等工作提供科学依据，减轻灾害损失</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是否效果显著</w:t>
            </w: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在规定时限内办理完成得满分，超出时限酌情扣分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数据共享涉及部门数量</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数据共享涉及部门数量</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普查工作对提升基层自然灾害防治能力的作用</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普查工作对提升基层自然灾害防治能力的作用</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是否效果显著</w:t>
            </w: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在规定时限内办理完成得满分，超出时限酌情扣分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2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普查工作长期提升基层自然灾害防治能力</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普查工作长期提升基层自然灾害防治能力</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在规定时限内办理完成得满分，超出时限酌情扣分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普查行业部门及调查覆盖单位满意度</w:t>
            </w:r>
          </w:p>
        </w:tc>
        <w:tc>
          <w:tcPr>
            <w:tcW w:w="12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普查行业部门及调查覆盖单位满意度</w:t>
            </w:r>
          </w:p>
        </w:tc>
        <w:tc>
          <w:tcPr>
            <w:tcW w:w="1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&gt;</w:t>
            </w:r>
          </w:p>
        </w:tc>
        <w:tc>
          <w:tcPr>
            <w:tcW w:w="9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33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山财企（2021）第12号</w:t>
            </w:r>
          </w:p>
        </w:tc>
        <w:tc>
          <w:tcPr>
            <w:tcW w:w="85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按实际完成值占计划完成值比例计算得分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林火视频监控平台服务费</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7"/>
        <w:gridCol w:w="712"/>
        <w:gridCol w:w="1109"/>
        <w:gridCol w:w="2002"/>
        <w:gridCol w:w="2002"/>
        <w:gridCol w:w="615"/>
        <w:gridCol w:w="392"/>
        <w:gridCol w:w="1010"/>
        <w:gridCol w:w="4066"/>
        <w:gridCol w:w="1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60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44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13030322P00386510001K</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67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林火视频监控平台服务费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60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44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67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058"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863"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2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93"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312"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进一步做好森林防灭火安全工作，提高林火监测能力。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2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38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72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72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638"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519"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70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519"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2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林火视频监控故障率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林火视频监控故障率</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按指标完成任务为满分，每多1%扣一分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林火视频监控覆盖率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林火视频监控覆盖率</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85</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按指标完成任务为满分，每少1%扣一分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保障林火监控正常开展</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保障林火监控正常开展</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按指标完成任务为满分，每少1%扣一分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2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通过及时扑灭火情从而降低火灾损失</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通过及时扑灭火情从而降低火灾损失</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预防和及时扑灭火情，保持森林覆盖率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预防和及时扑灭火情，保持森林覆盖率</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37.8</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按指标完成任务为满分，每少1%扣一分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有效保护森林资源，以免因火灾造成破坏</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有效保护森林资源，以免因火灾造成破坏</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2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能够长期较好地满足工作需求</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能够长期较好地满足工作需求</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2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满意的人数占调查总人数的比率</w:t>
            </w:r>
          </w:p>
        </w:tc>
        <w:tc>
          <w:tcPr>
            <w:tcW w:w="72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满意的人数占调查总人数的比率</w:t>
            </w:r>
          </w:p>
        </w:tc>
        <w:tc>
          <w:tcPr>
            <w:tcW w:w="19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w:t>
            </w:r>
          </w:p>
        </w:tc>
        <w:tc>
          <w:tcPr>
            <w:tcW w:w="34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51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《关于尽快支付森林草原防火视频监控系统服务费的督办通知》冀林草字【2021】217号</w:t>
            </w:r>
          </w:p>
        </w:tc>
        <w:tc>
          <w:tcPr>
            <w:tcW w:w="7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按指标完成任务为满分，每少1%扣一分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森林防火指挥中心人员专项补助</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0"/>
        <w:gridCol w:w="926"/>
        <w:gridCol w:w="1495"/>
        <w:gridCol w:w="1921"/>
        <w:gridCol w:w="1921"/>
        <w:gridCol w:w="787"/>
        <w:gridCol w:w="358"/>
        <w:gridCol w:w="1353"/>
        <w:gridCol w:w="2280"/>
        <w:gridCol w:w="2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84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37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13030322P00288410020X</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408"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森林防火指挥中心人员专项补助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84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375"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408"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220"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673"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31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577"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048"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保障单位1名事业编员工工资按时发放。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31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68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68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845"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8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100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8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00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31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工资发放人员数量</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工资发放人员数量</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人</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工资准确发放人数</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工资准确发放人数</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人</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工资及时发放</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工资及时发放</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31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保障单位职工生活需要</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保障单位职工生活需要</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保障单位职工工作顺利完成</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保障单位职工工作顺利完成</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保障社会发展</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31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保障工作长期稳定开展</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保障工作长期稳定开展</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31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保障职工满意</w:t>
            </w:r>
          </w:p>
        </w:tc>
        <w:tc>
          <w:tcPr>
            <w:tcW w:w="68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保障职工满意</w:t>
            </w:r>
          </w:p>
        </w:tc>
        <w:tc>
          <w:tcPr>
            <w:tcW w:w="2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8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《会议纪要》 办纪【2021】37号</w:t>
            </w:r>
          </w:p>
        </w:tc>
        <w:tc>
          <w:tcPr>
            <w:tcW w:w="100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按指标要求完成为满分，未完成为零分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人事代理专项补助经费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4"/>
        <w:gridCol w:w="894"/>
        <w:gridCol w:w="1437"/>
        <w:gridCol w:w="1844"/>
        <w:gridCol w:w="1844"/>
        <w:gridCol w:w="761"/>
        <w:gridCol w:w="423"/>
        <w:gridCol w:w="1301"/>
        <w:gridCol w:w="2929"/>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81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31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13030322P00288410018Y</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513"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人事代理专项补助经费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81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31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513"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130"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767"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30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594"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087"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保障本单位2名人事代理工作及保险按时发放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30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50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659"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659"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837"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06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86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06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30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及时支付工资保险人员数量</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及时支付工资保险人员数量</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人</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 xml:space="preserve"> 工资及保险发放准确率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 xml:space="preserve"> 工资及保险发放准确率</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人</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资金支付及时率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资金支付及时率</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控制在资金预算内</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控制在资金预算内</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30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保障资金按计划支付</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保障资金按计划支付</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保障日常工作稳定运转</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保障日常工作稳定运转</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保障工作后勤</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保障工作后勤</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30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保障工作顺利完成</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保障工作顺利完成</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30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5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满意人员占总员工人数</w:t>
            </w:r>
          </w:p>
        </w:tc>
        <w:tc>
          <w:tcPr>
            <w:tcW w:w="659"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满意人员占总员工人数</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45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6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依据相关文件规定，参照事业编制人员管理。</w:t>
            </w:r>
          </w:p>
        </w:tc>
        <w:tc>
          <w:tcPr>
            <w:tcW w:w="8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按指标发放为满分，未完成为零分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第一次全国自然灾害综合风险普查经费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0"/>
        <w:gridCol w:w="634"/>
        <w:gridCol w:w="968"/>
        <w:gridCol w:w="2888"/>
        <w:gridCol w:w="2888"/>
        <w:gridCol w:w="552"/>
        <w:gridCol w:w="301"/>
        <w:gridCol w:w="952"/>
        <w:gridCol w:w="2972"/>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51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212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13030322P008R0210003Y</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109"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第一次全国自然灾害综合风险普查经费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51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212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109"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649"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272"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9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726"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402"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掌握我区自然灾害风险隐患情况，提升全社会抵御自然灾害的综合防范能力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目标2</w:t>
            </w:r>
          </w:p>
        </w:tc>
        <w:tc>
          <w:tcPr>
            <w:tcW w:w="4402"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根据国家、省、市、区关于组织开展第一次全国自然灾害综合风险普查工作的要求，严密部署、精心组织、扎实落实、圆满完成各项普查工作任务，为区政府有效开展自然灾害防治和应急管理工作、切实保障社会经济可持续发展提供权威的自然灾害风险信息和科学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19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32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106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106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560"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09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614"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8</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06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06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09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9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完成综合减灾资源、重点隐藏调查、历史灾害调查、质检核查等普查任务</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完成综合减灾资源、重点隐藏调查、历史灾害调查、质检核查等普查任务</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项</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普查成果整体合格率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普查成果整体合格率</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完成各项任务时间</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完成各项任务时间</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2022年12月前完成</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保证资金控制在预算内</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保证资金控制在预算内</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9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能否减少自然灾害造成的损失</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能否减少自然灾害造成的损失</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提升社会防灾减灾能力</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提升社会防灾减灾能力</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推进人与自然和谐持续发展</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推进人与自然和谐持续发展</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9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能否持续性提升地区防灾减灾能力</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能否持续性提升地区防灾减灾能力</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19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3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保障雇佣人员满意</w:t>
            </w:r>
          </w:p>
        </w:tc>
        <w:tc>
          <w:tcPr>
            <w:tcW w:w="106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保障雇佣人员满意</w:t>
            </w:r>
          </w:p>
        </w:tc>
        <w:tc>
          <w:tcPr>
            <w:tcW w:w="16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1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0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山海关区人民政府办公室关于开展第一次全国自然灾害综合风险普查的通知</w:t>
            </w:r>
          </w:p>
        </w:tc>
        <w:tc>
          <w:tcPr>
            <w:tcW w:w="61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应急管理及安全生产目标管理经费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5"/>
        <w:gridCol w:w="652"/>
        <w:gridCol w:w="1001"/>
        <w:gridCol w:w="1088"/>
        <w:gridCol w:w="1088"/>
        <w:gridCol w:w="567"/>
        <w:gridCol w:w="305"/>
        <w:gridCol w:w="914"/>
        <w:gridCol w:w="6555"/>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53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74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13030322P002HPB100027</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3471"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应急管理及安全生产目标管理经费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53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74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3471"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281"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3640"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0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719"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382"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全面完成安全生产目标管理各项督导检查、评估指导工作。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目标2</w:t>
            </w:r>
          </w:p>
        </w:tc>
        <w:tc>
          <w:tcPr>
            <w:tcW w:w="4382"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加强应急救援体系建设，组织应急预案编制及应急演练，提高突发事件的应急救援能力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0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37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37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551"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248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60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8</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248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0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日常巡查覆盖率</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监督企业建立应急预案</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80</w:t>
            </w: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按指标完成为满分，每少1%扣1分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优良率</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优良率</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80</w:t>
            </w: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按指标完成为满分，每少1%扣1分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工作任务完成及时率</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工作任务完成及时率</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80</w:t>
            </w: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按指标完成为满分，每少1%扣1分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控制在预算资金内</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控制在预算内为满分，未能完成为零分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02"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资金能否按计划使用</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资金能否按计划使用</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按指标完成为满分，未能完成为零分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是否能降低事故发生率</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是否能降低事故发生率</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按指标完成为满分，未能完成为零分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是否保障社会发展</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是否保障社会发展</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按指标完成为满分，未能完成为零分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02"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是否保障工作完成</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是否保障工作完成</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按指标完成为满分，未能完成为零分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20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37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监督行为及效果满意度</w:t>
            </w:r>
          </w:p>
        </w:tc>
        <w:tc>
          <w:tcPr>
            <w:tcW w:w="37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监督行为及效果满意度</w:t>
            </w:r>
          </w:p>
        </w:tc>
        <w:tc>
          <w:tcPr>
            <w:tcW w:w="16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248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1.国务院办公厅关于加强安全生产监管执法的通知（国办发【2015】20号）2.山海关区委区政府关于印发《山海关区安全生产“党政同责、一岗双责”实施办法》的通知</w:t>
            </w:r>
          </w:p>
        </w:tc>
        <w:tc>
          <w:tcPr>
            <w:tcW w:w="60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按指标完成为满分，未能完成为零分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森林消防大队专项补助</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7"/>
        <w:gridCol w:w="865"/>
        <w:gridCol w:w="1384"/>
        <w:gridCol w:w="2551"/>
        <w:gridCol w:w="2551"/>
        <w:gridCol w:w="737"/>
        <w:gridCol w:w="414"/>
        <w:gridCol w:w="1254"/>
        <w:gridCol w:w="1779"/>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77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853"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13030322P00288410019J</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026"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森林消防大队专项补助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779"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853"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026"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632"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2270"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9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10"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123"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预防减少自然灾害对森林资源的损失，保护森林资源。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9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487"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92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926"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804"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635"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83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635"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9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森林防火每日巡查次数</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是否每日巡查</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每日巡查为满分，少巡查一天扣一分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当年实际日常巡查目标完成率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当年实际日常巡查目标完成率</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保障队员每月按时发放工资、足额发放</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保障队员每月按时发放工资、足额发放</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支出金额控制在预算额度内</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9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通过及时扑灭火情从而降低火灾损失</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通过及时扑灭火情从而降低火灾损失</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预防和及时扑灭火情，保持森林覆盖率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预防和及时扑灭火情，保持森林覆盖率</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有效保护森林资源，以免因火灾造成破坏</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有效保护森林资源，以免因火灾造成破坏</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9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能够长期较好地满足工作需求</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能够长期较好地满足工作需求</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9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4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工作人员对工资发放是否满意</w:t>
            </w:r>
          </w:p>
        </w:tc>
        <w:tc>
          <w:tcPr>
            <w:tcW w:w="926"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工作人员对工资发放是否满意</w:t>
            </w:r>
          </w:p>
        </w:tc>
        <w:tc>
          <w:tcPr>
            <w:tcW w:w="24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122"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635"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秦森防改字【2019】第4号</w:t>
            </w:r>
          </w:p>
        </w:tc>
        <w:tc>
          <w:tcPr>
            <w:tcW w:w="83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bl>
    <w:p>
      <w:pPr>
        <w:pageBreakBefore w:val="0"/>
        <w:widowControl/>
        <w:numPr>
          <w:ilvl w:val="0"/>
          <w:numId w:val="2"/>
        </w:numPr>
        <w:kinsoku/>
        <w:wordWrap/>
        <w:overflowPunct/>
        <w:topLinePunct w:val="0"/>
        <w:bidi w:val="0"/>
        <w:adjustRightInd w:val="0"/>
        <w:snapToGrid w:val="0"/>
        <w:spacing w:line="240" w:lineRule="auto"/>
        <w:ind w:left="0" w:leftChars="0" w:firstLine="0" w:firstLineChars="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执法服装费</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9"/>
        <w:gridCol w:w="772"/>
        <w:gridCol w:w="1217"/>
        <w:gridCol w:w="1550"/>
        <w:gridCol w:w="1550"/>
        <w:gridCol w:w="663"/>
        <w:gridCol w:w="329"/>
        <w:gridCol w:w="1105"/>
        <w:gridCol w:w="4663"/>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bdr w:val="none" w:color="auto" w:sz="0" w:space="0"/>
                <w:lang w:val="en-US" w:eastAsia="zh-CN" w:bidi="ar"/>
              </w:rPr>
              <w:t>预算项目绩效表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0"/>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67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项目编码</w:t>
            </w:r>
          </w:p>
        </w:tc>
        <w:tc>
          <w:tcPr>
            <w:tcW w:w="110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13030322P00386410001X</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项目名称</w:t>
            </w:r>
          </w:p>
        </w:tc>
        <w:tc>
          <w:tcPr>
            <w:tcW w:w="2925"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执法服装费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676"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主管部门及代码</w:t>
            </w:r>
          </w:p>
        </w:tc>
        <w:tc>
          <w:tcPr>
            <w:tcW w:w="1101" w:type="pct"/>
            <w:gridSpan w:val="2"/>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426-应急部门</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实施单位</w:t>
            </w:r>
          </w:p>
        </w:tc>
        <w:tc>
          <w:tcPr>
            <w:tcW w:w="2925"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426001-应急部门秦皇岛市山海关区应急管理局本级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778" w:type="pct"/>
            <w:gridSpan w:val="4"/>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项目绩效模板</w:t>
            </w:r>
          </w:p>
        </w:tc>
        <w:tc>
          <w:tcPr>
            <w:tcW w:w="3137" w:type="pct"/>
            <w:gridSpan w:val="5"/>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5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bdr w:val="none" w:color="auto" w:sz="0" w:space="0"/>
                <w:lang w:val="en-US" w:eastAsia="zh-CN" w:bidi="ar"/>
              </w:rPr>
              <w:t>绩效目标</w:t>
            </w:r>
          </w:p>
        </w:tc>
        <w:tc>
          <w:tcPr>
            <w:tcW w:w="4661"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rPr>
                <w:rFonts w:hint="default" w:ascii="Arial" w:hAnsi="Arial" w:eastAsia="宋体" w:cs="Arial"/>
                <w:b/>
                <w:bCs/>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w:t>
            </w:r>
          </w:p>
        </w:tc>
        <w:tc>
          <w:tcPr>
            <w:tcW w:w="4238" w:type="pct"/>
            <w:gridSpan w:val="7"/>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按国家规定采购和管理执法统一制式服装，推进文明执法。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6</w:t>
            </w:r>
          </w:p>
        </w:tc>
        <w:tc>
          <w:tcPr>
            <w:tcW w:w="25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一级指标</w:t>
            </w:r>
          </w:p>
        </w:tc>
        <w:tc>
          <w:tcPr>
            <w:tcW w:w="42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二级指标</w:t>
            </w:r>
          </w:p>
        </w:tc>
        <w:tc>
          <w:tcPr>
            <w:tcW w:w="55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三级指标</w:t>
            </w:r>
          </w:p>
        </w:tc>
        <w:tc>
          <w:tcPr>
            <w:tcW w:w="550"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指标说明</w:t>
            </w:r>
          </w:p>
        </w:tc>
        <w:tc>
          <w:tcPr>
            <w:tcW w:w="677" w:type="pct"/>
            <w:gridSpan w:val="3"/>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指标值</w:t>
            </w:r>
          </w:p>
        </w:tc>
        <w:tc>
          <w:tcPr>
            <w:tcW w:w="1738"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指标确定依据</w:t>
            </w:r>
          </w:p>
        </w:tc>
        <w:tc>
          <w:tcPr>
            <w:tcW w:w="721"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符号</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值</w:t>
            </w: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单位（文字描述）</w:t>
            </w:r>
          </w:p>
        </w:tc>
        <w:tc>
          <w:tcPr>
            <w:tcW w:w="1738"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5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产出指标</w:t>
            </w: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购买执法制式服装数量</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购买执法制式服装数量</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套</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保障服装满足执法工作需求</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保障服装满足执法工作需求</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及时性</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能否在规定时间内购买完成</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控制在预算范围内</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控制在预算范围内</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控制在预算内为满分，未完成为零分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53" w:type="pct"/>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效益指标</w:t>
            </w: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保障资金使用在计划内</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保障资金使用在计划内</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降低事故发生率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降低事故发生率</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生态效益指标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促进社会发展</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促进社会发展</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53" w:type="pct"/>
            <w:vMerge w:val="continue"/>
            <w:tcBorders>
              <w:top w:val="single" w:color="000000" w:sz="4" w:space="0"/>
              <w:left w:val="single" w:color="000000" w:sz="4" w:space="0"/>
              <w:bottom w:val="single" w:color="000000" w:sz="4" w:space="0"/>
              <w:right w:val="single" w:color="000000" w:sz="4" w:space="0"/>
            </w:tcBorders>
            <w:shd w:val="clear"/>
            <w:noWrap/>
            <w:vAlign w:val="top"/>
          </w:tcPr>
          <w:p>
            <w:pPr>
              <w:jc w:val="center"/>
              <w:rPr>
                <w:rFonts w:hint="default" w:ascii="Calibri" w:hAnsi="Calibri" w:eastAsia="宋体" w:cs="Calibri"/>
                <w:i w:val="0"/>
                <w:iCs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保障工作持续开展</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保障工作持续开展</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是/否</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53"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满意度指标</w:t>
            </w:r>
          </w:p>
        </w:tc>
        <w:tc>
          <w:tcPr>
            <w:tcW w:w="4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员工对执法服装满意度</w:t>
            </w:r>
          </w:p>
        </w:tc>
        <w:tc>
          <w:tcPr>
            <w:tcW w:w="5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员工对执法服装满意度</w:t>
            </w:r>
          </w:p>
        </w:tc>
        <w:tc>
          <w:tcPr>
            <w:tcW w:w="212"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w:t>
            </w:r>
          </w:p>
        </w:tc>
        <w:tc>
          <w:tcPr>
            <w:tcW w:w="38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1738"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《综合行政执法制式服装和标志管理办法》《综合行政执法制式服装和标志预算定额标准》</w:t>
            </w:r>
          </w:p>
        </w:tc>
        <w:tc>
          <w:tcPr>
            <w:tcW w:w="721"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按指标完成为满分，未完成为零分</w:t>
            </w:r>
          </w:p>
        </w:tc>
      </w:tr>
    </w:tbl>
    <w:p>
      <w:pPr>
        <w:pageBreakBefore w:val="0"/>
        <w:widowControl/>
        <w:numPr>
          <w:numId w:val="0"/>
        </w:numPr>
        <w:kinsoku/>
        <w:wordWrap/>
        <w:overflowPunct/>
        <w:topLinePunct w:val="0"/>
        <w:bidi w:val="0"/>
        <w:adjustRightInd w:val="0"/>
        <w:snapToGrid w:val="0"/>
        <w:spacing w:line="240" w:lineRule="auto"/>
        <w:ind w:leftChars="0"/>
        <w:textAlignment w:val="auto"/>
        <w:rPr>
          <w:rFonts w:hint="default" w:ascii="仿宋_GB2312" w:hAnsi="仿宋_GB2312" w:eastAsia="仿宋_GB2312" w:cs="仿宋_GB2312"/>
          <w:b/>
          <w:color w:val="auto"/>
          <w:sz w:val="32"/>
          <w:szCs w:val="32"/>
          <w:lang w:val="en-US" w:eastAsia="zh-CN"/>
        </w:rPr>
      </w:pPr>
      <w:bookmarkStart w:id="0" w:name="_GoBack"/>
      <w:bookmarkEnd w:id="0"/>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89171"/>
    <w:multiLevelType w:val="singleLevel"/>
    <w:tmpl w:val="9F189171"/>
    <w:lvl w:ilvl="0" w:tentative="0">
      <w:start w:val="2"/>
      <w:numFmt w:val="chineseCounting"/>
      <w:suff w:val="space"/>
      <w:lvlText w:val="第%1部分"/>
      <w:lvlJc w:val="left"/>
      <w:rPr>
        <w:rFonts w:hint="eastAsia"/>
      </w:rPr>
    </w:lvl>
  </w:abstractNum>
  <w:abstractNum w:abstractNumId="1">
    <w:nsid w:val="57B83727"/>
    <w:multiLevelType w:val="singleLevel"/>
    <w:tmpl w:val="57B8372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TA5MTg4ZDVmNDBjNmE3M2M5MWNiNjkwODUzOTUzOWYifQ=="/>
  </w:docVars>
  <w:rsids>
    <w:rsidRoot w:val="00D31D50"/>
    <w:rsid w:val="00323B43"/>
    <w:rsid w:val="003D37D8"/>
    <w:rsid w:val="00426133"/>
    <w:rsid w:val="004358AB"/>
    <w:rsid w:val="008B7726"/>
    <w:rsid w:val="00BF6341"/>
    <w:rsid w:val="00D31D50"/>
    <w:rsid w:val="00F6269B"/>
    <w:rsid w:val="06B85F41"/>
    <w:rsid w:val="07786DEC"/>
    <w:rsid w:val="07E143D0"/>
    <w:rsid w:val="0C0E4063"/>
    <w:rsid w:val="102616F4"/>
    <w:rsid w:val="1B696EB0"/>
    <w:rsid w:val="1BD8179A"/>
    <w:rsid w:val="1CD84A59"/>
    <w:rsid w:val="1D855D9F"/>
    <w:rsid w:val="28AE6298"/>
    <w:rsid w:val="2CEE785D"/>
    <w:rsid w:val="32462B3A"/>
    <w:rsid w:val="38B441CD"/>
    <w:rsid w:val="3ACF4A4C"/>
    <w:rsid w:val="3D920991"/>
    <w:rsid w:val="413A29BF"/>
    <w:rsid w:val="47CF388F"/>
    <w:rsid w:val="48860E41"/>
    <w:rsid w:val="49DA1EAD"/>
    <w:rsid w:val="557247A3"/>
    <w:rsid w:val="67255A59"/>
    <w:rsid w:val="684E214E"/>
    <w:rsid w:val="7B1C4A84"/>
    <w:rsid w:val="7D146BB5"/>
    <w:rsid w:val="7E08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毛桃</cp:lastModifiedBy>
  <dcterms:modified xsi:type="dcterms:W3CDTF">2022-05-16T08:06:26Z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58E350B9AEA84F3EA9AC6A0A9B5A3E5E</vt:lpwstr>
  </property>
</Properties>
</file>