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eastAsia="Times New Roman"/>
        </w:rPr>
      </w:pPr>
      <w:r>
        <w:rPr>
          <w:rFonts w:ascii="黑体" w:hAnsi="黑体" w:eastAsia="黑体" w:cs="黑体"/>
          <w:b/>
          <w:bCs/>
          <w:color w:val="000000"/>
          <w:sz w:val="44"/>
          <w:szCs w:val="44"/>
        </w:rPr>
        <w:t>2022</w:t>
      </w:r>
      <w:r>
        <w:rPr>
          <w:rFonts w:hint="eastAsia" w:ascii="黑体" w:hAnsi="黑体" w:eastAsia="黑体" w:cs="黑体"/>
          <w:b/>
          <w:bCs/>
          <w:color w:val="000000"/>
          <w:sz w:val="44"/>
          <w:szCs w:val="44"/>
        </w:rPr>
        <w:t>年</w:t>
      </w:r>
      <w:r>
        <w:rPr>
          <w:rFonts w:hint="eastAsia" w:ascii="黑体" w:hAnsi="黑体" w:eastAsia="黑体" w:cs="黑体"/>
          <w:b/>
          <w:bCs/>
          <w:color w:val="000000"/>
          <w:sz w:val="44"/>
          <w:szCs w:val="44"/>
          <w:lang w:val="en-US" w:eastAsia="zh-CN"/>
        </w:rPr>
        <w:t>中国人民政治协商会议河北省秦皇岛市山海关区委员会本级</w:t>
      </w:r>
      <w:r>
        <w:rPr>
          <w:rFonts w:hint="eastAsia" w:ascii="黑体" w:hAnsi="黑体" w:eastAsia="黑体" w:cs="黑体"/>
          <w:b/>
          <w:bCs/>
          <w:color w:val="000000"/>
          <w:sz w:val="44"/>
          <w:szCs w:val="44"/>
        </w:rPr>
        <w:t>预算信息公开目录</w:t>
      </w:r>
    </w:p>
    <w:p>
      <w:pPr>
        <w:jc w:val="center"/>
        <w:rPr>
          <w:rFonts w:eastAsia="Times New Roman"/>
        </w:rPr>
      </w:pPr>
    </w:p>
    <w:p>
      <w:pPr>
        <w:rPr>
          <w:rFonts w:eastAsia="Times New Roman"/>
        </w:rPr>
      </w:pPr>
      <w:r>
        <w:rPr>
          <w:rFonts w:hint="eastAsia" w:ascii="方正楷体_GBK" w:hAnsi="方正楷体_GBK" w:eastAsia="方正楷体_GBK" w:cs="方正楷体_GBK"/>
          <w:b/>
          <w:bCs/>
          <w:color w:val="000000"/>
          <w:sz w:val="28"/>
          <w:szCs w:val="28"/>
          <w:lang w:val="en-US" w:eastAsia="zh-CN"/>
        </w:rPr>
        <w:t>中国人民政治协商会议河北省秦皇岛市山海关区委员会</w:t>
      </w:r>
      <w:r>
        <w:rPr>
          <w:rFonts w:hint="eastAsia" w:ascii="方正楷体_GBK" w:hAnsi="方正楷体_GBK" w:eastAsia="方正楷体_GBK" w:cs="方正楷体_GBK"/>
          <w:b/>
          <w:bCs/>
          <w:color w:val="000000"/>
          <w:sz w:val="28"/>
          <w:szCs w:val="28"/>
          <w:lang w:eastAsia="zh-CN"/>
        </w:rPr>
        <w:t>本级</w:t>
      </w:r>
      <w:r>
        <w:rPr>
          <w:rFonts w:hint="eastAsia" w:ascii="方正楷体_GBK" w:hAnsi="方正楷体_GBK" w:eastAsia="方正楷体_GBK" w:cs="方正楷体_GBK"/>
          <w:b/>
          <w:bCs/>
          <w:color w:val="000000"/>
          <w:sz w:val="28"/>
          <w:szCs w:val="28"/>
        </w:rPr>
        <w:t>预算公开表</w:t>
      </w:r>
    </w:p>
    <w:p>
      <w:pPr>
        <w:pStyle w:val="4"/>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预算收支总表</w:t>
      </w:r>
      <w:r>
        <w:tab/>
      </w:r>
      <w:r>
        <w:rPr>
          <w:rFonts w:hint="eastAsia"/>
          <w:lang w:val="en-US" w:eastAsia="zh-CN"/>
        </w:rPr>
        <w:t>3</w:t>
      </w:r>
      <w:r>
        <w:fldChar w:fldCharType="end"/>
      </w:r>
    </w:p>
    <w:p>
      <w:pPr>
        <w:pStyle w:val="4"/>
        <w:tabs>
          <w:tab w:val="right" w:leader="dot" w:pos="14562"/>
        </w:tabs>
      </w:pPr>
      <w:r>
        <w:fldChar w:fldCharType="begin"/>
      </w:r>
      <w:r>
        <w:instrText xml:space="preserve"> HYPERLINK \l "_Toc_2_2_0000000002"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预算收入总表</w:t>
      </w:r>
      <w:r>
        <w:tab/>
      </w:r>
      <w:r>
        <w:rPr>
          <w:rFonts w:hint="eastAsia"/>
          <w:lang w:val="en-US" w:eastAsia="zh-CN"/>
        </w:rPr>
        <w:t>5</w:t>
      </w:r>
      <w:r>
        <w:fldChar w:fldCharType="end"/>
      </w:r>
    </w:p>
    <w:p>
      <w:pPr>
        <w:pStyle w:val="4"/>
        <w:tabs>
          <w:tab w:val="right" w:leader="dot" w:pos="14562"/>
        </w:tabs>
      </w:pPr>
      <w:r>
        <w:fldChar w:fldCharType="begin"/>
      </w:r>
      <w:r>
        <w:instrText xml:space="preserve"> HYPERLINK \l "_Toc_2_2_0000000003"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预算支出总表</w:t>
      </w:r>
      <w:r>
        <w:tab/>
      </w:r>
      <w:r>
        <w:rPr>
          <w:rFonts w:hint="eastAsia"/>
          <w:lang w:val="en-US" w:eastAsia="zh-CN"/>
        </w:rPr>
        <w:t>6</w:t>
      </w:r>
      <w:r>
        <w:fldChar w:fldCharType="end"/>
      </w:r>
    </w:p>
    <w:p>
      <w:pPr>
        <w:pStyle w:val="4"/>
        <w:tabs>
          <w:tab w:val="right" w:leader="dot" w:pos="14562"/>
        </w:tabs>
      </w:pPr>
      <w:r>
        <w:fldChar w:fldCharType="begin"/>
      </w:r>
      <w:r>
        <w:instrText xml:space="preserve"> HYPERLINK \l "_Toc_2_2_0000000004"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预算财政拨款收支总表</w:t>
      </w:r>
      <w:r>
        <w:tab/>
      </w:r>
      <w:r>
        <w:rPr>
          <w:rFonts w:hint="eastAsia"/>
          <w:lang w:val="en-US" w:eastAsia="zh-CN"/>
        </w:rPr>
        <w:t>7</w:t>
      </w:r>
      <w:r>
        <w:fldChar w:fldCharType="end"/>
      </w:r>
    </w:p>
    <w:p>
      <w:pPr>
        <w:pStyle w:val="4"/>
        <w:tabs>
          <w:tab w:val="right" w:leader="dot" w:pos="14562"/>
        </w:tabs>
        <w:rPr>
          <w:rFonts w:hint="default" w:eastAsia="方正仿宋_GBK"/>
          <w:lang w:val="en-US" w:eastAsia="zh-CN"/>
        </w:rPr>
      </w:pPr>
      <w:r>
        <w:fldChar w:fldCharType="begin"/>
      </w:r>
      <w:r>
        <w:instrText xml:space="preserve"> HYPERLINK \l "_Toc_2_2_0000000005"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预算一般公共预算财政拨款支出表</w:t>
      </w:r>
      <w:r>
        <w:tab/>
      </w:r>
      <w:r>
        <w:rPr>
          <w:rFonts w:hint="eastAsia"/>
          <w:lang w:val="en-US" w:eastAsia="zh-CN"/>
        </w:rPr>
        <w:t>9</w:t>
      </w:r>
      <w:r>
        <w:fldChar w:fldCharType="end"/>
      </w:r>
    </w:p>
    <w:p>
      <w:pPr>
        <w:pStyle w:val="4"/>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预算一般公共预算财政拨款基本支出表</w:t>
      </w:r>
      <w:r>
        <w:tab/>
      </w:r>
      <w:r>
        <w:rPr>
          <w:rFonts w:hint="eastAsia"/>
          <w:lang w:val="en-US" w:eastAsia="zh-CN"/>
        </w:rPr>
        <w:t>1</w:t>
      </w:r>
      <w:r>
        <w:fldChar w:fldCharType="end"/>
      </w:r>
      <w:r>
        <w:rPr>
          <w:rFonts w:hint="eastAsia"/>
          <w:lang w:val="en-US" w:eastAsia="zh-CN"/>
        </w:rPr>
        <w:t>0</w:t>
      </w:r>
    </w:p>
    <w:p>
      <w:pPr>
        <w:pStyle w:val="4"/>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预算政府基金预算财政拨款支出表</w:t>
      </w:r>
      <w:r>
        <w:tab/>
      </w:r>
      <w:r>
        <w:rPr>
          <w:rFonts w:hint="eastAsia"/>
          <w:lang w:val="en-US" w:eastAsia="zh-CN"/>
        </w:rPr>
        <w:t>1</w:t>
      </w:r>
      <w:r>
        <w:fldChar w:fldCharType="end"/>
      </w:r>
      <w:r>
        <w:rPr>
          <w:rFonts w:hint="eastAsia"/>
          <w:lang w:val="en-US" w:eastAsia="zh-CN"/>
        </w:rPr>
        <w:t>2</w:t>
      </w:r>
    </w:p>
    <w:p>
      <w:pPr>
        <w:pStyle w:val="4"/>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预算国有资本经营预算财政拨款支出表</w:t>
      </w:r>
      <w:r>
        <w:tab/>
      </w:r>
      <w:r>
        <w:rPr>
          <w:rFonts w:hint="eastAsia"/>
          <w:lang w:val="en-US" w:eastAsia="zh-CN"/>
        </w:rPr>
        <w:t>1</w:t>
      </w:r>
      <w:r>
        <w:fldChar w:fldCharType="end"/>
      </w:r>
      <w:r>
        <w:rPr>
          <w:rFonts w:hint="eastAsia"/>
          <w:lang w:val="en-US" w:eastAsia="zh-CN"/>
        </w:rPr>
        <w:t>3</w:t>
      </w:r>
    </w:p>
    <w:p>
      <w:pPr>
        <w:pStyle w:val="4"/>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预算财政拨款</w:t>
      </w:r>
      <w:r>
        <w:t>“</w:t>
      </w:r>
      <w:r>
        <w:rPr>
          <w:rFonts w:hint="eastAsia" w:cs="方正仿宋_GBK"/>
        </w:rPr>
        <w:t>三公</w:t>
      </w:r>
      <w:r>
        <w:t>”</w:t>
      </w:r>
      <w:r>
        <w:rPr>
          <w:rFonts w:hint="eastAsia" w:cs="方正仿宋_GBK"/>
        </w:rPr>
        <w:t>经费支出表</w:t>
      </w:r>
      <w:r>
        <w:tab/>
      </w:r>
      <w:r>
        <w:rPr>
          <w:rFonts w:hint="eastAsia"/>
          <w:lang w:val="en-US" w:eastAsia="zh-CN"/>
        </w:rPr>
        <w:t>1</w:t>
      </w:r>
      <w:r>
        <w:fldChar w:fldCharType="end"/>
      </w:r>
      <w:r>
        <w:rPr>
          <w:rFonts w:hint="eastAsia"/>
          <w:lang w:val="en-US" w:eastAsia="zh-CN"/>
        </w:rPr>
        <w:t>4</w:t>
      </w:r>
    </w:p>
    <w:p>
      <w:r>
        <w:fldChar w:fldCharType="end"/>
      </w:r>
    </w:p>
    <w:p>
      <w:r>
        <w:rPr>
          <w:rFonts w:hint="eastAsia" w:ascii="方正楷体_GBK" w:hAnsi="方正楷体_GBK" w:eastAsia="方正楷体_GBK" w:cs="方正楷体_GBK"/>
          <w:b/>
          <w:bCs/>
          <w:color w:val="000000"/>
          <w:sz w:val="28"/>
          <w:szCs w:val="28"/>
          <w:lang w:val="en-US" w:eastAsia="zh-CN"/>
        </w:rPr>
        <w:t>中国人民政治协商会议河北省秦皇岛市山海关区委员会</w:t>
      </w:r>
      <w:r>
        <w:rPr>
          <w:rFonts w:hint="eastAsia" w:ascii="方正楷体_GBK" w:hAnsi="方正楷体_GBK" w:eastAsia="方正楷体_GBK" w:cs="方正楷体_GBK"/>
          <w:b/>
          <w:bCs/>
          <w:color w:val="000000"/>
          <w:sz w:val="28"/>
          <w:szCs w:val="28"/>
          <w:lang w:eastAsia="zh-CN"/>
        </w:rPr>
        <w:t>本级</w:t>
      </w:r>
      <w:r>
        <w:rPr>
          <w:rFonts w:hint="eastAsia" w:ascii="方正楷体_GBK" w:hAnsi="方正楷体_GBK" w:eastAsia="方正楷体_GBK" w:cs="方正楷体_GBK"/>
          <w:b/>
          <w:bCs/>
          <w:color w:val="000000"/>
          <w:sz w:val="28"/>
          <w:szCs w:val="28"/>
        </w:rPr>
        <w:t>预算信息公开情况说明</w:t>
      </w:r>
    </w:p>
    <w:p>
      <w:pPr>
        <w:pStyle w:val="4"/>
        <w:tabs>
          <w:tab w:val="right" w:leader="dot" w:pos="14562"/>
        </w:tabs>
        <w:rPr>
          <w:rFonts w:hint="eastAsia" w:eastAsia="方正仿宋_GBK"/>
          <w:lang w:val="en-US" w:eastAsia="zh-CN"/>
        </w:rPr>
      </w:pPr>
      <w:r>
        <w:fldChar w:fldCharType="begin"/>
      </w:r>
      <w:r>
        <w:instrText xml:space="preserve"> HYPERLINK \l "_Toc_3_3_0000000010" </w:instrText>
      </w:r>
      <w:r>
        <w:fldChar w:fldCharType="separate"/>
      </w:r>
      <w:r>
        <w:rPr>
          <w:rFonts w:hint="eastAsia" w:cs="方正仿宋_GBK"/>
        </w:rPr>
        <w:t>一、</w:t>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职责及机构设置情况</w:t>
      </w:r>
      <w:r>
        <w:tab/>
      </w:r>
      <w:r>
        <w:rPr>
          <w:rFonts w:hint="eastAsia"/>
          <w:lang w:val="en-US" w:eastAsia="zh-CN"/>
        </w:rPr>
        <w:t>1</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rPr>
          <w:rFonts w:hint="eastAsia" w:cs="方正仿宋_GBK"/>
        </w:rPr>
        <w:t>二、</w:t>
      </w:r>
      <w:r>
        <w:rPr>
          <w:rFonts w:hint="eastAsia" w:cs="方正仿宋_GBK"/>
          <w:lang w:eastAsia="zh-CN"/>
        </w:rPr>
        <w:t>山海关区</w:t>
      </w:r>
      <w:r>
        <w:rPr>
          <w:rFonts w:hint="eastAsia" w:cs="方正仿宋_GBK"/>
          <w:lang w:val="en-US" w:eastAsia="zh-CN"/>
        </w:rPr>
        <w:t>政协</w:t>
      </w:r>
      <w:r>
        <w:rPr>
          <w:rFonts w:hint="eastAsia" w:cs="方正仿宋_GBK"/>
          <w:lang w:eastAsia="zh-CN"/>
        </w:rPr>
        <w:t>本级</w:t>
      </w:r>
      <w:r>
        <w:rPr>
          <w:rFonts w:hint="eastAsia" w:cs="方正仿宋_GBK"/>
        </w:rPr>
        <w:t>预算安排的总体情况</w:t>
      </w:r>
      <w:r>
        <w:tab/>
      </w:r>
      <w:r>
        <w:rPr>
          <w:rFonts w:hint="eastAsia"/>
          <w:lang w:val="en-US" w:eastAsia="zh-CN"/>
        </w:rPr>
        <w:t>1</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rPr>
          <w:rFonts w:hint="eastAsia" w:cs="方正仿宋_GBK"/>
        </w:rPr>
        <w:t>三、机关运行经费安排情况</w:t>
      </w:r>
      <w:r>
        <w:tab/>
      </w:r>
      <w:r>
        <w:rPr>
          <w:rFonts w:hint="eastAsia"/>
          <w:lang w:val="en-US" w:eastAsia="zh-CN"/>
        </w:rPr>
        <w:t>1</w:t>
      </w:r>
      <w:r>
        <w:fldChar w:fldCharType="end"/>
      </w:r>
      <w:r>
        <w:rPr>
          <w:rFonts w:hint="eastAsia"/>
          <w:lang w:val="en-US" w:eastAsia="zh-CN"/>
        </w:rPr>
        <w:t>7</w:t>
      </w:r>
    </w:p>
    <w:p>
      <w:pPr>
        <w:pStyle w:val="4"/>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rPr>
          <w:rFonts w:hint="eastAsia" w:cs="方正仿宋_GBK"/>
        </w:rPr>
        <w:t>四、财政拨款</w:t>
      </w:r>
      <w:r>
        <w:t>“</w:t>
      </w:r>
      <w:r>
        <w:rPr>
          <w:rFonts w:hint="eastAsia" w:cs="方正仿宋_GBK"/>
        </w:rPr>
        <w:t>三公</w:t>
      </w:r>
      <w:r>
        <w:t>”</w:t>
      </w:r>
      <w:r>
        <w:rPr>
          <w:rFonts w:hint="eastAsia" w:cs="方正仿宋_GBK"/>
        </w:rPr>
        <w:t>经费预算情况及增减变化原因</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rPr>
          <w:rFonts w:hint="eastAsia" w:cs="方正仿宋_GBK"/>
        </w:rPr>
        <w:t>五、预算绩效信息</w:t>
      </w:r>
      <w:r>
        <w:tab/>
      </w:r>
      <w:r>
        <w:rPr>
          <w:rFonts w:hint="eastAsia"/>
          <w:lang w:val="en-US" w:eastAsia="zh-CN"/>
        </w:rPr>
        <w:t>1</w:t>
      </w:r>
      <w:r>
        <w:fldChar w:fldCharType="end"/>
      </w:r>
      <w:r>
        <w:rPr>
          <w:rFonts w:hint="eastAsia"/>
          <w:lang w:val="en-US" w:eastAsia="zh-CN"/>
        </w:rPr>
        <w:t>8</w:t>
      </w:r>
    </w:p>
    <w:p>
      <w:pPr>
        <w:pStyle w:val="4"/>
        <w:tabs>
          <w:tab w:val="right" w:leader="dot" w:pos="14562"/>
        </w:tabs>
        <w:rPr>
          <w:rFonts w:hint="eastAsia" w:eastAsia="方正仿宋_GBK"/>
          <w:lang w:val="en-US" w:eastAsia="zh-CN"/>
        </w:rPr>
      </w:pPr>
      <w:r>
        <w:fldChar w:fldCharType="begin"/>
      </w:r>
      <w:r>
        <w:instrText xml:space="preserve"> HYPERLINK \l "_Toc_3_3_0000000015" </w:instrText>
      </w:r>
      <w:r>
        <w:fldChar w:fldCharType="separate"/>
      </w:r>
      <w:r>
        <w:rPr>
          <w:rFonts w:hint="eastAsia" w:cs="方正仿宋_GBK"/>
        </w:rPr>
        <w:t>六、政府采购预算情况</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rPr>
          <w:rFonts w:hint="eastAsia" w:cs="方正仿宋_GBK"/>
        </w:rPr>
        <w:t>七、国有资产信息</w:t>
      </w:r>
      <w:r>
        <w:tab/>
      </w:r>
      <w:r>
        <w:rPr>
          <w:rFonts w:hint="eastAsia"/>
          <w:lang w:val="en-US" w:eastAsia="zh-CN"/>
        </w:rPr>
        <w:t>2</w:t>
      </w:r>
      <w:r>
        <w:fldChar w:fldCharType="end"/>
      </w:r>
      <w:r>
        <w:rPr>
          <w:rFonts w:hint="eastAsia"/>
          <w:lang w:val="en-US" w:eastAsia="zh-CN"/>
        </w:rPr>
        <w:t>5</w:t>
      </w:r>
    </w:p>
    <w:p>
      <w:pPr>
        <w:pStyle w:val="4"/>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rPr>
          <w:rFonts w:hint="eastAsia" w:cs="方正仿宋_GBK"/>
        </w:rPr>
        <w:t>八、名词解释</w:t>
      </w:r>
      <w:r>
        <w:tab/>
      </w:r>
      <w:r>
        <w:rPr>
          <w:rFonts w:hint="eastAsia"/>
          <w:lang w:val="en-US" w:eastAsia="zh-CN"/>
        </w:rPr>
        <w:t>2</w:t>
      </w:r>
      <w:r>
        <w:fldChar w:fldCharType="end"/>
      </w:r>
      <w:r>
        <w:rPr>
          <w:rFonts w:hint="eastAsia"/>
          <w:lang w:val="en-US" w:eastAsia="zh-CN"/>
        </w:rPr>
        <w:t>6</w:t>
      </w:r>
    </w:p>
    <w:p>
      <w:pPr>
        <w:pStyle w:val="4"/>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cs="方正仿宋_GBK"/>
        </w:rPr>
        <w:t>九、其他需要说明的事项</w:t>
      </w:r>
      <w:r>
        <w:tab/>
      </w:r>
      <w:r>
        <w:rPr>
          <w:rFonts w:hint="eastAsia"/>
          <w:lang w:val="en-US" w:eastAsia="zh-CN"/>
        </w:rPr>
        <w:t>2</w:t>
      </w:r>
      <w:r>
        <w:fldChar w:fldCharType="end"/>
      </w:r>
      <w:r>
        <w:rPr>
          <w:rFonts w:hint="eastAsia"/>
          <w:lang w:val="en-US" w:eastAsia="zh-CN"/>
        </w:rPr>
        <w:t>7</w:t>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tbl>
      <w:tblPr>
        <w:tblStyle w:val="5"/>
        <w:tblW w:w="1375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46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3752" w:type="dxa"/>
            <w:tcBorders>
              <w:top w:val="nil"/>
              <w:left w:val="nil"/>
              <w:bottom w:val="nil"/>
              <w:right w:val="nil"/>
            </w:tcBorders>
            <w:shd w:val="clear" w:color="auto" w:fill="auto"/>
            <w:tcMar>
              <w:top w:w="15" w:type="dxa"/>
              <w:left w:w="15" w:type="dxa"/>
              <w:right w:w="15" w:type="dxa"/>
            </w:tcMar>
            <w:vAlign w:val="center"/>
          </w:tcPr>
          <w:tbl>
            <w:tblPr>
              <w:tblStyle w:val="5"/>
              <w:tblW w:w="16290"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470"/>
              <w:gridCol w:w="3636"/>
              <w:gridCol w:w="877"/>
              <w:gridCol w:w="4534"/>
              <w:gridCol w:w="877"/>
              <w:gridCol w:w="3036"/>
              <w:gridCol w:w="3336"/>
              <w:gridCol w:w="26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gridBefore w:val="1"/>
                <w:gridAfter w:val="1"/>
                <w:wBefore w:w="5" w:type="dxa"/>
                <w:wAfter w:w="1330" w:type="dxa"/>
                <w:trHeight w:val="360" w:hRule="atLeast"/>
              </w:trPr>
              <w:tc>
                <w:tcPr>
                  <w:tcW w:w="16296"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5"/>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政府性基金预算财政拨款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keepNext w:val="0"/>
              <w:keepLines w:val="0"/>
              <w:widowControl/>
              <w:suppressLineNumbers w:val="0"/>
              <w:jc w:val="both"/>
              <w:textAlignment w:val="center"/>
              <w:rPr>
                <w:rFonts w:hint="eastAsia" w:ascii="宋体" w:hAnsi="宋体" w:eastAsia="宋体" w:cs="宋体"/>
                <w:b/>
                <w:i w:val="0"/>
                <w:color w:val="000000"/>
                <w:sz w:val="43"/>
                <w:szCs w:val="43"/>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79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38"/>
        <w:gridCol w:w="1042"/>
        <w:gridCol w:w="4064"/>
        <w:gridCol w:w="737"/>
        <w:gridCol w:w="737"/>
        <w:gridCol w:w="1545"/>
        <w:gridCol w:w="1545"/>
        <w:gridCol w:w="1042"/>
        <w:gridCol w:w="1042"/>
        <w:gridCol w:w="1545"/>
        <w:gridCol w:w="2049"/>
        <w:gridCol w:w="1042"/>
        <w:gridCol w:w="10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7970" w:type="dxa"/>
            <w:gridSpan w:val="1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gridSpan w:val="9"/>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本年收入</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上年结转</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财政专户收入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其他收入</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36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9"/>
        <w:gridCol w:w="4624"/>
        <w:gridCol w:w="1026"/>
        <w:gridCol w:w="4951"/>
        <w:gridCol w:w="23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3635" w:type="dxa"/>
            <w:gridSpan w:val="5"/>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收入</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二、政府性基金预算拨款收入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二、外交支出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三、国有资本经营预算拨款收入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三、国防支出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四、财政专户管理资金收入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四、公共安全支出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五、事业收入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五、教育支出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六、事业单位经营收入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六、科学技术支出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七、上级补助收入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七、文化旅游体育与传媒支出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八、附属单位上缴收入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八、社会保障和就业支出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九、其他收入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九、社会保险基金支出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十一、节能环保支出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十二、城乡社区支出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十三、农林水支出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十四、交通运输支出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十五、资源勘探工业信息等支出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十六、商业服务业等支出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十七、金融支出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十八、援助其他地区支出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十九、自然资源海洋气象等支出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二十一、粮油物资储备支出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二十二、国有资本经营预算支出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二十三、灾害防治及应急管理支出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二十四、预备费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二十五、其他支出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二十六、转移性支出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二十七、债务还本支出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二十八、债务付息支出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二十九、债务发行费用支出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三十、抗疫特别国债安排的支出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本年收入合计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本年支出合计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56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583"/>
        <w:gridCol w:w="1129"/>
        <w:gridCol w:w="4403"/>
        <w:gridCol w:w="1674"/>
        <w:gridCol w:w="1129"/>
        <w:gridCol w:w="1129"/>
        <w:gridCol w:w="1129"/>
        <w:gridCol w:w="1947"/>
        <w:gridCol w:w="24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561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本年支出合计</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经营支出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上缴上级支出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8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80"/>
        <w:gridCol w:w="1316"/>
        <w:gridCol w:w="5134"/>
        <w:gridCol w:w="931"/>
        <w:gridCol w:w="931"/>
        <w:gridCol w:w="1316"/>
        <w:gridCol w:w="2271"/>
        <w:gridCol w:w="22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4850" w:type="dxa"/>
            <w:gridSpan w:val="8"/>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预算一般公共预算财政拨款支出表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支出功能分类科目</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372.88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一般公共服务支出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政协事务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254.37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45.80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行政运行</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209.37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208.57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179.30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政协会议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2010206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参政议政</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2010299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其他政协事务支出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社会保障和就业支出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59.85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55.45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行政事业单位养老支出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58.26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53.86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行政单位离退休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31.89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27.49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2080505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抚恤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2080899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其他优抚支出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卫生健康支出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行政事业单位医疗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38.88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行政单位医疗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2101103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住房保障支出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住房改革支出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2210201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22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94"/>
        <w:gridCol w:w="1345"/>
        <w:gridCol w:w="4595"/>
        <w:gridCol w:w="952"/>
        <w:gridCol w:w="2320"/>
        <w:gridCol w:w="23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2225" w:type="dxa"/>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中国人民政治协商会议河北省秦皇岛市山海关区委员会</w:t>
            </w:r>
            <w:r>
              <w:rPr>
                <w:rFonts w:hint="eastAsia" w:ascii="宋体" w:hAnsi="宋体" w:eastAsia="宋体" w:cs="宋体"/>
                <w:i w:val="0"/>
                <w:color w:val="000000"/>
                <w:kern w:val="0"/>
                <w:sz w:val="22"/>
                <w:szCs w:val="22"/>
                <w:u w:val="none"/>
                <w:lang w:val="en-US" w:eastAsia="zh-CN" w:bidi="ar"/>
              </w:rPr>
              <w:t>部门</w:t>
            </w:r>
            <w:r>
              <w:rPr>
                <w:rFonts w:hint="eastAsia" w:ascii="宋体" w:hAnsi="宋体" w:cs="宋体"/>
                <w:i w:val="0"/>
                <w:color w:val="000000"/>
                <w:kern w:val="0"/>
                <w:sz w:val="22"/>
                <w:szCs w:val="22"/>
                <w:u w:val="none"/>
                <w:lang w:val="en-US" w:eastAsia="zh-CN" w:bidi="ar"/>
              </w:rPr>
              <w:t>本级</w:t>
            </w:r>
            <w:r>
              <w:rPr>
                <w:rFonts w:hint="eastAsia" w:ascii="宋体" w:hAnsi="宋体" w:eastAsia="宋体" w:cs="宋体"/>
                <w:i w:val="0"/>
                <w:color w:val="000000"/>
                <w:kern w:val="0"/>
                <w:sz w:val="22"/>
                <w:szCs w:val="22"/>
                <w:u w:val="none"/>
                <w:lang w:val="en-US" w:eastAsia="zh-CN" w:bidi="ar"/>
              </w:rPr>
              <w:t>预算一般公共预算财政拨款基本支出表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预算单位编码及名称：[131]政协部门</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预算年度：2022</w:t>
            </w:r>
          </w:p>
        </w:tc>
        <w:tc>
          <w:tcPr>
            <w:tcW w:w="0" w:type="auto"/>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0" w:type="auto"/>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支出部门经济分类科目</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一般公共预算基本支出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科目编码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人员经费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lef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327.08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293.41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工资福利支出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264.02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基本工资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88.74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津贴补贴</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69.05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绩效工资</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13.80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30108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机关事业单位基本养老保险缴费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26.37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职工基本医疗保险缴费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12.77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公务员医疗补助缴费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其他社会保障缴费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30113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住房公积金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19.78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办公费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邮电费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差旅费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维修(护)费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工会经费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福利费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其他交通费用</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13.91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其他商品和服务支出</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4.82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29.39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离休费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10.07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退休费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17.42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生活补助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1.58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30309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奖励金</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0.02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center"/>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30399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lef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其他对个人和家庭的补助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jc w:val="right"/>
              <w:textAlignment w:val="top"/>
              <w:rPr>
                <w:rFonts w:hint="default" w:ascii="Calibri" w:hAnsi="Calibri" w:eastAsia="宋体" w:cs="Calibri"/>
                <w:i w:val="0"/>
                <w:color w:val="000000"/>
                <w:sz w:val="22"/>
                <w:szCs w:val="22"/>
                <w:u w:val="none"/>
              </w:rPr>
            </w:pPr>
            <w:r>
              <w:rPr>
                <w:rFonts w:hint="default" w:ascii="Calibri" w:hAnsi="Calibri" w:eastAsia="宋体" w:cs="Calibri"/>
                <w:i w:val="0"/>
                <w:color w:val="000000"/>
                <w:kern w:val="0"/>
                <w:sz w:val="22"/>
                <w:szCs w:val="22"/>
                <w:u w:val="none"/>
                <w:lang w:val="en-US" w:eastAsia="zh-CN" w:bidi="ar"/>
              </w:rPr>
              <w:t>0.29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jc w:val="right"/>
              <w:rPr>
                <w:rFonts w:hint="default" w:ascii="Calibri" w:hAnsi="Calibri" w:eastAsia="宋体" w:cs="Calibri"/>
                <w:i w:val="0"/>
                <w:color w:val="000000"/>
                <w:sz w:val="22"/>
                <w:szCs w:val="22"/>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0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5"/>
        <w:gridCol w:w="1451"/>
        <w:gridCol w:w="4420"/>
        <w:gridCol w:w="2463"/>
        <w:gridCol w:w="2463"/>
        <w:gridCol w:w="246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14029"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中国人民政治协商会议河北省秦皇岛市山海关区委员会部门本级预算政府基金预算财政拨款支出表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910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部门编码及名称：</w:t>
            </w:r>
          </w:p>
        </w:tc>
        <w:tc>
          <w:tcPr>
            <w:tcW w:w="2464"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6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872"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6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76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6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7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44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2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hint="eastAsia" w:ascii="方正仿宋_GBK" w:hAnsi="方正仿宋_GBK" w:eastAsia="方正仿宋_GBK" w:cs="方正仿宋_GBK"/>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nil"/>
              <w:left w:val="nil"/>
              <w:bottom w:val="nil"/>
              <w:right w:val="nil"/>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90" w:hRule="atLeast"/>
        </w:trPr>
        <w:tc>
          <w:tcPr>
            <w:tcW w:w="0" w:type="auto"/>
            <w:gridSpan w:val="6"/>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方正仿宋_GBK" w:hAnsi="方正仿宋_GBK" w:eastAsia="方正仿宋_GBK" w:cs="方正仿宋_GBK"/>
                <w:i w:val="0"/>
                <w:color w:val="000000"/>
                <w:sz w:val="22"/>
                <w:szCs w:val="22"/>
                <w:u w:val="none"/>
              </w:rPr>
            </w:pPr>
            <w:r>
              <w:rPr>
                <w:rFonts w:hint="default" w:ascii="方正仿宋_GBK" w:hAnsi="方正仿宋_GBK" w:eastAsia="方正仿宋_GBK" w:cs="方正仿宋_GBK"/>
                <w:i w:val="0"/>
                <w:color w:val="000000"/>
                <w:kern w:val="0"/>
                <w:sz w:val="22"/>
                <w:szCs w:val="22"/>
                <w:u w:val="none"/>
                <w:lang w:val="en-US" w:eastAsia="zh-CN" w:bidi="ar"/>
              </w:rPr>
              <w:t>注：无政府基金预算，空表列示。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1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989"/>
        <w:gridCol w:w="1450"/>
        <w:gridCol w:w="4271"/>
        <w:gridCol w:w="2473"/>
        <w:gridCol w:w="2473"/>
        <w:gridCol w:w="24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80" w:hRule="atLeast"/>
        </w:trPr>
        <w:tc>
          <w:tcPr>
            <w:tcW w:w="14141"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中国人民政治协商会议河北省秦皇岛市山海关区委员会部门本级预算国有资本经营预算财政拨款支出表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9191"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部门编码及名称：</w:t>
            </w:r>
          </w:p>
        </w:tc>
        <w:tc>
          <w:tcPr>
            <w:tcW w:w="2475" w:type="dxa"/>
            <w:tcBorders>
              <w:top w:val="nil"/>
              <w:left w:val="nil"/>
              <w:bottom w:val="nil"/>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75"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金额单位：元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572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合计</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基本支出</w:t>
            </w:r>
          </w:p>
        </w:tc>
        <w:tc>
          <w:tcPr>
            <w:tcW w:w="24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9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功能分类科目编码</w:t>
            </w:r>
          </w:p>
        </w:tc>
        <w:tc>
          <w:tcPr>
            <w:tcW w:w="4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科目名称</w:t>
            </w: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栏次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0" w:type="auto"/>
            <w:gridSpan w:val="6"/>
            <w:tcBorders>
              <w:top w:val="single" w:color="000000" w:sz="4" w:space="0"/>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注：无国有资本经营预算，空表列示。</w:t>
            </w: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tbl>
      <w:tblPr>
        <w:tblStyle w:val="5"/>
        <w:tblW w:w="14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843"/>
        <w:gridCol w:w="3120"/>
        <w:gridCol w:w="2428"/>
        <w:gridCol w:w="2698"/>
        <w:gridCol w:w="844"/>
        <w:gridCol w:w="476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14708" w:type="dxa"/>
            <w:gridSpan w:val="6"/>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中国人民政治协商会议河北省秦皇岛市山海关区委员会部门本级预算财政拨款“三公”经费支出表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9094" w:type="dxa"/>
            <w:gridSpan w:val="4"/>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预算单位编码及名称：131政协部门</w:t>
            </w:r>
          </w:p>
        </w:tc>
        <w:tc>
          <w:tcPr>
            <w:tcW w:w="844"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预算年度：2022</w:t>
            </w:r>
          </w:p>
        </w:tc>
        <w:tc>
          <w:tcPr>
            <w:tcW w:w="4770" w:type="dxa"/>
            <w:tcBorders>
              <w:top w:val="nil"/>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84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序号</w:t>
            </w:r>
          </w:p>
        </w:tc>
        <w:tc>
          <w:tcPr>
            <w:tcW w:w="31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0744"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资金性质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75" w:hRule="atLeast"/>
        </w:trPr>
        <w:tc>
          <w:tcPr>
            <w:tcW w:w="84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一般公共预算财政拨款</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政府性基金财政拨款</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栏次</w:t>
            </w:r>
          </w:p>
        </w:tc>
        <w:tc>
          <w:tcPr>
            <w:tcW w:w="31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24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27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8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一、因公出国（境）费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二、公务用车购置及运维费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其中：公务用车购置费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公务用车运行维护费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三、公务接待费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四、会议费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五、培训费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jc w:val="center"/>
        <w:rPr>
          <w:rFonts w:hint="eastAsia" w:ascii="宋体" w:hAnsi="宋体" w:cs="黑体"/>
          <w:b/>
          <w:color w:val="000000"/>
          <w:sz w:val="44"/>
        </w:rPr>
      </w:pPr>
      <w:r>
        <w:rPr>
          <w:rFonts w:hint="eastAsia" w:ascii="宋体" w:hAnsi="宋体" w:cs="黑体"/>
          <w:b/>
          <w:color w:val="000000"/>
          <w:sz w:val="44"/>
        </w:rPr>
        <w:t>山海关区</w:t>
      </w:r>
      <w:r>
        <w:rPr>
          <w:rFonts w:hint="eastAsia" w:ascii="宋体" w:hAnsi="宋体" w:cs="黑体"/>
          <w:b/>
          <w:color w:val="000000"/>
          <w:sz w:val="44"/>
          <w:lang w:val="en-US" w:eastAsia="zh-CN"/>
        </w:rPr>
        <w:t>政协本级</w:t>
      </w:r>
      <w:r>
        <w:rPr>
          <w:rFonts w:hint="eastAsia" w:ascii="宋体" w:hAnsi="宋体" w:cs="黑体"/>
          <w:b/>
          <w:color w:val="000000"/>
          <w:sz w:val="44"/>
        </w:rPr>
        <w:t>202</w:t>
      </w:r>
      <w:r>
        <w:rPr>
          <w:rFonts w:hint="eastAsia" w:ascii="宋体" w:hAnsi="宋体" w:cs="黑体"/>
          <w:b/>
          <w:color w:val="000000"/>
          <w:sz w:val="44"/>
          <w:lang w:val="en-US" w:eastAsia="zh-CN"/>
        </w:rPr>
        <w:t>2</w:t>
      </w:r>
      <w:r>
        <w:rPr>
          <w:rFonts w:hint="eastAsia" w:ascii="宋体" w:hAnsi="宋体" w:cs="黑体"/>
          <w:b/>
          <w:color w:val="000000"/>
          <w:sz w:val="44"/>
        </w:rPr>
        <w:t>年预算公开说明</w:t>
      </w:r>
    </w:p>
    <w:p>
      <w:pPr>
        <w:jc w:val="center"/>
        <w:rPr>
          <w:rFonts w:hint="eastAsia" w:ascii="黑体" w:hAnsi="黑体" w:eastAsia="黑体" w:cs="黑体"/>
          <w:color w:val="000000"/>
          <w:sz w:val="44"/>
        </w:rPr>
      </w:pPr>
    </w:p>
    <w:p>
      <w:pPr>
        <w:jc w:val="left"/>
        <w:rPr>
          <w:rFonts w:hint="eastAsia" w:ascii="仿宋_GB2312" w:eastAsia="仿宋_GB2312"/>
          <w:sz w:val="32"/>
          <w:szCs w:val="32"/>
        </w:rPr>
      </w:pPr>
      <w:r>
        <w:rPr>
          <w:rFonts w:hint="eastAsia" w:ascii="仿宋" w:hAnsi="仿宋" w:eastAsia="仿宋" w:cs="仿宋"/>
          <w:color w:val="000000"/>
          <w:sz w:val="32"/>
        </w:rPr>
        <w:t xml:space="preserve">    </w:t>
      </w:r>
      <w:r>
        <w:rPr>
          <w:rFonts w:hint="eastAsia" w:ascii="仿宋_GB2312" w:eastAsia="仿宋_GB2312"/>
          <w:sz w:val="32"/>
          <w:szCs w:val="32"/>
        </w:rPr>
        <w:t>按照《预算法》、《地方预决算公开操作规程》和《河北省省级预算公开办法》规定，现将山海关区</w:t>
      </w:r>
      <w:r>
        <w:rPr>
          <w:rFonts w:hint="eastAsia" w:ascii="仿宋_GB2312" w:eastAsia="仿宋_GB2312"/>
          <w:sz w:val="32"/>
          <w:szCs w:val="32"/>
          <w:lang w:val="en-US" w:eastAsia="zh-CN"/>
        </w:rPr>
        <w:t>政协</w:t>
      </w:r>
      <w:r>
        <w:rPr>
          <w:rFonts w:hint="eastAsia" w:ascii="仿宋_GB2312" w:eastAsia="仿宋_GB2312"/>
          <w:sz w:val="32"/>
          <w:szCs w:val="32"/>
        </w:rPr>
        <w:t>部门202</w:t>
      </w:r>
      <w:r>
        <w:rPr>
          <w:rFonts w:hint="eastAsia" w:ascii="仿宋_GB2312" w:eastAsia="仿宋_GB2312"/>
          <w:sz w:val="32"/>
          <w:szCs w:val="32"/>
          <w:lang w:val="en-US" w:eastAsia="zh-CN"/>
        </w:rPr>
        <w:t>2</w:t>
      </w:r>
      <w:r>
        <w:rPr>
          <w:rFonts w:hint="eastAsia" w:ascii="仿宋_GB2312" w:eastAsia="仿宋_GB2312"/>
          <w:sz w:val="32"/>
          <w:szCs w:val="32"/>
        </w:rPr>
        <w:t>年部门预算公开如下：</w:t>
      </w:r>
    </w:p>
    <w:p>
      <w:pPr>
        <w:jc w:val="left"/>
        <w:rPr>
          <w:rFonts w:hint="eastAsia" w:ascii="黑体" w:hAnsi="黑体" w:eastAsia="黑体" w:cs="黑体"/>
          <w:color w:val="000000"/>
          <w:sz w:val="32"/>
        </w:rPr>
      </w:pPr>
      <w:r>
        <w:rPr>
          <w:rFonts w:hint="eastAsia" w:ascii="仿宋" w:hAnsi="仿宋" w:eastAsia="仿宋" w:cs="仿宋"/>
          <w:color w:val="000000"/>
          <w:sz w:val="32"/>
        </w:rPr>
        <w:t xml:space="preserve">   </w:t>
      </w:r>
      <w:r>
        <w:rPr>
          <w:rFonts w:hint="eastAsia" w:ascii="黑体" w:hAnsi="黑体" w:eastAsia="黑体" w:cs="黑体"/>
          <w:color w:val="000000"/>
          <w:sz w:val="32"/>
        </w:rPr>
        <w:t xml:space="preserve"> 一、部门职责及机构设置情况</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部门职责：</w:t>
      </w:r>
    </w:p>
    <w:p>
      <w:pPr>
        <w:spacing w:line="500" w:lineRule="exact"/>
        <w:ind w:firstLine="560"/>
        <w:rPr>
          <w:rFonts w:hint="eastAsia" w:ascii="仿宋_GB2312" w:hAnsi="仿宋_GB2312" w:eastAsia="仿宋_GB2312" w:cs="仿宋_GB2312"/>
          <w:sz w:val="32"/>
          <w:szCs w:val="32"/>
        </w:rPr>
      </w:pPr>
      <w:r>
        <w:rPr>
          <w:rFonts w:hint="eastAsia" w:ascii="仿宋" w:hAnsi="仿宋" w:eastAsia="仿宋" w:cs="仿宋"/>
          <w:color w:val="000000"/>
          <w:sz w:val="32"/>
        </w:rPr>
        <w:t xml:space="preserve">    </w:t>
      </w:r>
      <w:r>
        <w:rPr>
          <w:rFonts w:hint="eastAsia" w:ascii="仿宋_GB2312" w:hAnsi="仿宋_GB2312" w:eastAsia="仿宋_GB2312" w:cs="仿宋_GB2312"/>
          <w:color w:val="000000"/>
          <w:sz w:val="32"/>
          <w:szCs w:val="32"/>
        </w:rPr>
        <w:t>根据《政协部门职能配置、内设机构和人员编制规定》，政协部门的主要职责是：</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一、政治协商专项业务</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坚持“注重质量，讲求实效”的原则，紧紧围绕区委、区政府中心工作开展协商议政，努力在推进科学民主决策中发挥作用。积极开展多层次政治协商。充分利用全体会议、常委会议、主席会议、专委会议，认真开展政治协商。</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二、民主监督</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有效履行民主监督职责，发挥好协调关系、汇聚力量、建言献策、服务大局的作用。通过意见、建议、批评的方式对国家法律法规的实施、执行、党和政府的工作进行政治监督。</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三、参政议政</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调研课题就经济社会发展以及党委和政府关注的问题，提出客观、有价值、有分量、有影响的意见建议，促进决策民主化和科学化。通过界别渠道密切联系群众，反映社情民意，努力做到协调关系、化解矛盾、理顺情绪，增进社会各阶层不同利益群体的和谐和稳定。加强史料的收集，编辑高质量的文史资料。通过对全区重大问题以及人民群众普遍关心的问题，开展调查研究，反映社情民意，进行协商讨论，以调研报告、建议案或其他形式，向区委、区政府提出意见和建议。</w:t>
      </w:r>
    </w:p>
    <w:p>
      <w:pPr>
        <w:pStyle w:val="14"/>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四、政协事务管理</w:t>
      </w:r>
    </w:p>
    <w:p>
      <w:pPr>
        <w:pStyle w:val="14"/>
        <w:rPr>
          <w:rFonts w:hint="eastAsia" w:ascii="仿宋_GB2312" w:hAnsi="仿宋_GB2312" w:eastAsia="仿宋_GB2312" w:cs="仿宋_GB2312"/>
          <w:sz w:val="32"/>
          <w:szCs w:val="32"/>
        </w:rPr>
        <w:sectPr>
          <w:pgSz w:w="11900" w:h="16840"/>
          <w:pgMar w:top="1361" w:right="1020" w:bottom="1361" w:left="1020" w:header="720" w:footer="720" w:gutter="0"/>
          <w:pgNumType w:start="1"/>
          <w:cols w:space="720" w:num="1"/>
        </w:sectPr>
      </w:pPr>
      <w:r>
        <w:rPr>
          <w:rFonts w:hint="eastAsia" w:ascii="仿宋_GB2312" w:hAnsi="仿宋_GB2312" w:eastAsia="仿宋_GB2312" w:cs="仿宋_GB2312"/>
          <w:sz w:val="32"/>
          <w:szCs w:val="32"/>
        </w:rPr>
        <w:t>更加重视政协委员队伍建设，把建设“懂政协、会协商、善议政”，“守纪律、讲规矩、重品行”高素质队伍作为推进政协履职能力现代化建设的重要抓手，按照“严管厚爱”的原则带好政协委员队伍，为政协高效履职提供坚实的人才队伍保障。要进一步加强各专委会和委员活动组建设，积极探索围绕社会热点难点问题开展专题民主协商活动，努力使人民政协的工作充满生机与活力。更加重视机关自身建设，建章立制，规范管理，进一步提升服务保障能力。</w:t>
      </w:r>
    </w:p>
    <w:p>
      <w:pPr>
        <w:ind w:firstLine="640"/>
        <w:jc w:val="left"/>
        <w:rPr>
          <w:rFonts w:hint="eastAsia" w:ascii="楷体_GB2312" w:hAnsi="楷体" w:eastAsia="楷体_GB2312" w:cs="楷体"/>
          <w:b/>
          <w:color w:val="000000"/>
          <w:sz w:val="32"/>
        </w:rPr>
      </w:pPr>
      <w:r>
        <w:rPr>
          <w:rFonts w:hint="eastAsia" w:ascii="楷体_GB2312" w:hAnsi="楷体" w:eastAsia="楷体_GB2312" w:cs="楷体"/>
          <w:b/>
          <w:color w:val="000000"/>
          <w:sz w:val="32"/>
        </w:rPr>
        <w:t>机构设置：</w:t>
      </w:r>
    </w:p>
    <w:p>
      <w:pPr>
        <w:ind w:firstLine="640"/>
        <w:jc w:val="center"/>
        <w:rPr>
          <w:rFonts w:hint="eastAsia" w:ascii="楷体_GB2312" w:hAnsi="楷体" w:eastAsia="楷体_GB2312" w:cs="楷体"/>
          <w:b/>
          <w:color w:val="000000"/>
          <w:sz w:val="32"/>
        </w:rPr>
      </w:pPr>
      <w:r>
        <w:rPr>
          <w:rFonts w:hint="eastAsia" w:ascii="楷体_GB2312" w:hAnsi="楷体" w:eastAsia="楷体_GB2312" w:cs="楷体"/>
          <w:b/>
          <w:color w:val="000000"/>
          <w:sz w:val="32"/>
        </w:rPr>
        <w:t>部门机构设置情况</w:t>
      </w:r>
    </w:p>
    <w:tbl>
      <w:tblPr>
        <w:tblStyle w:val="5"/>
        <w:tblW w:w="1426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094"/>
        <w:gridCol w:w="1845"/>
        <w:gridCol w:w="2416"/>
        <w:gridCol w:w="3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单位名称</w:t>
            </w:r>
          </w:p>
        </w:tc>
        <w:tc>
          <w:tcPr>
            <w:tcW w:w="1845"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单位性质</w:t>
            </w:r>
          </w:p>
        </w:tc>
        <w:tc>
          <w:tcPr>
            <w:tcW w:w="2416"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单位规格</w:t>
            </w:r>
          </w:p>
        </w:tc>
        <w:tc>
          <w:tcPr>
            <w:tcW w:w="3907" w:type="dxa"/>
            <w:vMerge w:val="restart"/>
            <w:noWrap w:val="0"/>
            <w:vAlign w:val="center"/>
          </w:tcPr>
          <w:p>
            <w:pPr>
              <w:spacing w:line="300" w:lineRule="exact"/>
              <w:jc w:val="center"/>
              <w:rPr>
                <w:rFonts w:hint="eastAsia" w:ascii="仿宋_GB2312" w:hAnsi="仿宋" w:eastAsia="仿宋_GB2312" w:cs="仿宋"/>
                <w:b/>
                <w:sz w:val="28"/>
                <w:szCs w:val="28"/>
              </w:rPr>
            </w:pPr>
            <w:r>
              <w:rPr>
                <w:rFonts w:hint="eastAsia" w:ascii="仿宋_GB2312" w:hAnsi="仿宋" w:eastAsia="仿宋_GB2312" w:cs="仿宋"/>
                <w:b/>
                <w:sz w:val="28"/>
                <w:szCs w:val="28"/>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0" w:hRule="atLeast"/>
          <w:tblHeader/>
          <w:jc w:val="center"/>
        </w:trPr>
        <w:tc>
          <w:tcPr>
            <w:tcW w:w="6094" w:type="dxa"/>
            <w:vMerge w:val="continue"/>
            <w:noWrap w:val="0"/>
            <w:vAlign w:val="center"/>
          </w:tcPr>
          <w:p>
            <w:pPr>
              <w:spacing w:line="300" w:lineRule="exact"/>
              <w:jc w:val="left"/>
              <w:outlineLvl w:val="0"/>
              <w:rPr>
                <w:rFonts w:hint="eastAsia" w:ascii="仿宋" w:hAnsi="仿宋" w:eastAsia="仿宋" w:cs="仿宋"/>
                <w:sz w:val="28"/>
                <w:szCs w:val="28"/>
              </w:rPr>
            </w:pPr>
          </w:p>
        </w:tc>
        <w:tc>
          <w:tcPr>
            <w:tcW w:w="1845" w:type="dxa"/>
            <w:vMerge w:val="continue"/>
            <w:noWrap w:val="0"/>
            <w:vAlign w:val="center"/>
          </w:tcPr>
          <w:p>
            <w:pPr>
              <w:spacing w:line="300" w:lineRule="exact"/>
              <w:jc w:val="left"/>
              <w:outlineLvl w:val="0"/>
              <w:rPr>
                <w:rFonts w:hint="eastAsia" w:ascii="仿宋" w:hAnsi="仿宋" w:eastAsia="仿宋" w:cs="仿宋"/>
                <w:sz w:val="28"/>
                <w:szCs w:val="28"/>
              </w:rPr>
            </w:pPr>
          </w:p>
        </w:tc>
        <w:tc>
          <w:tcPr>
            <w:tcW w:w="2416" w:type="dxa"/>
            <w:vMerge w:val="continue"/>
            <w:noWrap w:val="0"/>
            <w:vAlign w:val="center"/>
          </w:tcPr>
          <w:p>
            <w:pPr>
              <w:spacing w:line="300" w:lineRule="exact"/>
              <w:jc w:val="left"/>
              <w:outlineLvl w:val="0"/>
              <w:rPr>
                <w:rFonts w:hint="eastAsia" w:ascii="仿宋" w:hAnsi="仿宋" w:eastAsia="仿宋" w:cs="仿宋"/>
                <w:sz w:val="28"/>
                <w:szCs w:val="28"/>
              </w:rPr>
            </w:pPr>
          </w:p>
        </w:tc>
        <w:tc>
          <w:tcPr>
            <w:tcW w:w="3907" w:type="dxa"/>
            <w:vMerge w:val="continue"/>
            <w:noWrap w:val="0"/>
            <w:vAlign w:val="center"/>
          </w:tcPr>
          <w:p>
            <w:pPr>
              <w:spacing w:line="300" w:lineRule="exact"/>
              <w:jc w:val="left"/>
              <w:outlineLvl w:val="0"/>
              <w:rPr>
                <w:rFonts w:hint="eastAsia" w:ascii="仿宋" w:hAnsi="仿宋" w:eastAsia="仿宋" w:cs="仿宋"/>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3" w:hRule="atLeast"/>
          <w:jc w:val="center"/>
        </w:trPr>
        <w:tc>
          <w:tcPr>
            <w:tcW w:w="6094" w:type="dxa"/>
            <w:noWrap w:val="0"/>
            <w:vAlign w:val="center"/>
          </w:tcPr>
          <w:p>
            <w:pPr>
              <w:spacing w:line="300" w:lineRule="exact"/>
              <w:jc w:val="left"/>
              <w:rPr>
                <w:rFonts w:hint="eastAsia" w:ascii="仿宋_GB2312" w:eastAsia="仿宋_GB2312"/>
                <w:sz w:val="28"/>
                <w:szCs w:val="28"/>
              </w:rPr>
            </w:pPr>
            <w:r>
              <w:rPr>
                <w:rFonts w:hint="eastAsia" w:ascii="仿宋_GB2312" w:eastAsia="仿宋_GB2312"/>
                <w:sz w:val="28"/>
                <w:szCs w:val="28"/>
              </w:rPr>
              <w:t>中国人民政治协商会议河北省秦皇岛市山海关区委员会</w:t>
            </w:r>
          </w:p>
          <w:p>
            <w:pPr>
              <w:spacing w:line="300" w:lineRule="exact"/>
              <w:jc w:val="center"/>
              <w:rPr>
                <w:rFonts w:hint="eastAsia" w:ascii="仿宋_GB2312" w:eastAsia="仿宋_GB2312"/>
                <w:sz w:val="28"/>
                <w:szCs w:val="28"/>
              </w:rPr>
            </w:pP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行政</w:t>
            </w:r>
          </w:p>
        </w:tc>
        <w:tc>
          <w:tcPr>
            <w:tcW w:w="2416" w:type="dxa"/>
            <w:noWrap w:val="0"/>
            <w:vAlign w:val="center"/>
          </w:tcPr>
          <w:p>
            <w:pPr>
              <w:spacing w:line="300" w:lineRule="exact"/>
              <w:jc w:val="center"/>
              <w:rPr>
                <w:rFonts w:hint="eastAsia" w:ascii="仿宋_GB2312" w:eastAsia="仿宋_GB2312"/>
                <w:sz w:val="28"/>
                <w:szCs w:val="28"/>
                <w:lang w:eastAsia="zh-CN"/>
              </w:rPr>
            </w:pPr>
            <w:r>
              <w:rPr>
                <w:rFonts w:hint="eastAsia" w:ascii="仿宋_GB2312" w:eastAsia="仿宋_GB2312"/>
                <w:sz w:val="28"/>
                <w:szCs w:val="28"/>
                <w:lang w:val="en-US" w:eastAsia="zh-CN"/>
              </w:rPr>
              <w:t>正县级</w:t>
            </w:r>
          </w:p>
        </w:tc>
        <w:tc>
          <w:tcPr>
            <w:tcW w:w="3907"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jc w:val="center"/>
        </w:trPr>
        <w:tc>
          <w:tcPr>
            <w:tcW w:w="6094" w:type="dxa"/>
            <w:noWrap w:val="0"/>
            <w:vAlign w:val="center"/>
          </w:tcPr>
          <w:p>
            <w:pPr>
              <w:spacing w:line="300" w:lineRule="exact"/>
              <w:jc w:val="center"/>
              <w:rPr>
                <w:rFonts w:hint="default" w:ascii="仿宋_GB2312" w:eastAsia="仿宋_GB2312"/>
                <w:sz w:val="28"/>
                <w:szCs w:val="28"/>
                <w:lang w:val="en-US" w:eastAsia="zh-CN"/>
              </w:rPr>
            </w:pPr>
            <w:r>
              <w:rPr>
                <w:rFonts w:hint="eastAsia" w:ascii="仿宋_GB2312" w:eastAsia="仿宋_GB2312"/>
                <w:sz w:val="28"/>
                <w:szCs w:val="28"/>
                <w:lang w:val="en-US" w:eastAsia="zh-CN"/>
              </w:rPr>
              <w:t>政协文史馆</w:t>
            </w:r>
          </w:p>
        </w:tc>
        <w:tc>
          <w:tcPr>
            <w:tcW w:w="1845"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rPr>
              <w:t>事业</w:t>
            </w:r>
          </w:p>
        </w:tc>
        <w:tc>
          <w:tcPr>
            <w:tcW w:w="2416" w:type="dxa"/>
            <w:noWrap w:val="0"/>
            <w:vAlign w:val="center"/>
          </w:tcPr>
          <w:p>
            <w:pPr>
              <w:spacing w:line="300" w:lineRule="exact"/>
              <w:jc w:val="center"/>
              <w:rPr>
                <w:rFonts w:hint="eastAsia" w:ascii="仿宋_GB2312" w:eastAsia="仿宋_GB2312"/>
                <w:sz w:val="28"/>
                <w:szCs w:val="28"/>
              </w:rPr>
            </w:pPr>
            <w:r>
              <w:rPr>
                <w:rFonts w:hint="eastAsia" w:ascii="仿宋_GB2312" w:eastAsia="仿宋_GB2312"/>
                <w:sz w:val="28"/>
                <w:szCs w:val="28"/>
                <w:lang w:val="en-US" w:eastAsia="zh-CN"/>
              </w:rPr>
              <w:t>股</w:t>
            </w:r>
            <w:r>
              <w:rPr>
                <w:rFonts w:hint="eastAsia" w:ascii="仿宋_GB2312" w:eastAsia="仿宋_GB2312"/>
                <w:sz w:val="28"/>
                <w:szCs w:val="28"/>
              </w:rPr>
              <w:t>级</w:t>
            </w:r>
          </w:p>
        </w:tc>
        <w:tc>
          <w:tcPr>
            <w:tcW w:w="3907" w:type="dxa"/>
            <w:noWrap w:val="0"/>
            <w:vAlign w:val="center"/>
          </w:tcPr>
          <w:p>
            <w:pPr>
              <w:spacing w:line="300" w:lineRule="exact"/>
              <w:jc w:val="center"/>
              <w:rPr>
                <w:rFonts w:hint="eastAsia" w:ascii="仿宋_GB2312" w:eastAsia="仿宋_GB2312"/>
                <w:sz w:val="28"/>
                <w:szCs w:val="28"/>
                <w:lang w:val="en-US" w:eastAsia="zh-CN"/>
              </w:rPr>
            </w:pPr>
            <w:r>
              <w:rPr>
                <w:rFonts w:hint="eastAsia" w:ascii="仿宋_GB2312" w:eastAsia="仿宋_GB2312"/>
                <w:sz w:val="28"/>
                <w:szCs w:val="28"/>
              </w:rPr>
              <w:t>财政</w:t>
            </w:r>
            <w:r>
              <w:rPr>
                <w:rFonts w:hint="eastAsia" w:ascii="仿宋_GB2312" w:eastAsia="仿宋_GB2312"/>
                <w:sz w:val="28"/>
                <w:szCs w:val="28"/>
                <w:lang w:val="en-US" w:eastAsia="zh-CN"/>
              </w:rPr>
              <w:t>拨款</w:t>
            </w:r>
          </w:p>
        </w:tc>
      </w:tr>
    </w:tbl>
    <w:p>
      <w:pPr>
        <w:jc w:val="left"/>
        <w:rPr>
          <w:rFonts w:hint="eastAsia" w:ascii="黑体" w:hAnsi="黑体" w:eastAsia="黑体"/>
          <w:color w:val="000000"/>
          <w:sz w:val="32"/>
        </w:rPr>
      </w:pPr>
    </w:p>
    <w:p>
      <w:pPr>
        <w:jc w:val="left"/>
        <w:rPr>
          <w:rFonts w:ascii="黑体" w:hAnsi="黑体" w:eastAsia="黑体"/>
          <w:color w:val="000000"/>
          <w:sz w:val="32"/>
        </w:rPr>
      </w:pPr>
      <w:r>
        <w:rPr>
          <w:rFonts w:hint="eastAsia" w:ascii="黑体" w:hAnsi="黑体" w:eastAsia="黑体"/>
          <w:color w:val="000000"/>
          <w:sz w:val="32"/>
        </w:rPr>
        <w:t xml:space="preserve">    </w:t>
      </w:r>
      <w:r>
        <w:rPr>
          <w:rFonts w:ascii="黑体" w:hAnsi="黑体" w:eastAsia="黑体"/>
          <w:color w:val="000000"/>
          <w:sz w:val="32"/>
        </w:rPr>
        <w:t>二、部门预算安排的总体情况</w:t>
      </w:r>
    </w:p>
    <w:p>
      <w:pPr>
        <w:jc w:val="left"/>
        <w:rPr>
          <w:rFonts w:hint="eastAsia" w:ascii="仿宋_GB2312" w:hAnsi="仿宋" w:eastAsia="仿宋_GB2312" w:cs="仿宋"/>
          <w:color w:val="000000"/>
          <w:sz w:val="32"/>
        </w:rPr>
      </w:pPr>
      <w:r>
        <w:rPr>
          <w:rFonts w:hint="eastAsia" w:ascii="仿宋_GB2312" w:hAnsi="仿宋" w:eastAsia="仿宋_GB2312" w:cs="仿宋"/>
          <w:color w:val="000000"/>
          <w:sz w:val="32"/>
        </w:rPr>
        <w:t xml:space="preserve">    按照预算管理有关规定，目前我区部门预算的编制实行综合预算制度，即全部收入和支出都反映在预算中。中国人民政治协商会议河北省秦皇岛市山海关区委员会机关及所属事业单位的收支包含在部门预算中。</w:t>
      </w:r>
    </w:p>
    <w:p>
      <w:pPr>
        <w:jc w:val="left"/>
        <w:rPr>
          <w:rFonts w:hint="eastAsia" w:ascii="楷体" w:hAnsi="楷体" w:eastAsia="楷体" w:cs="楷体"/>
          <w:color w:val="000000"/>
          <w:sz w:val="32"/>
        </w:rPr>
      </w:pPr>
      <w:r>
        <w:rPr>
          <w:rFonts w:hint="eastAsia" w:ascii="楷体" w:hAnsi="楷体" w:eastAsia="楷体" w:cs="楷体"/>
          <w:color w:val="FF0000"/>
          <w:sz w:val="32"/>
        </w:rPr>
        <w:t xml:space="preserve">    </w:t>
      </w:r>
      <w:r>
        <w:rPr>
          <w:rFonts w:hint="eastAsia" w:ascii="楷体_GB2312" w:hAnsi="楷体" w:eastAsia="楷体_GB2312" w:cs="楷体"/>
          <w:b/>
          <w:color w:val="000000"/>
          <w:sz w:val="32"/>
        </w:rPr>
        <w:t>1、收入说明</w:t>
      </w:r>
    </w:p>
    <w:p>
      <w:pPr>
        <w:widowControl w:val="0"/>
        <w:spacing w:after="156" w:afterLines="50"/>
        <w:ind w:firstLine="640" w:firstLineChars="200"/>
        <w:rPr>
          <w:rFonts w:hint="eastAsia" w:ascii="仿宋_GB2312" w:eastAsia="仿宋_GB2312"/>
          <w:sz w:val="32"/>
          <w:szCs w:val="32"/>
        </w:rPr>
      </w:pPr>
      <w:r>
        <w:rPr>
          <w:rFonts w:hint="eastAsia" w:ascii="仿宋" w:hAnsi="仿宋" w:eastAsia="仿宋" w:cs="仿宋"/>
          <w:color w:val="000000"/>
          <w:sz w:val="32"/>
        </w:rPr>
        <w:t>反映本部门当年全部收入。</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年预算收入为</w:t>
      </w:r>
      <w:r>
        <w:rPr>
          <w:rFonts w:hint="eastAsia" w:ascii="仿宋_GB2312" w:eastAsia="仿宋_GB2312"/>
          <w:sz w:val="32"/>
          <w:szCs w:val="32"/>
          <w:lang w:val="en-US" w:eastAsia="zh-CN"/>
        </w:rPr>
        <w:t>372.88万</w:t>
      </w:r>
      <w:r>
        <w:rPr>
          <w:rFonts w:hint="eastAsia" w:ascii="仿宋_GB2312" w:eastAsia="仿宋_GB2312"/>
          <w:sz w:val="32"/>
          <w:szCs w:val="32"/>
        </w:rPr>
        <w:t>元，其中：一般公共预算收入</w:t>
      </w:r>
      <w:r>
        <w:rPr>
          <w:rFonts w:hint="eastAsia" w:ascii="仿宋_GB2312" w:eastAsia="仿宋_GB2312"/>
          <w:sz w:val="32"/>
          <w:szCs w:val="32"/>
          <w:lang w:val="en-US" w:eastAsia="zh-CN"/>
        </w:rPr>
        <w:t>372.88万</w:t>
      </w:r>
      <w:r>
        <w:rPr>
          <w:rFonts w:hint="eastAsia" w:ascii="仿宋_GB2312" w:eastAsia="仿宋_GB2312"/>
          <w:sz w:val="32"/>
          <w:szCs w:val="32"/>
        </w:rPr>
        <w:t>元，基金预算收入</w:t>
      </w:r>
      <w:r>
        <w:rPr>
          <w:rFonts w:hint="eastAsia" w:ascii="仿宋_GB2312" w:eastAsia="仿宋_GB2312"/>
          <w:sz w:val="32"/>
          <w:szCs w:val="32"/>
          <w:lang w:val="en-US" w:eastAsia="zh-CN"/>
        </w:rPr>
        <w:t>0万</w:t>
      </w:r>
      <w:r>
        <w:rPr>
          <w:rFonts w:hint="eastAsia" w:ascii="仿宋_GB2312" w:eastAsia="仿宋_GB2312"/>
          <w:sz w:val="32"/>
          <w:szCs w:val="32"/>
        </w:rPr>
        <w:t>元，财政专户核拨收入</w:t>
      </w:r>
      <w:r>
        <w:rPr>
          <w:rFonts w:hint="eastAsia" w:ascii="仿宋_GB2312" w:eastAsia="仿宋_GB2312"/>
          <w:sz w:val="32"/>
          <w:szCs w:val="32"/>
          <w:lang w:val="en-US" w:eastAsia="zh-CN"/>
        </w:rPr>
        <w:t>0万</w:t>
      </w:r>
      <w:r>
        <w:rPr>
          <w:rFonts w:hint="eastAsia" w:ascii="仿宋_GB2312" w:eastAsia="仿宋_GB2312"/>
          <w:sz w:val="32"/>
          <w:szCs w:val="32"/>
        </w:rPr>
        <w:t>元，其他来源收入</w:t>
      </w:r>
      <w:r>
        <w:rPr>
          <w:rFonts w:hint="eastAsia" w:ascii="仿宋_GB2312" w:eastAsia="仿宋_GB2312"/>
          <w:sz w:val="32"/>
          <w:szCs w:val="32"/>
          <w:lang w:val="en-US" w:eastAsia="zh-CN"/>
        </w:rPr>
        <w:t>0万</w:t>
      </w:r>
      <w:r>
        <w:rPr>
          <w:rFonts w:hint="eastAsia" w:ascii="仿宋_GB2312" w:eastAsia="仿宋_GB2312"/>
          <w:sz w:val="32"/>
          <w:szCs w:val="32"/>
        </w:rPr>
        <w:t>元。</w:t>
      </w:r>
    </w:p>
    <w:p>
      <w:pPr>
        <w:jc w:val="left"/>
        <w:rPr>
          <w:rFonts w:hint="eastAsia" w:ascii="楷体_GB2312" w:hAnsi="仿宋" w:eastAsia="楷体_GB2312" w:cs="仿宋"/>
          <w:b/>
          <w:color w:val="000000"/>
          <w:sz w:val="32"/>
        </w:rPr>
      </w:pPr>
      <w:r>
        <w:rPr>
          <w:rFonts w:hint="eastAsia" w:ascii="仿宋" w:hAnsi="仿宋" w:eastAsia="仿宋" w:cs="仿宋"/>
          <w:color w:val="000000"/>
          <w:sz w:val="32"/>
        </w:rPr>
        <w:t xml:space="preserve">  </w:t>
      </w:r>
      <w:r>
        <w:rPr>
          <w:rFonts w:hint="eastAsia" w:ascii="仿宋" w:hAnsi="仿宋" w:eastAsia="仿宋" w:cs="仿宋"/>
          <w:b/>
          <w:color w:val="000000"/>
          <w:sz w:val="32"/>
        </w:rPr>
        <w:t xml:space="preserve"> </w:t>
      </w:r>
      <w:r>
        <w:rPr>
          <w:rFonts w:hint="eastAsia" w:ascii="楷体_GB2312" w:hAnsi="仿宋" w:eastAsia="楷体_GB2312" w:cs="仿宋"/>
          <w:b/>
          <w:color w:val="000000"/>
          <w:sz w:val="32"/>
        </w:rPr>
        <w:t xml:space="preserve"> </w:t>
      </w:r>
      <w:r>
        <w:rPr>
          <w:rFonts w:hint="eastAsia" w:ascii="楷体_GB2312" w:hAnsi="楷体" w:eastAsia="楷体_GB2312" w:cs="楷体"/>
          <w:b/>
          <w:color w:val="000000"/>
          <w:sz w:val="32"/>
        </w:rPr>
        <w:t>2、支出说明</w:t>
      </w:r>
    </w:p>
    <w:p>
      <w:pPr>
        <w:ind w:firstLine="643" w:firstLineChars="200"/>
        <w:jc w:val="left"/>
        <w:rPr>
          <w:rFonts w:hint="eastAsia" w:ascii="仿宋" w:hAnsi="仿宋" w:eastAsia="仿宋" w:cs="仿宋"/>
          <w:color w:val="FF0000"/>
          <w:sz w:val="32"/>
        </w:rPr>
      </w:pPr>
      <w:r>
        <w:rPr>
          <w:rFonts w:hint="eastAsia" w:ascii="仿宋_GB2312" w:hAnsi="仿宋" w:eastAsia="仿宋_GB2312" w:cs="仿宋"/>
          <w:b/>
          <w:color w:val="000000"/>
          <w:sz w:val="32"/>
        </w:rPr>
        <w:t>收支预算总表支出栏、基本支出表、项目支出表按经济分类和支出功能分类科目编制，反映</w:t>
      </w:r>
      <w:r>
        <w:rPr>
          <w:rFonts w:hint="eastAsia" w:ascii="仿宋_GB2312" w:hAnsi="仿宋" w:eastAsia="仿宋_GB2312" w:cs="仿宋"/>
          <w:color w:val="000000"/>
          <w:sz w:val="32"/>
        </w:rPr>
        <w:t>中国人民政治协商会议河北省秦皇岛市山海关区委员会</w:t>
      </w:r>
      <w:r>
        <w:rPr>
          <w:rFonts w:hint="eastAsia" w:ascii="仿宋_GB2312" w:hAnsi="仿宋" w:eastAsia="仿宋_GB2312" w:cs="仿宋"/>
          <w:color w:val="000000"/>
          <w:sz w:val="32"/>
          <w:lang w:val="en-US" w:eastAsia="zh-CN"/>
        </w:rPr>
        <w:t>2022</w:t>
      </w:r>
      <w:r>
        <w:rPr>
          <w:rFonts w:hint="eastAsia" w:ascii="仿宋_GB2312" w:hAnsi="仿宋" w:eastAsia="仿宋_GB2312" w:cs="仿宋"/>
          <w:b/>
          <w:color w:val="000000"/>
          <w:sz w:val="32"/>
        </w:rPr>
        <w:t>年度部门预算中支出预算的总体情况。</w:t>
      </w: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年预算支出为</w:t>
      </w:r>
      <w:r>
        <w:rPr>
          <w:rFonts w:hint="eastAsia" w:ascii="仿宋_GB2312" w:eastAsia="仿宋_GB2312"/>
          <w:sz w:val="32"/>
          <w:szCs w:val="32"/>
          <w:lang w:val="en-US" w:eastAsia="zh-CN"/>
        </w:rPr>
        <w:t>327.08万</w:t>
      </w:r>
      <w:r>
        <w:rPr>
          <w:rFonts w:hint="eastAsia" w:ascii="仿宋_GB2312" w:eastAsia="仿宋_GB2312"/>
          <w:sz w:val="32"/>
          <w:szCs w:val="32"/>
        </w:rPr>
        <w:t>元，其中：基本支出</w:t>
      </w:r>
      <w:r>
        <w:rPr>
          <w:rFonts w:hint="eastAsia" w:ascii="仿宋_GB2312" w:eastAsia="仿宋_GB2312"/>
          <w:sz w:val="32"/>
          <w:szCs w:val="32"/>
          <w:lang w:val="en-US" w:eastAsia="zh-CN"/>
        </w:rPr>
        <w:t>327.08万</w:t>
      </w:r>
      <w:r>
        <w:rPr>
          <w:rFonts w:hint="eastAsia" w:ascii="仿宋_GB2312" w:eastAsia="仿宋_GB2312"/>
          <w:sz w:val="32"/>
          <w:szCs w:val="32"/>
        </w:rPr>
        <w:t>元，主要是人员经费</w:t>
      </w:r>
      <w:r>
        <w:rPr>
          <w:rFonts w:hint="eastAsia" w:ascii="仿宋_GB2312" w:eastAsia="仿宋_GB2312"/>
          <w:sz w:val="32"/>
          <w:szCs w:val="32"/>
          <w:lang w:val="en-US" w:eastAsia="zh-CN"/>
        </w:rPr>
        <w:t>293.41万</w:t>
      </w:r>
      <w:r>
        <w:rPr>
          <w:rFonts w:hint="eastAsia" w:ascii="仿宋_GB2312" w:eastAsia="仿宋_GB2312"/>
          <w:sz w:val="32"/>
          <w:szCs w:val="32"/>
        </w:rPr>
        <w:t>元和日常公用经费</w:t>
      </w:r>
      <w:r>
        <w:rPr>
          <w:rFonts w:hint="eastAsia" w:ascii="仿宋_GB2312" w:eastAsia="仿宋_GB2312"/>
          <w:sz w:val="32"/>
          <w:szCs w:val="32"/>
          <w:lang w:val="en-US" w:eastAsia="zh-CN"/>
        </w:rPr>
        <w:t>33.67万</w:t>
      </w:r>
      <w:r>
        <w:rPr>
          <w:rFonts w:hint="eastAsia" w:ascii="仿宋_GB2312" w:eastAsia="仿宋_GB2312"/>
          <w:sz w:val="32"/>
          <w:szCs w:val="32"/>
        </w:rPr>
        <w:t>元；项目支出</w:t>
      </w:r>
      <w:r>
        <w:rPr>
          <w:rFonts w:hint="eastAsia" w:ascii="仿宋_GB2312" w:eastAsia="仿宋_GB2312"/>
          <w:sz w:val="32"/>
          <w:szCs w:val="32"/>
          <w:lang w:val="en-US" w:eastAsia="zh-CN"/>
        </w:rPr>
        <w:t>44.80</w:t>
      </w:r>
      <w:r>
        <w:rPr>
          <w:rFonts w:hint="eastAsia" w:ascii="仿宋_GB2312" w:eastAsia="仿宋_GB2312"/>
          <w:sz w:val="32"/>
          <w:szCs w:val="32"/>
        </w:rPr>
        <w:t>元，主要为</w:t>
      </w:r>
      <w:r>
        <w:rPr>
          <w:rFonts w:hint="eastAsia" w:ascii="仿宋_GB2312" w:eastAsia="仿宋_GB2312"/>
          <w:sz w:val="32"/>
          <w:szCs w:val="32"/>
          <w:lang w:val="en-US" w:eastAsia="zh-CN"/>
        </w:rPr>
        <w:t>参政议政项目安排资金3万元、委员工作室项目安排资金7万元</w:t>
      </w:r>
      <w:r>
        <w:rPr>
          <w:rFonts w:hint="eastAsia" w:ascii="仿宋_GB2312" w:eastAsia="仿宋_GB2312"/>
          <w:sz w:val="32"/>
          <w:szCs w:val="32"/>
          <w:lang w:eastAsia="zh-CN"/>
        </w:rPr>
        <w:t>、</w:t>
      </w:r>
      <w:r>
        <w:rPr>
          <w:rFonts w:hint="eastAsia" w:ascii="仿宋_GB2312" w:eastAsia="仿宋_GB2312"/>
          <w:sz w:val="32"/>
          <w:szCs w:val="32"/>
          <w:lang w:val="en-US" w:eastAsia="zh-CN"/>
        </w:rPr>
        <w:t>政协会议项目安排资金20万元、综合事务管理费用15万元。</w:t>
      </w:r>
    </w:p>
    <w:p>
      <w:pPr>
        <w:jc w:val="left"/>
        <w:rPr>
          <w:rFonts w:hint="eastAsia" w:ascii="楷体_GB2312" w:hAnsi="楷体" w:eastAsia="楷体_GB2312" w:cs="楷体"/>
          <w:b/>
          <w:color w:val="000000"/>
          <w:sz w:val="32"/>
        </w:rPr>
      </w:pPr>
      <w:r>
        <w:rPr>
          <w:rFonts w:hint="eastAsia" w:ascii="楷体" w:hAnsi="楷体" w:eastAsia="楷体" w:cs="楷体"/>
          <w:color w:val="000000"/>
          <w:sz w:val="32"/>
        </w:rPr>
        <w:t xml:space="preserve">   </w:t>
      </w:r>
      <w:r>
        <w:rPr>
          <w:rFonts w:hint="eastAsia" w:ascii="楷体_GB2312" w:hAnsi="楷体" w:eastAsia="楷体_GB2312" w:cs="楷体"/>
          <w:b/>
          <w:color w:val="000000"/>
          <w:sz w:val="32"/>
        </w:rPr>
        <w:t xml:space="preserve"> 3、比上年增减情况</w:t>
      </w:r>
    </w:p>
    <w:p>
      <w:pPr>
        <w:jc w:val="left"/>
        <w:rPr>
          <w:rFonts w:ascii="仿宋_GB2312" w:eastAsia="仿宋_GB2312"/>
          <w:sz w:val="32"/>
          <w:szCs w:val="32"/>
        </w:rPr>
      </w:pPr>
      <w:r>
        <w:rPr>
          <w:rFonts w:hint="eastAsia" w:ascii="Times New Roman" w:hAnsi="Times New Roman"/>
          <w:color w:val="000000"/>
          <w:sz w:val="32"/>
        </w:rPr>
        <w:t xml:space="preserve">   </w:t>
      </w:r>
      <w:r>
        <w:rPr>
          <w:rFonts w:hint="eastAsia" w:ascii="仿宋_GB2312" w:eastAsia="仿宋_GB2312"/>
          <w:sz w:val="32"/>
          <w:szCs w:val="32"/>
        </w:rPr>
        <w:t xml:space="preserve"> 202</w:t>
      </w:r>
      <w:r>
        <w:rPr>
          <w:rFonts w:hint="eastAsia" w:ascii="仿宋_GB2312" w:eastAsia="仿宋_GB2312"/>
          <w:sz w:val="32"/>
          <w:szCs w:val="32"/>
          <w:lang w:val="en-US" w:eastAsia="zh-CN"/>
        </w:rPr>
        <w:t>2</w:t>
      </w:r>
      <w:r>
        <w:rPr>
          <w:rFonts w:hint="eastAsia" w:ascii="仿宋_GB2312" w:eastAsia="仿宋_GB2312"/>
          <w:sz w:val="32"/>
          <w:szCs w:val="32"/>
        </w:rPr>
        <w:t>年预算支出安排</w:t>
      </w:r>
      <w:r>
        <w:rPr>
          <w:rFonts w:hint="eastAsia" w:ascii="仿宋_GB2312" w:eastAsia="仿宋_GB2312"/>
          <w:sz w:val="32"/>
          <w:szCs w:val="32"/>
          <w:lang w:val="en-US" w:eastAsia="zh-CN"/>
        </w:rPr>
        <w:t>372.88</w:t>
      </w:r>
      <w:r>
        <w:rPr>
          <w:rFonts w:hint="eastAsia" w:ascii="仿宋_GB2312" w:eastAsia="仿宋_GB2312"/>
          <w:sz w:val="32"/>
          <w:szCs w:val="32"/>
        </w:rPr>
        <w:t>元，较20</w:t>
      </w:r>
      <w:r>
        <w:rPr>
          <w:rFonts w:hint="eastAsia" w:ascii="仿宋_GB2312" w:eastAsia="仿宋_GB2312"/>
          <w:sz w:val="32"/>
          <w:szCs w:val="32"/>
          <w:lang w:val="en-US" w:eastAsia="zh-CN"/>
        </w:rPr>
        <w:t>21</w:t>
      </w:r>
      <w:r>
        <w:rPr>
          <w:rFonts w:hint="eastAsia" w:ascii="仿宋_GB2312" w:eastAsia="仿宋_GB2312"/>
          <w:sz w:val="32"/>
          <w:szCs w:val="32"/>
        </w:rPr>
        <w:t>年预算</w:t>
      </w:r>
      <w:r>
        <w:rPr>
          <w:rFonts w:hint="eastAsia" w:ascii="仿宋_GB2312" w:eastAsia="仿宋_GB2312"/>
          <w:sz w:val="32"/>
          <w:szCs w:val="32"/>
          <w:lang w:val="en-US" w:eastAsia="zh-CN"/>
        </w:rPr>
        <w:t>减少61.16万</w:t>
      </w:r>
      <w:r>
        <w:rPr>
          <w:rFonts w:hint="eastAsia" w:ascii="仿宋_GB2312" w:eastAsia="仿宋_GB2312"/>
          <w:sz w:val="32"/>
          <w:szCs w:val="32"/>
        </w:rPr>
        <w:t>元，其中：基本支出</w:t>
      </w:r>
      <w:r>
        <w:rPr>
          <w:rFonts w:hint="eastAsia" w:ascii="仿宋_GB2312" w:eastAsia="仿宋_GB2312"/>
          <w:sz w:val="32"/>
          <w:szCs w:val="32"/>
          <w:lang w:val="en-US" w:eastAsia="zh-CN"/>
        </w:rPr>
        <w:t>增加56.16万</w:t>
      </w:r>
      <w:r>
        <w:rPr>
          <w:rFonts w:hint="eastAsia" w:ascii="仿宋_GB2312" w:eastAsia="仿宋_GB2312"/>
          <w:sz w:val="32"/>
          <w:szCs w:val="32"/>
        </w:rPr>
        <w:t>元，主要为</w:t>
      </w:r>
      <w:r>
        <w:rPr>
          <w:rFonts w:hint="eastAsia" w:ascii="仿宋_GB2312" w:eastAsia="仿宋_GB2312"/>
          <w:sz w:val="32"/>
          <w:szCs w:val="32"/>
          <w:lang w:val="en-US" w:eastAsia="zh-CN"/>
        </w:rPr>
        <w:t>人员</w:t>
      </w:r>
      <w:r>
        <w:rPr>
          <w:rFonts w:hint="eastAsia" w:ascii="仿宋_GB2312" w:eastAsia="仿宋_GB2312"/>
          <w:sz w:val="32"/>
          <w:szCs w:val="32"/>
        </w:rPr>
        <w:t>支出</w:t>
      </w:r>
      <w:r>
        <w:rPr>
          <w:rFonts w:hint="eastAsia" w:ascii="仿宋_GB2312" w:eastAsia="仿宋_GB2312"/>
          <w:sz w:val="32"/>
          <w:szCs w:val="32"/>
          <w:lang w:val="en-US" w:eastAsia="zh-CN"/>
        </w:rPr>
        <w:t>增加</w:t>
      </w:r>
      <w:r>
        <w:rPr>
          <w:rFonts w:hint="eastAsia" w:ascii="仿宋_GB2312" w:eastAsia="仿宋_GB2312"/>
          <w:sz w:val="32"/>
          <w:szCs w:val="32"/>
        </w:rPr>
        <w:t>；项目支出</w:t>
      </w:r>
      <w:r>
        <w:rPr>
          <w:rFonts w:hint="eastAsia" w:ascii="仿宋_GB2312" w:eastAsia="仿宋_GB2312"/>
          <w:sz w:val="32"/>
          <w:szCs w:val="32"/>
          <w:lang w:val="en-US" w:eastAsia="zh-CN"/>
        </w:rPr>
        <w:t>增加5万</w:t>
      </w:r>
      <w:r>
        <w:rPr>
          <w:rFonts w:hint="eastAsia" w:ascii="仿宋_GB2312" w:eastAsia="仿宋_GB2312"/>
          <w:sz w:val="32"/>
          <w:szCs w:val="32"/>
        </w:rPr>
        <w:t>元，主要为</w:t>
      </w:r>
      <w:r>
        <w:rPr>
          <w:rFonts w:hint="eastAsia" w:ascii="仿宋_GB2312" w:hAnsi="Calibri" w:eastAsia="仿宋_GB2312" w:cs="Times New Roman"/>
          <w:sz w:val="32"/>
          <w:szCs w:val="32"/>
          <w:lang w:val="en-US" w:eastAsia="zh-CN"/>
        </w:rPr>
        <w:t>综合事务管理5万元</w:t>
      </w:r>
      <w:r>
        <w:rPr>
          <w:rFonts w:hint="eastAsia" w:ascii="仿宋_GB2312" w:eastAsia="仿宋_GB2312"/>
          <w:sz w:val="32"/>
          <w:szCs w:val="32"/>
        </w:rPr>
        <w:t>支出。</w:t>
      </w:r>
    </w:p>
    <w:p>
      <w:pPr>
        <w:ind w:firstLine="636"/>
        <w:rPr>
          <w:rFonts w:hint="eastAsia" w:ascii="仿宋_GB2312" w:hAnsi="Calibri" w:eastAsia="仿宋_GB2312" w:cs="Times New Roman"/>
          <w:sz w:val="32"/>
          <w:szCs w:val="32"/>
        </w:rPr>
      </w:pPr>
      <w:r>
        <w:rPr>
          <w:rFonts w:hint="eastAsia" w:ascii="黑体" w:hAnsi="黑体" w:eastAsia="黑体"/>
          <w:color w:val="000000"/>
          <w:sz w:val="32"/>
        </w:rPr>
        <w:t xml:space="preserve">  </w:t>
      </w:r>
      <w:r>
        <w:rPr>
          <w:rFonts w:ascii="黑体" w:hAnsi="黑体" w:eastAsia="黑体"/>
          <w:color w:val="000000"/>
          <w:sz w:val="32"/>
        </w:rPr>
        <w:t>三、机关运行经费安排情况</w:t>
      </w:r>
    </w:p>
    <w:p>
      <w:pPr>
        <w:ind w:firstLine="636"/>
        <w:rPr>
          <w:rFonts w:ascii="仿宋_GB2312" w:eastAsia="仿宋_GB2312"/>
          <w:sz w:val="32"/>
          <w:szCs w:val="32"/>
          <w:highlight w:val="yellow"/>
        </w:rPr>
      </w:pPr>
      <w:r>
        <w:rPr>
          <w:rFonts w:hint="eastAsia" w:ascii="仿宋_GB2312" w:hAnsi="Calibri" w:eastAsia="仿宋_GB2312" w:cs="Times New Roman"/>
          <w:sz w:val="32"/>
          <w:szCs w:val="32"/>
        </w:rPr>
        <w:t>机关运行经费共计安排</w:t>
      </w:r>
      <w:r>
        <w:rPr>
          <w:rFonts w:hint="eastAsia" w:ascii="仿宋_GB2312" w:hAnsi="Calibri" w:eastAsia="仿宋_GB2312" w:cs="Times New Roman"/>
          <w:sz w:val="32"/>
          <w:szCs w:val="32"/>
          <w:lang w:val="en-US" w:eastAsia="zh-CN"/>
        </w:rPr>
        <w:t>33.67</w:t>
      </w:r>
      <w:r>
        <w:rPr>
          <w:rFonts w:hint="eastAsia" w:ascii="仿宋_GB2312" w:hAnsi="Calibri" w:eastAsia="仿宋_GB2312" w:cs="Times New Roman"/>
          <w:sz w:val="32"/>
          <w:szCs w:val="32"/>
        </w:rPr>
        <w:t>元，主要用于办公及印刷费</w:t>
      </w:r>
      <w:r>
        <w:rPr>
          <w:rFonts w:hint="eastAsia" w:ascii="仿宋_GB2312" w:hAnsi="Calibri" w:eastAsia="仿宋_GB2312" w:cs="Times New Roman"/>
          <w:sz w:val="32"/>
          <w:szCs w:val="32"/>
          <w:lang w:val="en-US" w:eastAsia="zh-CN"/>
        </w:rPr>
        <w:t>1.75万</w:t>
      </w:r>
      <w:r>
        <w:rPr>
          <w:rFonts w:hint="eastAsia" w:ascii="仿宋_GB2312" w:hAnsi="Calibri" w:eastAsia="仿宋_GB2312" w:cs="Times New Roman"/>
          <w:sz w:val="32"/>
          <w:szCs w:val="32"/>
        </w:rPr>
        <w:t>元、邮电费</w:t>
      </w:r>
      <w:r>
        <w:rPr>
          <w:rFonts w:hint="eastAsia" w:ascii="仿宋_GB2312" w:hAnsi="Calibri" w:eastAsia="仿宋_GB2312" w:cs="Times New Roman"/>
          <w:sz w:val="32"/>
          <w:szCs w:val="32"/>
          <w:lang w:val="en-US" w:eastAsia="zh-CN"/>
        </w:rPr>
        <w:t>3.70万</w:t>
      </w:r>
      <w:r>
        <w:rPr>
          <w:rFonts w:hint="eastAsia" w:ascii="仿宋_GB2312" w:hAnsi="Calibri" w:eastAsia="仿宋_GB2312" w:cs="Times New Roman"/>
          <w:sz w:val="32"/>
          <w:szCs w:val="32"/>
        </w:rPr>
        <w:t>元、差旅费</w:t>
      </w:r>
      <w:r>
        <w:rPr>
          <w:rFonts w:hint="eastAsia" w:ascii="仿宋_GB2312" w:hAnsi="Calibri" w:eastAsia="仿宋_GB2312" w:cs="Times New Roman"/>
          <w:sz w:val="32"/>
          <w:szCs w:val="32"/>
          <w:lang w:val="en-US" w:eastAsia="zh-CN"/>
        </w:rPr>
        <w:t>1万</w:t>
      </w:r>
      <w:r>
        <w:rPr>
          <w:rFonts w:hint="eastAsia" w:ascii="仿宋_GB2312" w:hAnsi="Calibri" w:eastAsia="仿宋_GB2312" w:cs="Times New Roman"/>
          <w:sz w:val="32"/>
          <w:szCs w:val="32"/>
        </w:rPr>
        <w:t>元、会议费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元、福利费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元、日常维修费</w:t>
      </w:r>
      <w:r>
        <w:rPr>
          <w:rFonts w:hint="eastAsia" w:ascii="仿宋_GB2312" w:hAnsi="Calibri" w:eastAsia="仿宋_GB2312" w:cs="Times New Roman"/>
          <w:sz w:val="32"/>
          <w:szCs w:val="32"/>
          <w:lang w:val="en-US" w:eastAsia="zh-CN"/>
        </w:rPr>
        <w:t>1万</w:t>
      </w:r>
      <w:r>
        <w:rPr>
          <w:rFonts w:hint="eastAsia" w:ascii="仿宋_GB2312" w:hAnsi="Calibri" w:eastAsia="仿宋_GB2312" w:cs="Times New Roman"/>
          <w:sz w:val="32"/>
          <w:szCs w:val="32"/>
        </w:rPr>
        <w:t>元、专用材料及一般设备购置费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元、办公用房水电费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元、办公用房取暖费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元、办公用房物业管理费</w:t>
      </w:r>
      <w:r>
        <w:rPr>
          <w:rFonts w:hint="eastAsia" w:ascii="仿宋_GB2312" w:hAnsi="Calibri" w:eastAsia="仿宋_GB2312" w:cs="Times New Roman"/>
          <w:sz w:val="32"/>
          <w:szCs w:val="32"/>
          <w:lang w:val="en-US" w:eastAsia="zh-CN"/>
        </w:rPr>
        <w:t>0万</w:t>
      </w:r>
      <w:r>
        <w:rPr>
          <w:rFonts w:hint="eastAsia" w:ascii="仿宋_GB2312" w:hAnsi="Calibri" w:eastAsia="仿宋_GB2312" w:cs="Times New Roman"/>
          <w:sz w:val="32"/>
          <w:szCs w:val="32"/>
        </w:rPr>
        <w:t>元、公务用车运行维护费以及其他费用</w:t>
      </w:r>
      <w:r>
        <w:rPr>
          <w:rFonts w:hint="eastAsia" w:ascii="仿宋_GB2312" w:hAnsi="Calibri" w:eastAsia="仿宋_GB2312" w:cs="Times New Roman"/>
          <w:sz w:val="32"/>
          <w:szCs w:val="32"/>
          <w:lang w:val="en-US" w:eastAsia="zh-CN"/>
        </w:rPr>
        <w:t>28.22万</w:t>
      </w:r>
      <w:r>
        <w:rPr>
          <w:rFonts w:hint="eastAsia" w:ascii="仿宋_GB2312" w:hAnsi="Calibri" w:eastAsia="仿宋_GB2312" w:cs="Times New Roman"/>
          <w:sz w:val="32"/>
          <w:szCs w:val="32"/>
        </w:rPr>
        <w:t>元等日常运行支出</w:t>
      </w:r>
      <w:r>
        <w:rPr>
          <w:rFonts w:hint="eastAsia" w:ascii="仿宋_GB2312" w:eastAsia="仿宋_GB2312"/>
          <w:sz w:val="32"/>
          <w:szCs w:val="32"/>
        </w:rPr>
        <w:t>。</w:t>
      </w:r>
    </w:p>
    <w:p>
      <w:pPr>
        <w:ind w:firstLine="640"/>
        <w:jc w:val="left"/>
        <w:rPr>
          <w:rFonts w:ascii="黑体" w:hAnsi="黑体" w:eastAsia="黑体"/>
          <w:color w:val="000000"/>
          <w:sz w:val="32"/>
        </w:rPr>
      </w:pPr>
      <w:r>
        <w:rPr>
          <w:rFonts w:ascii="黑体" w:hAnsi="黑体" w:eastAsia="黑体"/>
          <w:color w:val="000000"/>
          <w:sz w:val="32"/>
        </w:rPr>
        <w:t>四、财政拨款“三公”经费预算情况及增减变化原因</w:t>
      </w:r>
    </w:p>
    <w:p>
      <w:pPr>
        <w:ind w:firstLine="640"/>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年，我部门财政拨款“三公”经费预算安排</w:t>
      </w:r>
      <w:r>
        <w:rPr>
          <w:rFonts w:hint="eastAsia" w:ascii="仿宋_GB2312" w:eastAsia="仿宋_GB2312"/>
          <w:sz w:val="32"/>
          <w:szCs w:val="32"/>
          <w:lang w:val="en-US" w:eastAsia="zh-CN"/>
        </w:rPr>
        <w:t>4.82万</w:t>
      </w:r>
      <w:r>
        <w:rPr>
          <w:rFonts w:hint="eastAsia" w:ascii="仿宋_GB2312" w:eastAsia="仿宋_GB2312"/>
          <w:sz w:val="32"/>
          <w:szCs w:val="32"/>
        </w:rPr>
        <w:t>元</w:t>
      </w:r>
      <w:r>
        <w:rPr>
          <w:rFonts w:hint="eastAsia" w:ascii="仿宋_GB2312" w:hAnsi="Calibri" w:eastAsia="仿宋_GB2312" w:cs="Times New Roman"/>
          <w:sz w:val="32"/>
          <w:szCs w:val="32"/>
        </w:rPr>
        <w:t>，与上年持平，无增减变化</w:t>
      </w:r>
      <w:r>
        <w:rPr>
          <w:rFonts w:hint="eastAsia" w:ascii="仿宋_GB2312" w:eastAsia="仿宋_GB2312"/>
          <w:sz w:val="32"/>
          <w:szCs w:val="32"/>
        </w:rPr>
        <w:t>。其中：因公出国（境）费</w:t>
      </w:r>
      <w:r>
        <w:rPr>
          <w:rFonts w:hint="eastAsia" w:ascii="仿宋_GB2312" w:eastAsia="仿宋_GB2312"/>
          <w:sz w:val="32"/>
          <w:szCs w:val="32"/>
          <w:lang w:val="en-US" w:eastAsia="zh-CN"/>
        </w:rPr>
        <w:t>0</w:t>
      </w:r>
      <w:r>
        <w:rPr>
          <w:rFonts w:hint="eastAsia" w:ascii="仿宋_GB2312" w:eastAsia="仿宋_GB2312"/>
          <w:sz w:val="32"/>
          <w:szCs w:val="32"/>
        </w:rPr>
        <w:t>元</w:t>
      </w:r>
      <w:r>
        <w:rPr>
          <w:rFonts w:hint="eastAsia" w:ascii="仿宋_GB2312" w:hAnsi="Calibri" w:eastAsia="仿宋_GB2312" w:cs="Times New Roman"/>
          <w:sz w:val="32"/>
          <w:szCs w:val="32"/>
        </w:rPr>
        <w:t>，与上年持平，无增减变化；公务用车购置费</w:t>
      </w:r>
      <w:r>
        <w:rPr>
          <w:rFonts w:hint="eastAsia" w:ascii="仿宋_GB2312" w:hAnsi="Calibri" w:eastAsia="仿宋_GB2312" w:cs="Times New Roman"/>
          <w:sz w:val="32"/>
          <w:szCs w:val="32"/>
          <w:lang w:val="en-US" w:eastAsia="zh-CN"/>
        </w:rPr>
        <w:t>0</w:t>
      </w:r>
      <w:r>
        <w:rPr>
          <w:rFonts w:hint="eastAsia" w:ascii="仿宋_GB2312" w:hAnsi="Calibri" w:eastAsia="仿宋_GB2312" w:cs="Times New Roman"/>
          <w:sz w:val="32"/>
          <w:szCs w:val="32"/>
        </w:rPr>
        <w:t>元，与上年持平，无增减变化；公务用车运行维护费</w:t>
      </w:r>
      <w:r>
        <w:rPr>
          <w:rFonts w:hint="eastAsia" w:ascii="仿宋_GB2312" w:hAnsi="Calibri" w:eastAsia="仿宋_GB2312" w:cs="Times New Roman"/>
          <w:sz w:val="32"/>
          <w:szCs w:val="32"/>
          <w:lang w:val="en-US" w:eastAsia="zh-CN"/>
        </w:rPr>
        <w:t>4.5万</w:t>
      </w:r>
      <w:r>
        <w:rPr>
          <w:rFonts w:hint="eastAsia" w:ascii="仿宋_GB2312" w:hAnsi="Calibri" w:eastAsia="仿宋_GB2312" w:cs="Times New Roman"/>
          <w:sz w:val="32"/>
          <w:szCs w:val="32"/>
        </w:rPr>
        <w:t>元，与上年持平，无增减变化；公务接待费</w:t>
      </w:r>
      <w:r>
        <w:rPr>
          <w:rFonts w:hint="eastAsia" w:ascii="仿宋_GB2312" w:hAnsi="Calibri" w:eastAsia="仿宋_GB2312" w:cs="Times New Roman"/>
          <w:sz w:val="32"/>
          <w:szCs w:val="32"/>
          <w:lang w:val="en-US" w:eastAsia="zh-CN"/>
        </w:rPr>
        <w:t>0.32万元</w:t>
      </w:r>
      <w:r>
        <w:rPr>
          <w:rFonts w:hint="eastAsia" w:ascii="仿宋_GB2312" w:hAnsi="Calibri" w:eastAsia="仿宋_GB2312" w:cs="Times New Roman"/>
          <w:sz w:val="32"/>
          <w:szCs w:val="32"/>
        </w:rPr>
        <w:t>元，与上年持平，无增减变化。</w:t>
      </w:r>
    </w:p>
    <w:p>
      <w:pPr>
        <w:spacing w:line="500" w:lineRule="exact"/>
        <w:ind w:firstLine="560"/>
        <w:rPr>
          <w:rFonts w:hint="eastAsia" w:eastAsia="方正仿宋_GBK"/>
          <w:color w:val="000000"/>
          <w:kern w:val="0"/>
          <w:sz w:val="28"/>
          <w:lang w:eastAsia="zh-CN"/>
        </w:rPr>
      </w:pPr>
    </w:p>
    <w:p>
      <w:pPr>
        <w:keepNext w:val="0"/>
        <w:keepLines w:val="0"/>
        <w:widowControl/>
        <w:suppressLineNumbers w:val="0"/>
        <w:jc w:val="left"/>
        <w:textAlignment w:val="center"/>
        <w:rPr>
          <w:rFonts w:hint="eastAsia" w:ascii="方正书宋_GBK" w:hAnsi="方正书宋_GBK" w:eastAsia="方正书宋_GBK" w:cs="方正书宋_GBK"/>
          <w:kern w:val="0"/>
          <w:sz w:val="21"/>
          <w:szCs w:val="21"/>
          <w:lang w:val="en-US" w:eastAsia="zh-CN" w:bidi="ar-SA"/>
        </w:rPr>
      </w:pPr>
    </w:p>
    <w:p>
      <w:pPr>
        <w:numPr>
          <w:ilvl w:val="0"/>
          <w:numId w:val="1"/>
        </w:numPr>
        <w:spacing w:before="10" w:after="10"/>
        <w:ind w:firstLine="640"/>
        <w:outlineLvl w:val="5"/>
        <w:rPr>
          <w:rFonts w:ascii="黑体" w:hAnsi="黑体" w:eastAsia="黑体" w:cs="黑体"/>
          <w:color w:val="000000"/>
          <w:sz w:val="32"/>
        </w:rPr>
      </w:pPr>
      <w:r>
        <w:rPr>
          <w:rFonts w:ascii="黑体" w:hAnsi="黑体" w:eastAsia="黑体" w:cs="黑体"/>
          <w:color w:val="000000"/>
          <w:sz w:val="32"/>
        </w:rPr>
        <w:t>预算绩效信息</w:t>
      </w:r>
    </w:p>
    <w:p>
      <w:pPr>
        <w:spacing w:before="0" w:after="0"/>
        <w:ind w:firstLine="560"/>
        <w:jc w:val="left"/>
        <w:outlineLvl w:val="3"/>
      </w:pPr>
      <w:r>
        <w:rPr>
          <w:rFonts w:hint="eastAsia" w:ascii="黑体" w:hAnsi="黑体" w:eastAsia="黑体" w:cs="黑体"/>
          <w:color w:val="000000"/>
          <w:sz w:val="32"/>
          <w:lang w:val="en-US" w:eastAsia="zh-CN"/>
        </w:rPr>
        <w:t xml:space="preserve"> </w:t>
      </w:r>
    </w:p>
    <w:p/>
    <w:p>
      <w:pPr>
        <w:ind w:firstLine="560"/>
        <w:outlineLvl w:val="3"/>
        <w:rPr>
          <w:rFonts w:hint="eastAsia" w:ascii="仿宋_GB2312" w:hAnsi="仿宋" w:eastAsia="仿宋_GB2312" w:cs="仿宋"/>
          <w:color w:val="000000"/>
          <w:kern w:val="2"/>
          <w:sz w:val="32"/>
          <w:lang w:val="en-US" w:eastAsia="zh-CN" w:bidi="ar-SA"/>
        </w:rPr>
      </w:pPr>
      <w:bookmarkStart w:id="0" w:name="_Toc_4_4_0000000004"/>
      <w:r>
        <w:rPr>
          <w:rFonts w:hint="eastAsia" w:ascii="仿宋_GB2312" w:hAnsi="仿宋" w:eastAsia="仿宋_GB2312" w:cs="仿宋"/>
          <w:color w:val="000000"/>
          <w:kern w:val="2"/>
          <w:sz w:val="32"/>
          <w:lang w:val="en-US" w:eastAsia="zh-CN" w:bidi="ar-SA"/>
        </w:rPr>
        <w:t>1.车辆保险费绩效目标表</w:t>
      </w:r>
      <w:bookmarkEnd w:id="0"/>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0"/>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rPr>
                <w:rFonts w:hint="eastAsia"/>
              </w:rPr>
              <w:t>项目编码</w:t>
            </w:r>
          </w:p>
        </w:tc>
        <w:tc>
          <w:tcPr>
            <w:tcW w:w="2608" w:type="dxa"/>
            <w:gridSpan w:val="2"/>
            <w:noWrap w:val="0"/>
            <w:vAlign w:val="center"/>
          </w:tcPr>
          <w:p>
            <w:pPr>
              <w:pStyle w:val="7"/>
            </w:pPr>
            <w:r>
              <w:t>13030322P00397010024Q</w:t>
            </w:r>
          </w:p>
        </w:tc>
        <w:tc>
          <w:tcPr>
            <w:tcW w:w="1587" w:type="dxa"/>
            <w:noWrap w:val="0"/>
            <w:vAlign w:val="center"/>
          </w:tcPr>
          <w:p>
            <w:pPr>
              <w:pStyle w:val="8"/>
            </w:pPr>
            <w:r>
              <w:rPr>
                <w:rFonts w:hint="eastAsia"/>
              </w:rPr>
              <w:t>项目名称</w:t>
            </w:r>
          </w:p>
        </w:tc>
        <w:tc>
          <w:tcPr>
            <w:tcW w:w="4422" w:type="dxa"/>
            <w:gridSpan w:val="3"/>
            <w:noWrap w:val="0"/>
            <w:vAlign w:val="center"/>
          </w:tcPr>
          <w:p>
            <w:pPr>
              <w:pStyle w:val="7"/>
            </w:pPr>
            <w:r>
              <w:rPr>
                <w:rFonts w:hint="eastAsia"/>
              </w:rPr>
              <w:t>车辆保险费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预算规模及资金用途</w:t>
            </w:r>
          </w:p>
        </w:tc>
        <w:tc>
          <w:tcPr>
            <w:tcW w:w="1276" w:type="dxa"/>
            <w:noWrap w:val="0"/>
            <w:vAlign w:val="center"/>
          </w:tcPr>
          <w:p>
            <w:pPr>
              <w:pStyle w:val="8"/>
            </w:pPr>
            <w:r>
              <w:rPr>
                <w:rFonts w:hint="eastAsia"/>
              </w:rPr>
              <w:t>预算数</w:t>
            </w:r>
          </w:p>
        </w:tc>
        <w:tc>
          <w:tcPr>
            <w:tcW w:w="1332" w:type="dxa"/>
            <w:noWrap w:val="0"/>
            <w:vAlign w:val="center"/>
          </w:tcPr>
          <w:p>
            <w:pPr>
              <w:pStyle w:val="7"/>
            </w:pPr>
            <w:r>
              <w:t>0.80</w:t>
            </w:r>
          </w:p>
        </w:tc>
        <w:tc>
          <w:tcPr>
            <w:tcW w:w="1587" w:type="dxa"/>
            <w:noWrap w:val="0"/>
            <w:vAlign w:val="center"/>
          </w:tcPr>
          <w:p>
            <w:pPr>
              <w:pStyle w:val="8"/>
            </w:pPr>
            <w:r>
              <w:rPr>
                <w:rFonts w:hint="eastAsia"/>
              </w:rPr>
              <w:t>其中：财政</w:t>
            </w:r>
            <w:r>
              <w:t xml:space="preserve">    </w:t>
            </w:r>
            <w:r>
              <w:rPr>
                <w:rFonts w:hint="eastAsia"/>
              </w:rPr>
              <w:t>资金</w:t>
            </w:r>
          </w:p>
        </w:tc>
        <w:tc>
          <w:tcPr>
            <w:tcW w:w="1304" w:type="dxa"/>
            <w:noWrap w:val="0"/>
            <w:vAlign w:val="center"/>
          </w:tcPr>
          <w:p>
            <w:pPr>
              <w:pStyle w:val="7"/>
            </w:pPr>
            <w:r>
              <w:t>0.80</w:t>
            </w:r>
          </w:p>
        </w:tc>
        <w:tc>
          <w:tcPr>
            <w:tcW w:w="1276" w:type="dxa"/>
            <w:noWrap w:val="0"/>
            <w:vAlign w:val="center"/>
          </w:tcPr>
          <w:p>
            <w:pPr>
              <w:pStyle w:val="8"/>
            </w:pPr>
            <w:r>
              <w:rPr>
                <w:rFonts w:hint="eastAsia"/>
              </w:rP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rPr>
                <w:rFonts w:hint="eastAsia"/>
              </w:rPr>
              <w:t>两辆公车续保</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资金支出计划（</w:t>
            </w:r>
            <w:r>
              <w:t>%</w:t>
            </w:r>
            <w:r>
              <w:rPr>
                <w:rFonts w:hint="eastAsia"/>
              </w:rPr>
              <w:t>）</w:t>
            </w:r>
          </w:p>
        </w:tc>
        <w:tc>
          <w:tcPr>
            <w:tcW w:w="2608" w:type="dxa"/>
            <w:gridSpan w:val="2"/>
            <w:noWrap w:val="0"/>
            <w:vAlign w:val="center"/>
          </w:tcPr>
          <w:p>
            <w:pPr>
              <w:pStyle w:val="8"/>
            </w:pPr>
            <w:r>
              <w:t>3</w:t>
            </w:r>
            <w:r>
              <w:rPr>
                <w:rFonts w:hint="eastAsia"/>
              </w:rPr>
              <w:t>月底</w:t>
            </w:r>
          </w:p>
        </w:tc>
        <w:tc>
          <w:tcPr>
            <w:tcW w:w="1587" w:type="dxa"/>
            <w:noWrap w:val="0"/>
            <w:vAlign w:val="center"/>
          </w:tcPr>
          <w:p>
            <w:pPr>
              <w:pStyle w:val="8"/>
            </w:pPr>
            <w:r>
              <w:t>6</w:t>
            </w:r>
            <w:r>
              <w:rPr>
                <w:rFonts w:hint="eastAsia"/>
              </w:rPr>
              <w:t>月底</w:t>
            </w:r>
          </w:p>
        </w:tc>
        <w:tc>
          <w:tcPr>
            <w:tcW w:w="1304" w:type="dxa"/>
            <w:noWrap w:val="0"/>
            <w:vAlign w:val="center"/>
          </w:tcPr>
          <w:p>
            <w:pPr>
              <w:pStyle w:val="8"/>
            </w:pPr>
            <w:r>
              <w:t>10</w:t>
            </w:r>
            <w:r>
              <w:rPr>
                <w:rFonts w:hint="eastAsia"/>
              </w:rPr>
              <w:t>月底</w:t>
            </w:r>
          </w:p>
        </w:tc>
        <w:tc>
          <w:tcPr>
            <w:tcW w:w="3118" w:type="dxa"/>
            <w:gridSpan w:val="2"/>
            <w:noWrap w:val="0"/>
            <w:vAlign w:val="center"/>
          </w:tcPr>
          <w:p>
            <w:pPr>
              <w:pStyle w:val="8"/>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25%</w:t>
            </w:r>
          </w:p>
        </w:tc>
        <w:tc>
          <w:tcPr>
            <w:tcW w:w="1587" w:type="dxa"/>
            <w:noWrap w:val="0"/>
            <w:vAlign w:val="center"/>
          </w:tcPr>
          <w:p>
            <w:pPr>
              <w:pStyle w:val="9"/>
            </w:pPr>
            <w:r>
              <w:t>75%</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8"/>
            </w:pPr>
            <w:r>
              <w:rPr>
                <w:rFonts w:hint="eastAsia"/>
              </w:rPr>
              <w:t>绩效目标</w:t>
            </w:r>
          </w:p>
        </w:tc>
        <w:tc>
          <w:tcPr>
            <w:tcW w:w="8617" w:type="dxa"/>
            <w:gridSpan w:val="6"/>
            <w:tcBorders>
              <w:bottom w:val="single" w:color="FFFFFF" w:sz="6" w:space="0"/>
            </w:tcBorders>
            <w:noWrap w:val="0"/>
            <w:vAlign w:val="center"/>
          </w:tcPr>
          <w:p>
            <w:pPr>
              <w:pStyle w:val="7"/>
            </w:pPr>
            <w:r>
              <w:t>1.</w:t>
            </w:r>
            <w:r>
              <w:rPr>
                <w:rFonts w:hint="eastAsia"/>
              </w:rPr>
              <w:t>公车保险续保</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rPr>
                <w:rFonts w:hint="eastAsia"/>
              </w:rPr>
              <w:t>一级指标</w:t>
            </w:r>
          </w:p>
        </w:tc>
        <w:tc>
          <w:tcPr>
            <w:tcW w:w="1276" w:type="dxa"/>
            <w:noWrap w:val="0"/>
            <w:vAlign w:val="center"/>
          </w:tcPr>
          <w:p>
            <w:pPr>
              <w:pStyle w:val="8"/>
            </w:pPr>
            <w:r>
              <w:rPr>
                <w:rFonts w:hint="eastAsia"/>
              </w:rPr>
              <w:t>二级指标</w:t>
            </w:r>
          </w:p>
        </w:tc>
        <w:tc>
          <w:tcPr>
            <w:tcW w:w="1332" w:type="dxa"/>
            <w:noWrap w:val="0"/>
            <w:vAlign w:val="center"/>
          </w:tcPr>
          <w:p>
            <w:pPr>
              <w:pStyle w:val="8"/>
            </w:pPr>
            <w:r>
              <w:rPr>
                <w:rFonts w:hint="eastAsia"/>
              </w:rPr>
              <w:t>三级指标</w:t>
            </w:r>
          </w:p>
        </w:tc>
        <w:tc>
          <w:tcPr>
            <w:tcW w:w="2891" w:type="dxa"/>
            <w:noWrap w:val="0"/>
            <w:vAlign w:val="center"/>
          </w:tcPr>
          <w:p>
            <w:pPr>
              <w:pStyle w:val="8"/>
            </w:pPr>
            <w:r>
              <w:rPr>
                <w:rFonts w:hint="eastAsia"/>
              </w:rPr>
              <w:t>绩效指标描述</w:t>
            </w:r>
          </w:p>
        </w:tc>
        <w:tc>
          <w:tcPr>
            <w:tcW w:w="1276" w:type="dxa"/>
            <w:noWrap w:val="0"/>
            <w:vAlign w:val="center"/>
          </w:tcPr>
          <w:p>
            <w:pPr>
              <w:pStyle w:val="8"/>
            </w:pPr>
            <w:r>
              <w:rPr>
                <w:rFonts w:hint="eastAsia"/>
              </w:rPr>
              <w:t>指标值</w:t>
            </w:r>
          </w:p>
        </w:tc>
        <w:tc>
          <w:tcPr>
            <w:tcW w:w="1843" w:type="dxa"/>
            <w:noWrap w:val="0"/>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产出指标</w:t>
            </w:r>
          </w:p>
        </w:tc>
        <w:tc>
          <w:tcPr>
            <w:tcW w:w="1276" w:type="dxa"/>
            <w:noWrap w:val="0"/>
            <w:vAlign w:val="center"/>
          </w:tcPr>
          <w:p>
            <w:pPr>
              <w:pStyle w:val="7"/>
            </w:pPr>
            <w:r>
              <w:rPr>
                <w:rFonts w:hint="eastAsia"/>
              </w:rPr>
              <w:t>数量指标</w:t>
            </w:r>
          </w:p>
        </w:tc>
        <w:tc>
          <w:tcPr>
            <w:tcW w:w="1332" w:type="dxa"/>
            <w:noWrap w:val="0"/>
            <w:vAlign w:val="center"/>
          </w:tcPr>
          <w:p>
            <w:pPr>
              <w:pStyle w:val="7"/>
            </w:pPr>
            <w:r>
              <w:rPr>
                <w:rFonts w:hint="eastAsia"/>
              </w:rPr>
              <w:t>车辆正常使用情况</w:t>
            </w:r>
          </w:p>
        </w:tc>
        <w:tc>
          <w:tcPr>
            <w:tcW w:w="2891" w:type="dxa"/>
            <w:noWrap w:val="0"/>
            <w:vAlign w:val="center"/>
          </w:tcPr>
          <w:p>
            <w:pPr>
              <w:pStyle w:val="7"/>
            </w:pPr>
            <w:r>
              <w:rPr>
                <w:rFonts w:hint="eastAsia"/>
              </w:rPr>
              <w:t>车辆正常使用率</w:t>
            </w:r>
          </w:p>
        </w:tc>
        <w:tc>
          <w:tcPr>
            <w:tcW w:w="1276" w:type="dxa"/>
            <w:noWrap w:val="0"/>
            <w:vAlign w:val="center"/>
          </w:tcPr>
          <w:p>
            <w:pPr>
              <w:pStyle w:val="7"/>
            </w:pPr>
            <w:r>
              <w:rPr>
                <w:rFonts w:hint="eastAsia"/>
              </w:rPr>
              <w:t>≥</w:t>
            </w:r>
            <w:r>
              <w:t>75%</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质量指标</w:t>
            </w:r>
          </w:p>
        </w:tc>
        <w:tc>
          <w:tcPr>
            <w:tcW w:w="1332" w:type="dxa"/>
            <w:noWrap w:val="0"/>
            <w:vAlign w:val="center"/>
          </w:tcPr>
          <w:p>
            <w:pPr>
              <w:pStyle w:val="7"/>
            </w:pPr>
            <w:r>
              <w:rPr>
                <w:rFonts w:hint="eastAsia"/>
              </w:rPr>
              <w:t>完成续保车辆的数量</w:t>
            </w:r>
          </w:p>
        </w:tc>
        <w:tc>
          <w:tcPr>
            <w:tcW w:w="2891" w:type="dxa"/>
            <w:noWrap w:val="0"/>
            <w:vAlign w:val="center"/>
          </w:tcPr>
          <w:p>
            <w:pPr>
              <w:pStyle w:val="7"/>
            </w:pPr>
            <w:r>
              <w:rPr>
                <w:rFonts w:hint="eastAsia"/>
              </w:rPr>
              <w:t>全部车辆完成续保</w:t>
            </w:r>
          </w:p>
        </w:tc>
        <w:tc>
          <w:tcPr>
            <w:tcW w:w="1276" w:type="dxa"/>
            <w:noWrap w:val="0"/>
            <w:vAlign w:val="center"/>
          </w:tcPr>
          <w:p>
            <w:pPr>
              <w:pStyle w:val="7"/>
            </w:pPr>
            <w:r>
              <w:rPr>
                <w:rFonts w:hint="eastAsia"/>
              </w:rPr>
              <w:t>≥</w:t>
            </w:r>
            <w:r>
              <w:t>75%</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时效指标</w:t>
            </w:r>
          </w:p>
        </w:tc>
        <w:tc>
          <w:tcPr>
            <w:tcW w:w="1332" w:type="dxa"/>
            <w:noWrap w:val="0"/>
            <w:vAlign w:val="center"/>
          </w:tcPr>
          <w:p>
            <w:pPr>
              <w:pStyle w:val="7"/>
            </w:pPr>
            <w:r>
              <w:rPr>
                <w:rFonts w:hint="eastAsia"/>
              </w:rPr>
              <w:t>完成率</w:t>
            </w:r>
          </w:p>
        </w:tc>
        <w:tc>
          <w:tcPr>
            <w:tcW w:w="2891" w:type="dxa"/>
            <w:noWrap w:val="0"/>
            <w:vAlign w:val="center"/>
          </w:tcPr>
          <w:p>
            <w:pPr>
              <w:pStyle w:val="7"/>
            </w:pPr>
            <w:r>
              <w:rPr>
                <w:rFonts w:hint="eastAsia"/>
              </w:rPr>
              <w:t>车辆续保完成情况</w:t>
            </w:r>
          </w:p>
        </w:tc>
        <w:tc>
          <w:tcPr>
            <w:tcW w:w="1276" w:type="dxa"/>
            <w:noWrap w:val="0"/>
            <w:vAlign w:val="center"/>
          </w:tcPr>
          <w:p>
            <w:pPr>
              <w:pStyle w:val="7"/>
            </w:pPr>
            <w:r>
              <w:rPr>
                <w:rFonts w:hint="eastAsia"/>
              </w:rPr>
              <w:t>≥</w:t>
            </w:r>
            <w:r>
              <w:t>75%</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成本指标</w:t>
            </w:r>
          </w:p>
        </w:tc>
        <w:tc>
          <w:tcPr>
            <w:tcW w:w="1332" w:type="dxa"/>
            <w:noWrap w:val="0"/>
            <w:vAlign w:val="center"/>
          </w:tcPr>
          <w:p>
            <w:pPr>
              <w:pStyle w:val="7"/>
            </w:pPr>
            <w:r>
              <w:rPr>
                <w:rFonts w:hint="eastAsia"/>
              </w:rPr>
              <w:t>按总成本控制</w:t>
            </w:r>
          </w:p>
        </w:tc>
        <w:tc>
          <w:tcPr>
            <w:tcW w:w="2891" w:type="dxa"/>
            <w:noWrap w:val="0"/>
            <w:vAlign w:val="center"/>
          </w:tcPr>
          <w:p>
            <w:pPr>
              <w:pStyle w:val="7"/>
            </w:pPr>
            <w:r>
              <w:rPr>
                <w:rFonts w:hint="eastAsia"/>
              </w:rPr>
              <w:t>按总成本控制</w:t>
            </w:r>
          </w:p>
        </w:tc>
        <w:tc>
          <w:tcPr>
            <w:tcW w:w="1276" w:type="dxa"/>
            <w:noWrap w:val="0"/>
            <w:vAlign w:val="center"/>
          </w:tcPr>
          <w:p>
            <w:pPr>
              <w:pStyle w:val="7"/>
            </w:pPr>
            <w:r>
              <w:rPr>
                <w:rFonts w:hint="eastAsia"/>
              </w:rPr>
              <w:t>≥</w:t>
            </w:r>
            <w:r>
              <w:t>100%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效益指标</w:t>
            </w:r>
          </w:p>
        </w:tc>
        <w:tc>
          <w:tcPr>
            <w:tcW w:w="1276" w:type="dxa"/>
            <w:noWrap w:val="0"/>
            <w:vAlign w:val="center"/>
          </w:tcPr>
          <w:p>
            <w:pPr>
              <w:pStyle w:val="7"/>
            </w:pPr>
            <w:r>
              <w:rPr>
                <w:rFonts w:hint="eastAsia"/>
              </w:rPr>
              <w:t>经济效益指标</w:t>
            </w:r>
          </w:p>
        </w:tc>
        <w:tc>
          <w:tcPr>
            <w:tcW w:w="1332" w:type="dxa"/>
            <w:noWrap w:val="0"/>
            <w:vAlign w:val="center"/>
          </w:tcPr>
          <w:p>
            <w:pPr>
              <w:pStyle w:val="7"/>
            </w:pPr>
            <w:r>
              <w:rPr>
                <w:rFonts w:hint="eastAsia"/>
              </w:rPr>
              <w:t>节约车辆保险费用</w:t>
            </w:r>
          </w:p>
        </w:tc>
        <w:tc>
          <w:tcPr>
            <w:tcW w:w="2891" w:type="dxa"/>
            <w:noWrap w:val="0"/>
            <w:vAlign w:val="center"/>
          </w:tcPr>
          <w:p>
            <w:pPr>
              <w:pStyle w:val="7"/>
            </w:pPr>
            <w:r>
              <w:rPr>
                <w:rFonts w:hint="eastAsia"/>
              </w:rPr>
              <w:t>节约车辆保险费用</w:t>
            </w:r>
          </w:p>
        </w:tc>
        <w:tc>
          <w:tcPr>
            <w:tcW w:w="1276" w:type="dxa"/>
            <w:noWrap w:val="0"/>
            <w:vAlign w:val="center"/>
          </w:tcPr>
          <w:p>
            <w:pPr>
              <w:pStyle w:val="7"/>
            </w:pPr>
            <w:r>
              <w:rPr>
                <w:rFonts w:hint="eastAsia"/>
              </w:rPr>
              <w:t>节约车辆保险费用</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社会效益指标</w:t>
            </w:r>
          </w:p>
        </w:tc>
        <w:tc>
          <w:tcPr>
            <w:tcW w:w="1332" w:type="dxa"/>
            <w:noWrap w:val="0"/>
            <w:vAlign w:val="center"/>
          </w:tcPr>
          <w:p>
            <w:pPr>
              <w:pStyle w:val="7"/>
            </w:pPr>
            <w:r>
              <w:rPr>
                <w:rFonts w:hint="eastAsia"/>
              </w:rPr>
              <w:t>保障车辆管理工作有序开展</w:t>
            </w:r>
          </w:p>
        </w:tc>
        <w:tc>
          <w:tcPr>
            <w:tcW w:w="2891" w:type="dxa"/>
            <w:noWrap w:val="0"/>
            <w:vAlign w:val="center"/>
          </w:tcPr>
          <w:p>
            <w:pPr>
              <w:pStyle w:val="7"/>
            </w:pPr>
            <w:r>
              <w:rPr>
                <w:rFonts w:hint="eastAsia"/>
              </w:rPr>
              <w:t>正常安全持续使用</w:t>
            </w:r>
          </w:p>
        </w:tc>
        <w:tc>
          <w:tcPr>
            <w:tcW w:w="1276" w:type="dxa"/>
            <w:noWrap w:val="0"/>
            <w:vAlign w:val="center"/>
          </w:tcPr>
          <w:p>
            <w:pPr>
              <w:pStyle w:val="7"/>
            </w:pPr>
            <w:r>
              <w:rPr>
                <w:rFonts w:hint="eastAsia"/>
              </w:rPr>
              <w:t>车辆正常使用</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生态效益指标</w:t>
            </w:r>
          </w:p>
        </w:tc>
        <w:tc>
          <w:tcPr>
            <w:tcW w:w="1332" w:type="dxa"/>
            <w:noWrap w:val="0"/>
            <w:vAlign w:val="center"/>
          </w:tcPr>
          <w:p>
            <w:pPr>
              <w:pStyle w:val="7"/>
            </w:pPr>
            <w:r>
              <w:rPr>
                <w:rFonts w:hint="eastAsia"/>
              </w:rPr>
              <w:t>节能环保减排</w:t>
            </w:r>
          </w:p>
        </w:tc>
        <w:tc>
          <w:tcPr>
            <w:tcW w:w="2891" w:type="dxa"/>
            <w:noWrap w:val="0"/>
            <w:vAlign w:val="center"/>
          </w:tcPr>
          <w:p>
            <w:pPr>
              <w:pStyle w:val="7"/>
            </w:pPr>
            <w:r>
              <w:rPr>
                <w:rFonts w:hint="eastAsia"/>
              </w:rPr>
              <w:t>节能环保减排</w:t>
            </w:r>
          </w:p>
        </w:tc>
        <w:tc>
          <w:tcPr>
            <w:tcW w:w="1276" w:type="dxa"/>
            <w:noWrap w:val="0"/>
            <w:vAlign w:val="center"/>
          </w:tcPr>
          <w:p>
            <w:pPr>
              <w:pStyle w:val="7"/>
            </w:pPr>
            <w:r>
              <w:rPr>
                <w:rFonts w:hint="eastAsia"/>
              </w:rPr>
              <w:t>节能环保减排</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可持续影响指标</w:t>
            </w:r>
          </w:p>
        </w:tc>
        <w:tc>
          <w:tcPr>
            <w:tcW w:w="1332" w:type="dxa"/>
            <w:noWrap w:val="0"/>
            <w:vAlign w:val="center"/>
          </w:tcPr>
          <w:p>
            <w:pPr>
              <w:pStyle w:val="7"/>
            </w:pPr>
            <w:r>
              <w:rPr>
                <w:rFonts w:hint="eastAsia"/>
              </w:rPr>
              <w:t>持续保障车辆管理</w:t>
            </w:r>
          </w:p>
        </w:tc>
        <w:tc>
          <w:tcPr>
            <w:tcW w:w="2891" w:type="dxa"/>
            <w:noWrap w:val="0"/>
            <w:vAlign w:val="center"/>
          </w:tcPr>
          <w:p>
            <w:pPr>
              <w:pStyle w:val="7"/>
            </w:pPr>
            <w:r>
              <w:rPr>
                <w:rFonts w:hint="eastAsia"/>
              </w:rPr>
              <w:t>持续保障车辆管理</w:t>
            </w:r>
          </w:p>
        </w:tc>
        <w:tc>
          <w:tcPr>
            <w:tcW w:w="1276" w:type="dxa"/>
            <w:noWrap w:val="0"/>
            <w:vAlign w:val="center"/>
          </w:tcPr>
          <w:p>
            <w:pPr>
              <w:pStyle w:val="7"/>
            </w:pPr>
            <w:r>
              <w:rPr>
                <w:rFonts w:hint="eastAsia"/>
              </w:rPr>
              <w:t>持续保障车辆管理</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9"/>
            </w:pPr>
            <w:r>
              <w:rPr>
                <w:rFonts w:hint="eastAsia"/>
              </w:rPr>
              <w:t>满意度指标</w:t>
            </w:r>
          </w:p>
        </w:tc>
        <w:tc>
          <w:tcPr>
            <w:tcW w:w="1276" w:type="dxa"/>
            <w:noWrap w:val="0"/>
            <w:vAlign w:val="center"/>
          </w:tcPr>
          <w:p>
            <w:pPr>
              <w:pStyle w:val="7"/>
            </w:pPr>
            <w:r>
              <w:rPr>
                <w:rFonts w:hint="eastAsia"/>
              </w:rPr>
              <w:t>服务对象满意度指标</w:t>
            </w:r>
          </w:p>
        </w:tc>
        <w:tc>
          <w:tcPr>
            <w:tcW w:w="1332" w:type="dxa"/>
            <w:noWrap w:val="0"/>
            <w:vAlign w:val="center"/>
          </w:tcPr>
          <w:p>
            <w:pPr>
              <w:pStyle w:val="7"/>
            </w:pPr>
            <w:r>
              <w:rPr>
                <w:rFonts w:hint="eastAsia"/>
              </w:rPr>
              <w:t>群众满意度</w:t>
            </w:r>
          </w:p>
        </w:tc>
        <w:tc>
          <w:tcPr>
            <w:tcW w:w="2891" w:type="dxa"/>
            <w:noWrap w:val="0"/>
            <w:vAlign w:val="center"/>
          </w:tcPr>
          <w:p>
            <w:pPr>
              <w:pStyle w:val="7"/>
            </w:pPr>
            <w:r>
              <w:rPr>
                <w:rFonts w:hint="eastAsia"/>
              </w:rPr>
              <w:t>群众对公车使用的整体满意度</w:t>
            </w:r>
          </w:p>
        </w:tc>
        <w:tc>
          <w:tcPr>
            <w:tcW w:w="1276" w:type="dxa"/>
            <w:noWrap w:val="0"/>
            <w:vAlign w:val="center"/>
          </w:tcPr>
          <w:p>
            <w:pPr>
              <w:pStyle w:val="7"/>
            </w:pPr>
            <w:r>
              <w:t>%</w:t>
            </w:r>
          </w:p>
        </w:tc>
        <w:tc>
          <w:tcPr>
            <w:tcW w:w="1843" w:type="dxa"/>
            <w:noWrap w:val="0"/>
            <w:vAlign w:val="center"/>
          </w:tcPr>
          <w:p>
            <w:pPr>
              <w:pStyle w:val="7"/>
            </w:pPr>
            <w:r>
              <w:rPr>
                <w:rFonts w:hint="eastAsia"/>
              </w:rPr>
              <w:t>年度工作计划</w:t>
            </w:r>
          </w:p>
        </w:tc>
      </w:tr>
    </w:tbl>
    <w:p>
      <w:pPr>
        <w:sectPr>
          <w:pgSz w:w="11900" w:h="16840"/>
          <w:pgMar w:top="1984" w:right="1304" w:bottom="1134" w:left="1304" w:header="720" w:footer="720" w:gutter="0"/>
          <w:cols w:space="720" w:num="1"/>
        </w:sectPr>
      </w:pPr>
    </w:p>
    <w:p>
      <w:pPr>
        <w:sectPr>
          <w:headerReference r:id="rId3" w:type="default"/>
          <w:footerReference r:id="rId4" w:type="default"/>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ind w:firstLine="560"/>
        <w:jc w:val="left"/>
        <w:outlineLvl w:val="3"/>
        <w:rPr>
          <w:rFonts w:ascii="方正仿宋_GBK" w:hAnsi="方正仿宋_GBK" w:eastAsia="方正仿宋_GBK" w:cs="方正仿宋_GBK"/>
          <w:color w:val="000000"/>
          <w:sz w:val="28"/>
        </w:rPr>
      </w:pPr>
      <w:bookmarkStart w:id="1" w:name="_Toc_4_4_0000000005"/>
    </w:p>
    <w:p>
      <w:pPr>
        <w:ind w:firstLine="560"/>
        <w:outlineLvl w:val="3"/>
        <w:rPr>
          <w:rFonts w:hint="eastAsia" w:ascii="仿宋_GB2312" w:hAnsi="仿宋" w:eastAsia="仿宋_GB2312" w:cs="仿宋"/>
          <w:color w:val="000000"/>
          <w:kern w:val="2"/>
          <w:sz w:val="32"/>
          <w:lang w:val="en-US" w:eastAsia="zh-CN" w:bidi="ar-SA"/>
        </w:rPr>
      </w:pPr>
      <w:r>
        <w:rPr>
          <w:rFonts w:hint="eastAsia" w:ascii="仿宋_GB2312" w:hAnsi="仿宋" w:eastAsia="仿宋_GB2312" w:cs="仿宋"/>
          <w:color w:val="000000"/>
          <w:kern w:val="2"/>
          <w:sz w:val="32"/>
          <w:lang w:val="en-US" w:eastAsia="zh-CN" w:bidi="ar-SA"/>
        </w:rPr>
        <w:t>2.综合事务管理绩效目标表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0"/>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rPr>
                <w:rFonts w:hint="eastAsia"/>
              </w:rPr>
              <w:t>项目编码</w:t>
            </w:r>
          </w:p>
        </w:tc>
        <w:tc>
          <w:tcPr>
            <w:tcW w:w="2608" w:type="dxa"/>
            <w:gridSpan w:val="2"/>
            <w:noWrap w:val="0"/>
            <w:vAlign w:val="center"/>
          </w:tcPr>
          <w:p>
            <w:pPr>
              <w:pStyle w:val="7"/>
            </w:pPr>
            <w:r>
              <w:t>13030322P00396710002A</w:t>
            </w:r>
          </w:p>
        </w:tc>
        <w:tc>
          <w:tcPr>
            <w:tcW w:w="1587" w:type="dxa"/>
            <w:noWrap w:val="0"/>
            <w:vAlign w:val="center"/>
          </w:tcPr>
          <w:p>
            <w:pPr>
              <w:pStyle w:val="8"/>
            </w:pPr>
            <w:r>
              <w:rPr>
                <w:rFonts w:hint="eastAsia"/>
              </w:rPr>
              <w:t>项目名称</w:t>
            </w:r>
          </w:p>
        </w:tc>
        <w:tc>
          <w:tcPr>
            <w:tcW w:w="4422" w:type="dxa"/>
            <w:gridSpan w:val="3"/>
            <w:noWrap w:val="0"/>
            <w:vAlign w:val="center"/>
          </w:tcPr>
          <w:p>
            <w:pPr>
              <w:pStyle w:val="7"/>
            </w:pPr>
            <w:r>
              <w:rPr>
                <w:rFonts w:hint="eastAsia"/>
              </w:rPr>
              <w:t>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预算规模及资金用途</w:t>
            </w:r>
          </w:p>
        </w:tc>
        <w:tc>
          <w:tcPr>
            <w:tcW w:w="1276" w:type="dxa"/>
            <w:noWrap w:val="0"/>
            <w:vAlign w:val="center"/>
          </w:tcPr>
          <w:p>
            <w:pPr>
              <w:pStyle w:val="8"/>
            </w:pPr>
            <w:r>
              <w:rPr>
                <w:rFonts w:hint="eastAsia"/>
              </w:rPr>
              <w:t>预算数</w:t>
            </w:r>
          </w:p>
        </w:tc>
        <w:tc>
          <w:tcPr>
            <w:tcW w:w="1332" w:type="dxa"/>
            <w:noWrap w:val="0"/>
            <w:vAlign w:val="center"/>
          </w:tcPr>
          <w:p>
            <w:pPr>
              <w:pStyle w:val="7"/>
            </w:pPr>
            <w:r>
              <w:t>15.00</w:t>
            </w:r>
          </w:p>
        </w:tc>
        <w:tc>
          <w:tcPr>
            <w:tcW w:w="1587" w:type="dxa"/>
            <w:noWrap w:val="0"/>
            <w:vAlign w:val="center"/>
          </w:tcPr>
          <w:p>
            <w:pPr>
              <w:pStyle w:val="8"/>
            </w:pPr>
            <w:r>
              <w:rPr>
                <w:rFonts w:hint="eastAsia"/>
              </w:rPr>
              <w:t>其中：财政</w:t>
            </w:r>
            <w:r>
              <w:t xml:space="preserve">    </w:t>
            </w:r>
            <w:r>
              <w:rPr>
                <w:rFonts w:hint="eastAsia"/>
              </w:rPr>
              <w:t>资金</w:t>
            </w:r>
          </w:p>
        </w:tc>
        <w:tc>
          <w:tcPr>
            <w:tcW w:w="1304" w:type="dxa"/>
            <w:noWrap w:val="0"/>
            <w:vAlign w:val="center"/>
          </w:tcPr>
          <w:p>
            <w:pPr>
              <w:pStyle w:val="7"/>
            </w:pPr>
            <w:r>
              <w:t>15.00</w:t>
            </w:r>
          </w:p>
        </w:tc>
        <w:tc>
          <w:tcPr>
            <w:tcW w:w="1276" w:type="dxa"/>
            <w:noWrap w:val="0"/>
            <w:vAlign w:val="center"/>
          </w:tcPr>
          <w:p>
            <w:pPr>
              <w:pStyle w:val="8"/>
            </w:pPr>
            <w:r>
              <w:rPr>
                <w:rFonts w:hint="eastAsia"/>
              </w:rP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rPr>
                <w:rFonts w:hint="eastAsia"/>
              </w:rPr>
              <w:t>机关日常运行维护费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资金支出计划（</w:t>
            </w:r>
            <w:r>
              <w:t>%</w:t>
            </w:r>
            <w:r>
              <w:rPr>
                <w:rFonts w:hint="eastAsia"/>
              </w:rPr>
              <w:t>）</w:t>
            </w:r>
          </w:p>
        </w:tc>
        <w:tc>
          <w:tcPr>
            <w:tcW w:w="2608" w:type="dxa"/>
            <w:gridSpan w:val="2"/>
            <w:noWrap w:val="0"/>
            <w:vAlign w:val="center"/>
          </w:tcPr>
          <w:p>
            <w:pPr>
              <w:pStyle w:val="8"/>
            </w:pPr>
            <w:r>
              <w:t>3</w:t>
            </w:r>
            <w:r>
              <w:rPr>
                <w:rFonts w:hint="eastAsia"/>
              </w:rPr>
              <w:t>月底</w:t>
            </w:r>
          </w:p>
        </w:tc>
        <w:tc>
          <w:tcPr>
            <w:tcW w:w="1587" w:type="dxa"/>
            <w:noWrap w:val="0"/>
            <w:vAlign w:val="center"/>
          </w:tcPr>
          <w:p>
            <w:pPr>
              <w:pStyle w:val="8"/>
            </w:pPr>
            <w:r>
              <w:t>6</w:t>
            </w:r>
            <w:r>
              <w:rPr>
                <w:rFonts w:hint="eastAsia"/>
              </w:rPr>
              <w:t>月底</w:t>
            </w:r>
          </w:p>
        </w:tc>
        <w:tc>
          <w:tcPr>
            <w:tcW w:w="1304" w:type="dxa"/>
            <w:noWrap w:val="0"/>
            <w:vAlign w:val="center"/>
          </w:tcPr>
          <w:p>
            <w:pPr>
              <w:pStyle w:val="8"/>
            </w:pPr>
            <w:r>
              <w:t>10</w:t>
            </w:r>
            <w:r>
              <w:rPr>
                <w:rFonts w:hint="eastAsia"/>
              </w:rPr>
              <w:t>月底</w:t>
            </w:r>
          </w:p>
        </w:tc>
        <w:tc>
          <w:tcPr>
            <w:tcW w:w="3118" w:type="dxa"/>
            <w:gridSpan w:val="2"/>
            <w:noWrap w:val="0"/>
            <w:vAlign w:val="center"/>
          </w:tcPr>
          <w:p>
            <w:pPr>
              <w:pStyle w:val="8"/>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50%</w:t>
            </w:r>
          </w:p>
        </w:tc>
        <w:tc>
          <w:tcPr>
            <w:tcW w:w="1587" w:type="dxa"/>
            <w:noWrap w:val="0"/>
            <w:vAlign w:val="center"/>
          </w:tcPr>
          <w:p>
            <w:pPr>
              <w:pStyle w:val="9"/>
            </w:pPr>
            <w:r>
              <w:t>100%</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8"/>
            </w:pPr>
            <w:r>
              <w:rPr>
                <w:rFonts w:hint="eastAsia"/>
              </w:rPr>
              <w:t>绩效目标</w:t>
            </w:r>
          </w:p>
        </w:tc>
        <w:tc>
          <w:tcPr>
            <w:tcW w:w="8617" w:type="dxa"/>
            <w:gridSpan w:val="6"/>
            <w:tcBorders>
              <w:bottom w:val="single" w:color="FFFFFF" w:sz="6" w:space="0"/>
            </w:tcBorders>
            <w:noWrap w:val="0"/>
            <w:vAlign w:val="center"/>
          </w:tcPr>
          <w:p>
            <w:pPr>
              <w:pStyle w:val="7"/>
            </w:pPr>
            <w:r>
              <w:t>1.</w:t>
            </w:r>
            <w:r>
              <w:rPr>
                <w:rFonts w:hint="eastAsia"/>
              </w:rPr>
              <w:t>机关综合事务</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rPr>
                <w:rFonts w:hint="eastAsia"/>
              </w:rPr>
              <w:t>一级指标</w:t>
            </w:r>
          </w:p>
        </w:tc>
        <w:tc>
          <w:tcPr>
            <w:tcW w:w="1276" w:type="dxa"/>
            <w:noWrap w:val="0"/>
            <w:vAlign w:val="center"/>
          </w:tcPr>
          <w:p>
            <w:pPr>
              <w:pStyle w:val="8"/>
            </w:pPr>
            <w:r>
              <w:rPr>
                <w:rFonts w:hint="eastAsia"/>
              </w:rPr>
              <w:t>二级指标</w:t>
            </w:r>
          </w:p>
        </w:tc>
        <w:tc>
          <w:tcPr>
            <w:tcW w:w="1332" w:type="dxa"/>
            <w:noWrap w:val="0"/>
            <w:vAlign w:val="center"/>
          </w:tcPr>
          <w:p>
            <w:pPr>
              <w:pStyle w:val="8"/>
            </w:pPr>
            <w:r>
              <w:rPr>
                <w:rFonts w:hint="eastAsia"/>
              </w:rPr>
              <w:t>三级指标</w:t>
            </w:r>
          </w:p>
        </w:tc>
        <w:tc>
          <w:tcPr>
            <w:tcW w:w="2891" w:type="dxa"/>
            <w:noWrap w:val="0"/>
            <w:vAlign w:val="center"/>
          </w:tcPr>
          <w:p>
            <w:pPr>
              <w:pStyle w:val="8"/>
            </w:pPr>
            <w:r>
              <w:rPr>
                <w:rFonts w:hint="eastAsia"/>
              </w:rPr>
              <w:t>绩效指标描述</w:t>
            </w:r>
          </w:p>
        </w:tc>
        <w:tc>
          <w:tcPr>
            <w:tcW w:w="1276" w:type="dxa"/>
            <w:noWrap w:val="0"/>
            <w:vAlign w:val="center"/>
          </w:tcPr>
          <w:p>
            <w:pPr>
              <w:pStyle w:val="8"/>
            </w:pPr>
            <w:r>
              <w:rPr>
                <w:rFonts w:hint="eastAsia"/>
              </w:rPr>
              <w:t>指标值</w:t>
            </w:r>
          </w:p>
        </w:tc>
        <w:tc>
          <w:tcPr>
            <w:tcW w:w="1843" w:type="dxa"/>
            <w:noWrap w:val="0"/>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产出指标</w:t>
            </w:r>
          </w:p>
        </w:tc>
        <w:tc>
          <w:tcPr>
            <w:tcW w:w="1276" w:type="dxa"/>
            <w:noWrap w:val="0"/>
            <w:vAlign w:val="center"/>
          </w:tcPr>
          <w:p>
            <w:pPr>
              <w:pStyle w:val="7"/>
            </w:pPr>
            <w:r>
              <w:rPr>
                <w:rFonts w:hint="eastAsia"/>
              </w:rPr>
              <w:t>数量指标</w:t>
            </w:r>
          </w:p>
        </w:tc>
        <w:tc>
          <w:tcPr>
            <w:tcW w:w="1332" w:type="dxa"/>
            <w:noWrap w:val="0"/>
            <w:vAlign w:val="center"/>
          </w:tcPr>
          <w:p>
            <w:pPr>
              <w:pStyle w:val="7"/>
            </w:pPr>
            <w:r>
              <w:rPr>
                <w:rFonts w:hint="eastAsia"/>
              </w:rPr>
              <w:t>支付办公经费人数</w:t>
            </w:r>
          </w:p>
        </w:tc>
        <w:tc>
          <w:tcPr>
            <w:tcW w:w="2891" w:type="dxa"/>
            <w:noWrap w:val="0"/>
            <w:vAlign w:val="center"/>
          </w:tcPr>
          <w:p>
            <w:pPr>
              <w:pStyle w:val="7"/>
            </w:pPr>
            <w:r>
              <w:rPr>
                <w:rFonts w:hint="eastAsia"/>
              </w:rPr>
              <w:t>支付办公经费人数</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质量指标</w:t>
            </w:r>
          </w:p>
        </w:tc>
        <w:tc>
          <w:tcPr>
            <w:tcW w:w="1332" w:type="dxa"/>
            <w:noWrap w:val="0"/>
            <w:vAlign w:val="center"/>
          </w:tcPr>
          <w:p>
            <w:pPr>
              <w:pStyle w:val="7"/>
            </w:pPr>
            <w:r>
              <w:rPr>
                <w:rFonts w:hint="eastAsia"/>
              </w:rPr>
              <w:t>办公设备运行率</w:t>
            </w:r>
          </w:p>
        </w:tc>
        <w:tc>
          <w:tcPr>
            <w:tcW w:w="2891" w:type="dxa"/>
            <w:noWrap w:val="0"/>
            <w:vAlign w:val="center"/>
          </w:tcPr>
          <w:p>
            <w:pPr>
              <w:pStyle w:val="7"/>
            </w:pPr>
            <w:r>
              <w:rPr>
                <w:rFonts w:hint="eastAsia"/>
              </w:rPr>
              <w:t>办公设备正常运行率</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时效指标</w:t>
            </w:r>
          </w:p>
        </w:tc>
        <w:tc>
          <w:tcPr>
            <w:tcW w:w="1332" w:type="dxa"/>
            <w:noWrap w:val="0"/>
            <w:vAlign w:val="center"/>
          </w:tcPr>
          <w:p>
            <w:pPr>
              <w:pStyle w:val="7"/>
            </w:pPr>
            <w:r>
              <w:rPr>
                <w:rFonts w:hint="eastAsia"/>
              </w:rPr>
              <w:t>完成率</w:t>
            </w:r>
          </w:p>
        </w:tc>
        <w:tc>
          <w:tcPr>
            <w:tcW w:w="2891" w:type="dxa"/>
            <w:noWrap w:val="0"/>
            <w:vAlign w:val="center"/>
          </w:tcPr>
          <w:p>
            <w:pPr>
              <w:pStyle w:val="7"/>
            </w:pPr>
            <w:r>
              <w:rPr>
                <w:rFonts w:hint="eastAsia"/>
              </w:rPr>
              <w:t>保障政协工作正产运转</w:t>
            </w:r>
          </w:p>
        </w:tc>
        <w:tc>
          <w:tcPr>
            <w:tcW w:w="1276" w:type="dxa"/>
            <w:noWrap w:val="0"/>
            <w:vAlign w:val="center"/>
          </w:tcPr>
          <w:p>
            <w:pPr>
              <w:pStyle w:val="7"/>
            </w:pPr>
            <w:r>
              <w:rPr>
                <w:rFonts w:hint="eastAsia"/>
              </w:rPr>
              <w:t>人</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成本指标</w:t>
            </w:r>
          </w:p>
        </w:tc>
        <w:tc>
          <w:tcPr>
            <w:tcW w:w="1332" w:type="dxa"/>
            <w:noWrap w:val="0"/>
            <w:vAlign w:val="center"/>
          </w:tcPr>
          <w:p>
            <w:pPr>
              <w:pStyle w:val="7"/>
            </w:pPr>
            <w:r>
              <w:rPr>
                <w:rFonts w:hint="eastAsia"/>
              </w:rPr>
              <w:t>项目控制预算数</w:t>
            </w:r>
          </w:p>
        </w:tc>
        <w:tc>
          <w:tcPr>
            <w:tcW w:w="2891" w:type="dxa"/>
            <w:noWrap w:val="0"/>
            <w:vAlign w:val="center"/>
          </w:tcPr>
          <w:p>
            <w:pPr>
              <w:pStyle w:val="7"/>
            </w:pPr>
            <w:r>
              <w:rPr>
                <w:rFonts w:hint="eastAsia"/>
              </w:rPr>
              <w:t>不超过财政支持经费</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效益指标</w:t>
            </w:r>
          </w:p>
        </w:tc>
        <w:tc>
          <w:tcPr>
            <w:tcW w:w="1276" w:type="dxa"/>
            <w:noWrap w:val="0"/>
            <w:vAlign w:val="center"/>
          </w:tcPr>
          <w:p>
            <w:pPr>
              <w:pStyle w:val="7"/>
            </w:pPr>
            <w:r>
              <w:rPr>
                <w:rFonts w:hint="eastAsia"/>
              </w:rPr>
              <w:t>经济效益指标</w:t>
            </w:r>
          </w:p>
        </w:tc>
        <w:tc>
          <w:tcPr>
            <w:tcW w:w="1332" w:type="dxa"/>
            <w:noWrap w:val="0"/>
            <w:vAlign w:val="center"/>
          </w:tcPr>
          <w:p>
            <w:pPr>
              <w:pStyle w:val="7"/>
            </w:pPr>
            <w:r>
              <w:rPr>
                <w:rFonts w:hint="eastAsia"/>
              </w:rPr>
              <w:t>成本节约</w:t>
            </w:r>
          </w:p>
        </w:tc>
        <w:tc>
          <w:tcPr>
            <w:tcW w:w="2891" w:type="dxa"/>
            <w:noWrap w:val="0"/>
            <w:vAlign w:val="center"/>
          </w:tcPr>
          <w:p>
            <w:pPr>
              <w:pStyle w:val="7"/>
            </w:pPr>
            <w:r>
              <w:rPr>
                <w:rFonts w:hint="eastAsia"/>
              </w:rPr>
              <w:t>成本节约</w:t>
            </w:r>
          </w:p>
        </w:tc>
        <w:tc>
          <w:tcPr>
            <w:tcW w:w="1276" w:type="dxa"/>
            <w:noWrap w:val="0"/>
            <w:vAlign w:val="center"/>
          </w:tcPr>
          <w:p>
            <w:pPr>
              <w:pStyle w:val="7"/>
            </w:pPr>
            <w:r>
              <w:rPr>
                <w:rFonts w:hint="eastAsia"/>
              </w:rPr>
              <w:t>成本节约</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社会效益指标</w:t>
            </w:r>
          </w:p>
        </w:tc>
        <w:tc>
          <w:tcPr>
            <w:tcW w:w="1332" w:type="dxa"/>
            <w:noWrap w:val="0"/>
            <w:vAlign w:val="center"/>
          </w:tcPr>
          <w:p>
            <w:pPr>
              <w:pStyle w:val="7"/>
            </w:pPr>
            <w:r>
              <w:rPr>
                <w:rFonts w:hint="eastAsia"/>
              </w:rPr>
              <w:t>社会稳定水平</w:t>
            </w:r>
          </w:p>
        </w:tc>
        <w:tc>
          <w:tcPr>
            <w:tcW w:w="2891" w:type="dxa"/>
            <w:noWrap w:val="0"/>
            <w:vAlign w:val="center"/>
          </w:tcPr>
          <w:p>
            <w:pPr>
              <w:pStyle w:val="7"/>
            </w:pPr>
            <w:r>
              <w:rPr>
                <w:rFonts w:hint="eastAsia"/>
              </w:rPr>
              <w:t>通过政协相关工作促进社会稳定水平逐步提高</w:t>
            </w:r>
          </w:p>
        </w:tc>
        <w:tc>
          <w:tcPr>
            <w:tcW w:w="1276" w:type="dxa"/>
            <w:noWrap w:val="0"/>
            <w:vAlign w:val="center"/>
          </w:tcPr>
          <w:p>
            <w:pPr>
              <w:pStyle w:val="7"/>
            </w:pPr>
            <w:r>
              <w:rPr>
                <w:rFonts w:hint="eastAsia"/>
              </w:rPr>
              <w:t>促进社会稳定</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生态效益指标</w:t>
            </w:r>
          </w:p>
        </w:tc>
        <w:tc>
          <w:tcPr>
            <w:tcW w:w="1332" w:type="dxa"/>
            <w:noWrap w:val="0"/>
            <w:vAlign w:val="center"/>
          </w:tcPr>
          <w:p>
            <w:pPr>
              <w:pStyle w:val="7"/>
            </w:pPr>
            <w:r>
              <w:rPr>
                <w:rFonts w:hint="eastAsia"/>
              </w:rPr>
              <w:t>满足生态环境要求</w:t>
            </w:r>
          </w:p>
        </w:tc>
        <w:tc>
          <w:tcPr>
            <w:tcW w:w="2891" w:type="dxa"/>
            <w:noWrap w:val="0"/>
            <w:vAlign w:val="center"/>
          </w:tcPr>
          <w:p>
            <w:pPr>
              <w:pStyle w:val="7"/>
            </w:pPr>
            <w:r>
              <w:rPr>
                <w:rFonts w:hint="eastAsia"/>
              </w:rPr>
              <w:t>满足生态环境要求</w:t>
            </w:r>
          </w:p>
        </w:tc>
        <w:tc>
          <w:tcPr>
            <w:tcW w:w="1276" w:type="dxa"/>
            <w:noWrap w:val="0"/>
            <w:vAlign w:val="center"/>
          </w:tcPr>
          <w:p>
            <w:pPr>
              <w:pStyle w:val="7"/>
            </w:pPr>
            <w:r>
              <w:rPr>
                <w:rFonts w:hint="eastAsia"/>
              </w:rPr>
              <w:t>满足生态环境要求</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可持续影响指标</w:t>
            </w:r>
          </w:p>
        </w:tc>
        <w:tc>
          <w:tcPr>
            <w:tcW w:w="1332" w:type="dxa"/>
            <w:noWrap w:val="0"/>
            <w:vAlign w:val="center"/>
          </w:tcPr>
          <w:p>
            <w:pPr>
              <w:pStyle w:val="7"/>
            </w:pPr>
            <w:r>
              <w:rPr>
                <w:rFonts w:hint="eastAsia"/>
              </w:rPr>
              <w:t>长期使用性</w:t>
            </w:r>
          </w:p>
        </w:tc>
        <w:tc>
          <w:tcPr>
            <w:tcW w:w="2891" w:type="dxa"/>
            <w:noWrap w:val="0"/>
            <w:vAlign w:val="center"/>
          </w:tcPr>
          <w:p>
            <w:pPr>
              <w:pStyle w:val="7"/>
            </w:pPr>
            <w:r>
              <w:rPr>
                <w:rFonts w:hint="eastAsia"/>
              </w:rPr>
              <w:t>长期使用性</w:t>
            </w:r>
          </w:p>
        </w:tc>
        <w:tc>
          <w:tcPr>
            <w:tcW w:w="1276" w:type="dxa"/>
            <w:noWrap w:val="0"/>
            <w:vAlign w:val="center"/>
          </w:tcPr>
          <w:p>
            <w:pPr>
              <w:pStyle w:val="7"/>
            </w:pPr>
            <w:r>
              <w:rPr>
                <w:rFonts w:hint="eastAsia"/>
              </w:rPr>
              <w:t>长期使用性</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9"/>
            </w:pPr>
            <w:r>
              <w:rPr>
                <w:rFonts w:hint="eastAsia"/>
              </w:rPr>
              <w:t>满意度指标</w:t>
            </w:r>
          </w:p>
        </w:tc>
        <w:tc>
          <w:tcPr>
            <w:tcW w:w="1276" w:type="dxa"/>
            <w:noWrap w:val="0"/>
            <w:vAlign w:val="center"/>
          </w:tcPr>
          <w:p>
            <w:pPr>
              <w:pStyle w:val="7"/>
            </w:pPr>
            <w:r>
              <w:rPr>
                <w:rFonts w:hint="eastAsia"/>
              </w:rPr>
              <w:t>服务对象满意度指标</w:t>
            </w:r>
          </w:p>
        </w:tc>
        <w:tc>
          <w:tcPr>
            <w:tcW w:w="1332" w:type="dxa"/>
            <w:noWrap w:val="0"/>
            <w:vAlign w:val="center"/>
          </w:tcPr>
          <w:p>
            <w:pPr>
              <w:pStyle w:val="7"/>
            </w:pPr>
            <w:r>
              <w:rPr>
                <w:rFonts w:hint="eastAsia"/>
              </w:rPr>
              <w:t>群众满意度</w:t>
            </w:r>
          </w:p>
        </w:tc>
        <w:tc>
          <w:tcPr>
            <w:tcW w:w="2891" w:type="dxa"/>
            <w:noWrap w:val="0"/>
            <w:vAlign w:val="center"/>
          </w:tcPr>
          <w:p>
            <w:pPr>
              <w:pStyle w:val="7"/>
            </w:pPr>
            <w:r>
              <w:rPr>
                <w:rFonts w:hint="eastAsia"/>
              </w:rPr>
              <w:t>群众对当年政协工资的整体满意度</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bl>
    <w:p>
      <w:pPr>
        <w:sectPr>
          <w:pgSz w:w="11900" w:h="16840"/>
          <w:pgMar w:top="1984" w:right="1304" w:bottom="1134" w:left="1304" w:header="720" w:footer="720" w:gutter="0"/>
          <w:cols w:space="720" w:num="1"/>
        </w:sect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p>
      <w:pPr>
        <w:spacing w:before="0" w:after="0"/>
        <w:ind w:firstLine="560"/>
        <w:jc w:val="left"/>
        <w:outlineLvl w:val="3"/>
        <w:rPr>
          <w:rFonts w:ascii="方正仿宋_GBK" w:hAnsi="方正仿宋_GBK" w:eastAsia="方正仿宋_GBK" w:cs="方正仿宋_GBK"/>
          <w:color w:val="000000"/>
          <w:sz w:val="28"/>
        </w:rPr>
      </w:pPr>
    </w:p>
    <w:bookmarkEnd w:id="1"/>
    <w:p>
      <w:pPr>
        <w:ind w:firstLine="560"/>
        <w:outlineLvl w:val="3"/>
        <w:rPr>
          <w:rFonts w:hint="eastAsia" w:ascii="仿宋_GB2312" w:hAnsi="仿宋" w:eastAsia="仿宋_GB2312" w:cs="仿宋"/>
          <w:color w:val="000000"/>
          <w:kern w:val="2"/>
          <w:sz w:val="32"/>
          <w:lang w:val="en-US" w:eastAsia="zh-CN" w:bidi="ar-SA"/>
        </w:rPr>
      </w:pPr>
      <w:r>
        <w:rPr>
          <w:rFonts w:hint="eastAsia" w:ascii="仿宋_GB2312" w:hAnsi="仿宋" w:eastAsia="仿宋_GB2312" w:cs="仿宋"/>
          <w:color w:val="000000"/>
          <w:kern w:val="2"/>
          <w:sz w:val="32"/>
          <w:lang w:val="en-US" w:eastAsia="zh-CN" w:bidi="ar-SA"/>
        </w:rPr>
        <w:t>3.参政议政绩效目标表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0"/>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rPr>
                <w:rFonts w:hint="eastAsia"/>
              </w:rPr>
              <w:t>项目编码</w:t>
            </w:r>
          </w:p>
        </w:tc>
        <w:tc>
          <w:tcPr>
            <w:tcW w:w="2608" w:type="dxa"/>
            <w:gridSpan w:val="2"/>
            <w:noWrap w:val="0"/>
            <w:vAlign w:val="center"/>
          </w:tcPr>
          <w:p>
            <w:pPr>
              <w:pStyle w:val="7"/>
            </w:pPr>
            <w:r>
              <w:t>13030322P003973100017</w:t>
            </w:r>
          </w:p>
        </w:tc>
        <w:tc>
          <w:tcPr>
            <w:tcW w:w="1587" w:type="dxa"/>
            <w:noWrap w:val="0"/>
            <w:vAlign w:val="center"/>
          </w:tcPr>
          <w:p>
            <w:pPr>
              <w:pStyle w:val="8"/>
            </w:pPr>
            <w:r>
              <w:rPr>
                <w:rFonts w:hint="eastAsia"/>
              </w:rPr>
              <w:t>项目名称</w:t>
            </w:r>
          </w:p>
        </w:tc>
        <w:tc>
          <w:tcPr>
            <w:tcW w:w="4422" w:type="dxa"/>
            <w:gridSpan w:val="3"/>
            <w:noWrap w:val="0"/>
            <w:vAlign w:val="center"/>
          </w:tcPr>
          <w:p>
            <w:pPr>
              <w:pStyle w:val="7"/>
            </w:pPr>
            <w:r>
              <w:rPr>
                <w:rFonts w:hint="eastAsia"/>
              </w:rPr>
              <w:t>参政议政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预算规模及资金用途</w:t>
            </w:r>
          </w:p>
        </w:tc>
        <w:tc>
          <w:tcPr>
            <w:tcW w:w="1276" w:type="dxa"/>
            <w:noWrap w:val="0"/>
            <w:vAlign w:val="center"/>
          </w:tcPr>
          <w:p>
            <w:pPr>
              <w:pStyle w:val="8"/>
            </w:pPr>
            <w:r>
              <w:rPr>
                <w:rFonts w:hint="eastAsia"/>
              </w:rPr>
              <w:t>预算数</w:t>
            </w:r>
          </w:p>
        </w:tc>
        <w:tc>
          <w:tcPr>
            <w:tcW w:w="1332" w:type="dxa"/>
            <w:noWrap w:val="0"/>
            <w:vAlign w:val="center"/>
          </w:tcPr>
          <w:p>
            <w:pPr>
              <w:pStyle w:val="7"/>
            </w:pPr>
            <w:r>
              <w:t>3.00</w:t>
            </w:r>
          </w:p>
        </w:tc>
        <w:tc>
          <w:tcPr>
            <w:tcW w:w="1587" w:type="dxa"/>
            <w:noWrap w:val="0"/>
            <w:vAlign w:val="center"/>
          </w:tcPr>
          <w:p>
            <w:pPr>
              <w:pStyle w:val="8"/>
            </w:pPr>
            <w:r>
              <w:rPr>
                <w:rFonts w:hint="eastAsia"/>
              </w:rPr>
              <w:t>其中：财政</w:t>
            </w:r>
            <w:r>
              <w:t xml:space="preserve">    </w:t>
            </w:r>
            <w:r>
              <w:rPr>
                <w:rFonts w:hint="eastAsia"/>
              </w:rPr>
              <w:t>资金</w:t>
            </w:r>
          </w:p>
        </w:tc>
        <w:tc>
          <w:tcPr>
            <w:tcW w:w="1304" w:type="dxa"/>
            <w:noWrap w:val="0"/>
            <w:vAlign w:val="center"/>
          </w:tcPr>
          <w:p>
            <w:pPr>
              <w:pStyle w:val="7"/>
            </w:pPr>
            <w:r>
              <w:t>3.00</w:t>
            </w:r>
          </w:p>
        </w:tc>
        <w:tc>
          <w:tcPr>
            <w:tcW w:w="1276" w:type="dxa"/>
            <w:noWrap w:val="0"/>
            <w:vAlign w:val="center"/>
          </w:tcPr>
          <w:p>
            <w:pPr>
              <w:pStyle w:val="8"/>
            </w:pPr>
            <w:r>
              <w:rPr>
                <w:rFonts w:hint="eastAsia"/>
              </w:rP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rPr>
                <w:rFonts w:hint="eastAsia"/>
              </w:rPr>
              <w:t>订报</w:t>
            </w:r>
            <w:r>
              <w:t xml:space="preserve"> </w:t>
            </w:r>
            <w:r>
              <w:rPr>
                <w:rFonts w:hint="eastAsia"/>
              </w:rPr>
              <w:t>日常维护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资金支出计划（</w:t>
            </w:r>
            <w:r>
              <w:t>%</w:t>
            </w:r>
            <w:r>
              <w:rPr>
                <w:rFonts w:hint="eastAsia"/>
              </w:rPr>
              <w:t>）</w:t>
            </w:r>
          </w:p>
        </w:tc>
        <w:tc>
          <w:tcPr>
            <w:tcW w:w="2608" w:type="dxa"/>
            <w:gridSpan w:val="2"/>
            <w:noWrap w:val="0"/>
            <w:vAlign w:val="center"/>
          </w:tcPr>
          <w:p>
            <w:pPr>
              <w:pStyle w:val="8"/>
            </w:pPr>
            <w:r>
              <w:t>3</w:t>
            </w:r>
            <w:r>
              <w:rPr>
                <w:rFonts w:hint="eastAsia"/>
              </w:rPr>
              <w:t>月底</w:t>
            </w:r>
          </w:p>
        </w:tc>
        <w:tc>
          <w:tcPr>
            <w:tcW w:w="1587" w:type="dxa"/>
            <w:noWrap w:val="0"/>
            <w:vAlign w:val="center"/>
          </w:tcPr>
          <w:p>
            <w:pPr>
              <w:pStyle w:val="8"/>
            </w:pPr>
            <w:r>
              <w:t>6</w:t>
            </w:r>
            <w:r>
              <w:rPr>
                <w:rFonts w:hint="eastAsia"/>
              </w:rPr>
              <w:t>月底</w:t>
            </w:r>
          </w:p>
        </w:tc>
        <w:tc>
          <w:tcPr>
            <w:tcW w:w="1304" w:type="dxa"/>
            <w:noWrap w:val="0"/>
            <w:vAlign w:val="center"/>
          </w:tcPr>
          <w:p>
            <w:pPr>
              <w:pStyle w:val="8"/>
            </w:pPr>
            <w:r>
              <w:t>10</w:t>
            </w:r>
            <w:r>
              <w:rPr>
                <w:rFonts w:hint="eastAsia"/>
              </w:rPr>
              <w:t>月底</w:t>
            </w:r>
          </w:p>
        </w:tc>
        <w:tc>
          <w:tcPr>
            <w:tcW w:w="3118" w:type="dxa"/>
            <w:gridSpan w:val="2"/>
            <w:noWrap w:val="0"/>
            <w:vAlign w:val="center"/>
          </w:tcPr>
          <w:p>
            <w:pPr>
              <w:pStyle w:val="8"/>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35%</w:t>
            </w:r>
          </w:p>
        </w:tc>
        <w:tc>
          <w:tcPr>
            <w:tcW w:w="1587" w:type="dxa"/>
            <w:noWrap w:val="0"/>
            <w:vAlign w:val="center"/>
          </w:tcPr>
          <w:p>
            <w:pPr>
              <w:pStyle w:val="9"/>
            </w:pPr>
            <w:r>
              <w:t>65%</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8"/>
            </w:pPr>
            <w:r>
              <w:rPr>
                <w:rFonts w:hint="eastAsia"/>
              </w:rPr>
              <w:t>绩效目标</w:t>
            </w:r>
          </w:p>
        </w:tc>
        <w:tc>
          <w:tcPr>
            <w:tcW w:w="8617" w:type="dxa"/>
            <w:gridSpan w:val="6"/>
            <w:tcBorders>
              <w:bottom w:val="single" w:color="FFFFFF" w:sz="6" w:space="0"/>
            </w:tcBorders>
            <w:noWrap w:val="0"/>
            <w:vAlign w:val="center"/>
          </w:tcPr>
          <w:p>
            <w:pPr>
              <w:pStyle w:val="7"/>
            </w:pPr>
            <w:r>
              <w:t>1.</w:t>
            </w:r>
            <w:r>
              <w:rPr>
                <w:rFonts w:hint="eastAsia"/>
              </w:rPr>
              <w:t>发挥团结育人存史资政的作用，征集、整理、出版文史资料</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rPr>
                <w:rFonts w:hint="eastAsia"/>
              </w:rPr>
              <w:t>一级指标</w:t>
            </w:r>
          </w:p>
        </w:tc>
        <w:tc>
          <w:tcPr>
            <w:tcW w:w="1276" w:type="dxa"/>
            <w:noWrap w:val="0"/>
            <w:vAlign w:val="center"/>
          </w:tcPr>
          <w:p>
            <w:pPr>
              <w:pStyle w:val="8"/>
            </w:pPr>
            <w:r>
              <w:rPr>
                <w:rFonts w:hint="eastAsia"/>
              </w:rPr>
              <w:t>二级指标</w:t>
            </w:r>
          </w:p>
        </w:tc>
        <w:tc>
          <w:tcPr>
            <w:tcW w:w="1332" w:type="dxa"/>
            <w:noWrap w:val="0"/>
            <w:vAlign w:val="center"/>
          </w:tcPr>
          <w:p>
            <w:pPr>
              <w:pStyle w:val="8"/>
            </w:pPr>
            <w:r>
              <w:rPr>
                <w:rFonts w:hint="eastAsia"/>
              </w:rPr>
              <w:t>三级指标</w:t>
            </w:r>
          </w:p>
        </w:tc>
        <w:tc>
          <w:tcPr>
            <w:tcW w:w="2891" w:type="dxa"/>
            <w:noWrap w:val="0"/>
            <w:vAlign w:val="center"/>
          </w:tcPr>
          <w:p>
            <w:pPr>
              <w:pStyle w:val="8"/>
            </w:pPr>
            <w:r>
              <w:rPr>
                <w:rFonts w:hint="eastAsia"/>
              </w:rPr>
              <w:t>绩效指标描述</w:t>
            </w:r>
          </w:p>
        </w:tc>
        <w:tc>
          <w:tcPr>
            <w:tcW w:w="1276" w:type="dxa"/>
            <w:noWrap w:val="0"/>
            <w:vAlign w:val="center"/>
          </w:tcPr>
          <w:p>
            <w:pPr>
              <w:pStyle w:val="8"/>
            </w:pPr>
            <w:r>
              <w:rPr>
                <w:rFonts w:hint="eastAsia"/>
              </w:rPr>
              <w:t>指标值</w:t>
            </w:r>
          </w:p>
        </w:tc>
        <w:tc>
          <w:tcPr>
            <w:tcW w:w="1843" w:type="dxa"/>
            <w:noWrap w:val="0"/>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产出指标</w:t>
            </w:r>
          </w:p>
        </w:tc>
        <w:tc>
          <w:tcPr>
            <w:tcW w:w="1276" w:type="dxa"/>
            <w:noWrap w:val="0"/>
            <w:vAlign w:val="center"/>
          </w:tcPr>
          <w:p>
            <w:pPr>
              <w:pStyle w:val="7"/>
            </w:pPr>
            <w:r>
              <w:rPr>
                <w:rFonts w:hint="eastAsia"/>
              </w:rPr>
              <w:t>数量指标</w:t>
            </w:r>
          </w:p>
        </w:tc>
        <w:tc>
          <w:tcPr>
            <w:tcW w:w="1332" w:type="dxa"/>
            <w:noWrap w:val="0"/>
            <w:vAlign w:val="center"/>
          </w:tcPr>
          <w:p>
            <w:pPr>
              <w:pStyle w:val="7"/>
            </w:pPr>
            <w:r>
              <w:rPr>
                <w:rFonts w:hint="eastAsia"/>
              </w:rPr>
              <w:t>开展社会服务活动次数</w:t>
            </w:r>
          </w:p>
        </w:tc>
        <w:tc>
          <w:tcPr>
            <w:tcW w:w="2891" w:type="dxa"/>
            <w:noWrap w:val="0"/>
            <w:vAlign w:val="center"/>
          </w:tcPr>
          <w:p>
            <w:pPr>
              <w:pStyle w:val="7"/>
            </w:pPr>
            <w:r>
              <w:rPr>
                <w:rFonts w:hint="eastAsia"/>
              </w:rPr>
              <w:t>开展社会服务活动次数</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质量指标</w:t>
            </w:r>
          </w:p>
        </w:tc>
        <w:tc>
          <w:tcPr>
            <w:tcW w:w="1332" w:type="dxa"/>
            <w:noWrap w:val="0"/>
            <w:vAlign w:val="center"/>
          </w:tcPr>
          <w:p>
            <w:pPr>
              <w:pStyle w:val="7"/>
            </w:pPr>
            <w:r>
              <w:rPr>
                <w:rFonts w:hint="eastAsia"/>
              </w:rPr>
              <w:t>社情民意反应率</w:t>
            </w:r>
          </w:p>
        </w:tc>
        <w:tc>
          <w:tcPr>
            <w:tcW w:w="2891" w:type="dxa"/>
            <w:noWrap w:val="0"/>
            <w:vAlign w:val="center"/>
          </w:tcPr>
          <w:p>
            <w:pPr>
              <w:pStyle w:val="7"/>
            </w:pPr>
            <w:r>
              <w:rPr>
                <w:rFonts w:hint="eastAsia"/>
              </w:rPr>
              <w:t>社情民意反映情况</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时效指标</w:t>
            </w:r>
          </w:p>
        </w:tc>
        <w:tc>
          <w:tcPr>
            <w:tcW w:w="1332" w:type="dxa"/>
            <w:noWrap w:val="0"/>
            <w:vAlign w:val="center"/>
          </w:tcPr>
          <w:p>
            <w:pPr>
              <w:pStyle w:val="7"/>
            </w:pPr>
            <w:r>
              <w:rPr>
                <w:rFonts w:hint="eastAsia"/>
              </w:rPr>
              <w:t>完成率</w:t>
            </w:r>
          </w:p>
        </w:tc>
        <w:tc>
          <w:tcPr>
            <w:tcW w:w="2891" w:type="dxa"/>
            <w:noWrap w:val="0"/>
            <w:vAlign w:val="center"/>
          </w:tcPr>
          <w:p>
            <w:pPr>
              <w:pStyle w:val="7"/>
            </w:pPr>
            <w:r>
              <w:rPr>
                <w:rFonts w:hint="eastAsia"/>
              </w:rPr>
              <w:t>专项调研完成率</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成本指标</w:t>
            </w:r>
          </w:p>
        </w:tc>
        <w:tc>
          <w:tcPr>
            <w:tcW w:w="1332" w:type="dxa"/>
            <w:noWrap w:val="0"/>
            <w:vAlign w:val="center"/>
          </w:tcPr>
          <w:p>
            <w:pPr>
              <w:pStyle w:val="7"/>
            </w:pPr>
            <w:r>
              <w:rPr>
                <w:rFonts w:hint="eastAsia"/>
              </w:rPr>
              <w:t>参加培训人均成本</w:t>
            </w:r>
          </w:p>
        </w:tc>
        <w:tc>
          <w:tcPr>
            <w:tcW w:w="2891" w:type="dxa"/>
            <w:noWrap w:val="0"/>
            <w:vAlign w:val="center"/>
          </w:tcPr>
          <w:p>
            <w:pPr>
              <w:pStyle w:val="7"/>
            </w:pPr>
            <w:r>
              <w:rPr>
                <w:rFonts w:hint="eastAsia"/>
              </w:rPr>
              <w:t>参加培训人均成本</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效益指标</w:t>
            </w:r>
          </w:p>
        </w:tc>
        <w:tc>
          <w:tcPr>
            <w:tcW w:w="1276" w:type="dxa"/>
            <w:noWrap w:val="0"/>
            <w:vAlign w:val="center"/>
          </w:tcPr>
          <w:p>
            <w:pPr>
              <w:pStyle w:val="7"/>
            </w:pPr>
            <w:r>
              <w:rPr>
                <w:rFonts w:hint="eastAsia"/>
              </w:rPr>
              <w:t>经济效益指标</w:t>
            </w:r>
          </w:p>
        </w:tc>
        <w:tc>
          <w:tcPr>
            <w:tcW w:w="1332" w:type="dxa"/>
            <w:noWrap w:val="0"/>
            <w:vAlign w:val="center"/>
          </w:tcPr>
          <w:p>
            <w:pPr>
              <w:pStyle w:val="7"/>
            </w:pPr>
            <w:r>
              <w:rPr>
                <w:rFonts w:hint="eastAsia"/>
              </w:rPr>
              <w:t>经济发展</w:t>
            </w:r>
          </w:p>
        </w:tc>
        <w:tc>
          <w:tcPr>
            <w:tcW w:w="2891" w:type="dxa"/>
            <w:noWrap w:val="0"/>
            <w:vAlign w:val="center"/>
          </w:tcPr>
          <w:p>
            <w:pPr>
              <w:pStyle w:val="7"/>
            </w:pPr>
            <w:r>
              <w:rPr>
                <w:rFonts w:hint="eastAsia"/>
              </w:rPr>
              <w:t>经济发展</w:t>
            </w:r>
          </w:p>
        </w:tc>
        <w:tc>
          <w:tcPr>
            <w:tcW w:w="1276" w:type="dxa"/>
            <w:noWrap w:val="0"/>
            <w:vAlign w:val="center"/>
          </w:tcPr>
          <w:p>
            <w:pPr>
              <w:pStyle w:val="7"/>
            </w:pPr>
            <w:r>
              <w:rPr>
                <w:rFonts w:hint="eastAsia"/>
              </w:rPr>
              <w:t>促进经济发展</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社会效益指标</w:t>
            </w:r>
          </w:p>
        </w:tc>
        <w:tc>
          <w:tcPr>
            <w:tcW w:w="1332" w:type="dxa"/>
            <w:noWrap w:val="0"/>
            <w:vAlign w:val="center"/>
          </w:tcPr>
          <w:p>
            <w:pPr>
              <w:pStyle w:val="7"/>
            </w:pPr>
            <w:r>
              <w:rPr>
                <w:rFonts w:hint="eastAsia"/>
              </w:rPr>
              <w:t>社会稳定水平</w:t>
            </w:r>
          </w:p>
        </w:tc>
        <w:tc>
          <w:tcPr>
            <w:tcW w:w="2891" w:type="dxa"/>
            <w:noWrap w:val="0"/>
            <w:vAlign w:val="center"/>
          </w:tcPr>
          <w:p>
            <w:pPr>
              <w:pStyle w:val="7"/>
            </w:pPr>
            <w:r>
              <w:rPr>
                <w:rFonts w:hint="eastAsia"/>
              </w:rPr>
              <w:t>通过政协委员活动工作促进社会稳定</w:t>
            </w:r>
          </w:p>
        </w:tc>
        <w:tc>
          <w:tcPr>
            <w:tcW w:w="1276" w:type="dxa"/>
            <w:noWrap w:val="0"/>
            <w:vAlign w:val="center"/>
          </w:tcPr>
          <w:p>
            <w:pPr>
              <w:pStyle w:val="7"/>
            </w:pPr>
            <w:r>
              <w:rPr>
                <w:rFonts w:hint="eastAsia"/>
              </w:rPr>
              <w:t>促进社会稳定</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生态效益指标</w:t>
            </w:r>
          </w:p>
        </w:tc>
        <w:tc>
          <w:tcPr>
            <w:tcW w:w="1332" w:type="dxa"/>
            <w:noWrap w:val="0"/>
            <w:vAlign w:val="center"/>
          </w:tcPr>
          <w:p>
            <w:pPr>
              <w:pStyle w:val="7"/>
            </w:pPr>
            <w:r>
              <w:rPr>
                <w:rFonts w:hint="eastAsia"/>
              </w:rPr>
              <w:t>改善生态环境质量</w:t>
            </w:r>
          </w:p>
        </w:tc>
        <w:tc>
          <w:tcPr>
            <w:tcW w:w="2891" w:type="dxa"/>
            <w:noWrap w:val="0"/>
            <w:vAlign w:val="center"/>
          </w:tcPr>
          <w:p>
            <w:pPr>
              <w:pStyle w:val="7"/>
            </w:pPr>
            <w:r>
              <w:rPr>
                <w:rFonts w:hint="eastAsia"/>
              </w:rPr>
              <w:t>改善生态环境质量</w:t>
            </w:r>
          </w:p>
        </w:tc>
        <w:tc>
          <w:tcPr>
            <w:tcW w:w="1276" w:type="dxa"/>
            <w:noWrap w:val="0"/>
            <w:vAlign w:val="center"/>
          </w:tcPr>
          <w:p>
            <w:pPr>
              <w:pStyle w:val="7"/>
            </w:pPr>
            <w:r>
              <w:rPr>
                <w:rFonts w:hint="eastAsia"/>
              </w:rPr>
              <w:t>促进改善生态环境质量</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可持续影响指标</w:t>
            </w:r>
          </w:p>
        </w:tc>
        <w:tc>
          <w:tcPr>
            <w:tcW w:w="1332" w:type="dxa"/>
            <w:noWrap w:val="0"/>
            <w:vAlign w:val="center"/>
          </w:tcPr>
          <w:p>
            <w:pPr>
              <w:pStyle w:val="7"/>
            </w:pPr>
            <w:r>
              <w:rPr>
                <w:rFonts w:hint="eastAsia"/>
              </w:rPr>
              <w:t>保障人才队伍可持续建设</w:t>
            </w:r>
          </w:p>
        </w:tc>
        <w:tc>
          <w:tcPr>
            <w:tcW w:w="2891" w:type="dxa"/>
            <w:noWrap w:val="0"/>
            <w:vAlign w:val="center"/>
          </w:tcPr>
          <w:p>
            <w:pPr>
              <w:pStyle w:val="7"/>
            </w:pPr>
            <w:r>
              <w:rPr>
                <w:rFonts w:hint="eastAsia"/>
              </w:rPr>
              <w:t>保障人才队伍可持续建设</w:t>
            </w:r>
          </w:p>
        </w:tc>
        <w:tc>
          <w:tcPr>
            <w:tcW w:w="1276" w:type="dxa"/>
            <w:noWrap w:val="0"/>
            <w:vAlign w:val="center"/>
          </w:tcPr>
          <w:p>
            <w:pPr>
              <w:pStyle w:val="7"/>
            </w:pPr>
            <w:r>
              <w:rPr>
                <w:rFonts w:hint="eastAsia"/>
              </w:rPr>
              <w:t>促进人才队伍可持续建设</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9"/>
            </w:pPr>
            <w:r>
              <w:rPr>
                <w:rFonts w:hint="eastAsia"/>
              </w:rPr>
              <w:t>满意度指标</w:t>
            </w:r>
          </w:p>
        </w:tc>
        <w:tc>
          <w:tcPr>
            <w:tcW w:w="1276" w:type="dxa"/>
            <w:noWrap w:val="0"/>
            <w:vAlign w:val="center"/>
          </w:tcPr>
          <w:p>
            <w:pPr>
              <w:pStyle w:val="7"/>
            </w:pPr>
            <w:r>
              <w:rPr>
                <w:rFonts w:hint="eastAsia"/>
              </w:rPr>
              <w:t>服务对象满意度指标</w:t>
            </w:r>
          </w:p>
        </w:tc>
        <w:tc>
          <w:tcPr>
            <w:tcW w:w="1332" w:type="dxa"/>
            <w:noWrap w:val="0"/>
            <w:vAlign w:val="center"/>
          </w:tcPr>
          <w:p>
            <w:pPr>
              <w:pStyle w:val="7"/>
            </w:pPr>
            <w:r>
              <w:rPr>
                <w:rFonts w:hint="eastAsia"/>
              </w:rPr>
              <w:t>群众满意度</w:t>
            </w:r>
          </w:p>
        </w:tc>
        <w:tc>
          <w:tcPr>
            <w:tcW w:w="2891" w:type="dxa"/>
            <w:noWrap w:val="0"/>
            <w:vAlign w:val="center"/>
          </w:tcPr>
          <w:p>
            <w:pPr>
              <w:pStyle w:val="7"/>
            </w:pPr>
            <w:r>
              <w:rPr>
                <w:rFonts w:hint="eastAsia"/>
              </w:rPr>
              <w:t>群众对当年政协委员工作的整体满意度</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bl>
    <w:p/>
    <w:p/>
    <w:p/>
    <w:p/>
    <w:p/>
    <w:p>
      <w:pPr>
        <w:ind w:firstLine="560"/>
        <w:outlineLvl w:val="3"/>
        <w:rPr>
          <w:rFonts w:hint="eastAsia" w:ascii="仿宋_GB2312" w:hAnsi="仿宋" w:eastAsia="仿宋_GB2312" w:cs="仿宋"/>
          <w:color w:val="000000"/>
          <w:kern w:val="2"/>
          <w:sz w:val="32"/>
          <w:lang w:val="en-US" w:eastAsia="zh-CN" w:bidi="ar-SA"/>
        </w:rPr>
      </w:pPr>
      <w:bookmarkStart w:id="2" w:name="_Toc_4_4_0000000007"/>
      <w:r>
        <w:rPr>
          <w:rFonts w:ascii="方正仿宋_GBK" w:hAnsi="方正仿宋_GBK" w:eastAsia="方正仿宋_GBK" w:cs="方正仿宋_GBK"/>
          <w:color w:val="000000"/>
          <w:sz w:val="28"/>
        </w:rPr>
        <w:t>4</w:t>
      </w:r>
      <w:r>
        <w:rPr>
          <w:rFonts w:hint="eastAsia" w:ascii="仿宋_GB2312" w:hAnsi="仿宋" w:eastAsia="仿宋_GB2312" w:cs="仿宋"/>
          <w:color w:val="000000"/>
          <w:kern w:val="2"/>
          <w:sz w:val="32"/>
          <w:lang w:val="en-US" w:eastAsia="zh-CN" w:bidi="ar-SA"/>
        </w:rPr>
        <w:t>.委员工作室绩效目标表</w:t>
      </w:r>
      <w:bookmarkEnd w:id="2"/>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0"/>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rPr>
                <w:rFonts w:hint="eastAsia"/>
              </w:rPr>
              <w:t>项目编码</w:t>
            </w:r>
          </w:p>
        </w:tc>
        <w:tc>
          <w:tcPr>
            <w:tcW w:w="2608" w:type="dxa"/>
            <w:gridSpan w:val="2"/>
            <w:noWrap w:val="0"/>
            <w:vAlign w:val="center"/>
          </w:tcPr>
          <w:p>
            <w:pPr>
              <w:pStyle w:val="7"/>
            </w:pPr>
            <w:r>
              <w:t>13030322P00397410001W</w:t>
            </w:r>
          </w:p>
        </w:tc>
        <w:tc>
          <w:tcPr>
            <w:tcW w:w="1587" w:type="dxa"/>
            <w:noWrap w:val="0"/>
            <w:vAlign w:val="center"/>
          </w:tcPr>
          <w:p>
            <w:pPr>
              <w:pStyle w:val="8"/>
            </w:pPr>
            <w:r>
              <w:rPr>
                <w:rFonts w:hint="eastAsia"/>
              </w:rPr>
              <w:t>项目名称</w:t>
            </w:r>
          </w:p>
        </w:tc>
        <w:tc>
          <w:tcPr>
            <w:tcW w:w="4422" w:type="dxa"/>
            <w:gridSpan w:val="3"/>
            <w:noWrap w:val="0"/>
            <w:vAlign w:val="center"/>
          </w:tcPr>
          <w:p>
            <w:pPr>
              <w:pStyle w:val="7"/>
            </w:pPr>
            <w:r>
              <w:rPr>
                <w:rFonts w:hint="eastAsia"/>
              </w:rPr>
              <w:t>委员工作室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预算规模及资金用途</w:t>
            </w:r>
          </w:p>
        </w:tc>
        <w:tc>
          <w:tcPr>
            <w:tcW w:w="1276" w:type="dxa"/>
            <w:noWrap w:val="0"/>
            <w:vAlign w:val="center"/>
          </w:tcPr>
          <w:p>
            <w:pPr>
              <w:pStyle w:val="8"/>
            </w:pPr>
            <w:r>
              <w:rPr>
                <w:rFonts w:hint="eastAsia"/>
              </w:rPr>
              <w:t>预算数</w:t>
            </w:r>
          </w:p>
        </w:tc>
        <w:tc>
          <w:tcPr>
            <w:tcW w:w="1332" w:type="dxa"/>
            <w:noWrap w:val="0"/>
            <w:vAlign w:val="center"/>
          </w:tcPr>
          <w:p>
            <w:pPr>
              <w:pStyle w:val="7"/>
            </w:pPr>
            <w:r>
              <w:t>7.00</w:t>
            </w:r>
          </w:p>
        </w:tc>
        <w:tc>
          <w:tcPr>
            <w:tcW w:w="1587" w:type="dxa"/>
            <w:noWrap w:val="0"/>
            <w:vAlign w:val="center"/>
          </w:tcPr>
          <w:p>
            <w:pPr>
              <w:pStyle w:val="8"/>
            </w:pPr>
            <w:r>
              <w:rPr>
                <w:rFonts w:hint="eastAsia"/>
              </w:rPr>
              <w:t>其中：财政</w:t>
            </w:r>
            <w:r>
              <w:t xml:space="preserve">    </w:t>
            </w:r>
            <w:r>
              <w:rPr>
                <w:rFonts w:hint="eastAsia"/>
              </w:rPr>
              <w:t>资金</w:t>
            </w:r>
          </w:p>
        </w:tc>
        <w:tc>
          <w:tcPr>
            <w:tcW w:w="1304" w:type="dxa"/>
            <w:noWrap w:val="0"/>
            <w:vAlign w:val="center"/>
          </w:tcPr>
          <w:p>
            <w:pPr>
              <w:pStyle w:val="7"/>
            </w:pPr>
            <w:r>
              <w:t>7.00</w:t>
            </w:r>
          </w:p>
        </w:tc>
        <w:tc>
          <w:tcPr>
            <w:tcW w:w="1276" w:type="dxa"/>
            <w:noWrap w:val="0"/>
            <w:vAlign w:val="center"/>
          </w:tcPr>
          <w:p>
            <w:pPr>
              <w:pStyle w:val="8"/>
            </w:pPr>
            <w:r>
              <w:rPr>
                <w:rFonts w:hint="eastAsia"/>
              </w:rP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rPr>
                <w:rFonts w:hint="eastAsia"/>
              </w:rPr>
              <w:t>委员工作室运转经费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资金支出计划（</w:t>
            </w:r>
            <w:r>
              <w:t>%</w:t>
            </w:r>
            <w:r>
              <w:rPr>
                <w:rFonts w:hint="eastAsia"/>
              </w:rPr>
              <w:t>）</w:t>
            </w:r>
          </w:p>
        </w:tc>
        <w:tc>
          <w:tcPr>
            <w:tcW w:w="2608" w:type="dxa"/>
            <w:gridSpan w:val="2"/>
            <w:noWrap w:val="0"/>
            <w:vAlign w:val="center"/>
          </w:tcPr>
          <w:p>
            <w:pPr>
              <w:pStyle w:val="8"/>
            </w:pPr>
            <w:r>
              <w:t>3</w:t>
            </w:r>
            <w:r>
              <w:rPr>
                <w:rFonts w:hint="eastAsia"/>
              </w:rPr>
              <w:t>月底</w:t>
            </w:r>
          </w:p>
        </w:tc>
        <w:tc>
          <w:tcPr>
            <w:tcW w:w="1587" w:type="dxa"/>
            <w:noWrap w:val="0"/>
            <w:vAlign w:val="center"/>
          </w:tcPr>
          <w:p>
            <w:pPr>
              <w:pStyle w:val="8"/>
            </w:pPr>
            <w:r>
              <w:t>6</w:t>
            </w:r>
            <w:r>
              <w:rPr>
                <w:rFonts w:hint="eastAsia"/>
              </w:rPr>
              <w:t>月底</w:t>
            </w:r>
          </w:p>
        </w:tc>
        <w:tc>
          <w:tcPr>
            <w:tcW w:w="1304" w:type="dxa"/>
            <w:noWrap w:val="0"/>
            <w:vAlign w:val="center"/>
          </w:tcPr>
          <w:p>
            <w:pPr>
              <w:pStyle w:val="8"/>
            </w:pPr>
            <w:r>
              <w:t>10</w:t>
            </w:r>
            <w:r>
              <w:rPr>
                <w:rFonts w:hint="eastAsia"/>
              </w:rPr>
              <w:t>月底</w:t>
            </w:r>
          </w:p>
        </w:tc>
        <w:tc>
          <w:tcPr>
            <w:tcW w:w="3118" w:type="dxa"/>
            <w:gridSpan w:val="2"/>
            <w:noWrap w:val="0"/>
            <w:vAlign w:val="center"/>
          </w:tcPr>
          <w:p>
            <w:pPr>
              <w:pStyle w:val="8"/>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25%</w:t>
            </w:r>
          </w:p>
        </w:tc>
        <w:tc>
          <w:tcPr>
            <w:tcW w:w="1587" w:type="dxa"/>
            <w:noWrap w:val="0"/>
            <w:vAlign w:val="center"/>
          </w:tcPr>
          <w:p>
            <w:pPr>
              <w:pStyle w:val="9"/>
            </w:pPr>
            <w:r>
              <w:t>75%</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8"/>
            </w:pPr>
            <w:r>
              <w:rPr>
                <w:rFonts w:hint="eastAsia"/>
              </w:rPr>
              <w:t>绩效目标</w:t>
            </w:r>
          </w:p>
        </w:tc>
        <w:tc>
          <w:tcPr>
            <w:tcW w:w="8617" w:type="dxa"/>
            <w:gridSpan w:val="6"/>
            <w:tcBorders>
              <w:bottom w:val="single" w:color="FFFFFF" w:sz="6" w:space="0"/>
            </w:tcBorders>
            <w:noWrap w:val="0"/>
            <w:vAlign w:val="center"/>
          </w:tcPr>
          <w:p>
            <w:pPr>
              <w:pStyle w:val="7"/>
            </w:pPr>
            <w:r>
              <w:t>1.</w:t>
            </w:r>
            <w:r>
              <w:rPr>
                <w:rFonts w:hint="eastAsia"/>
              </w:rPr>
              <w:t>委员工作室</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rPr>
                <w:rFonts w:hint="eastAsia"/>
              </w:rPr>
              <w:t>一级指标</w:t>
            </w:r>
          </w:p>
        </w:tc>
        <w:tc>
          <w:tcPr>
            <w:tcW w:w="1276" w:type="dxa"/>
            <w:noWrap w:val="0"/>
            <w:vAlign w:val="center"/>
          </w:tcPr>
          <w:p>
            <w:pPr>
              <w:pStyle w:val="8"/>
            </w:pPr>
            <w:r>
              <w:rPr>
                <w:rFonts w:hint="eastAsia"/>
              </w:rPr>
              <w:t>二级指标</w:t>
            </w:r>
          </w:p>
        </w:tc>
        <w:tc>
          <w:tcPr>
            <w:tcW w:w="1332" w:type="dxa"/>
            <w:noWrap w:val="0"/>
            <w:vAlign w:val="center"/>
          </w:tcPr>
          <w:p>
            <w:pPr>
              <w:pStyle w:val="8"/>
            </w:pPr>
            <w:r>
              <w:rPr>
                <w:rFonts w:hint="eastAsia"/>
              </w:rPr>
              <w:t>三级指标</w:t>
            </w:r>
          </w:p>
        </w:tc>
        <w:tc>
          <w:tcPr>
            <w:tcW w:w="2891" w:type="dxa"/>
            <w:noWrap w:val="0"/>
            <w:vAlign w:val="center"/>
          </w:tcPr>
          <w:p>
            <w:pPr>
              <w:pStyle w:val="8"/>
            </w:pPr>
            <w:r>
              <w:rPr>
                <w:rFonts w:hint="eastAsia"/>
              </w:rPr>
              <w:t>绩效指标描述</w:t>
            </w:r>
          </w:p>
        </w:tc>
        <w:tc>
          <w:tcPr>
            <w:tcW w:w="1276" w:type="dxa"/>
            <w:noWrap w:val="0"/>
            <w:vAlign w:val="center"/>
          </w:tcPr>
          <w:p>
            <w:pPr>
              <w:pStyle w:val="8"/>
            </w:pPr>
            <w:r>
              <w:rPr>
                <w:rFonts w:hint="eastAsia"/>
              </w:rPr>
              <w:t>指标值</w:t>
            </w:r>
          </w:p>
        </w:tc>
        <w:tc>
          <w:tcPr>
            <w:tcW w:w="1843" w:type="dxa"/>
            <w:noWrap w:val="0"/>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产出指标</w:t>
            </w:r>
          </w:p>
        </w:tc>
        <w:tc>
          <w:tcPr>
            <w:tcW w:w="1276" w:type="dxa"/>
            <w:noWrap w:val="0"/>
            <w:vAlign w:val="center"/>
          </w:tcPr>
          <w:p>
            <w:pPr>
              <w:pStyle w:val="7"/>
            </w:pPr>
            <w:r>
              <w:rPr>
                <w:rFonts w:hint="eastAsia"/>
              </w:rPr>
              <w:t>数量指标</w:t>
            </w:r>
          </w:p>
        </w:tc>
        <w:tc>
          <w:tcPr>
            <w:tcW w:w="1332" w:type="dxa"/>
            <w:noWrap w:val="0"/>
            <w:vAlign w:val="center"/>
          </w:tcPr>
          <w:p>
            <w:pPr>
              <w:pStyle w:val="7"/>
            </w:pPr>
            <w:r>
              <w:rPr>
                <w:rFonts w:hint="eastAsia"/>
              </w:rPr>
              <w:t>开展社会服务活动次数</w:t>
            </w:r>
          </w:p>
        </w:tc>
        <w:tc>
          <w:tcPr>
            <w:tcW w:w="2891" w:type="dxa"/>
            <w:noWrap w:val="0"/>
            <w:vAlign w:val="center"/>
          </w:tcPr>
          <w:p>
            <w:pPr>
              <w:pStyle w:val="7"/>
            </w:pPr>
            <w:r>
              <w:rPr>
                <w:rFonts w:hint="eastAsia"/>
              </w:rPr>
              <w:t>开展社会服务活动次数</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质量指标</w:t>
            </w:r>
          </w:p>
        </w:tc>
        <w:tc>
          <w:tcPr>
            <w:tcW w:w="1332" w:type="dxa"/>
            <w:noWrap w:val="0"/>
            <w:vAlign w:val="center"/>
          </w:tcPr>
          <w:p>
            <w:pPr>
              <w:pStyle w:val="7"/>
            </w:pPr>
            <w:r>
              <w:rPr>
                <w:rFonts w:hint="eastAsia"/>
              </w:rPr>
              <w:t>社情民意反应率</w:t>
            </w:r>
          </w:p>
        </w:tc>
        <w:tc>
          <w:tcPr>
            <w:tcW w:w="2891" w:type="dxa"/>
            <w:noWrap w:val="0"/>
            <w:vAlign w:val="center"/>
          </w:tcPr>
          <w:p>
            <w:pPr>
              <w:pStyle w:val="7"/>
            </w:pPr>
            <w:r>
              <w:rPr>
                <w:rFonts w:hint="eastAsia"/>
              </w:rPr>
              <w:t>社情民意反映情况</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时效指标</w:t>
            </w:r>
          </w:p>
        </w:tc>
        <w:tc>
          <w:tcPr>
            <w:tcW w:w="1332" w:type="dxa"/>
            <w:noWrap w:val="0"/>
            <w:vAlign w:val="center"/>
          </w:tcPr>
          <w:p>
            <w:pPr>
              <w:pStyle w:val="7"/>
            </w:pPr>
            <w:r>
              <w:rPr>
                <w:rFonts w:hint="eastAsia"/>
              </w:rPr>
              <w:t>完成率</w:t>
            </w:r>
          </w:p>
        </w:tc>
        <w:tc>
          <w:tcPr>
            <w:tcW w:w="2891" w:type="dxa"/>
            <w:noWrap w:val="0"/>
            <w:vAlign w:val="center"/>
          </w:tcPr>
          <w:p>
            <w:pPr>
              <w:pStyle w:val="7"/>
            </w:pPr>
            <w:r>
              <w:rPr>
                <w:rFonts w:hint="eastAsia"/>
              </w:rPr>
              <w:t>专项调研完成率</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成本指标</w:t>
            </w:r>
          </w:p>
        </w:tc>
        <w:tc>
          <w:tcPr>
            <w:tcW w:w="1332" w:type="dxa"/>
            <w:noWrap w:val="0"/>
            <w:vAlign w:val="center"/>
          </w:tcPr>
          <w:p>
            <w:pPr>
              <w:pStyle w:val="7"/>
            </w:pPr>
            <w:r>
              <w:rPr>
                <w:rFonts w:hint="eastAsia"/>
              </w:rPr>
              <w:t>参加培训人均成本</w:t>
            </w:r>
          </w:p>
        </w:tc>
        <w:tc>
          <w:tcPr>
            <w:tcW w:w="2891" w:type="dxa"/>
            <w:noWrap w:val="0"/>
            <w:vAlign w:val="center"/>
          </w:tcPr>
          <w:p>
            <w:pPr>
              <w:pStyle w:val="7"/>
            </w:pPr>
            <w:r>
              <w:rPr>
                <w:rFonts w:hint="eastAsia"/>
              </w:rPr>
              <w:t>参加培训人均成本</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效益指标</w:t>
            </w:r>
          </w:p>
        </w:tc>
        <w:tc>
          <w:tcPr>
            <w:tcW w:w="1276" w:type="dxa"/>
            <w:noWrap w:val="0"/>
            <w:vAlign w:val="center"/>
          </w:tcPr>
          <w:p>
            <w:pPr>
              <w:pStyle w:val="7"/>
            </w:pPr>
            <w:r>
              <w:rPr>
                <w:rFonts w:hint="eastAsia"/>
              </w:rPr>
              <w:t>经济效益指标</w:t>
            </w:r>
          </w:p>
        </w:tc>
        <w:tc>
          <w:tcPr>
            <w:tcW w:w="1332" w:type="dxa"/>
            <w:noWrap w:val="0"/>
            <w:vAlign w:val="center"/>
          </w:tcPr>
          <w:p>
            <w:pPr>
              <w:pStyle w:val="7"/>
            </w:pPr>
            <w:r>
              <w:rPr>
                <w:rFonts w:hint="eastAsia"/>
              </w:rPr>
              <w:t>经济发展</w:t>
            </w:r>
          </w:p>
        </w:tc>
        <w:tc>
          <w:tcPr>
            <w:tcW w:w="2891" w:type="dxa"/>
            <w:noWrap w:val="0"/>
            <w:vAlign w:val="center"/>
          </w:tcPr>
          <w:p>
            <w:pPr>
              <w:pStyle w:val="7"/>
            </w:pPr>
            <w:r>
              <w:rPr>
                <w:rFonts w:hint="eastAsia"/>
              </w:rPr>
              <w:t>经济发展</w:t>
            </w:r>
          </w:p>
        </w:tc>
        <w:tc>
          <w:tcPr>
            <w:tcW w:w="1276" w:type="dxa"/>
            <w:noWrap w:val="0"/>
            <w:vAlign w:val="center"/>
          </w:tcPr>
          <w:p>
            <w:pPr>
              <w:pStyle w:val="7"/>
            </w:pPr>
            <w:r>
              <w:rPr>
                <w:rFonts w:hint="eastAsia"/>
              </w:rPr>
              <w:t>促进经济发展</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社会效益指标</w:t>
            </w:r>
          </w:p>
        </w:tc>
        <w:tc>
          <w:tcPr>
            <w:tcW w:w="1332" w:type="dxa"/>
            <w:noWrap w:val="0"/>
            <w:vAlign w:val="center"/>
          </w:tcPr>
          <w:p>
            <w:pPr>
              <w:pStyle w:val="7"/>
            </w:pPr>
            <w:r>
              <w:rPr>
                <w:rFonts w:hint="eastAsia"/>
              </w:rPr>
              <w:t>社会稳定水平</w:t>
            </w:r>
          </w:p>
        </w:tc>
        <w:tc>
          <w:tcPr>
            <w:tcW w:w="2891" w:type="dxa"/>
            <w:noWrap w:val="0"/>
            <w:vAlign w:val="center"/>
          </w:tcPr>
          <w:p>
            <w:pPr>
              <w:pStyle w:val="7"/>
            </w:pPr>
            <w:r>
              <w:rPr>
                <w:rFonts w:hint="eastAsia"/>
              </w:rPr>
              <w:t>通过委员工作室活动工作促进社会稳定</w:t>
            </w:r>
          </w:p>
        </w:tc>
        <w:tc>
          <w:tcPr>
            <w:tcW w:w="1276" w:type="dxa"/>
            <w:noWrap w:val="0"/>
            <w:vAlign w:val="center"/>
          </w:tcPr>
          <w:p>
            <w:pPr>
              <w:pStyle w:val="7"/>
            </w:pPr>
            <w:r>
              <w:rPr>
                <w:rFonts w:hint="eastAsia"/>
              </w:rPr>
              <w:t>促进社会稳定</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生态效益指标</w:t>
            </w:r>
          </w:p>
        </w:tc>
        <w:tc>
          <w:tcPr>
            <w:tcW w:w="1332" w:type="dxa"/>
            <w:noWrap w:val="0"/>
            <w:vAlign w:val="center"/>
          </w:tcPr>
          <w:p>
            <w:pPr>
              <w:pStyle w:val="7"/>
            </w:pPr>
            <w:r>
              <w:rPr>
                <w:rFonts w:hint="eastAsia"/>
              </w:rPr>
              <w:t>改善生态环境质量</w:t>
            </w:r>
          </w:p>
        </w:tc>
        <w:tc>
          <w:tcPr>
            <w:tcW w:w="2891" w:type="dxa"/>
            <w:noWrap w:val="0"/>
            <w:vAlign w:val="center"/>
          </w:tcPr>
          <w:p>
            <w:pPr>
              <w:pStyle w:val="7"/>
            </w:pPr>
            <w:r>
              <w:rPr>
                <w:rFonts w:hint="eastAsia"/>
              </w:rPr>
              <w:t>改善生态环境质量</w:t>
            </w:r>
          </w:p>
        </w:tc>
        <w:tc>
          <w:tcPr>
            <w:tcW w:w="1276" w:type="dxa"/>
            <w:noWrap w:val="0"/>
            <w:vAlign w:val="center"/>
          </w:tcPr>
          <w:p>
            <w:pPr>
              <w:pStyle w:val="7"/>
            </w:pPr>
            <w:r>
              <w:rPr>
                <w:rFonts w:hint="eastAsia"/>
              </w:rPr>
              <w:t>促进改善生态环境质量</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可持续影响指标</w:t>
            </w:r>
          </w:p>
        </w:tc>
        <w:tc>
          <w:tcPr>
            <w:tcW w:w="1332" w:type="dxa"/>
            <w:noWrap w:val="0"/>
            <w:vAlign w:val="center"/>
          </w:tcPr>
          <w:p>
            <w:pPr>
              <w:pStyle w:val="7"/>
            </w:pPr>
            <w:r>
              <w:rPr>
                <w:rFonts w:hint="eastAsia"/>
              </w:rPr>
              <w:t>保障人才队伍可持续建设</w:t>
            </w:r>
          </w:p>
        </w:tc>
        <w:tc>
          <w:tcPr>
            <w:tcW w:w="2891" w:type="dxa"/>
            <w:noWrap w:val="0"/>
            <w:vAlign w:val="center"/>
          </w:tcPr>
          <w:p>
            <w:pPr>
              <w:pStyle w:val="7"/>
            </w:pPr>
            <w:r>
              <w:rPr>
                <w:rFonts w:hint="eastAsia"/>
              </w:rPr>
              <w:t>保障人才队伍可持续建设</w:t>
            </w:r>
          </w:p>
        </w:tc>
        <w:tc>
          <w:tcPr>
            <w:tcW w:w="1276" w:type="dxa"/>
            <w:noWrap w:val="0"/>
            <w:vAlign w:val="center"/>
          </w:tcPr>
          <w:p>
            <w:pPr>
              <w:pStyle w:val="7"/>
            </w:pPr>
            <w:r>
              <w:rPr>
                <w:rFonts w:hint="eastAsia"/>
              </w:rPr>
              <w:t>促进人才队伍可持续建设</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9"/>
            </w:pPr>
            <w:r>
              <w:rPr>
                <w:rFonts w:hint="eastAsia"/>
              </w:rPr>
              <w:t>满意度指标</w:t>
            </w:r>
          </w:p>
        </w:tc>
        <w:tc>
          <w:tcPr>
            <w:tcW w:w="1276" w:type="dxa"/>
            <w:noWrap w:val="0"/>
            <w:vAlign w:val="center"/>
          </w:tcPr>
          <w:p>
            <w:pPr>
              <w:pStyle w:val="7"/>
            </w:pPr>
            <w:r>
              <w:rPr>
                <w:rFonts w:hint="eastAsia"/>
              </w:rPr>
              <w:t>服务对象满意度指标</w:t>
            </w:r>
          </w:p>
        </w:tc>
        <w:tc>
          <w:tcPr>
            <w:tcW w:w="1332" w:type="dxa"/>
            <w:noWrap w:val="0"/>
            <w:vAlign w:val="center"/>
          </w:tcPr>
          <w:p>
            <w:pPr>
              <w:pStyle w:val="7"/>
            </w:pPr>
            <w:r>
              <w:rPr>
                <w:rFonts w:hint="eastAsia"/>
              </w:rPr>
              <w:t>群众满意度</w:t>
            </w:r>
          </w:p>
        </w:tc>
        <w:tc>
          <w:tcPr>
            <w:tcW w:w="2891" w:type="dxa"/>
            <w:noWrap w:val="0"/>
            <w:vAlign w:val="center"/>
          </w:tcPr>
          <w:p>
            <w:pPr>
              <w:pStyle w:val="7"/>
            </w:pPr>
            <w:r>
              <w:rPr>
                <w:rFonts w:hint="eastAsia"/>
              </w:rPr>
              <w:t>群众对当年委员工作室工作的整体满意度</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bl>
    <w:p/>
    <w:p/>
    <w:p/>
    <w:p/>
    <w:p>
      <w:pPr>
        <w:ind w:firstLine="560"/>
        <w:outlineLvl w:val="3"/>
        <w:rPr>
          <w:rFonts w:hint="eastAsia" w:ascii="仿宋_GB2312" w:hAnsi="仿宋" w:eastAsia="仿宋_GB2312" w:cs="仿宋"/>
          <w:color w:val="000000"/>
          <w:kern w:val="2"/>
          <w:sz w:val="32"/>
          <w:lang w:val="en-US" w:eastAsia="zh-CN" w:bidi="ar-SA"/>
        </w:rPr>
      </w:pPr>
      <w:bookmarkStart w:id="3" w:name="_Toc_4_4_0000000008"/>
      <w:r>
        <w:rPr>
          <w:rFonts w:hint="eastAsia" w:ascii="仿宋_GB2312" w:hAnsi="仿宋" w:eastAsia="仿宋_GB2312" w:cs="仿宋"/>
          <w:color w:val="000000"/>
          <w:kern w:val="2"/>
          <w:sz w:val="32"/>
          <w:lang w:val="en-US" w:eastAsia="zh-CN" w:bidi="ar-SA"/>
        </w:rPr>
        <w:t>5.政协会议绩效目标表</w:t>
      </w:r>
      <w:bookmarkEnd w:id="3"/>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8050" w:type="dxa"/>
            <w:gridSpan w:val="6"/>
            <w:tcBorders>
              <w:top w:val="single" w:color="FFFFFF" w:sz="6" w:space="0"/>
              <w:left w:val="single" w:color="FFFFFF" w:sz="6" w:space="0"/>
              <w:right w:val="single" w:color="FFFFFF" w:sz="6" w:space="0"/>
            </w:tcBorders>
            <w:noWrap w:val="0"/>
            <w:vAlign w:val="center"/>
          </w:tcPr>
          <w:p>
            <w:pPr>
              <w:pStyle w:val="10"/>
            </w:pPr>
            <w:r>
              <w:t>131001</w:t>
            </w:r>
            <w:r>
              <w:rPr>
                <w:rFonts w:hint="eastAsia"/>
              </w:rPr>
              <w:t>政协部门中国人民政治协商会议河北省秦皇岛市山海关区委员会本级</w:t>
            </w:r>
          </w:p>
        </w:tc>
        <w:tc>
          <w:tcPr>
            <w:tcW w:w="1843" w:type="dxa"/>
            <w:tcBorders>
              <w:top w:val="single" w:color="FFFFFF" w:sz="6" w:space="0"/>
              <w:left w:val="single" w:color="FFFFFF" w:sz="6" w:space="0"/>
              <w:right w:val="single" w:color="FFFFFF" w:sz="6" w:space="0"/>
            </w:tcBorders>
            <w:noWrap w:val="0"/>
            <w:vAlign w:val="center"/>
          </w:tcPr>
          <w:p>
            <w:pPr>
              <w:pStyle w:val="11"/>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8"/>
            </w:pPr>
            <w:r>
              <w:rPr>
                <w:rFonts w:hint="eastAsia"/>
              </w:rPr>
              <w:t>项目编码</w:t>
            </w:r>
          </w:p>
        </w:tc>
        <w:tc>
          <w:tcPr>
            <w:tcW w:w="2608" w:type="dxa"/>
            <w:gridSpan w:val="2"/>
            <w:noWrap w:val="0"/>
            <w:vAlign w:val="center"/>
          </w:tcPr>
          <w:p>
            <w:pPr>
              <w:pStyle w:val="7"/>
            </w:pPr>
            <w:r>
              <w:t>13030322P00397210001H</w:t>
            </w:r>
          </w:p>
        </w:tc>
        <w:tc>
          <w:tcPr>
            <w:tcW w:w="1587" w:type="dxa"/>
            <w:noWrap w:val="0"/>
            <w:vAlign w:val="center"/>
          </w:tcPr>
          <w:p>
            <w:pPr>
              <w:pStyle w:val="8"/>
            </w:pPr>
            <w:r>
              <w:rPr>
                <w:rFonts w:hint="eastAsia"/>
              </w:rPr>
              <w:t>项目名称</w:t>
            </w:r>
          </w:p>
        </w:tc>
        <w:tc>
          <w:tcPr>
            <w:tcW w:w="4422" w:type="dxa"/>
            <w:gridSpan w:val="3"/>
            <w:noWrap w:val="0"/>
            <w:vAlign w:val="center"/>
          </w:tcPr>
          <w:p>
            <w:pPr>
              <w:pStyle w:val="7"/>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预算规模及资金用途</w:t>
            </w:r>
          </w:p>
        </w:tc>
        <w:tc>
          <w:tcPr>
            <w:tcW w:w="1276" w:type="dxa"/>
            <w:noWrap w:val="0"/>
            <w:vAlign w:val="center"/>
          </w:tcPr>
          <w:p>
            <w:pPr>
              <w:pStyle w:val="8"/>
            </w:pPr>
            <w:r>
              <w:rPr>
                <w:rFonts w:hint="eastAsia"/>
              </w:rPr>
              <w:t>预算数</w:t>
            </w:r>
          </w:p>
        </w:tc>
        <w:tc>
          <w:tcPr>
            <w:tcW w:w="1332" w:type="dxa"/>
            <w:noWrap w:val="0"/>
            <w:vAlign w:val="center"/>
          </w:tcPr>
          <w:p>
            <w:pPr>
              <w:pStyle w:val="7"/>
            </w:pPr>
            <w:r>
              <w:t>20.00</w:t>
            </w:r>
          </w:p>
        </w:tc>
        <w:tc>
          <w:tcPr>
            <w:tcW w:w="1587" w:type="dxa"/>
            <w:noWrap w:val="0"/>
            <w:vAlign w:val="center"/>
          </w:tcPr>
          <w:p>
            <w:pPr>
              <w:pStyle w:val="8"/>
            </w:pPr>
            <w:r>
              <w:rPr>
                <w:rFonts w:hint="eastAsia"/>
              </w:rPr>
              <w:t>其中：财政</w:t>
            </w:r>
            <w:r>
              <w:t xml:space="preserve">    </w:t>
            </w:r>
            <w:r>
              <w:rPr>
                <w:rFonts w:hint="eastAsia"/>
              </w:rPr>
              <w:t>资金</w:t>
            </w:r>
          </w:p>
        </w:tc>
        <w:tc>
          <w:tcPr>
            <w:tcW w:w="1304" w:type="dxa"/>
            <w:noWrap w:val="0"/>
            <w:vAlign w:val="center"/>
          </w:tcPr>
          <w:p>
            <w:pPr>
              <w:pStyle w:val="7"/>
            </w:pPr>
            <w:r>
              <w:t>20.00</w:t>
            </w:r>
          </w:p>
        </w:tc>
        <w:tc>
          <w:tcPr>
            <w:tcW w:w="1276" w:type="dxa"/>
            <w:noWrap w:val="0"/>
            <w:vAlign w:val="center"/>
          </w:tcPr>
          <w:p>
            <w:pPr>
              <w:pStyle w:val="8"/>
            </w:pPr>
            <w:r>
              <w:rPr>
                <w:rFonts w:hint="eastAsia"/>
              </w:rPr>
              <w:t>其他资金</w:t>
            </w:r>
          </w:p>
        </w:tc>
        <w:tc>
          <w:tcPr>
            <w:tcW w:w="1843" w:type="dxa"/>
            <w:noWrap w:val="0"/>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8617" w:type="dxa"/>
            <w:gridSpan w:val="6"/>
            <w:noWrap w:val="0"/>
            <w:vAlign w:val="center"/>
          </w:tcPr>
          <w:p>
            <w:pPr>
              <w:pStyle w:val="7"/>
            </w:pPr>
            <w:r>
              <w:rPr>
                <w:rFonts w:hint="eastAsia"/>
              </w:rPr>
              <w:t>政协会议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8"/>
            </w:pPr>
            <w:r>
              <w:rPr>
                <w:rFonts w:hint="eastAsia"/>
              </w:rPr>
              <w:t>资金支出计划（</w:t>
            </w:r>
            <w:r>
              <w:t>%</w:t>
            </w:r>
            <w:r>
              <w:rPr>
                <w:rFonts w:hint="eastAsia"/>
              </w:rPr>
              <w:t>）</w:t>
            </w:r>
          </w:p>
        </w:tc>
        <w:tc>
          <w:tcPr>
            <w:tcW w:w="2608" w:type="dxa"/>
            <w:gridSpan w:val="2"/>
            <w:noWrap w:val="0"/>
            <w:vAlign w:val="center"/>
          </w:tcPr>
          <w:p>
            <w:pPr>
              <w:pStyle w:val="8"/>
            </w:pPr>
            <w:r>
              <w:t>3</w:t>
            </w:r>
            <w:r>
              <w:rPr>
                <w:rFonts w:hint="eastAsia"/>
              </w:rPr>
              <w:t>月底</w:t>
            </w:r>
          </w:p>
        </w:tc>
        <w:tc>
          <w:tcPr>
            <w:tcW w:w="1587" w:type="dxa"/>
            <w:noWrap w:val="0"/>
            <w:vAlign w:val="center"/>
          </w:tcPr>
          <w:p>
            <w:pPr>
              <w:pStyle w:val="8"/>
            </w:pPr>
            <w:r>
              <w:t>6</w:t>
            </w:r>
            <w:r>
              <w:rPr>
                <w:rFonts w:hint="eastAsia"/>
              </w:rPr>
              <w:t>月底</w:t>
            </w:r>
          </w:p>
        </w:tc>
        <w:tc>
          <w:tcPr>
            <w:tcW w:w="1304" w:type="dxa"/>
            <w:noWrap w:val="0"/>
            <w:vAlign w:val="center"/>
          </w:tcPr>
          <w:p>
            <w:pPr>
              <w:pStyle w:val="8"/>
            </w:pPr>
            <w:r>
              <w:t>10</w:t>
            </w:r>
            <w:r>
              <w:rPr>
                <w:rFonts w:hint="eastAsia"/>
              </w:rPr>
              <w:t>月底</w:t>
            </w:r>
          </w:p>
        </w:tc>
        <w:tc>
          <w:tcPr>
            <w:tcW w:w="3118" w:type="dxa"/>
            <w:gridSpan w:val="2"/>
            <w:noWrap w:val="0"/>
            <w:vAlign w:val="center"/>
          </w:tcPr>
          <w:p>
            <w:pPr>
              <w:pStyle w:val="8"/>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top"/>
          </w:tcPr>
          <w:p/>
        </w:tc>
        <w:tc>
          <w:tcPr>
            <w:tcW w:w="2608" w:type="dxa"/>
            <w:gridSpan w:val="2"/>
            <w:noWrap w:val="0"/>
            <w:vAlign w:val="center"/>
          </w:tcPr>
          <w:p>
            <w:pPr>
              <w:pStyle w:val="9"/>
            </w:pPr>
            <w:r>
              <w:t>50%</w:t>
            </w:r>
          </w:p>
        </w:tc>
        <w:tc>
          <w:tcPr>
            <w:tcW w:w="1587" w:type="dxa"/>
            <w:noWrap w:val="0"/>
            <w:vAlign w:val="center"/>
          </w:tcPr>
          <w:p>
            <w:pPr>
              <w:pStyle w:val="9"/>
            </w:pPr>
            <w:r>
              <w:t>100%</w:t>
            </w:r>
          </w:p>
        </w:tc>
        <w:tc>
          <w:tcPr>
            <w:tcW w:w="1304" w:type="dxa"/>
            <w:noWrap w:val="0"/>
            <w:vAlign w:val="center"/>
          </w:tcPr>
          <w:p>
            <w:pPr>
              <w:pStyle w:val="9"/>
            </w:pPr>
            <w:r>
              <w:t>100%</w:t>
            </w:r>
          </w:p>
        </w:tc>
        <w:tc>
          <w:tcPr>
            <w:tcW w:w="3118" w:type="dxa"/>
            <w:gridSpan w:val="2"/>
            <w:noWrap w:val="0"/>
            <w:vAlign w:val="center"/>
          </w:tcPr>
          <w:p>
            <w:pPr>
              <w:pStyle w:val="9"/>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tcBorders>
              <w:bottom w:val="single" w:color="FFFFFF" w:sz="6" w:space="0"/>
            </w:tcBorders>
            <w:noWrap w:val="0"/>
            <w:vAlign w:val="center"/>
          </w:tcPr>
          <w:p>
            <w:pPr>
              <w:pStyle w:val="8"/>
            </w:pPr>
            <w:r>
              <w:rPr>
                <w:rFonts w:hint="eastAsia"/>
              </w:rPr>
              <w:t>绩效目标</w:t>
            </w:r>
          </w:p>
        </w:tc>
        <w:tc>
          <w:tcPr>
            <w:tcW w:w="8617" w:type="dxa"/>
            <w:gridSpan w:val="6"/>
            <w:tcBorders>
              <w:bottom w:val="single" w:color="FFFFFF" w:sz="6" w:space="0"/>
            </w:tcBorders>
            <w:noWrap w:val="0"/>
            <w:vAlign w:val="center"/>
          </w:tcPr>
          <w:p>
            <w:pPr>
              <w:pStyle w:val="7"/>
            </w:pPr>
            <w:r>
              <w:t>1.</w:t>
            </w:r>
            <w:r>
              <w:rPr>
                <w:rFonts w:hint="eastAsia"/>
              </w:rPr>
              <w:t>政协会议</w:t>
            </w:r>
          </w:p>
        </w:tc>
      </w:tr>
    </w:tbl>
    <w:p>
      <w:pPr>
        <w:spacing w:line="2" w:lineRule="exact"/>
        <w:jc w:val="center"/>
      </w:pPr>
      <w:r>
        <w:rPr>
          <w:rFonts w:ascii="方正书宋_GBK" w:hAnsi="方正书宋_GBK" w:eastAsia="方正书宋_GBK" w:cs="方正书宋_GBK"/>
          <w:color w:val="000000"/>
          <w:sz w:val="21"/>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noWrap w:val="0"/>
            <w:vAlign w:val="center"/>
          </w:tcPr>
          <w:p>
            <w:pPr>
              <w:pStyle w:val="8"/>
            </w:pPr>
            <w:r>
              <w:rPr>
                <w:rFonts w:hint="eastAsia"/>
              </w:rPr>
              <w:t>一级指标</w:t>
            </w:r>
          </w:p>
        </w:tc>
        <w:tc>
          <w:tcPr>
            <w:tcW w:w="1276" w:type="dxa"/>
            <w:noWrap w:val="0"/>
            <w:vAlign w:val="center"/>
          </w:tcPr>
          <w:p>
            <w:pPr>
              <w:pStyle w:val="8"/>
            </w:pPr>
            <w:r>
              <w:rPr>
                <w:rFonts w:hint="eastAsia"/>
              </w:rPr>
              <w:t>二级指标</w:t>
            </w:r>
          </w:p>
        </w:tc>
        <w:tc>
          <w:tcPr>
            <w:tcW w:w="1332" w:type="dxa"/>
            <w:noWrap w:val="0"/>
            <w:vAlign w:val="center"/>
          </w:tcPr>
          <w:p>
            <w:pPr>
              <w:pStyle w:val="8"/>
            </w:pPr>
            <w:r>
              <w:rPr>
                <w:rFonts w:hint="eastAsia"/>
              </w:rPr>
              <w:t>三级指标</w:t>
            </w:r>
          </w:p>
        </w:tc>
        <w:tc>
          <w:tcPr>
            <w:tcW w:w="2891" w:type="dxa"/>
            <w:noWrap w:val="0"/>
            <w:vAlign w:val="center"/>
          </w:tcPr>
          <w:p>
            <w:pPr>
              <w:pStyle w:val="8"/>
            </w:pPr>
            <w:r>
              <w:rPr>
                <w:rFonts w:hint="eastAsia"/>
              </w:rPr>
              <w:t>绩效指标描述</w:t>
            </w:r>
          </w:p>
        </w:tc>
        <w:tc>
          <w:tcPr>
            <w:tcW w:w="1276" w:type="dxa"/>
            <w:noWrap w:val="0"/>
            <w:vAlign w:val="center"/>
          </w:tcPr>
          <w:p>
            <w:pPr>
              <w:pStyle w:val="8"/>
            </w:pPr>
            <w:r>
              <w:rPr>
                <w:rFonts w:hint="eastAsia"/>
              </w:rPr>
              <w:t>指标值</w:t>
            </w:r>
          </w:p>
        </w:tc>
        <w:tc>
          <w:tcPr>
            <w:tcW w:w="1843" w:type="dxa"/>
            <w:noWrap w:val="0"/>
            <w:vAlign w:val="center"/>
          </w:tcPr>
          <w:p>
            <w:pPr>
              <w:pStyle w:val="8"/>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产出指标</w:t>
            </w:r>
          </w:p>
        </w:tc>
        <w:tc>
          <w:tcPr>
            <w:tcW w:w="1276" w:type="dxa"/>
            <w:noWrap w:val="0"/>
            <w:vAlign w:val="center"/>
          </w:tcPr>
          <w:p>
            <w:pPr>
              <w:pStyle w:val="7"/>
            </w:pPr>
            <w:r>
              <w:rPr>
                <w:rFonts w:hint="eastAsia"/>
              </w:rPr>
              <w:t>数量指标</w:t>
            </w:r>
          </w:p>
        </w:tc>
        <w:tc>
          <w:tcPr>
            <w:tcW w:w="1332" w:type="dxa"/>
            <w:noWrap w:val="0"/>
            <w:vAlign w:val="center"/>
          </w:tcPr>
          <w:p>
            <w:pPr>
              <w:pStyle w:val="7"/>
            </w:pPr>
            <w:r>
              <w:rPr>
                <w:rFonts w:hint="eastAsia"/>
              </w:rPr>
              <w:t>实现率</w:t>
            </w:r>
          </w:p>
        </w:tc>
        <w:tc>
          <w:tcPr>
            <w:tcW w:w="2891" w:type="dxa"/>
            <w:noWrap w:val="0"/>
            <w:vAlign w:val="center"/>
          </w:tcPr>
          <w:p>
            <w:pPr>
              <w:pStyle w:val="7"/>
            </w:pPr>
            <w:r>
              <w:rPr>
                <w:rFonts w:hint="eastAsia"/>
              </w:rPr>
              <w:t>反映政治任务实现率</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质量指标</w:t>
            </w:r>
          </w:p>
        </w:tc>
        <w:tc>
          <w:tcPr>
            <w:tcW w:w="1332" w:type="dxa"/>
            <w:noWrap w:val="0"/>
            <w:vAlign w:val="center"/>
          </w:tcPr>
          <w:p>
            <w:pPr>
              <w:pStyle w:val="7"/>
            </w:pPr>
            <w:r>
              <w:rPr>
                <w:rFonts w:hint="eastAsia"/>
              </w:rPr>
              <w:t>选举换届圆满完成</w:t>
            </w:r>
          </w:p>
        </w:tc>
        <w:tc>
          <w:tcPr>
            <w:tcW w:w="2891" w:type="dxa"/>
            <w:noWrap w:val="0"/>
            <w:vAlign w:val="center"/>
          </w:tcPr>
          <w:p>
            <w:pPr>
              <w:pStyle w:val="7"/>
            </w:pPr>
            <w:r>
              <w:rPr>
                <w:rFonts w:hint="eastAsia"/>
              </w:rPr>
              <w:t>选举换届圆满完成</w:t>
            </w:r>
          </w:p>
        </w:tc>
        <w:tc>
          <w:tcPr>
            <w:tcW w:w="1276" w:type="dxa"/>
            <w:noWrap w:val="0"/>
            <w:vAlign w:val="center"/>
          </w:tcPr>
          <w:p>
            <w:pPr>
              <w:pStyle w:val="7"/>
            </w:pPr>
            <w:r>
              <w:rPr>
                <w:rFonts w:hint="eastAsia"/>
              </w:rPr>
              <w:t>换届圆满完成</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时效指标</w:t>
            </w:r>
          </w:p>
        </w:tc>
        <w:tc>
          <w:tcPr>
            <w:tcW w:w="1332" w:type="dxa"/>
            <w:noWrap w:val="0"/>
            <w:vAlign w:val="center"/>
          </w:tcPr>
          <w:p>
            <w:pPr>
              <w:pStyle w:val="7"/>
            </w:pPr>
            <w:r>
              <w:rPr>
                <w:rFonts w:hint="eastAsia"/>
              </w:rPr>
              <w:t>完成率</w:t>
            </w:r>
          </w:p>
        </w:tc>
        <w:tc>
          <w:tcPr>
            <w:tcW w:w="2891" w:type="dxa"/>
            <w:noWrap w:val="0"/>
            <w:vAlign w:val="center"/>
          </w:tcPr>
          <w:p>
            <w:pPr>
              <w:pStyle w:val="7"/>
            </w:pPr>
            <w:r>
              <w:rPr>
                <w:rFonts w:hint="eastAsia"/>
              </w:rPr>
              <w:t>反映工作完成情况</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成本指标</w:t>
            </w:r>
          </w:p>
        </w:tc>
        <w:tc>
          <w:tcPr>
            <w:tcW w:w="1332" w:type="dxa"/>
            <w:noWrap w:val="0"/>
            <w:vAlign w:val="center"/>
          </w:tcPr>
          <w:p>
            <w:pPr>
              <w:pStyle w:val="7"/>
            </w:pPr>
            <w:r>
              <w:rPr>
                <w:rFonts w:hint="eastAsia"/>
              </w:rPr>
              <w:t>换届人均成本</w:t>
            </w:r>
          </w:p>
        </w:tc>
        <w:tc>
          <w:tcPr>
            <w:tcW w:w="2891" w:type="dxa"/>
            <w:noWrap w:val="0"/>
            <w:vAlign w:val="center"/>
          </w:tcPr>
          <w:p>
            <w:pPr>
              <w:pStyle w:val="7"/>
            </w:pPr>
            <w:r>
              <w:rPr>
                <w:rFonts w:hint="eastAsia"/>
              </w:rPr>
              <w:t>换届人均成本</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noWrap w:val="0"/>
            <w:vAlign w:val="center"/>
          </w:tcPr>
          <w:p>
            <w:pPr>
              <w:pStyle w:val="9"/>
            </w:pPr>
            <w:r>
              <w:rPr>
                <w:rFonts w:hint="eastAsia"/>
              </w:rPr>
              <w:t>效益指标</w:t>
            </w:r>
          </w:p>
        </w:tc>
        <w:tc>
          <w:tcPr>
            <w:tcW w:w="1276" w:type="dxa"/>
            <w:noWrap w:val="0"/>
            <w:vAlign w:val="center"/>
          </w:tcPr>
          <w:p>
            <w:pPr>
              <w:pStyle w:val="7"/>
            </w:pPr>
            <w:r>
              <w:rPr>
                <w:rFonts w:hint="eastAsia"/>
              </w:rPr>
              <w:t>经济效益指标</w:t>
            </w:r>
          </w:p>
        </w:tc>
        <w:tc>
          <w:tcPr>
            <w:tcW w:w="1332" w:type="dxa"/>
            <w:noWrap w:val="0"/>
            <w:vAlign w:val="center"/>
          </w:tcPr>
          <w:p>
            <w:pPr>
              <w:pStyle w:val="7"/>
            </w:pPr>
            <w:r>
              <w:rPr>
                <w:rFonts w:hint="eastAsia"/>
              </w:rPr>
              <w:t>拉动地方经济发展</w:t>
            </w:r>
          </w:p>
        </w:tc>
        <w:tc>
          <w:tcPr>
            <w:tcW w:w="2891" w:type="dxa"/>
            <w:noWrap w:val="0"/>
            <w:vAlign w:val="center"/>
          </w:tcPr>
          <w:p>
            <w:pPr>
              <w:pStyle w:val="7"/>
            </w:pPr>
            <w:r>
              <w:rPr>
                <w:rFonts w:hint="eastAsia"/>
              </w:rPr>
              <w:t>拉动地方经济发展</w:t>
            </w:r>
          </w:p>
        </w:tc>
        <w:tc>
          <w:tcPr>
            <w:tcW w:w="1276" w:type="dxa"/>
            <w:noWrap w:val="0"/>
            <w:vAlign w:val="center"/>
          </w:tcPr>
          <w:p>
            <w:pPr>
              <w:pStyle w:val="7"/>
            </w:pPr>
            <w:r>
              <w:rPr>
                <w:rFonts w:hint="eastAsia"/>
              </w:rPr>
              <w:t>拉动地方经济发展</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社会效益指标</w:t>
            </w:r>
          </w:p>
        </w:tc>
        <w:tc>
          <w:tcPr>
            <w:tcW w:w="1332" w:type="dxa"/>
            <w:noWrap w:val="0"/>
            <w:vAlign w:val="center"/>
          </w:tcPr>
          <w:p>
            <w:pPr>
              <w:pStyle w:val="7"/>
            </w:pPr>
            <w:r>
              <w:rPr>
                <w:rFonts w:hint="eastAsia"/>
              </w:rPr>
              <w:t>社会稳定水平</w:t>
            </w:r>
          </w:p>
        </w:tc>
        <w:tc>
          <w:tcPr>
            <w:tcW w:w="2891" w:type="dxa"/>
            <w:noWrap w:val="0"/>
            <w:vAlign w:val="center"/>
          </w:tcPr>
          <w:p>
            <w:pPr>
              <w:pStyle w:val="7"/>
            </w:pPr>
            <w:r>
              <w:rPr>
                <w:rFonts w:hint="eastAsia"/>
              </w:rPr>
              <w:t>促进社会和谐稳定</w:t>
            </w:r>
          </w:p>
        </w:tc>
        <w:tc>
          <w:tcPr>
            <w:tcW w:w="1276" w:type="dxa"/>
            <w:noWrap w:val="0"/>
            <w:vAlign w:val="center"/>
          </w:tcPr>
          <w:p>
            <w:pPr>
              <w:pStyle w:val="7"/>
            </w:pPr>
            <w:r>
              <w:rPr>
                <w:rFonts w:hint="eastAsia"/>
              </w:rPr>
              <w:t>促进社会稳定</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生态效益指标</w:t>
            </w:r>
          </w:p>
        </w:tc>
        <w:tc>
          <w:tcPr>
            <w:tcW w:w="1332" w:type="dxa"/>
            <w:noWrap w:val="0"/>
            <w:vAlign w:val="center"/>
          </w:tcPr>
          <w:p>
            <w:pPr>
              <w:pStyle w:val="7"/>
            </w:pPr>
            <w:r>
              <w:rPr>
                <w:rFonts w:hint="eastAsia"/>
              </w:rPr>
              <w:t>改善生态环境质量</w:t>
            </w:r>
          </w:p>
        </w:tc>
        <w:tc>
          <w:tcPr>
            <w:tcW w:w="2891" w:type="dxa"/>
            <w:noWrap w:val="0"/>
            <w:vAlign w:val="center"/>
          </w:tcPr>
          <w:p>
            <w:pPr>
              <w:pStyle w:val="7"/>
            </w:pPr>
            <w:r>
              <w:rPr>
                <w:rFonts w:hint="eastAsia"/>
              </w:rPr>
              <w:t>督促改善生态环境质量</w:t>
            </w:r>
          </w:p>
        </w:tc>
        <w:tc>
          <w:tcPr>
            <w:tcW w:w="1276" w:type="dxa"/>
            <w:noWrap w:val="0"/>
            <w:vAlign w:val="center"/>
          </w:tcPr>
          <w:p>
            <w:pPr>
              <w:pStyle w:val="7"/>
            </w:pPr>
            <w:r>
              <w:rPr>
                <w:rFonts w:hint="eastAsia"/>
              </w:rPr>
              <w:t>改善生态环境质量</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noWrap w:val="0"/>
            <w:vAlign w:val="center"/>
          </w:tcPr>
          <w:p/>
        </w:tc>
        <w:tc>
          <w:tcPr>
            <w:tcW w:w="1276" w:type="dxa"/>
            <w:noWrap w:val="0"/>
            <w:vAlign w:val="center"/>
          </w:tcPr>
          <w:p>
            <w:pPr>
              <w:pStyle w:val="7"/>
            </w:pPr>
            <w:r>
              <w:rPr>
                <w:rFonts w:hint="eastAsia"/>
              </w:rPr>
              <w:t>可持续影响指标</w:t>
            </w:r>
          </w:p>
        </w:tc>
        <w:tc>
          <w:tcPr>
            <w:tcW w:w="1332" w:type="dxa"/>
            <w:noWrap w:val="0"/>
            <w:vAlign w:val="center"/>
          </w:tcPr>
          <w:p>
            <w:pPr>
              <w:pStyle w:val="7"/>
            </w:pPr>
            <w:r>
              <w:rPr>
                <w:rFonts w:hint="eastAsia"/>
              </w:rPr>
              <w:t>项目持续发挥作用期限</w:t>
            </w:r>
          </w:p>
        </w:tc>
        <w:tc>
          <w:tcPr>
            <w:tcW w:w="2891" w:type="dxa"/>
            <w:noWrap w:val="0"/>
            <w:vAlign w:val="center"/>
          </w:tcPr>
          <w:p>
            <w:pPr>
              <w:pStyle w:val="7"/>
            </w:pPr>
            <w:r>
              <w:rPr>
                <w:rFonts w:hint="eastAsia"/>
              </w:rPr>
              <w:t>项目持续发挥作用期限</w:t>
            </w:r>
          </w:p>
        </w:tc>
        <w:tc>
          <w:tcPr>
            <w:tcW w:w="1276" w:type="dxa"/>
            <w:noWrap w:val="0"/>
            <w:vAlign w:val="center"/>
          </w:tcPr>
          <w:p>
            <w:pPr>
              <w:pStyle w:val="7"/>
            </w:pPr>
            <w:r>
              <w:rPr>
                <w:rFonts w:hint="eastAsia"/>
              </w:rPr>
              <w:t>项目持续发挥作用期限</w:t>
            </w:r>
          </w:p>
        </w:tc>
        <w:tc>
          <w:tcPr>
            <w:tcW w:w="1843" w:type="dxa"/>
            <w:noWrap w:val="0"/>
            <w:vAlign w:val="center"/>
          </w:tcPr>
          <w:p>
            <w:pPr>
              <w:pStyle w:val="7"/>
            </w:pPr>
            <w:r>
              <w:rPr>
                <w:rFonts w:hint="eastAsia"/>
              </w:rPr>
              <w:t>年度工作计划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noWrap w:val="0"/>
            <w:vAlign w:val="center"/>
          </w:tcPr>
          <w:p>
            <w:pPr>
              <w:pStyle w:val="9"/>
            </w:pPr>
            <w:r>
              <w:rPr>
                <w:rFonts w:hint="eastAsia"/>
              </w:rPr>
              <w:t>满意度指标</w:t>
            </w:r>
          </w:p>
        </w:tc>
        <w:tc>
          <w:tcPr>
            <w:tcW w:w="1276" w:type="dxa"/>
            <w:noWrap w:val="0"/>
            <w:vAlign w:val="center"/>
          </w:tcPr>
          <w:p>
            <w:pPr>
              <w:pStyle w:val="7"/>
            </w:pPr>
            <w:r>
              <w:rPr>
                <w:rFonts w:hint="eastAsia"/>
              </w:rPr>
              <w:t>服务对象满意度指标</w:t>
            </w:r>
          </w:p>
        </w:tc>
        <w:tc>
          <w:tcPr>
            <w:tcW w:w="1332" w:type="dxa"/>
            <w:noWrap w:val="0"/>
            <w:vAlign w:val="center"/>
          </w:tcPr>
          <w:p>
            <w:pPr>
              <w:pStyle w:val="7"/>
            </w:pPr>
            <w:r>
              <w:rPr>
                <w:rFonts w:hint="eastAsia"/>
              </w:rPr>
              <w:t>群众满意度</w:t>
            </w:r>
          </w:p>
        </w:tc>
        <w:tc>
          <w:tcPr>
            <w:tcW w:w="2891" w:type="dxa"/>
            <w:noWrap w:val="0"/>
            <w:vAlign w:val="center"/>
          </w:tcPr>
          <w:p>
            <w:pPr>
              <w:pStyle w:val="7"/>
            </w:pPr>
            <w:r>
              <w:rPr>
                <w:rFonts w:hint="eastAsia"/>
              </w:rPr>
              <w:t>群众对当年政协换届的整体满意度</w:t>
            </w:r>
          </w:p>
        </w:tc>
        <w:tc>
          <w:tcPr>
            <w:tcW w:w="1276" w:type="dxa"/>
            <w:noWrap w:val="0"/>
            <w:vAlign w:val="center"/>
          </w:tcPr>
          <w:p>
            <w:pPr>
              <w:pStyle w:val="7"/>
            </w:pPr>
            <w:r>
              <w:rPr>
                <w:rFonts w:hint="eastAsia"/>
              </w:rPr>
              <w:t>≥</w:t>
            </w:r>
            <w:r>
              <w:t>90%</w:t>
            </w:r>
          </w:p>
        </w:tc>
        <w:tc>
          <w:tcPr>
            <w:tcW w:w="1843" w:type="dxa"/>
            <w:noWrap w:val="0"/>
            <w:vAlign w:val="center"/>
          </w:tcPr>
          <w:p>
            <w:pPr>
              <w:pStyle w:val="7"/>
            </w:pPr>
            <w:r>
              <w:rPr>
                <w:rFonts w:hint="eastAsia"/>
              </w:rPr>
              <w:t>年度工作计划</w:t>
            </w:r>
          </w:p>
        </w:tc>
      </w:tr>
    </w:tbl>
    <w:p/>
    <w:p>
      <w:pPr>
        <w:ind w:firstLine="643" w:firstLineChars="200"/>
        <w:jc w:val="left"/>
        <w:rPr>
          <w:rFonts w:hint="eastAsia" w:ascii="楷体_GB2312" w:eastAsia="楷体_GB2312"/>
          <w:b/>
          <w:sz w:val="32"/>
          <w:szCs w:val="32"/>
        </w:rPr>
      </w:pPr>
    </w:p>
    <w:p>
      <w:pPr>
        <w:ind w:firstLine="643" w:firstLineChars="200"/>
        <w:jc w:val="left"/>
        <w:rPr>
          <w:rFonts w:hint="eastAsia" w:ascii="楷体_GB2312" w:eastAsia="楷体_GB2312"/>
          <w:b/>
          <w:sz w:val="32"/>
          <w:szCs w:val="32"/>
        </w:rPr>
      </w:pPr>
    </w:p>
    <w:p>
      <w:pPr>
        <w:sectPr>
          <w:pgSz w:w="16840" w:h="11900" w:orient="landscape"/>
          <w:pgMar w:top="1304" w:right="1984" w:bottom="1304" w:left="1134" w:header="720" w:footer="720" w:gutter="0"/>
          <w:pgNumType w:fmt="decimal"/>
          <w:cols w:space="720" w:num="1"/>
        </w:sectPr>
      </w:pP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pPr>
        <w:spacing w:before="10" w:after="10"/>
        <w:ind w:firstLine="640"/>
        <w:outlineLvl w:val="2"/>
        <w:rPr>
          <w:rFonts w:hint="eastAsia" w:ascii="黑体" w:hAnsi="黑体" w:eastAsia="黑体" w:cs="黑体"/>
          <w:color w:val="000000"/>
          <w:sz w:val="32"/>
          <w:lang w:val="en-US" w:eastAsia="zh-CN"/>
        </w:rPr>
      </w:pPr>
      <w:bookmarkStart w:id="4" w:name="_Toc_3_3_0000000015"/>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p>
      <w:pPr>
        <w:ind w:firstLine="640" w:firstLineChars="200"/>
        <w:jc w:val="left"/>
        <w:rPr>
          <w:rFonts w:ascii="黑体" w:hAnsi="黑体" w:eastAsia="黑体"/>
          <w:color w:val="000000"/>
          <w:sz w:val="32"/>
        </w:rPr>
      </w:pPr>
      <w:r>
        <w:rPr>
          <w:rFonts w:ascii="黑体" w:hAnsi="黑体" w:eastAsia="黑体"/>
          <w:color w:val="000000"/>
          <w:sz w:val="32"/>
        </w:rPr>
        <w:t>六、政府采购预算情况</w:t>
      </w:r>
    </w:p>
    <w:p>
      <w:pPr>
        <w:ind w:firstLine="640"/>
        <w:jc w:val="left"/>
        <w:rPr>
          <w:rFonts w:hint="eastAsia" w:ascii="仿宋_GB2312" w:eastAsia="仿宋_GB2312"/>
          <w:sz w:val="32"/>
          <w:szCs w:val="32"/>
        </w:rPr>
      </w:pPr>
      <w:r>
        <w:rPr>
          <w:rFonts w:hint="eastAsia" w:ascii="仿宋_GB2312" w:eastAsia="仿宋_GB2312"/>
          <w:sz w:val="32"/>
          <w:szCs w:val="32"/>
        </w:rPr>
        <w:t>202</w:t>
      </w:r>
      <w:r>
        <w:rPr>
          <w:rFonts w:hint="eastAsia" w:ascii="仿宋_GB2312" w:eastAsia="仿宋_GB2312"/>
          <w:sz w:val="32"/>
          <w:szCs w:val="32"/>
          <w:lang w:val="en-US" w:eastAsia="zh-CN"/>
        </w:rPr>
        <w:t>2</w:t>
      </w:r>
      <w:r>
        <w:rPr>
          <w:rFonts w:hint="eastAsia" w:ascii="仿宋_GB2312" w:eastAsia="仿宋_GB2312"/>
          <w:sz w:val="32"/>
          <w:szCs w:val="32"/>
        </w:rPr>
        <w:t>年，我部门安排政府采购预算具体内容见下表。</w:t>
      </w:r>
    </w:p>
    <w:p>
      <w:pPr>
        <w:jc w:val="center"/>
        <w:outlineLvl w:val="0"/>
        <w:rPr>
          <w:rFonts w:hint="eastAsia" w:ascii="仿宋_GB2312" w:eastAsia="仿宋_GB2312"/>
          <w:b/>
          <w:sz w:val="32"/>
          <w:szCs w:val="32"/>
        </w:rPr>
      </w:pPr>
      <w:r>
        <w:rPr>
          <w:rFonts w:hint="eastAsia" w:ascii="仿宋_GB2312" w:eastAsia="仿宋_GB2312"/>
          <w:sz w:val="32"/>
          <w:szCs w:val="32"/>
        </w:rPr>
        <w:t xml:space="preserve">   </w:t>
      </w:r>
      <w:r>
        <w:rPr>
          <w:rFonts w:hint="eastAsia" w:ascii="仿宋_GB2312" w:eastAsia="仿宋_GB2312"/>
          <w:b/>
          <w:sz w:val="32"/>
          <w:szCs w:val="32"/>
        </w:rPr>
        <w:t>部门政府采购预算</w:t>
      </w:r>
    </w:p>
    <w:tbl>
      <w:tblPr>
        <w:tblStyle w:val="5"/>
        <w:tblW w:w="15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709"/>
        <w:gridCol w:w="897"/>
        <w:gridCol w:w="1018"/>
        <w:gridCol w:w="1112"/>
        <w:gridCol w:w="1017"/>
        <w:gridCol w:w="615"/>
        <w:gridCol w:w="1047"/>
        <w:gridCol w:w="898"/>
        <w:gridCol w:w="1017"/>
        <w:gridCol w:w="1017"/>
        <w:gridCol w:w="1017"/>
        <w:gridCol w:w="1017"/>
        <w:gridCol w:w="1017"/>
        <w:gridCol w:w="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415"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hint="eastAsia" w:ascii="仿宋" w:hAnsi="仿宋" w:eastAsia="仿宋" w:cs="仿宋"/>
                <w:sz w:val="24"/>
              </w:rPr>
            </w:pPr>
          </w:p>
        </w:tc>
        <w:tc>
          <w:tcPr>
            <w:tcW w:w="6942" w:type="dxa"/>
            <w:gridSpan w:val="7"/>
            <w:tcBorders>
              <w:top w:val="single" w:color="FFFFFF" w:sz="6" w:space="0"/>
              <w:left w:val="single" w:color="FFFFFF" w:sz="6" w:space="0"/>
              <w:right w:val="single" w:color="FFFFFF" w:sz="6" w:space="0"/>
            </w:tcBorders>
            <w:noWrap w:val="0"/>
            <w:vAlign w:val="center"/>
          </w:tcPr>
          <w:p>
            <w:pPr>
              <w:spacing w:line="300" w:lineRule="exact"/>
              <w:jc w:val="right"/>
              <w:rPr>
                <w:rFonts w:hint="eastAsia" w:ascii="仿宋" w:hAnsi="仿宋" w:eastAsia="仿宋" w:cs="仿宋"/>
                <w:sz w:val="24"/>
              </w:rPr>
            </w:pPr>
            <w:r>
              <w:rPr>
                <w:rFonts w:hint="eastAsia" w:ascii="仿宋" w:hAnsi="仿宋" w:eastAsia="仿宋" w:cs="仿宋"/>
                <w:sz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3606" w:type="dxa"/>
            <w:gridSpan w:val="2"/>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政府采购项目来源</w:t>
            </w:r>
          </w:p>
        </w:tc>
        <w:tc>
          <w:tcPr>
            <w:tcW w:w="101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采购物品名称</w:t>
            </w:r>
          </w:p>
        </w:tc>
        <w:tc>
          <w:tcPr>
            <w:tcW w:w="1112"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政府采购目录序号</w:t>
            </w:r>
          </w:p>
        </w:tc>
        <w:tc>
          <w:tcPr>
            <w:tcW w:w="101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  单位</w:t>
            </w:r>
          </w:p>
        </w:tc>
        <w:tc>
          <w:tcPr>
            <w:tcW w:w="615"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数量</w:t>
            </w:r>
          </w:p>
        </w:tc>
        <w:tc>
          <w:tcPr>
            <w:tcW w:w="104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单价</w:t>
            </w:r>
          </w:p>
        </w:tc>
        <w:tc>
          <w:tcPr>
            <w:tcW w:w="6942" w:type="dxa"/>
            <w:gridSpan w:val="7"/>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项目名称</w:t>
            </w:r>
          </w:p>
        </w:tc>
        <w:tc>
          <w:tcPr>
            <w:tcW w:w="897"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预算资金</w:t>
            </w: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总计</w:t>
            </w:r>
          </w:p>
        </w:tc>
        <w:tc>
          <w:tcPr>
            <w:tcW w:w="5085" w:type="dxa"/>
            <w:gridSpan w:val="5"/>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当年部门预算安排资金</w:t>
            </w:r>
          </w:p>
        </w:tc>
        <w:tc>
          <w:tcPr>
            <w:tcW w:w="959" w:type="dxa"/>
            <w:vMerge w:val="restart"/>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709" w:type="dxa"/>
            <w:vMerge w:val="continue"/>
            <w:noWrap w:val="0"/>
            <w:vAlign w:val="center"/>
          </w:tcPr>
          <w:p>
            <w:pPr>
              <w:spacing w:line="300" w:lineRule="exact"/>
              <w:jc w:val="left"/>
              <w:outlineLvl w:val="0"/>
              <w:rPr>
                <w:rFonts w:hint="eastAsia" w:ascii="仿宋_GB2312" w:hAnsi="仿宋" w:eastAsia="仿宋_GB2312" w:cs="仿宋"/>
              </w:rPr>
            </w:pPr>
          </w:p>
        </w:tc>
        <w:tc>
          <w:tcPr>
            <w:tcW w:w="897" w:type="dxa"/>
            <w:vMerge w:val="continue"/>
            <w:noWrap w:val="0"/>
            <w:vAlign w:val="center"/>
          </w:tcPr>
          <w:p>
            <w:pPr>
              <w:spacing w:line="300" w:lineRule="exact"/>
              <w:jc w:val="left"/>
              <w:outlineLvl w:val="0"/>
              <w:rPr>
                <w:rFonts w:hint="eastAsia" w:ascii="仿宋_GB2312" w:hAnsi="仿宋" w:eastAsia="仿宋_GB2312" w:cs="仿宋"/>
              </w:rPr>
            </w:pPr>
          </w:p>
        </w:tc>
        <w:tc>
          <w:tcPr>
            <w:tcW w:w="1018" w:type="dxa"/>
            <w:vMerge w:val="continue"/>
            <w:noWrap w:val="0"/>
            <w:vAlign w:val="center"/>
          </w:tcPr>
          <w:p>
            <w:pPr>
              <w:spacing w:line="300" w:lineRule="exact"/>
              <w:jc w:val="left"/>
              <w:outlineLvl w:val="0"/>
              <w:rPr>
                <w:rFonts w:hint="eastAsia" w:ascii="仿宋_GB2312" w:hAnsi="仿宋" w:eastAsia="仿宋_GB2312" w:cs="仿宋"/>
              </w:rPr>
            </w:pPr>
          </w:p>
        </w:tc>
        <w:tc>
          <w:tcPr>
            <w:tcW w:w="1112"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vMerge w:val="continue"/>
            <w:noWrap w:val="0"/>
            <w:vAlign w:val="center"/>
          </w:tcPr>
          <w:p>
            <w:pPr>
              <w:spacing w:line="300" w:lineRule="exact"/>
              <w:jc w:val="left"/>
              <w:outlineLvl w:val="0"/>
              <w:rPr>
                <w:rFonts w:hint="eastAsia" w:ascii="仿宋_GB2312" w:hAnsi="仿宋" w:eastAsia="仿宋_GB2312" w:cs="仿宋"/>
              </w:rPr>
            </w:pPr>
          </w:p>
        </w:tc>
        <w:tc>
          <w:tcPr>
            <w:tcW w:w="615" w:type="dxa"/>
            <w:vMerge w:val="continue"/>
            <w:noWrap w:val="0"/>
            <w:vAlign w:val="center"/>
          </w:tcPr>
          <w:p>
            <w:pPr>
              <w:spacing w:line="300" w:lineRule="exact"/>
              <w:jc w:val="left"/>
              <w:outlineLvl w:val="0"/>
              <w:rPr>
                <w:rFonts w:hint="eastAsia" w:ascii="仿宋_GB2312" w:hAnsi="仿宋" w:eastAsia="仿宋_GB2312" w:cs="仿宋"/>
              </w:rPr>
            </w:pPr>
          </w:p>
        </w:tc>
        <w:tc>
          <w:tcPr>
            <w:tcW w:w="1047" w:type="dxa"/>
            <w:vMerge w:val="continue"/>
            <w:noWrap w:val="0"/>
            <w:vAlign w:val="center"/>
          </w:tcPr>
          <w:p>
            <w:pPr>
              <w:spacing w:line="300" w:lineRule="exact"/>
              <w:jc w:val="left"/>
              <w:outlineLvl w:val="0"/>
              <w:rPr>
                <w:rFonts w:hint="eastAsia" w:ascii="仿宋_GB2312" w:hAnsi="仿宋" w:eastAsia="仿宋_GB2312" w:cs="仿宋"/>
              </w:rPr>
            </w:pPr>
          </w:p>
        </w:tc>
        <w:tc>
          <w:tcPr>
            <w:tcW w:w="898" w:type="dxa"/>
            <w:vMerge w:val="continue"/>
            <w:noWrap w:val="0"/>
            <w:vAlign w:val="center"/>
          </w:tcPr>
          <w:p>
            <w:pPr>
              <w:spacing w:line="300" w:lineRule="exact"/>
              <w:jc w:val="left"/>
              <w:outlineLvl w:val="0"/>
              <w:rPr>
                <w:rFonts w:hint="eastAsia" w:ascii="仿宋_GB2312" w:hAnsi="仿宋" w:eastAsia="仿宋_GB2312" w:cs="仿宋"/>
              </w:rPr>
            </w:pP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合计</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一般公共预算拨款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基金预算拨款</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财政专户核拨</w:t>
            </w:r>
          </w:p>
        </w:tc>
        <w:tc>
          <w:tcPr>
            <w:tcW w:w="1017" w:type="dxa"/>
            <w:noWrap w:val="0"/>
            <w:vAlign w:val="center"/>
          </w:tcPr>
          <w:p>
            <w:pPr>
              <w:spacing w:line="300" w:lineRule="exact"/>
              <w:jc w:val="center"/>
              <w:rPr>
                <w:rFonts w:hint="eastAsia" w:ascii="仿宋_GB2312" w:hAnsi="仿宋" w:eastAsia="仿宋_GB2312" w:cs="仿宋"/>
                <w:b/>
              </w:rPr>
            </w:pPr>
            <w:r>
              <w:rPr>
                <w:rFonts w:hint="eastAsia" w:ascii="仿宋_GB2312" w:hAnsi="仿宋" w:eastAsia="仿宋_GB2312" w:cs="仿宋"/>
                <w:b/>
              </w:rPr>
              <w:t>其他来源收入</w:t>
            </w:r>
          </w:p>
        </w:tc>
        <w:tc>
          <w:tcPr>
            <w:tcW w:w="959" w:type="dxa"/>
            <w:vMerge w:val="continue"/>
            <w:noWrap w:val="0"/>
            <w:vAlign w:val="center"/>
          </w:tcPr>
          <w:p>
            <w:pPr>
              <w:spacing w:line="300" w:lineRule="exact"/>
              <w:jc w:val="left"/>
              <w:outlineLvl w:val="0"/>
              <w:rPr>
                <w:rFonts w:hint="eastAsia" w:ascii="仿宋_GB2312" w:hAnsi="仿宋" w:eastAsia="仿宋_GB2312"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center"/>
              <w:rPr>
                <w:rFonts w:hint="eastAsia" w:ascii="仿宋_GB2312" w:hAnsi="仿宋" w:eastAsia="仿宋_GB2312" w:cs="仿宋"/>
                <w:b/>
              </w:rPr>
            </w:pPr>
          </w:p>
        </w:tc>
        <w:tc>
          <w:tcPr>
            <w:tcW w:w="897" w:type="dxa"/>
            <w:noWrap w:val="0"/>
            <w:vAlign w:val="center"/>
          </w:tcPr>
          <w:p>
            <w:pPr>
              <w:spacing w:line="300" w:lineRule="exact"/>
              <w:jc w:val="right"/>
              <w:rPr>
                <w:rFonts w:hint="eastAsia" w:ascii="仿宋_GB2312" w:hAnsi="仿宋" w:eastAsia="仿宋_GB2312" w:cs="仿宋"/>
                <w:b/>
              </w:rPr>
            </w:pPr>
          </w:p>
        </w:tc>
        <w:tc>
          <w:tcPr>
            <w:tcW w:w="1018" w:type="dxa"/>
            <w:noWrap w:val="0"/>
            <w:vAlign w:val="center"/>
          </w:tcPr>
          <w:p>
            <w:pPr>
              <w:spacing w:line="300" w:lineRule="exact"/>
              <w:jc w:val="left"/>
              <w:rPr>
                <w:rFonts w:hint="eastAsia" w:ascii="仿宋_GB2312" w:hAnsi="仿宋" w:eastAsia="仿宋_GB2312" w:cs="仿宋"/>
                <w:b/>
              </w:rPr>
            </w:pPr>
          </w:p>
        </w:tc>
        <w:tc>
          <w:tcPr>
            <w:tcW w:w="1112" w:type="dxa"/>
            <w:noWrap w:val="0"/>
            <w:vAlign w:val="center"/>
          </w:tcPr>
          <w:p>
            <w:pPr>
              <w:spacing w:line="300" w:lineRule="exact"/>
              <w:jc w:val="left"/>
              <w:rPr>
                <w:rFonts w:hint="eastAsia" w:ascii="仿宋_GB2312" w:hAnsi="仿宋" w:eastAsia="仿宋_GB2312" w:cs="仿宋"/>
                <w:b/>
              </w:rPr>
            </w:pPr>
          </w:p>
        </w:tc>
        <w:tc>
          <w:tcPr>
            <w:tcW w:w="1017" w:type="dxa"/>
            <w:noWrap w:val="0"/>
            <w:vAlign w:val="center"/>
          </w:tcPr>
          <w:p>
            <w:pPr>
              <w:spacing w:line="300" w:lineRule="exact"/>
              <w:jc w:val="left"/>
              <w:rPr>
                <w:rFonts w:hint="eastAsia" w:ascii="仿宋_GB2312" w:hAnsi="仿宋" w:eastAsia="仿宋_GB2312" w:cs="仿宋"/>
                <w:b/>
              </w:rPr>
            </w:pPr>
          </w:p>
        </w:tc>
        <w:tc>
          <w:tcPr>
            <w:tcW w:w="615" w:type="dxa"/>
            <w:noWrap w:val="0"/>
            <w:vAlign w:val="center"/>
          </w:tcPr>
          <w:p>
            <w:pPr>
              <w:spacing w:line="300" w:lineRule="exact"/>
              <w:jc w:val="right"/>
              <w:rPr>
                <w:rFonts w:hint="eastAsia" w:ascii="仿宋_GB2312" w:hAnsi="仿宋" w:eastAsia="仿宋_GB2312" w:cs="仿宋"/>
                <w:b/>
              </w:rPr>
            </w:pPr>
          </w:p>
        </w:tc>
        <w:tc>
          <w:tcPr>
            <w:tcW w:w="1047" w:type="dxa"/>
            <w:noWrap w:val="0"/>
            <w:vAlign w:val="center"/>
          </w:tcPr>
          <w:p>
            <w:pPr>
              <w:spacing w:line="300" w:lineRule="exact"/>
              <w:jc w:val="right"/>
              <w:rPr>
                <w:rFonts w:hint="eastAsia" w:ascii="仿宋_GB2312" w:hAnsi="仿宋" w:eastAsia="仿宋_GB2312" w:cs="仿宋"/>
                <w:b/>
              </w:rPr>
            </w:pPr>
          </w:p>
        </w:tc>
        <w:tc>
          <w:tcPr>
            <w:tcW w:w="898"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1017" w:type="dxa"/>
            <w:noWrap w:val="0"/>
            <w:vAlign w:val="center"/>
          </w:tcPr>
          <w:p>
            <w:pPr>
              <w:spacing w:line="300" w:lineRule="exact"/>
              <w:jc w:val="right"/>
              <w:rPr>
                <w:rFonts w:hint="eastAsia" w:ascii="仿宋_GB2312" w:hAnsi="仿宋" w:eastAsia="仿宋_GB2312" w:cs="仿宋"/>
                <w:b/>
              </w:rPr>
            </w:pPr>
          </w:p>
        </w:tc>
        <w:tc>
          <w:tcPr>
            <w:tcW w:w="959" w:type="dxa"/>
            <w:noWrap w:val="0"/>
            <w:vAlign w:val="center"/>
          </w:tcPr>
          <w:p>
            <w:pPr>
              <w:spacing w:line="300" w:lineRule="exact"/>
              <w:jc w:val="right"/>
              <w:rPr>
                <w:rFonts w:hint="eastAsia" w:ascii="仿宋_GB2312" w:hAnsi="仿宋" w:eastAsia="仿宋_GB2312" w:cs="仿宋"/>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2709" w:type="dxa"/>
            <w:noWrap w:val="0"/>
            <w:vAlign w:val="center"/>
          </w:tcPr>
          <w:p>
            <w:pPr>
              <w:spacing w:line="300" w:lineRule="exact"/>
              <w:jc w:val="left"/>
              <w:rPr>
                <w:rFonts w:hint="eastAsia" w:ascii="仿宋" w:hAnsi="仿宋" w:eastAsia="仿宋" w:cs="仿宋"/>
              </w:rPr>
            </w:pPr>
          </w:p>
        </w:tc>
        <w:tc>
          <w:tcPr>
            <w:tcW w:w="897" w:type="dxa"/>
            <w:noWrap w:val="0"/>
            <w:vAlign w:val="center"/>
          </w:tcPr>
          <w:p>
            <w:pPr>
              <w:spacing w:line="300" w:lineRule="exact"/>
              <w:jc w:val="right"/>
              <w:rPr>
                <w:rFonts w:hint="eastAsia" w:ascii="仿宋" w:hAnsi="仿宋" w:eastAsia="仿宋" w:cs="仿宋"/>
              </w:rPr>
            </w:pPr>
          </w:p>
        </w:tc>
        <w:tc>
          <w:tcPr>
            <w:tcW w:w="1018" w:type="dxa"/>
            <w:noWrap w:val="0"/>
            <w:vAlign w:val="center"/>
          </w:tcPr>
          <w:p>
            <w:pPr>
              <w:spacing w:line="300" w:lineRule="exact"/>
              <w:jc w:val="left"/>
              <w:rPr>
                <w:rFonts w:hint="eastAsia" w:ascii="仿宋" w:hAnsi="仿宋" w:eastAsia="仿宋" w:cs="仿宋"/>
              </w:rPr>
            </w:pPr>
          </w:p>
        </w:tc>
        <w:tc>
          <w:tcPr>
            <w:tcW w:w="1112" w:type="dxa"/>
            <w:noWrap w:val="0"/>
            <w:vAlign w:val="center"/>
          </w:tcPr>
          <w:p>
            <w:pPr>
              <w:spacing w:line="300" w:lineRule="exact"/>
              <w:jc w:val="left"/>
              <w:rPr>
                <w:rFonts w:hint="eastAsia" w:ascii="仿宋" w:hAnsi="仿宋" w:eastAsia="仿宋" w:cs="仿宋"/>
              </w:rPr>
            </w:pPr>
          </w:p>
        </w:tc>
        <w:tc>
          <w:tcPr>
            <w:tcW w:w="1017" w:type="dxa"/>
            <w:noWrap w:val="0"/>
            <w:vAlign w:val="center"/>
          </w:tcPr>
          <w:p>
            <w:pPr>
              <w:spacing w:line="300" w:lineRule="exact"/>
              <w:jc w:val="left"/>
              <w:rPr>
                <w:rFonts w:hint="eastAsia" w:ascii="仿宋" w:hAnsi="仿宋" w:eastAsia="仿宋" w:cs="仿宋"/>
              </w:rPr>
            </w:pPr>
          </w:p>
        </w:tc>
        <w:tc>
          <w:tcPr>
            <w:tcW w:w="615" w:type="dxa"/>
            <w:noWrap w:val="0"/>
            <w:vAlign w:val="center"/>
          </w:tcPr>
          <w:p>
            <w:pPr>
              <w:spacing w:line="300" w:lineRule="exact"/>
              <w:jc w:val="right"/>
              <w:rPr>
                <w:rFonts w:hint="eastAsia" w:ascii="仿宋" w:hAnsi="仿宋" w:eastAsia="仿宋" w:cs="仿宋"/>
              </w:rPr>
            </w:pPr>
          </w:p>
        </w:tc>
        <w:tc>
          <w:tcPr>
            <w:tcW w:w="1047" w:type="dxa"/>
            <w:noWrap w:val="0"/>
            <w:vAlign w:val="center"/>
          </w:tcPr>
          <w:p>
            <w:pPr>
              <w:spacing w:line="300" w:lineRule="exact"/>
              <w:jc w:val="right"/>
              <w:rPr>
                <w:rFonts w:hint="eastAsia" w:ascii="仿宋" w:hAnsi="仿宋" w:eastAsia="仿宋" w:cs="仿宋"/>
              </w:rPr>
            </w:pPr>
          </w:p>
        </w:tc>
        <w:tc>
          <w:tcPr>
            <w:tcW w:w="898"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1017" w:type="dxa"/>
            <w:noWrap w:val="0"/>
            <w:vAlign w:val="center"/>
          </w:tcPr>
          <w:p>
            <w:pPr>
              <w:spacing w:line="300" w:lineRule="exact"/>
              <w:jc w:val="right"/>
              <w:rPr>
                <w:rFonts w:hint="eastAsia" w:ascii="仿宋" w:hAnsi="仿宋" w:eastAsia="仿宋" w:cs="仿宋"/>
              </w:rPr>
            </w:pPr>
          </w:p>
        </w:tc>
        <w:tc>
          <w:tcPr>
            <w:tcW w:w="959" w:type="dxa"/>
            <w:noWrap w:val="0"/>
            <w:vAlign w:val="center"/>
          </w:tcPr>
          <w:p>
            <w:pPr>
              <w:spacing w:line="300" w:lineRule="exact"/>
              <w:jc w:val="right"/>
              <w:rPr>
                <w:rFonts w:hint="eastAsia" w:ascii="仿宋" w:hAnsi="仿宋" w:eastAsia="仿宋" w:cs="仿宋"/>
              </w:rPr>
            </w:pPr>
          </w:p>
        </w:tc>
      </w:tr>
    </w:tbl>
    <w:p>
      <w:pPr>
        <w:ind w:firstLine="640"/>
        <w:jc w:val="left"/>
        <w:rPr>
          <w:rFonts w:hint="eastAsia" w:ascii="仿宋_GB2312" w:hAnsi="Calibri" w:eastAsia="仿宋_GB2312" w:cs="Times New Roman"/>
          <w:sz w:val="32"/>
          <w:szCs w:val="32"/>
        </w:rPr>
      </w:pPr>
      <w:r>
        <w:rPr>
          <w:rFonts w:hint="eastAsia" w:ascii="仿宋_GB2312" w:hAnsi="Calibri" w:eastAsia="仿宋_GB2312" w:cs="Times New Roman"/>
          <w:sz w:val="32"/>
          <w:szCs w:val="32"/>
        </w:rPr>
        <w:t>无此项公开内容，空表列示。</w:t>
      </w:r>
    </w:p>
    <w:p>
      <w:pPr>
        <w:jc w:val="left"/>
        <w:rPr>
          <w:rFonts w:hint="eastAsia" w:ascii="黑体" w:hAnsi="黑体" w:eastAsia="黑体"/>
          <w:color w:val="000000"/>
          <w:sz w:val="32"/>
        </w:rPr>
      </w:pPr>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bookmarkEnd w:id="4"/>
    <w:p>
      <w:pPr>
        <w:rPr>
          <w:rFonts w:hint="eastAsia" w:ascii="仿宋_GB2312" w:hAnsi="Calibri" w:eastAsia="仿宋_GB2312"/>
          <w:color w:val="000000"/>
          <w:kern w:val="2"/>
          <w:sz w:val="32"/>
          <w:szCs w:val="32"/>
          <w:lang w:eastAsia="zh-CN"/>
        </w:rPr>
      </w:pPr>
      <w:bookmarkStart w:id="5" w:name="_Toc_3_3_0000000016"/>
    </w:p>
    <w:p>
      <w:pPr>
        <w:spacing w:before="10" w:after="10"/>
        <w:ind w:firstLine="640"/>
        <w:outlineLvl w:val="2"/>
        <w:rPr>
          <w:rFonts w:hint="eastAsia" w:ascii="黑体" w:hAnsi="黑体" w:eastAsia="黑体" w:cs="黑体"/>
          <w:color w:val="000000"/>
          <w:sz w:val="32"/>
          <w:lang w:val="en-US" w:eastAsia="zh-CN"/>
        </w:rPr>
      </w:pPr>
    </w:p>
    <w:p>
      <w:pPr>
        <w:spacing w:before="10" w:after="10"/>
        <w:ind w:firstLine="640"/>
        <w:outlineLvl w:val="2"/>
        <w:rPr>
          <w:rFonts w:hint="eastAsia" w:ascii="黑体" w:hAnsi="黑体" w:eastAsia="黑体" w:cs="黑体"/>
          <w:color w:val="000000"/>
          <w:sz w:val="32"/>
          <w:lang w:val="en-US" w:eastAsia="zh-CN"/>
        </w:rPr>
      </w:pPr>
    </w:p>
    <w:bookmarkEnd w:id="5"/>
    <w:p>
      <w:pPr>
        <w:ind w:firstLine="640" w:firstLineChars="200"/>
        <w:jc w:val="left"/>
        <w:rPr>
          <w:rFonts w:ascii="黑体" w:hAnsi="黑体" w:eastAsia="黑体"/>
          <w:color w:val="000000"/>
          <w:sz w:val="32"/>
        </w:rPr>
      </w:pPr>
      <w:r>
        <w:rPr>
          <w:rFonts w:ascii="黑体" w:hAnsi="黑体" w:eastAsia="黑体"/>
          <w:color w:val="000000"/>
          <w:sz w:val="32"/>
        </w:rPr>
        <w:t>七、国有资产信息</w:t>
      </w:r>
    </w:p>
    <w:p>
      <w:pPr>
        <w:widowControl w:val="0"/>
        <w:spacing w:after="156" w:afterLines="50" w:line="360" w:lineRule="auto"/>
        <w:ind w:firstLine="640" w:firstLineChars="200"/>
        <w:rPr>
          <w:rFonts w:hint="eastAsia" w:ascii="仿宋_GB2312" w:eastAsia="仿宋_GB2312"/>
          <w:color w:val="FF0000"/>
          <w:sz w:val="32"/>
          <w:szCs w:val="32"/>
        </w:rPr>
      </w:pPr>
      <w:r>
        <w:rPr>
          <w:rFonts w:hint="eastAsia" w:ascii="仿宋_GB2312" w:eastAsia="仿宋_GB2312"/>
          <w:sz w:val="32"/>
          <w:szCs w:val="32"/>
        </w:rPr>
        <w:t>截至上年末，我单位固定资产总额</w:t>
      </w:r>
      <w:r>
        <w:rPr>
          <w:rFonts w:hint="eastAsia" w:ascii="仿宋_GB2312" w:eastAsia="仿宋_GB2312"/>
          <w:sz w:val="32"/>
          <w:szCs w:val="32"/>
          <w:lang w:val="en-US" w:eastAsia="zh-CN"/>
        </w:rPr>
        <w:t>885832</w:t>
      </w:r>
      <w:r>
        <w:rPr>
          <w:rFonts w:hint="eastAsia" w:ascii="仿宋_GB2312" w:eastAsia="仿宋_GB2312"/>
          <w:sz w:val="32"/>
          <w:szCs w:val="32"/>
        </w:rPr>
        <w:t>元，本年度</w:t>
      </w:r>
      <w:r>
        <w:rPr>
          <w:rFonts w:hint="eastAsia" w:ascii="仿宋_GB2312" w:eastAsia="仿宋_GB2312"/>
          <w:sz w:val="32"/>
          <w:szCs w:val="32"/>
          <w:lang w:val="en-US" w:eastAsia="zh-CN"/>
        </w:rPr>
        <w:t>无</w:t>
      </w:r>
      <w:r>
        <w:rPr>
          <w:rFonts w:hint="eastAsia" w:ascii="仿宋_GB2312" w:eastAsia="仿宋_GB2312"/>
          <w:sz w:val="32"/>
          <w:szCs w:val="32"/>
        </w:rPr>
        <w:t>新增固定资产预算。</w:t>
      </w:r>
    </w:p>
    <w:tbl>
      <w:tblPr>
        <w:tblStyle w:val="5"/>
        <w:tblW w:w="13482" w:type="dxa"/>
        <w:tblInd w:w="93"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noWrap w:val="0"/>
            <w:vAlign w:val="center"/>
          </w:tcPr>
          <w:p>
            <w:pPr>
              <w:jc w:val="center"/>
              <w:rPr>
                <w:rFonts w:ascii="仿宋_GB2312" w:eastAsia="仿宋_GB2312"/>
                <w:sz w:val="32"/>
                <w:szCs w:val="32"/>
              </w:rPr>
            </w:pPr>
            <w:r>
              <w:rPr>
                <w:rFonts w:hint="eastAsia" w:ascii="仿宋_GB2312" w:eastAsia="仿宋_GB2312"/>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noWrap w:val="0"/>
            <w:vAlign w:val="center"/>
          </w:tcPr>
          <w:p>
            <w:pPr>
              <w:jc w:val="left"/>
              <w:rPr>
                <w:rFonts w:hint="eastAsia" w:ascii="宋体" w:hAnsi="宋体" w:eastAsia="宋体" w:cs="宋体"/>
                <w:kern w:val="0"/>
                <w:sz w:val="22"/>
                <w:lang w:val="en-US" w:eastAsia="zh-CN"/>
              </w:rPr>
            </w:pPr>
            <w:r>
              <w:rPr>
                <w:rFonts w:hint="eastAsia" w:ascii="宋体" w:hAnsi="宋体" w:cs="宋体"/>
                <w:kern w:val="0"/>
                <w:sz w:val="22"/>
              </w:rPr>
              <w:t>编制部门：</w:t>
            </w:r>
            <w:r>
              <w:rPr>
                <w:rFonts w:hint="eastAsia" w:ascii="宋体" w:hAnsi="宋体" w:cs="宋体"/>
                <w:kern w:val="0"/>
                <w:sz w:val="22"/>
                <w:lang w:val="en-US" w:eastAsia="zh-CN"/>
              </w:rPr>
              <w:t>政协</w:t>
            </w:r>
          </w:p>
        </w:tc>
        <w:tc>
          <w:tcPr>
            <w:tcW w:w="5103" w:type="dxa"/>
            <w:tcBorders>
              <w:top w:val="nil"/>
              <w:left w:val="nil"/>
              <w:bottom w:val="nil"/>
              <w:right w:val="nil"/>
            </w:tcBorders>
            <w:noWrap w:val="0"/>
            <w:vAlign w:val="center"/>
          </w:tcPr>
          <w:p>
            <w:pPr>
              <w:ind w:firstLine="1760" w:firstLineChars="800"/>
              <w:jc w:val="left"/>
              <w:rPr>
                <w:rFonts w:ascii="宋体" w:hAnsi="宋体" w:cs="宋体"/>
                <w:kern w:val="0"/>
                <w:sz w:val="22"/>
              </w:rPr>
            </w:pPr>
            <w:r>
              <w:rPr>
                <w:rFonts w:hint="eastAsia" w:ascii="宋体" w:hAnsi="宋体" w:cs="宋体"/>
                <w:kern w:val="0"/>
                <w:sz w:val="22"/>
              </w:rPr>
              <w:t>截止时间：20</w:t>
            </w:r>
            <w:r>
              <w:rPr>
                <w:rFonts w:hint="eastAsia" w:ascii="宋体" w:hAnsi="宋体" w:cs="宋体"/>
                <w:kern w:val="0"/>
                <w:sz w:val="22"/>
                <w:lang w:val="en-US" w:eastAsia="zh-CN"/>
              </w:rPr>
              <w:t>22</w:t>
            </w:r>
            <w:r>
              <w:rPr>
                <w:rFonts w:hint="eastAsia" w:ascii="宋体" w:hAnsi="宋体" w:cs="宋体"/>
                <w:kern w:val="0"/>
                <w:sz w:val="22"/>
              </w:rPr>
              <w:t xml:space="preserve">年12月31日  </w:t>
            </w:r>
          </w:p>
        </w:tc>
      </w:tr>
      <w:tr>
        <w:tblPrEx>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项   目</w:t>
            </w:r>
          </w:p>
        </w:tc>
        <w:tc>
          <w:tcPr>
            <w:tcW w:w="3155"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noWrap w:val="0"/>
            <w:vAlign w:val="center"/>
          </w:tcPr>
          <w:p>
            <w:pPr>
              <w:jc w:val="center"/>
              <w:rPr>
                <w:rFonts w:ascii="宋体" w:hAnsi="宋体" w:cs="宋体"/>
                <w:b/>
                <w:bCs/>
                <w:kern w:val="0"/>
                <w:sz w:val="22"/>
              </w:rPr>
            </w:pPr>
            <w:r>
              <w:rPr>
                <w:rFonts w:hint="eastAsia" w:ascii="宋体" w:hAnsi="宋体" w:cs="宋体"/>
                <w:b/>
                <w:bCs/>
                <w:kern w:val="0"/>
                <w:sz w:val="22"/>
              </w:rPr>
              <w:t>价值（金额单位：元）</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center"/>
              <w:rPr>
                <w:rFonts w:ascii="宋体" w:hAnsi="宋体" w:cs="宋体"/>
                <w:kern w:val="0"/>
                <w:sz w:val="22"/>
              </w:rPr>
            </w:pPr>
            <w:r>
              <w:rPr>
                <w:rFonts w:hint="eastAsia" w:ascii="宋体" w:hAnsi="宋体" w:cs="宋体"/>
                <w:kern w:val="0"/>
                <w:sz w:val="22"/>
              </w:rPr>
              <w:t>资产总额</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83</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885832</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1、房屋（平方米）</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c>
          <w:tcPr>
            <w:tcW w:w="5103"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0</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2、车辆（台、辆）</w:t>
            </w:r>
          </w:p>
        </w:tc>
        <w:tc>
          <w:tcPr>
            <w:tcW w:w="3155" w:type="dxa"/>
            <w:tcBorders>
              <w:top w:val="nil"/>
              <w:left w:val="nil"/>
              <w:bottom w:val="single" w:color="auto" w:sz="4" w:space="0"/>
              <w:right w:val="single" w:color="auto" w:sz="4" w:space="0"/>
            </w:tcBorders>
            <w:noWrap w:val="0"/>
            <w:vAlign w:val="center"/>
          </w:tcPr>
          <w:p>
            <w:pPr>
              <w:jc w:val="center"/>
              <w:rPr>
                <w:rFonts w:hint="eastAsia" w:ascii="宋体" w:hAnsi="宋体" w:eastAsia="宋体" w:cs="宋体"/>
                <w:kern w:val="0"/>
                <w:sz w:val="22"/>
                <w:lang w:val="en-US" w:eastAsia="zh-CN"/>
              </w:rPr>
            </w:pPr>
            <w:r>
              <w:rPr>
                <w:rFonts w:hint="eastAsia" w:ascii="宋体" w:hAnsi="宋体" w:cs="宋体"/>
                <w:kern w:val="0"/>
                <w:sz w:val="22"/>
                <w:lang w:val="en-US" w:eastAsia="zh-CN"/>
              </w:rPr>
              <w:t>2</w:t>
            </w:r>
          </w:p>
        </w:tc>
        <w:tc>
          <w:tcPr>
            <w:tcW w:w="5103"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545574</w:t>
            </w:r>
          </w:p>
        </w:tc>
      </w:tr>
      <w:tr>
        <w:tblPrEx>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noWrap w:val="0"/>
            <w:vAlign w:val="center"/>
          </w:tcPr>
          <w:p>
            <w:pPr>
              <w:jc w:val="left"/>
              <w:rPr>
                <w:rFonts w:ascii="宋体" w:hAnsi="宋体" w:cs="宋体"/>
                <w:kern w:val="0"/>
                <w:sz w:val="22"/>
              </w:rPr>
            </w:pPr>
            <w:r>
              <w:rPr>
                <w:rFonts w:hint="eastAsia" w:ascii="宋体" w:hAnsi="宋体" w:cs="宋体"/>
                <w:kern w:val="0"/>
                <w:sz w:val="22"/>
              </w:rPr>
              <w:t>3、单价在20元以上设备</w:t>
            </w:r>
          </w:p>
        </w:tc>
        <w:tc>
          <w:tcPr>
            <w:tcW w:w="3155" w:type="dxa"/>
            <w:tcBorders>
              <w:top w:val="nil"/>
              <w:left w:val="nil"/>
              <w:bottom w:val="single" w:color="auto" w:sz="4" w:space="0"/>
              <w:right w:val="single" w:color="auto" w:sz="4" w:space="0"/>
            </w:tcBorders>
            <w:noWrap w:val="0"/>
            <w:vAlign w:val="center"/>
          </w:tcPr>
          <w:p>
            <w:pPr>
              <w:jc w:val="center"/>
              <w:rPr>
                <w:rFonts w:hint="default" w:ascii="宋体" w:hAnsi="宋体" w:eastAsia="宋体" w:cs="宋体"/>
                <w:kern w:val="0"/>
                <w:sz w:val="22"/>
                <w:lang w:val="en-US" w:eastAsia="zh-CN"/>
              </w:rPr>
            </w:pPr>
            <w:r>
              <w:rPr>
                <w:rFonts w:hint="eastAsia" w:ascii="宋体" w:hAnsi="宋体" w:cs="宋体"/>
                <w:kern w:val="0"/>
                <w:sz w:val="22"/>
                <w:lang w:val="en-US" w:eastAsia="zh-CN"/>
              </w:rPr>
              <w:t>81</w:t>
            </w:r>
          </w:p>
        </w:tc>
        <w:tc>
          <w:tcPr>
            <w:tcW w:w="5103" w:type="dxa"/>
            <w:tcBorders>
              <w:top w:val="nil"/>
              <w:left w:val="nil"/>
              <w:bottom w:val="single" w:color="auto" w:sz="4" w:space="0"/>
              <w:right w:val="single" w:color="auto" w:sz="4" w:space="0"/>
            </w:tcBorders>
            <w:noWrap w:val="0"/>
            <w:vAlign w:val="center"/>
          </w:tcPr>
          <w:p>
            <w:pPr>
              <w:jc w:val="center"/>
              <w:rPr>
                <w:rFonts w:ascii="宋体" w:hAnsi="宋体" w:cs="宋体"/>
                <w:kern w:val="0"/>
                <w:sz w:val="22"/>
              </w:rPr>
            </w:pPr>
          </w:p>
        </w:tc>
      </w:tr>
    </w:tbl>
    <w:p>
      <w:pPr>
        <w:ind w:firstLine="420"/>
        <w:rPr>
          <w:rFonts w:ascii="等线" w:hAnsi="等线" w:eastAsia="方正书宋_GBK" w:cs="方正书宋_GBK"/>
          <w:color w:val="000000"/>
          <w:sz w:val="21"/>
          <w:lang w:val="uk-UA"/>
        </w:rPr>
      </w:pPr>
      <w:bookmarkStart w:id="7" w:name="_GoBack"/>
      <w:bookmarkEnd w:id="7"/>
    </w:p>
    <w:p>
      <w:pPr>
        <w:rPr>
          <w:rFonts w:hint="eastAsia"/>
        </w:rPr>
      </w:pPr>
    </w:p>
    <w:p>
      <w:pPr>
        <w:spacing w:before="10" w:after="10"/>
        <w:ind w:firstLine="640"/>
        <w:outlineLvl w:val="2"/>
      </w:pPr>
      <w:bookmarkStart w:id="6" w:name="_Toc_3_3_0000000017"/>
      <w:r>
        <w:rPr>
          <w:rFonts w:hint="eastAsia" w:ascii="黑体" w:hAnsi="黑体" w:eastAsia="黑体" w:cs="黑体"/>
          <w:color w:val="000000"/>
          <w:sz w:val="32"/>
          <w:lang w:val="en-US" w:eastAsia="zh-CN"/>
        </w:rPr>
        <w:t>八</w:t>
      </w:r>
      <w:r>
        <w:rPr>
          <w:rFonts w:hint="eastAsia" w:ascii="黑体" w:hAnsi="黑体" w:eastAsia="黑体" w:cs="黑体"/>
          <w:color w:val="000000"/>
          <w:sz w:val="32"/>
          <w:lang w:val="uk-UA"/>
        </w:rPr>
        <w:t>、名词解释</w:t>
      </w:r>
      <w:bookmarkEnd w:id="6"/>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w:t>
      </w:r>
      <w:r>
        <w:rPr>
          <w:rFonts w:hint="eastAsia" w:ascii="黑体" w:hAnsi="黑体" w:eastAsia="黑体" w:cs="黑体"/>
          <w:color w:val="000000"/>
          <w:sz w:val="32"/>
          <w:lang w:val="uk-UA" w:eastAsia="zh-CN"/>
        </w:rPr>
        <w:t>一般公共预算拨款收入：</w:t>
      </w:r>
      <w:r>
        <w:rPr>
          <w:rFonts w:hint="eastAsia" w:eastAsia="方正仿宋_GBK"/>
          <w:color w:val="000000"/>
          <w:kern w:val="0"/>
          <w:sz w:val="28"/>
          <w:lang w:eastAsia="zh-CN"/>
        </w:rPr>
        <w:t>指省级财政当年拨付的资金。</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2、</w:t>
      </w:r>
      <w:r>
        <w:rPr>
          <w:rFonts w:hint="eastAsia" w:ascii="黑体" w:hAnsi="黑体" w:eastAsia="黑体" w:cs="黑体"/>
          <w:color w:val="000000"/>
          <w:sz w:val="32"/>
          <w:lang w:val="uk-UA" w:eastAsia="zh-CN"/>
        </w:rPr>
        <w:t>事业收入：</w:t>
      </w:r>
      <w:r>
        <w:rPr>
          <w:rFonts w:hint="eastAsia" w:eastAsia="方正仿宋_GBK"/>
          <w:color w:val="000000"/>
          <w:kern w:val="0"/>
          <w:sz w:val="28"/>
          <w:lang w:eastAsia="zh-CN"/>
        </w:rPr>
        <w:t>指事业单位开展专业业务活动及辅助活动所取得的收入。</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3、</w:t>
      </w:r>
      <w:r>
        <w:rPr>
          <w:rFonts w:hint="eastAsia" w:ascii="黑体" w:hAnsi="黑体" w:eastAsia="黑体" w:cs="黑体"/>
          <w:color w:val="000000"/>
          <w:sz w:val="32"/>
          <w:lang w:val="uk-UA" w:eastAsia="zh-CN"/>
        </w:rPr>
        <w:t>其他收入：</w:t>
      </w:r>
      <w:r>
        <w:rPr>
          <w:rFonts w:hint="eastAsia" w:eastAsia="方正仿宋_GBK"/>
          <w:color w:val="000000"/>
          <w:kern w:val="0"/>
          <w:sz w:val="28"/>
          <w:lang w:eastAsia="zh-CN"/>
        </w:rPr>
        <w:t>指除“一般公共预算拨款收入”、“事业收入”等以外的收入。主要是按规定动用的租房收入、存款利息收入等。</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4、</w:t>
      </w:r>
      <w:r>
        <w:rPr>
          <w:rFonts w:hint="eastAsia" w:ascii="黑体" w:hAnsi="黑体" w:eastAsia="黑体" w:cs="黑体"/>
          <w:color w:val="000000"/>
          <w:sz w:val="32"/>
          <w:lang w:val="uk-UA" w:eastAsia="zh-CN"/>
        </w:rPr>
        <w:t>基本支出：</w:t>
      </w:r>
      <w:r>
        <w:rPr>
          <w:rFonts w:hint="eastAsia" w:eastAsia="方正仿宋_GBK"/>
          <w:color w:val="000000"/>
          <w:kern w:val="0"/>
          <w:sz w:val="28"/>
          <w:lang w:eastAsia="zh-CN"/>
        </w:rPr>
        <w:t>指为保障机构正常运转、完成日常工作任务而发生的人员支出和公用支出。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5、</w:t>
      </w:r>
      <w:r>
        <w:rPr>
          <w:rFonts w:hint="eastAsia" w:ascii="黑体" w:hAnsi="黑体" w:eastAsia="黑体" w:cs="黑体"/>
          <w:color w:val="000000"/>
          <w:sz w:val="32"/>
          <w:lang w:val="uk-UA" w:eastAsia="zh-CN"/>
        </w:rPr>
        <w:t>项目支出：</w:t>
      </w:r>
      <w:r>
        <w:rPr>
          <w:rFonts w:hint="eastAsia" w:eastAsia="方正仿宋_GBK"/>
          <w:color w:val="000000"/>
          <w:kern w:val="0"/>
          <w:sz w:val="28"/>
          <w:lang w:eastAsia="zh-CN"/>
        </w:rPr>
        <w:t>指在基本支出之外为完成特定行政任务和事业发展目标所发生的支出。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6、</w:t>
      </w:r>
      <w:r>
        <w:rPr>
          <w:rFonts w:hint="eastAsia" w:ascii="黑体" w:hAnsi="黑体" w:eastAsia="黑体" w:cs="黑体"/>
          <w:color w:val="000000"/>
          <w:sz w:val="32"/>
          <w:lang w:val="uk-UA" w:eastAsia="zh-CN"/>
        </w:rPr>
        <w:t>上缴上级支出：</w:t>
      </w:r>
      <w:r>
        <w:rPr>
          <w:rFonts w:hint="eastAsia" w:eastAsia="方正仿宋_GBK"/>
          <w:color w:val="000000"/>
          <w:kern w:val="0"/>
          <w:sz w:val="28"/>
          <w:lang w:eastAsia="zh-CN"/>
        </w:rPr>
        <w:t>指下级单位上缴上级的支出。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7、</w:t>
      </w:r>
      <w:r>
        <w:rPr>
          <w:rFonts w:hint="eastAsia" w:ascii="黑体" w:hAnsi="黑体" w:eastAsia="黑体" w:cs="黑体"/>
          <w:color w:val="000000"/>
          <w:sz w:val="32"/>
          <w:lang w:val="uk-UA" w:eastAsia="zh-CN"/>
        </w:rPr>
        <w:t>“三公”经费：</w:t>
      </w:r>
      <w:r>
        <w:rPr>
          <w:rFonts w:hint="eastAsia" w:eastAsia="方正仿宋_GBK"/>
          <w:color w:val="000000"/>
          <w:kern w:val="0"/>
          <w:sz w:val="28"/>
          <w:lang w:eastAsia="zh-CN"/>
        </w:rPr>
        <w:t>纳入省级财政预算管理的“三公”经费，是指省级本级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8、</w:t>
      </w:r>
      <w:r>
        <w:rPr>
          <w:rFonts w:hint="eastAsia" w:ascii="黑体" w:hAnsi="黑体" w:eastAsia="黑体" w:cs="黑体"/>
          <w:color w:val="000000"/>
          <w:sz w:val="32"/>
          <w:lang w:val="uk-UA" w:eastAsia="zh-CN"/>
        </w:rPr>
        <w:t>机关运行费：</w:t>
      </w:r>
      <w:r>
        <w:rPr>
          <w:rFonts w:hint="eastAsia" w:eastAsia="方正仿宋_GBK"/>
          <w:color w:val="000000"/>
          <w:kern w:val="0"/>
          <w:sz w:val="28"/>
          <w:lang w:eastAsia="zh-CN"/>
        </w:rPr>
        <w:t>是指各本级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rPr>
          <w:rFonts w:hint="eastAsia" w:ascii="仿宋_GB2312" w:hAnsi="Calibri" w:eastAsia="仿宋_GB2312"/>
          <w:color w:val="000000"/>
          <w:kern w:val="2"/>
          <w:sz w:val="32"/>
          <w:szCs w:val="32"/>
          <w:lang w:eastAsia="zh-CN"/>
        </w:rPr>
      </w:pPr>
      <w:r>
        <w:rPr>
          <w:rFonts w:hint="eastAsia" w:ascii="仿宋_GB2312" w:hAnsi="Calibri" w:eastAsia="仿宋_GB2312"/>
          <w:b/>
          <w:bCs/>
          <w:color w:val="000000"/>
          <w:kern w:val="2"/>
          <w:sz w:val="32"/>
          <w:szCs w:val="32"/>
          <w:lang w:eastAsia="zh-CN"/>
        </w:rPr>
        <w:t>9、</w:t>
      </w:r>
      <w:r>
        <w:rPr>
          <w:rFonts w:hint="eastAsia" w:ascii="黑体" w:hAnsi="黑体" w:eastAsia="黑体" w:cs="黑体"/>
          <w:color w:val="000000"/>
          <w:sz w:val="32"/>
          <w:lang w:val="uk-UA" w:eastAsia="zh-CN"/>
        </w:rPr>
        <w:t>上年结转：</w:t>
      </w:r>
      <w:r>
        <w:rPr>
          <w:rFonts w:hint="eastAsia" w:eastAsia="方正仿宋_GBK"/>
          <w:color w:val="000000"/>
          <w:kern w:val="0"/>
          <w:sz w:val="28"/>
          <w:lang w:eastAsia="zh-CN"/>
        </w:rPr>
        <w:t>指以前年度尚未完成、结转到本年仍按原规定用途继续使用的资金。</w:t>
      </w:r>
    </w:p>
    <w:p>
      <w:pPr>
        <w:spacing w:line="500" w:lineRule="exact"/>
        <w:ind w:firstLine="560"/>
        <w:rPr>
          <w:rFonts w:hint="eastAsia" w:eastAsia="方正仿宋_GBK"/>
          <w:color w:val="000000"/>
          <w:kern w:val="0"/>
          <w:sz w:val="28"/>
          <w:lang w:eastAsia="zh-CN"/>
        </w:rPr>
      </w:pPr>
      <w:r>
        <w:rPr>
          <w:rFonts w:hint="eastAsia" w:ascii="仿宋_GB2312" w:hAnsi="Calibri" w:eastAsia="仿宋_GB2312"/>
          <w:b/>
          <w:bCs/>
          <w:color w:val="000000"/>
          <w:kern w:val="2"/>
          <w:sz w:val="32"/>
          <w:szCs w:val="32"/>
          <w:lang w:eastAsia="zh-CN"/>
        </w:rPr>
        <w:t>10、</w:t>
      </w:r>
      <w:r>
        <w:rPr>
          <w:rFonts w:hint="eastAsia" w:ascii="黑体" w:hAnsi="黑体" w:eastAsia="黑体" w:cs="黑体"/>
          <w:color w:val="000000"/>
          <w:sz w:val="32"/>
          <w:lang w:val="uk-UA" w:eastAsia="zh-CN"/>
        </w:rPr>
        <w:t>事业单位经营支出：</w:t>
      </w:r>
      <w:r>
        <w:rPr>
          <w:rFonts w:hint="eastAsia" w:eastAsia="方正仿宋_GBK"/>
          <w:color w:val="000000"/>
          <w:kern w:val="0"/>
          <w:sz w:val="28"/>
          <w:lang w:eastAsia="zh-CN"/>
        </w:rPr>
        <w:t>指事业单位在专业业务活动及其辅助活动之外开展非独立核算经营活动发生的支出。</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rPr>
          <w:rFonts w:hint="eastAsia" w:eastAsia="方正仿宋_GBK"/>
          <w:lang w:eastAsia="zh-CN"/>
        </w:rPr>
        <w:sectPr>
          <w:pgSz w:w="16840" w:h="11900" w:orient="landscape"/>
          <w:pgMar w:top="1361" w:right="1020" w:bottom="1134" w:left="1020" w:header="720" w:footer="720" w:gutter="0"/>
          <w:pgNumType w:fmt="decimal"/>
          <w:cols w:space="720" w:num="1"/>
        </w:sectPr>
      </w:pPr>
      <w:r>
        <w:rPr>
          <w:rFonts w:eastAsia="方正仿宋_GBK"/>
          <w:color w:val="000000"/>
          <w:sz w:val="28"/>
        </w:rPr>
        <w:t>我单位无其他需要说明的事项</w:t>
      </w:r>
      <w:r>
        <w:rPr>
          <w:rFonts w:hint="eastAsia" w:eastAsia="方正仿宋_GBK"/>
          <w:color w:val="000000"/>
          <w:sz w:val="28"/>
          <w:lang w:eastAsia="zh-CN"/>
        </w:rPr>
        <w:t>。</w:t>
      </w:r>
    </w:p>
    <w:p>
      <w:pPr>
        <w:keepNext w:val="0"/>
        <w:keepLines w:val="0"/>
        <w:widowControl/>
        <w:suppressLineNumbers w:val="0"/>
        <w:jc w:val="left"/>
        <w:textAlignment w:val="center"/>
        <w:rPr>
          <w:rFonts w:hint="default" w:ascii="方正书宋_GBK" w:hAnsi="方正书宋_GBK" w:eastAsia="方正书宋_GBK" w:cs="方正书宋_GBK"/>
          <w:kern w:val="0"/>
          <w:sz w:val="21"/>
          <w:szCs w:val="21"/>
          <w:lang w:val="en-US" w:eastAsia="zh-CN" w:bidi="ar-SA"/>
        </w:rPr>
      </w:pPr>
    </w:p>
    <w:sectPr>
      <w:headerReference r:id="rId5" w:type="default"/>
      <w:footerReference r:id="rId6"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宋体"/>
    <w:panose1 w:val="00000000000000000000"/>
    <w:charset w:val="86"/>
    <w:family w:val="roman"/>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10" w:usb3="00000000" w:csb0="00040000" w:csb1="00000000"/>
  </w:font>
  <w:font w:name="方正楷体_GBK">
    <w:altName w:val="宋体"/>
    <w:panose1 w:val="00000000000000000000"/>
    <w:charset w:val="86"/>
    <w:family w:val="roman"/>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宋体"/>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26C487"/>
    <w:multiLevelType w:val="singleLevel"/>
    <w:tmpl w:val="5126C487"/>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275D5E"/>
    <w:rsid w:val="02841BAD"/>
    <w:rsid w:val="096D70A4"/>
    <w:rsid w:val="0DA726B7"/>
    <w:rsid w:val="0E6A2D0C"/>
    <w:rsid w:val="1A051FB8"/>
    <w:rsid w:val="1FAD70FF"/>
    <w:rsid w:val="22530E17"/>
    <w:rsid w:val="23180290"/>
    <w:rsid w:val="25DC7B8A"/>
    <w:rsid w:val="2EAA74C6"/>
    <w:rsid w:val="30D77D45"/>
    <w:rsid w:val="330B4CEC"/>
    <w:rsid w:val="34E97875"/>
    <w:rsid w:val="3F0B59C0"/>
    <w:rsid w:val="41F67068"/>
    <w:rsid w:val="4220197A"/>
    <w:rsid w:val="4A421DCB"/>
    <w:rsid w:val="51CE6D3C"/>
    <w:rsid w:val="592437AE"/>
    <w:rsid w:val="61275D5E"/>
    <w:rsid w:val="6EDB62FF"/>
    <w:rsid w:val="753C20DC"/>
    <w:rsid w:val="7823133D"/>
    <w:rsid w:val="79343A0A"/>
    <w:rsid w:val="7D5E47E3"/>
    <w:rsid w:val="7D5F77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99"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toc 1"/>
    <w:basedOn w:val="1"/>
    <w:next w:val="1"/>
    <w:semiHidden/>
    <w:qFormat/>
    <w:uiPriority w:val="99"/>
    <w:pPr>
      <w:spacing w:before="120"/>
      <w:ind w:firstLine="560"/>
    </w:pPr>
    <w:rPr>
      <w:rFonts w:eastAsia="方正仿宋_GBK"/>
      <w:color w:val="000000"/>
      <w:sz w:val="28"/>
      <w:szCs w:val="28"/>
    </w:rPr>
  </w:style>
  <w:style w:type="paragraph" w:customStyle="1" w:styleId="7">
    <w:name w:val="单元格样式2"/>
    <w:basedOn w:val="1"/>
    <w:qFormat/>
    <w:uiPriority w:val="99"/>
    <w:rPr>
      <w:rFonts w:ascii="方正书宋_GBK" w:hAnsi="方正书宋_GBK" w:eastAsia="方正书宋_GBK" w:cs="方正书宋_GBK"/>
      <w:sz w:val="21"/>
      <w:szCs w:val="21"/>
    </w:rPr>
  </w:style>
  <w:style w:type="paragraph" w:customStyle="1" w:styleId="8">
    <w:name w:val="单元格样式1"/>
    <w:basedOn w:val="1"/>
    <w:qFormat/>
    <w:uiPriority w:val="0"/>
    <w:pPr>
      <w:jc w:val="center"/>
    </w:pPr>
    <w:rPr>
      <w:rFonts w:ascii="方正书宋_GBK" w:hAnsi="方正书宋_GBK" w:eastAsia="方正书宋_GBK" w:cs="方正书宋_GBK"/>
      <w:b/>
      <w:sz w:val="21"/>
    </w:rPr>
  </w:style>
  <w:style w:type="paragraph" w:customStyle="1" w:styleId="9">
    <w:name w:val="单元格样式3"/>
    <w:basedOn w:val="1"/>
    <w:qFormat/>
    <w:uiPriority w:val="0"/>
    <w:pPr>
      <w:jc w:val="center"/>
    </w:pPr>
    <w:rPr>
      <w:rFonts w:ascii="方正书宋_GBK" w:hAnsi="方正书宋_GBK" w:eastAsia="方正书宋_GBK" w:cs="方正书宋_GBK"/>
      <w:sz w:val="21"/>
    </w:rPr>
  </w:style>
  <w:style w:type="paragraph" w:customStyle="1" w:styleId="1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6"/>
    <w:basedOn w:val="1"/>
    <w:qFormat/>
    <w:uiPriority w:val="0"/>
    <w:pPr>
      <w:jc w:val="center"/>
    </w:pPr>
    <w:rPr>
      <w:rFonts w:ascii="方正书宋_GBK" w:hAnsi="方正书宋_GBK" w:eastAsia="方正书宋_GBK" w:cs="方正书宋_GBK"/>
      <w:b/>
      <w:sz w:val="21"/>
    </w:rPr>
  </w:style>
  <w:style w:type="paragraph" w:customStyle="1" w:styleId="13">
    <w:name w:val="单元格样式7"/>
    <w:basedOn w:val="1"/>
    <w:qFormat/>
    <w:uiPriority w:val="0"/>
    <w:pPr>
      <w:jc w:val="right"/>
    </w:pPr>
    <w:rPr>
      <w:rFonts w:ascii="方正书宋_GBK" w:hAnsi="方正书宋_GBK" w:eastAsia="方正书宋_GBK" w:cs="方正书宋_GBK"/>
      <w:b/>
      <w:sz w:val="21"/>
    </w:rPr>
  </w:style>
  <w:style w:type="paragraph" w:customStyle="1" w:styleId="14">
    <w:name w:val="插入文本样式-插入部门职责文件"/>
    <w:basedOn w:val="1"/>
    <w:qFormat/>
    <w:uiPriority w:val="99"/>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2022-06-17T02:59:00Z</dcterms:created>
  <dc:creator>lenovo</dc:creator>
  <cp:lastModifiedBy>ZHX</cp:lastModifiedBy>
  <dcterms:modified xsi:type="dcterms:W3CDTF">2022-06-29T04:49:13Z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