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2023</w:t>
      </w:r>
      <w:r>
        <w:rPr>
          <w:rFonts w:hint="eastAsia" w:ascii="黑体" w:hAnsi="黑体" w:eastAsia="黑体" w:cs="黑体"/>
          <w:b/>
          <w:color w:val="000000"/>
          <w:sz w:val="44"/>
        </w:rPr>
        <w:t>年</w:t>
      </w:r>
      <w:r>
        <w:rPr>
          <w:rFonts w:hint="eastAsia" w:ascii="黑体" w:hAnsi="黑体" w:eastAsia="黑体" w:cs="黑体"/>
          <w:b/>
          <w:color w:val="000000"/>
          <w:sz w:val="44"/>
          <w:lang w:eastAsia="zh-CN"/>
        </w:rPr>
        <w:t>单位</w:t>
      </w:r>
      <w:r>
        <w:rPr>
          <w:rFonts w:hint="eastAsia" w:ascii="黑体" w:hAnsi="黑体" w:eastAsia="黑体" w:cs="黑体"/>
          <w:b/>
          <w:color w:val="000000"/>
          <w:sz w:val="44"/>
        </w:rPr>
        <w:t>预算信息公开目录</w:t>
      </w:r>
    </w:p>
    <w:p>
      <w:pPr>
        <w:jc w:val="center"/>
        <w:rPr>
          <w:rFonts w:eastAsia="Times New Roman"/>
        </w:rPr>
      </w:pPr>
      <w:r>
        <w:rPr>
          <w:rFonts w:ascii="黑体" w:hAnsi="黑体" w:eastAsia="黑体" w:cs="黑体"/>
          <w:b/>
          <w:color w:val="000000"/>
          <w:sz w:val="30"/>
        </w:rPr>
        <w:t xml:space="preserve"> </w:t>
      </w:r>
    </w:p>
    <w:p>
      <w:pPr>
        <w:rPr>
          <w:rFonts w:hint="eastAsia" w:ascii="方正楷体_GBK" w:hAnsi="方正楷体_GBK" w:eastAsia="方正楷体_GBK" w:cs="方正楷体_GBK"/>
          <w:b/>
          <w:color w:val="000000"/>
          <w:sz w:val="28"/>
        </w:rPr>
      </w:pPr>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预算公开表</w:t>
      </w:r>
    </w:p>
    <w:p>
      <w:pPr>
        <w:pStyle w:val="35"/>
        <w:tabs>
          <w:tab w:val="right" w:leader="dot" w:pos="14800"/>
        </w:tabs>
        <w:ind w:firstLine="600" w:firstLineChars="200"/>
        <w:rPr>
          <w:rFonts w:ascii="Times New Roman" w:hAnsi="Times New Roman" w:eastAsia="宋体" w:cs="Times New Roman"/>
          <w:sz w:val="30"/>
          <w:szCs w:val="30"/>
        </w:rPr>
      </w:pPr>
      <w:bookmarkStart w:id="0" w:name="_Toc25338_WPSOffice_Type1"/>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_Toc10143_WPSOffice_Level1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z w:val="30"/>
          <w:szCs w:val="30"/>
        </w:rPr>
        <w:t>单位预算收支总表</w:t>
      </w:r>
      <w:r>
        <w:rPr>
          <w:rFonts w:ascii="Times New Roman" w:hAnsi="Times New Roman" w:eastAsia="宋体" w:cs="Times New Roman"/>
          <w:sz w:val="30"/>
          <w:szCs w:val="30"/>
        </w:rPr>
        <w:tab/>
      </w:r>
      <w:bookmarkStart w:id="1" w:name="_Toc10143_WPSOffice_Level1Page"/>
      <w:r>
        <w:rPr>
          <w:rFonts w:ascii="Times New Roman" w:hAnsi="Times New Roman" w:eastAsia="宋体" w:cs="Times New Roman"/>
          <w:sz w:val="30"/>
          <w:szCs w:val="30"/>
        </w:rPr>
        <w:t>2</w:t>
      </w:r>
      <w:bookmarkEnd w:id="1"/>
      <w:r>
        <w:rPr>
          <w:rFonts w:ascii="Times New Roman" w:hAnsi="Times New Roman" w:eastAsia="宋体" w:cs="Times New Roman"/>
          <w:sz w:val="30"/>
          <w:szCs w:val="30"/>
        </w:rPr>
        <w:fldChar w:fldCharType="end"/>
      </w:r>
    </w:p>
    <w:p>
      <w:pPr>
        <w:pStyle w:val="35"/>
        <w:tabs>
          <w:tab w:val="right" w:leader="dot" w:pos="14800"/>
        </w:tabs>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_Toc13782_WPSOffice_Level1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z w:val="30"/>
          <w:szCs w:val="30"/>
        </w:rPr>
        <w:t>单位预算收入总表</w:t>
      </w:r>
      <w:r>
        <w:rPr>
          <w:rFonts w:ascii="Times New Roman" w:hAnsi="Times New Roman" w:eastAsia="宋体" w:cs="Times New Roman"/>
          <w:sz w:val="30"/>
          <w:szCs w:val="30"/>
        </w:rPr>
        <w:tab/>
      </w:r>
      <w:bookmarkStart w:id="2" w:name="_Toc13782_WPSOffice_Level1Page"/>
      <w:r>
        <w:rPr>
          <w:rFonts w:ascii="Times New Roman" w:hAnsi="Times New Roman" w:eastAsia="宋体" w:cs="Times New Roman"/>
          <w:sz w:val="30"/>
          <w:szCs w:val="30"/>
        </w:rPr>
        <w:t>4</w:t>
      </w:r>
      <w:bookmarkEnd w:id="2"/>
      <w:r>
        <w:rPr>
          <w:rFonts w:ascii="Times New Roman" w:hAnsi="Times New Roman" w:eastAsia="宋体" w:cs="Times New Roman"/>
          <w:sz w:val="30"/>
          <w:szCs w:val="30"/>
        </w:rPr>
        <w:fldChar w:fldCharType="end"/>
      </w:r>
    </w:p>
    <w:p>
      <w:pPr>
        <w:pStyle w:val="35"/>
        <w:tabs>
          <w:tab w:val="right" w:leader="dot" w:pos="14800"/>
        </w:tabs>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_Toc7467_WPSOffice_Level1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z w:val="30"/>
          <w:szCs w:val="30"/>
        </w:rPr>
        <w:t>单位预算支出总表</w:t>
      </w:r>
      <w:r>
        <w:rPr>
          <w:rFonts w:ascii="Times New Roman" w:hAnsi="Times New Roman" w:eastAsia="宋体" w:cs="Times New Roman"/>
          <w:sz w:val="30"/>
          <w:szCs w:val="30"/>
        </w:rPr>
        <w:tab/>
      </w:r>
      <w:bookmarkStart w:id="3" w:name="_Toc7467_WPSOffice_Level1Page"/>
      <w:r>
        <w:rPr>
          <w:rFonts w:ascii="Times New Roman" w:hAnsi="Times New Roman" w:eastAsia="宋体" w:cs="Times New Roman"/>
          <w:sz w:val="30"/>
          <w:szCs w:val="30"/>
        </w:rPr>
        <w:t>6</w:t>
      </w:r>
      <w:bookmarkEnd w:id="3"/>
      <w:r>
        <w:rPr>
          <w:rFonts w:ascii="Times New Roman" w:hAnsi="Times New Roman" w:eastAsia="宋体" w:cs="Times New Roman"/>
          <w:sz w:val="30"/>
          <w:szCs w:val="30"/>
        </w:rPr>
        <w:fldChar w:fldCharType="end"/>
      </w:r>
    </w:p>
    <w:p>
      <w:pPr>
        <w:pStyle w:val="35"/>
        <w:tabs>
          <w:tab w:val="right" w:leader="dot" w:pos="14800"/>
        </w:tabs>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_Toc1131_WPSOffice_Level1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z w:val="30"/>
          <w:szCs w:val="30"/>
        </w:rPr>
        <w:t>单位预算财政拨款收支总表</w:t>
      </w:r>
      <w:r>
        <w:rPr>
          <w:rFonts w:ascii="Times New Roman" w:hAnsi="Times New Roman" w:eastAsia="宋体" w:cs="Times New Roman"/>
          <w:sz w:val="30"/>
          <w:szCs w:val="30"/>
        </w:rPr>
        <w:tab/>
      </w:r>
      <w:bookmarkStart w:id="4" w:name="_Toc1131_WPSOffice_Level1Page"/>
      <w:r>
        <w:rPr>
          <w:rFonts w:ascii="Times New Roman" w:hAnsi="Times New Roman" w:eastAsia="宋体" w:cs="Times New Roman"/>
          <w:sz w:val="30"/>
          <w:szCs w:val="30"/>
        </w:rPr>
        <w:t>8</w:t>
      </w:r>
      <w:bookmarkEnd w:id="4"/>
      <w:r>
        <w:rPr>
          <w:rFonts w:ascii="Times New Roman" w:hAnsi="Times New Roman" w:eastAsia="宋体" w:cs="Times New Roman"/>
          <w:sz w:val="30"/>
          <w:szCs w:val="30"/>
        </w:rPr>
        <w:fldChar w:fldCharType="end"/>
      </w:r>
    </w:p>
    <w:p>
      <w:pPr>
        <w:pStyle w:val="35"/>
        <w:tabs>
          <w:tab w:val="right" w:leader="dot" w:pos="14800"/>
        </w:tabs>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_Toc15712_WPSOffice_Level1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z w:val="30"/>
          <w:szCs w:val="30"/>
        </w:rPr>
        <w:t>单位预算一般公共预算财政拨款支出表</w:t>
      </w:r>
      <w:r>
        <w:rPr>
          <w:rFonts w:ascii="Times New Roman" w:hAnsi="Times New Roman" w:eastAsia="宋体" w:cs="Times New Roman"/>
          <w:sz w:val="30"/>
          <w:szCs w:val="30"/>
        </w:rPr>
        <w:tab/>
      </w:r>
      <w:bookmarkStart w:id="5" w:name="_Toc15712_WPSOffice_Level1Page"/>
      <w:r>
        <w:rPr>
          <w:rFonts w:ascii="Times New Roman" w:hAnsi="Times New Roman" w:eastAsia="宋体" w:cs="Times New Roman"/>
          <w:sz w:val="30"/>
          <w:szCs w:val="30"/>
        </w:rPr>
        <w:t>11</w:t>
      </w:r>
      <w:bookmarkEnd w:id="5"/>
      <w:r>
        <w:rPr>
          <w:rFonts w:ascii="Times New Roman" w:hAnsi="Times New Roman" w:eastAsia="宋体" w:cs="Times New Roman"/>
          <w:sz w:val="30"/>
          <w:szCs w:val="30"/>
        </w:rPr>
        <w:fldChar w:fldCharType="end"/>
      </w:r>
    </w:p>
    <w:p>
      <w:pPr>
        <w:pStyle w:val="35"/>
        <w:tabs>
          <w:tab w:val="right" w:leader="dot" w:pos="14800"/>
        </w:tabs>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_Toc13078_WPSOffice_Level1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z w:val="30"/>
          <w:szCs w:val="30"/>
        </w:rPr>
        <w:t>单位预算一般公共预算财政拨款基本支出表</w:t>
      </w:r>
      <w:r>
        <w:rPr>
          <w:rFonts w:ascii="Times New Roman" w:hAnsi="Times New Roman" w:eastAsia="宋体" w:cs="Times New Roman"/>
          <w:sz w:val="30"/>
          <w:szCs w:val="30"/>
        </w:rPr>
        <w:tab/>
      </w:r>
      <w:bookmarkStart w:id="6" w:name="_Toc13078_WPSOffice_Level1Page"/>
      <w:r>
        <w:rPr>
          <w:rFonts w:ascii="Times New Roman" w:hAnsi="Times New Roman" w:eastAsia="宋体" w:cs="Times New Roman"/>
          <w:sz w:val="30"/>
          <w:szCs w:val="30"/>
        </w:rPr>
        <w:t>13</w:t>
      </w:r>
      <w:bookmarkEnd w:id="6"/>
      <w:r>
        <w:rPr>
          <w:rFonts w:ascii="Times New Roman" w:hAnsi="Times New Roman" w:eastAsia="宋体" w:cs="Times New Roman"/>
          <w:sz w:val="30"/>
          <w:szCs w:val="30"/>
        </w:rPr>
        <w:fldChar w:fldCharType="end"/>
      </w:r>
    </w:p>
    <w:p>
      <w:pPr>
        <w:pStyle w:val="35"/>
        <w:tabs>
          <w:tab w:val="right" w:leader="dot" w:pos="14800"/>
        </w:tabs>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_Toc27171_WPSOffice_Level1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z w:val="30"/>
          <w:szCs w:val="30"/>
        </w:rPr>
        <w:t>单位预算政府基金预算财政拨款支出表</w:t>
      </w:r>
      <w:r>
        <w:rPr>
          <w:rFonts w:ascii="Times New Roman" w:hAnsi="Times New Roman" w:eastAsia="宋体" w:cs="Times New Roman"/>
          <w:sz w:val="30"/>
          <w:szCs w:val="30"/>
        </w:rPr>
        <w:tab/>
      </w:r>
      <w:bookmarkStart w:id="7" w:name="_Toc27171_WPSOffice_Level1Page"/>
      <w:r>
        <w:rPr>
          <w:rFonts w:ascii="Times New Roman" w:hAnsi="Times New Roman" w:eastAsia="宋体" w:cs="Times New Roman"/>
          <w:sz w:val="30"/>
          <w:szCs w:val="30"/>
        </w:rPr>
        <w:t>15</w:t>
      </w:r>
      <w:bookmarkEnd w:id="7"/>
      <w:r>
        <w:rPr>
          <w:rFonts w:ascii="Times New Roman" w:hAnsi="Times New Roman" w:eastAsia="宋体" w:cs="Times New Roman"/>
          <w:sz w:val="30"/>
          <w:szCs w:val="30"/>
        </w:rPr>
        <w:fldChar w:fldCharType="end"/>
      </w:r>
    </w:p>
    <w:p>
      <w:pPr>
        <w:pStyle w:val="35"/>
        <w:tabs>
          <w:tab w:val="right" w:leader="dot" w:pos="14800"/>
        </w:tabs>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_Toc20126_WPSOffice_Level1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z w:val="30"/>
          <w:szCs w:val="30"/>
        </w:rPr>
        <w:t>单位预算国有资本经营预算财政拨款支出表</w:t>
      </w:r>
      <w:r>
        <w:rPr>
          <w:rFonts w:ascii="Times New Roman" w:hAnsi="Times New Roman" w:eastAsia="宋体" w:cs="Times New Roman"/>
          <w:sz w:val="30"/>
          <w:szCs w:val="30"/>
        </w:rPr>
        <w:tab/>
      </w:r>
      <w:bookmarkStart w:id="8" w:name="_Toc20126_WPSOffice_Level1Page"/>
      <w:r>
        <w:rPr>
          <w:rFonts w:ascii="Times New Roman" w:hAnsi="Times New Roman" w:eastAsia="宋体" w:cs="Times New Roman"/>
          <w:sz w:val="30"/>
          <w:szCs w:val="30"/>
        </w:rPr>
        <w:t>16</w:t>
      </w:r>
      <w:bookmarkEnd w:id="8"/>
      <w:r>
        <w:rPr>
          <w:rFonts w:ascii="Times New Roman" w:hAnsi="Times New Roman" w:eastAsia="宋体" w:cs="Times New Roman"/>
          <w:sz w:val="30"/>
          <w:szCs w:val="30"/>
        </w:rPr>
        <w:fldChar w:fldCharType="end"/>
      </w:r>
    </w:p>
    <w:p>
      <w:pPr>
        <w:pStyle w:val="35"/>
        <w:tabs>
          <w:tab w:val="right" w:leader="dot" w:pos="14800"/>
        </w:tabs>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_Toc19890_WPSOffice_Level1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z w:val="30"/>
          <w:szCs w:val="30"/>
        </w:rPr>
        <w:t>单位预算财政拨款“三公”经费支出表</w:t>
      </w:r>
      <w:r>
        <w:rPr>
          <w:rFonts w:ascii="Times New Roman" w:hAnsi="Times New Roman" w:eastAsia="宋体" w:cs="Times New Roman"/>
          <w:sz w:val="30"/>
          <w:szCs w:val="30"/>
        </w:rPr>
        <w:tab/>
      </w:r>
      <w:bookmarkStart w:id="9" w:name="_Toc19890_WPSOffice_Level1Page"/>
      <w:r>
        <w:rPr>
          <w:rFonts w:ascii="Times New Roman" w:hAnsi="Times New Roman" w:eastAsia="宋体" w:cs="Times New Roman"/>
          <w:sz w:val="30"/>
          <w:szCs w:val="30"/>
        </w:rPr>
        <w:t>17</w:t>
      </w:r>
      <w:bookmarkEnd w:id="9"/>
      <w:r>
        <w:rPr>
          <w:rFonts w:ascii="Times New Roman" w:hAnsi="Times New Roman" w:eastAsia="宋体" w:cs="Times New Roman"/>
          <w:sz w:val="30"/>
          <w:szCs w:val="30"/>
        </w:rPr>
        <w:fldChar w:fldCharType="end"/>
      </w:r>
    </w:p>
    <w:p>
      <w:bookmarkStart w:id="10" w:name="_Toc2701_WPSOffice_Level1"/>
      <w:r>
        <w:rPr>
          <w:rFonts w:hint="eastAsia" w:ascii="方正楷体_GBK" w:hAnsi="方正楷体_GBK" w:eastAsia="方正楷体_GBK" w:cs="方正楷体_GBK"/>
          <w:b/>
          <w:color w:val="000000"/>
          <w:sz w:val="28"/>
          <w:lang w:eastAsia="zh-CN"/>
        </w:rPr>
        <w:t>单位预算信息公开情况说明</w:t>
      </w:r>
      <w:bookmarkEnd w:id="10"/>
    </w:p>
    <w:p>
      <w:pPr>
        <w:pStyle w:val="35"/>
        <w:tabs>
          <w:tab w:val="right" w:leader="dot" w:pos="14800"/>
        </w:tabs>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_Toc11928_WPSOffice_Level1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z w:val="30"/>
          <w:szCs w:val="30"/>
        </w:rPr>
        <w:t>一、单位职责及机构设置情况</w:t>
      </w:r>
      <w:r>
        <w:rPr>
          <w:rFonts w:ascii="Times New Roman" w:hAnsi="Times New Roman" w:eastAsia="宋体" w:cs="Times New Roman"/>
          <w:sz w:val="30"/>
          <w:szCs w:val="30"/>
        </w:rPr>
        <w:tab/>
      </w:r>
      <w:bookmarkStart w:id="11" w:name="_Toc11928_WPSOffice_Level1Page"/>
      <w:r>
        <w:rPr>
          <w:rFonts w:ascii="Times New Roman" w:hAnsi="Times New Roman" w:eastAsia="宋体" w:cs="Times New Roman"/>
          <w:sz w:val="30"/>
          <w:szCs w:val="30"/>
        </w:rPr>
        <w:t>18</w:t>
      </w:r>
      <w:bookmarkEnd w:id="11"/>
      <w:r>
        <w:rPr>
          <w:rFonts w:ascii="Times New Roman" w:hAnsi="Times New Roman" w:eastAsia="宋体" w:cs="Times New Roman"/>
          <w:sz w:val="30"/>
          <w:szCs w:val="30"/>
        </w:rPr>
        <w:fldChar w:fldCharType="end"/>
      </w:r>
    </w:p>
    <w:p>
      <w:pPr>
        <w:pStyle w:val="35"/>
        <w:tabs>
          <w:tab w:val="right" w:leader="dot" w:pos="14800"/>
        </w:tabs>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_Toc1654_WPSOffice_Level1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z w:val="30"/>
          <w:szCs w:val="30"/>
        </w:rPr>
        <w:t>二、单位预算安排的总体情况</w:t>
      </w:r>
      <w:r>
        <w:rPr>
          <w:rFonts w:ascii="Times New Roman" w:hAnsi="Times New Roman" w:eastAsia="宋体" w:cs="Times New Roman"/>
          <w:sz w:val="30"/>
          <w:szCs w:val="30"/>
        </w:rPr>
        <w:tab/>
      </w:r>
      <w:bookmarkStart w:id="12" w:name="_Toc1654_WPSOffice_Level1Page"/>
      <w:r>
        <w:rPr>
          <w:rFonts w:ascii="Times New Roman" w:hAnsi="Times New Roman" w:eastAsia="宋体" w:cs="Times New Roman"/>
          <w:sz w:val="30"/>
          <w:szCs w:val="30"/>
        </w:rPr>
        <w:t>19</w:t>
      </w:r>
      <w:bookmarkEnd w:id="12"/>
      <w:r>
        <w:rPr>
          <w:rFonts w:ascii="Times New Roman" w:hAnsi="Times New Roman" w:eastAsia="宋体" w:cs="Times New Roman"/>
          <w:sz w:val="30"/>
          <w:szCs w:val="30"/>
        </w:rPr>
        <w:fldChar w:fldCharType="end"/>
      </w:r>
    </w:p>
    <w:p>
      <w:pPr>
        <w:pStyle w:val="35"/>
        <w:tabs>
          <w:tab w:val="right" w:leader="dot" w:pos="14800"/>
        </w:tabs>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_Toc4191_WPSOffice_Level1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z w:val="30"/>
          <w:szCs w:val="30"/>
        </w:rPr>
        <w:t>三、机关运行经费安排情况</w:t>
      </w:r>
      <w:r>
        <w:rPr>
          <w:rFonts w:ascii="Times New Roman" w:hAnsi="Times New Roman" w:eastAsia="宋体" w:cs="Times New Roman"/>
          <w:sz w:val="30"/>
          <w:szCs w:val="30"/>
        </w:rPr>
        <w:tab/>
      </w:r>
      <w:bookmarkStart w:id="13" w:name="_Toc4191_WPSOffice_Level1Page"/>
      <w:r>
        <w:rPr>
          <w:rFonts w:ascii="Times New Roman" w:hAnsi="Times New Roman" w:eastAsia="宋体" w:cs="Times New Roman"/>
          <w:sz w:val="30"/>
          <w:szCs w:val="30"/>
        </w:rPr>
        <w:t>20</w:t>
      </w:r>
      <w:bookmarkEnd w:id="13"/>
      <w:r>
        <w:rPr>
          <w:rFonts w:ascii="Times New Roman" w:hAnsi="Times New Roman" w:eastAsia="宋体" w:cs="Times New Roman"/>
          <w:sz w:val="30"/>
          <w:szCs w:val="30"/>
        </w:rPr>
        <w:fldChar w:fldCharType="end"/>
      </w:r>
    </w:p>
    <w:p>
      <w:pPr>
        <w:pStyle w:val="35"/>
        <w:tabs>
          <w:tab w:val="right" w:leader="dot" w:pos="14800"/>
        </w:tabs>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_Toc31367_WPSOffice_Level1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z w:val="30"/>
          <w:szCs w:val="30"/>
        </w:rPr>
        <w:t>四、财政拨款“三公”经费预算情况及增减变化原因</w:t>
      </w:r>
      <w:r>
        <w:rPr>
          <w:rFonts w:ascii="Times New Roman" w:hAnsi="Times New Roman" w:eastAsia="宋体" w:cs="Times New Roman"/>
          <w:sz w:val="30"/>
          <w:szCs w:val="30"/>
        </w:rPr>
        <w:tab/>
      </w:r>
      <w:bookmarkStart w:id="14" w:name="_Toc31367_WPSOffice_Level1Page"/>
      <w:r>
        <w:rPr>
          <w:rFonts w:ascii="Times New Roman" w:hAnsi="Times New Roman" w:eastAsia="宋体" w:cs="Times New Roman"/>
          <w:sz w:val="30"/>
          <w:szCs w:val="30"/>
        </w:rPr>
        <w:t>20</w:t>
      </w:r>
      <w:bookmarkEnd w:id="14"/>
      <w:r>
        <w:rPr>
          <w:rFonts w:ascii="Times New Roman" w:hAnsi="Times New Roman" w:eastAsia="宋体" w:cs="Times New Roman"/>
          <w:sz w:val="30"/>
          <w:szCs w:val="30"/>
        </w:rPr>
        <w:fldChar w:fldCharType="end"/>
      </w:r>
    </w:p>
    <w:p>
      <w:pPr>
        <w:pStyle w:val="35"/>
        <w:tabs>
          <w:tab w:val="right" w:leader="dot" w:pos="14800"/>
        </w:tabs>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_Toc12054_WPSOffice_Level1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z w:val="30"/>
          <w:szCs w:val="30"/>
        </w:rPr>
        <w:t>五、预算绩效信息</w:t>
      </w:r>
      <w:r>
        <w:rPr>
          <w:rFonts w:ascii="Times New Roman" w:hAnsi="Times New Roman" w:eastAsia="宋体" w:cs="Times New Roman"/>
          <w:sz w:val="30"/>
          <w:szCs w:val="30"/>
        </w:rPr>
        <w:tab/>
      </w:r>
      <w:bookmarkStart w:id="15" w:name="_Toc12054_WPSOffice_Level1Page"/>
      <w:r>
        <w:rPr>
          <w:rFonts w:ascii="Times New Roman" w:hAnsi="Times New Roman" w:eastAsia="宋体" w:cs="Times New Roman"/>
          <w:sz w:val="30"/>
          <w:szCs w:val="30"/>
        </w:rPr>
        <w:t>20</w:t>
      </w:r>
      <w:bookmarkEnd w:id="15"/>
      <w:r>
        <w:rPr>
          <w:rFonts w:ascii="Times New Roman" w:hAnsi="Times New Roman" w:eastAsia="宋体" w:cs="Times New Roman"/>
          <w:sz w:val="30"/>
          <w:szCs w:val="30"/>
        </w:rPr>
        <w:fldChar w:fldCharType="end"/>
      </w:r>
    </w:p>
    <w:p>
      <w:pPr>
        <w:pStyle w:val="35"/>
        <w:tabs>
          <w:tab w:val="right" w:leader="dot" w:pos="14800"/>
        </w:tabs>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_Toc22597_WPSOffice_Level1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z w:val="30"/>
          <w:szCs w:val="30"/>
        </w:rPr>
        <w:t>六、政府采购预算情况</w:t>
      </w:r>
      <w:r>
        <w:rPr>
          <w:rFonts w:ascii="Times New Roman" w:hAnsi="Times New Roman" w:eastAsia="宋体" w:cs="Times New Roman"/>
          <w:sz w:val="30"/>
          <w:szCs w:val="30"/>
        </w:rPr>
        <w:tab/>
      </w:r>
      <w:bookmarkStart w:id="16" w:name="_Toc22597_WPSOffice_Level1Page"/>
      <w:r>
        <w:rPr>
          <w:rFonts w:ascii="Times New Roman" w:hAnsi="Times New Roman" w:eastAsia="宋体" w:cs="Times New Roman"/>
          <w:sz w:val="30"/>
          <w:szCs w:val="30"/>
        </w:rPr>
        <w:t>24</w:t>
      </w:r>
      <w:bookmarkEnd w:id="16"/>
      <w:r>
        <w:rPr>
          <w:rFonts w:ascii="Times New Roman" w:hAnsi="Times New Roman" w:eastAsia="宋体" w:cs="Times New Roman"/>
          <w:sz w:val="30"/>
          <w:szCs w:val="30"/>
        </w:rPr>
        <w:fldChar w:fldCharType="end"/>
      </w:r>
    </w:p>
    <w:p>
      <w:pPr>
        <w:pStyle w:val="35"/>
        <w:tabs>
          <w:tab w:val="right" w:leader="dot" w:pos="14800"/>
        </w:tabs>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_Toc13480_WPSOffice_Level1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z w:val="30"/>
          <w:szCs w:val="30"/>
        </w:rPr>
        <w:t>七、国有资产信息</w:t>
      </w:r>
      <w:r>
        <w:rPr>
          <w:rFonts w:ascii="Times New Roman" w:hAnsi="Times New Roman" w:eastAsia="宋体" w:cs="Times New Roman"/>
          <w:sz w:val="30"/>
          <w:szCs w:val="30"/>
        </w:rPr>
        <w:tab/>
      </w:r>
      <w:bookmarkStart w:id="17" w:name="_Toc13480_WPSOffice_Level1Page"/>
      <w:r>
        <w:rPr>
          <w:rFonts w:ascii="Times New Roman" w:hAnsi="Times New Roman" w:eastAsia="宋体" w:cs="Times New Roman"/>
          <w:sz w:val="30"/>
          <w:szCs w:val="30"/>
        </w:rPr>
        <w:t>24</w:t>
      </w:r>
      <w:bookmarkEnd w:id="17"/>
      <w:r>
        <w:rPr>
          <w:rFonts w:ascii="Times New Roman" w:hAnsi="Times New Roman" w:eastAsia="宋体" w:cs="Times New Roman"/>
          <w:sz w:val="30"/>
          <w:szCs w:val="30"/>
        </w:rPr>
        <w:fldChar w:fldCharType="end"/>
      </w:r>
    </w:p>
    <w:p>
      <w:pPr>
        <w:pStyle w:val="35"/>
        <w:tabs>
          <w:tab w:val="right" w:leader="dot" w:pos="14800"/>
        </w:tabs>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_Toc32065_WPSOffice_Level1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z w:val="30"/>
          <w:szCs w:val="30"/>
        </w:rPr>
        <w:t>八、名词解释</w:t>
      </w:r>
      <w:r>
        <w:rPr>
          <w:rFonts w:ascii="Times New Roman" w:hAnsi="Times New Roman" w:eastAsia="宋体" w:cs="Times New Roman"/>
          <w:sz w:val="30"/>
          <w:szCs w:val="30"/>
        </w:rPr>
        <w:tab/>
      </w:r>
      <w:bookmarkStart w:id="18" w:name="_Toc32065_WPSOffice_Level1Page"/>
      <w:r>
        <w:rPr>
          <w:rFonts w:ascii="Times New Roman" w:hAnsi="Times New Roman" w:eastAsia="宋体" w:cs="Times New Roman"/>
          <w:sz w:val="30"/>
          <w:szCs w:val="30"/>
        </w:rPr>
        <w:t>25</w:t>
      </w:r>
      <w:bookmarkEnd w:id="18"/>
      <w:r>
        <w:rPr>
          <w:rFonts w:ascii="Times New Roman" w:hAnsi="Times New Roman" w:eastAsia="宋体" w:cs="Times New Roman"/>
          <w:sz w:val="30"/>
          <w:szCs w:val="30"/>
        </w:rPr>
        <w:fldChar w:fldCharType="end"/>
      </w:r>
    </w:p>
    <w:p>
      <w:pPr>
        <w:pStyle w:val="35"/>
        <w:tabs>
          <w:tab w:val="right" w:leader="dot" w:pos="14800"/>
        </w:tabs>
        <w:ind w:firstLine="600" w:firstLineChars="200"/>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_Toc9094_WPSOffice_Level1 </w:instrText>
      </w:r>
      <w:r>
        <w:rPr>
          <w:rFonts w:ascii="Times New Roman" w:hAnsi="Times New Roman" w:eastAsia="宋体" w:cs="Times New Roman"/>
          <w:sz w:val="30"/>
          <w:szCs w:val="30"/>
        </w:rPr>
        <w:fldChar w:fldCharType="separate"/>
      </w:r>
      <w:r>
        <w:rPr>
          <w:rFonts w:hint="eastAsia" w:ascii="Times New Roman" w:hAnsi="Times New Roman" w:eastAsia="宋体" w:cs="Times New Roman"/>
          <w:sz w:val="30"/>
          <w:szCs w:val="30"/>
        </w:rPr>
        <w:t>九、其他需要说明的事项</w:t>
      </w:r>
      <w:r>
        <w:rPr>
          <w:rFonts w:ascii="Times New Roman" w:hAnsi="Times New Roman" w:eastAsia="宋体" w:cs="Times New Roman"/>
          <w:sz w:val="30"/>
          <w:szCs w:val="30"/>
        </w:rPr>
        <w:tab/>
      </w:r>
      <w:bookmarkStart w:id="19" w:name="_Toc9094_WPSOffice_Level1Page"/>
      <w:r>
        <w:rPr>
          <w:rFonts w:ascii="Times New Roman" w:hAnsi="Times New Roman" w:eastAsia="宋体" w:cs="Times New Roman"/>
          <w:sz w:val="30"/>
          <w:szCs w:val="30"/>
        </w:rPr>
        <w:t>26</w:t>
      </w:r>
      <w:bookmarkEnd w:id="19"/>
      <w:r>
        <w:rPr>
          <w:rFonts w:ascii="Times New Roman" w:hAnsi="Times New Roman" w:eastAsia="宋体" w:cs="Times New Roman"/>
          <w:sz w:val="30"/>
          <w:szCs w:val="30"/>
        </w:rPr>
        <w:fldChar w:fldCharType="end"/>
      </w:r>
      <w:bookmarkEnd w:id="0"/>
    </w:p>
    <w:p>
      <w:pPr>
        <w:jc w:val="both"/>
        <w:rPr>
          <w:rFonts w:hint="eastAsia" w:ascii="方正小标宋_GBK" w:hAnsi="方正小标宋_GBK" w:eastAsia="方正小标宋_GBK" w:cs="方正小标宋_GBK"/>
          <w:color w:val="000000"/>
          <w:sz w:val="44"/>
        </w:rPr>
      </w:pPr>
      <w:bookmarkStart w:id="20" w:name="_Toc8813_WPSOffice_Level1"/>
      <w:bookmarkStart w:id="21" w:name="_Toc3823_WPSOffice_Level1"/>
      <w:bookmarkStart w:id="22" w:name="_Toc_4_4_0000000019"/>
    </w:p>
    <w:p>
      <w:pPr>
        <w:jc w:val="center"/>
        <w:outlineLvl w:val="3"/>
      </w:pPr>
      <w:bookmarkStart w:id="23" w:name="_Toc13263_WPSOffice_Level1"/>
      <w:r>
        <w:rPr>
          <w:rFonts w:hint="eastAsia" w:ascii="方正小标宋_GBK" w:hAnsi="方正小标宋_GBK" w:eastAsia="方正小标宋_GBK" w:cs="方正小标宋_GBK"/>
          <w:color w:val="000000"/>
          <w:sz w:val="44"/>
        </w:rPr>
        <w:t>一、政协单位中国人民政治协商会议河北省秦皇岛市山海关区委员会本级收支预算</w:t>
      </w:r>
      <w:bookmarkEnd w:id="20"/>
      <w:bookmarkEnd w:id="21"/>
      <w:bookmarkEnd w:id="22"/>
      <w:bookmarkEnd w:id="23"/>
    </w:p>
    <w:p>
      <w:pPr>
        <w:jc w:val="center"/>
        <w:outlineLvl w:val="4"/>
      </w:pPr>
      <w:bookmarkStart w:id="24" w:name="_Toc10143_WPSOffice_Level1"/>
      <w:r>
        <w:rPr>
          <w:rFonts w:hint="eastAsia" w:ascii="方正小标宋_GBK" w:hAnsi="方正小标宋_GBK" w:eastAsia="方正小标宋_GBK" w:cs="方正小标宋_GBK"/>
          <w:color w:val="000000"/>
          <w:sz w:val="36"/>
        </w:rPr>
        <w:t>单位预算收支总表</w:t>
      </w:r>
      <w:bookmarkEnd w:id="2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131001</w:t>
            </w:r>
            <w:r>
              <w:rPr>
                <w:rFonts w:hint="eastAsia"/>
              </w:rPr>
              <w:t>政协单位中国人民政治协商会议河北省秦皇岛市山海关区委员会本级</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442.30</w:t>
            </w:r>
          </w:p>
        </w:tc>
        <w:tc>
          <w:tcPr>
            <w:tcW w:w="4535" w:type="dxa"/>
            <w:vAlign w:val="center"/>
          </w:tcPr>
          <w:p>
            <w:pPr>
              <w:pStyle w:val="16"/>
            </w:pPr>
            <w:r>
              <w:rPr>
                <w:rFonts w:hint="eastAsia"/>
              </w:rPr>
              <w:t>一、一般公共服务支出</w:t>
            </w:r>
          </w:p>
        </w:tc>
        <w:tc>
          <w:tcPr>
            <w:tcW w:w="2126" w:type="dxa"/>
            <w:vAlign w:val="center"/>
          </w:tcPr>
          <w:p>
            <w:pPr>
              <w:pStyle w:val="15"/>
            </w:pPr>
            <w:r>
              <w:t>296.61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84.96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38.45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22.29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rPr>
                <w:rFonts w:hint="eastAsia"/>
              </w:rPr>
              <w:t>本年收入合计</w:t>
            </w:r>
          </w:p>
        </w:tc>
        <w:tc>
          <w:tcPr>
            <w:tcW w:w="2126" w:type="dxa"/>
            <w:vAlign w:val="center"/>
          </w:tcPr>
          <w:p>
            <w:pPr>
              <w:pStyle w:val="19"/>
            </w:pPr>
            <w:r>
              <w:t>442.30</w:t>
            </w:r>
          </w:p>
        </w:tc>
        <w:tc>
          <w:tcPr>
            <w:tcW w:w="4535" w:type="dxa"/>
            <w:vAlign w:val="center"/>
          </w:tcPr>
          <w:p>
            <w:pPr>
              <w:pStyle w:val="18"/>
            </w:pPr>
            <w:r>
              <w:rPr>
                <w:rFonts w:hint="eastAsia"/>
              </w:rPr>
              <w:t>本年支出合计</w:t>
            </w:r>
          </w:p>
        </w:tc>
        <w:tc>
          <w:tcPr>
            <w:tcW w:w="2126" w:type="dxa"/>
            <w:vAlign w:val="center"/>
          </w:tcPr>
          <w:p>
            <w:pPr>
              <w:pStyle w:val="19"/>
            </w:pPr>
            <w:r>
              <w:t>442.30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rPr>
                <w:rFonts w:hint="eastAsia"/>
              </w:rPr>
              <w:t>收入总计</w:t>
            </w:r>
          </w:p>
        </w:tc>
        <w:tc>
          <w:tcPr>
            <w:tcW w:w="2126" w:type="dxa"/>
            <w:vAlign w:val="center"/>
          </w:tcPr>
          <w:p>
            <w:pPr>
              <w:pStyle w:val="19"/>
            </w:pPr>
            <w:r>
              <w:t>442.30</w:t>
            </w:r>
          </w:p>
        </w:tc>
        <w:tc>
          <w:tcPr>
            <w:tcW w:w="4535" w:type="dxa"/>
            <w:vAlign w:val="center"/>
          </w:tcPr>
          <w:p>
            <w:pPr>
              <w:pStyle w:val="18"/>
            </w:pPr>
            <w:r>
              <w:rPr>
                <w:rFonts w:hint="eastAsia"/>
              </w:rPr>
              <w:t>支出总计</w:t>
            </w:r>
          </w:p>
        </w:tc>
        <w:tc>
          <w:tcPr>
            <w:tcW w:w="2126" w:type="dxa"/>
            <w:vAlign w:val="center"/>
          </w:tcPr>
          <w:p>
            <w:pPr>
              <w:pStyle w:val="19"/>
            </w:pPr>
            <w:r>
              <w:t>442.30</w:t>
            </w:r>
          </w:p>
        </w:tc>
      </w:tr>
    </w:tbl>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361" w:right="1020" w:bottom="1134" w:left="1020" w:header="720" w:footer="720" w:gutter="0"/>
          <w:cols w:space="720" w:num="1"/>
        </w:sectPr>
      </w:pPr>
    </w:p>
    <w:p>
      <w:pPr>
        <w:jc w:val="center"/>
        <w:outlineLvl w:val="4"/>
      </w:pPr>
      <w:bookmarkStart w:id="25" w:name="_Toc13782_WPSOffice_Level1"/>
      <w:r>
        <w:rPr>
          <w:rFonts w:hint="eastAsia" w:ascii="方正小标宋_GBK" w:hAnsi="方正小标宋_GBK" w:eastAsia="方正小标宋_GBK" w:cs="方正小标宋_GBK"/>
          <w:color w:val="000000"/>
          <w:sz w:val="36"/>
        </w:rPr>
        <w:t>单位预算收入总表</w:t>
      </w:r>
      <w:bookmarkEnd w:id="2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131001</w:t>
            </w:r>
            <w:r>
              <w:rPr>
                <w:rFonts w:hint="eastAsia"/>
              </w:rPr>
              <w:t>政协单位中国人民政治协商会议河北省秦皇岛市山海关区委员会本级</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442.30</w:t>
            </w:r>
          </w:p>
        </w:tc>
        <w:tc>
          <w:tcPr>
            <w:tcW w:w="1134" w:type="dxa"/>
            <w:vAlign w:val="center"/>
          </w:tcPr>
          <w:p>
            <w:pPr>
              <w:pStyle w:val="19"/>
            </w:pPr>
            <w:r>
              <w:t>442.30</w:t>
            </w:r>
          </w:p>
        </w:tc>
        <w:tc>
          <w:tcPr>
            <w:tcW w:w="1134" w:type="dxa"/>
            <w:vAlign w:val="center"/>
          </w:tcPr>
          <w:p>
            <w:pPr>
              <w:pStyle w:val="19"/>
            </w:pPr>
            <w:r>
              <w:t>442.30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rPr>
                <w:rFonts w:hint="eastAsia"/>
              </w:rPr>
              <w:t>一般公共服务支出</w:t>
            </w:r>
          </w:p>
        </w:tc>
        <w:tc>
          <w:tcPr>
            <w:tcW w:w="1134" w:type="dxa"/>
            <w:vAlign w:val="center"/>
          </w:tcPr>
          <w:p>
            <w:pPr>
              <w:pStyle w:val="15"/>
            </w:pPr>
            <w:r>
              <w:t>296.61</w:t>
            </w:r>
          </w:p>
        </w:tc>
        <w:tc>
          <w:tcPr>
            <w:tcW w:w="1134" w:type="dxa"/>
            <w:vAlign w:val="center"/>
          </w:tcPr>
          <w:p>
            <w:pPr>
              <w:pStyle w:val="15"/>
            </w:pPr>
            <w:r>
              <w:t>296.61</w:t>
            </w:r>
          </w:p>
        </w:tc>
        <w:tc>
          <w:tcPr>
            <w:tcW w:w="1134" w:type="dxa"/>
            <w:vAlign w:val="center"/>
          </w:tcPr>
          <w:p>
            <w:pPr>
              <w:pStyle w:val="15"/>
            </w:pPr>
            <w:r>
              <w:t>296.61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20102</w:t>
            </w:r>
          </w:p>
        </w:tc>
        <w:tc>
          <w:tcPr>
            <w:tcW w:w="1559" w:type="dxa"/>
            <w:vAlign w:val="center"/>
          </w:tcPr>
          <w:p>
            <w:pPr>
              <w:pStyle w:val="16"/>
            </w:pPr>
            <w:r>
              <w:rPr>
                <w:rFonts w:hint="eastAsia"/>
              </w:rPr>
              <w:t>政协事务</w:t>
            </w:r>
          </w:p>
        </w:tc>
        <w:tc>
          <w:tcPr>
            <w:tcW w:w="1134" w:type="dxa"/>
            <w:vAlign w:val="center"/>
          </w:tcPr>
          <w:p>
            <w:pPr>
              <w:pStyle w:val="15"/>
            </w:pPr>
            <w:r>
              <w:t>296.61</w:t>
            </w:r>
          </w:p>
        </w:tc>
        <w:tc>
          <w:tcPr>
            <w:tcW w:w="1134" w:type="dxa"/>
            <w:vAlign w:val="center"/>
          </w:tcPr>
          <w:p>
            <w:pPr>
              <w:pStyle w:val="15"/>
            </w:pPr>
            <w:r>
              <w:t>296.61</w:t>
            </w:r>
          </w:p>
        </w:tc>
        <w:tc>
          <w:tcPr>
            <w:tcW w:w="1134" w:type="dxa"/>
            <w:vAlign w:val="center"/>
          </w:tcPr>
          <w:p>
            <w:pPr>
              <w:pStyle w:val="15"/>
            </w:pPr>
            <w:r>
              <w:t>296.61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2010201</w:t>
            </w:r>
          </w:p>
        </w:tc>
        <w:tc>
          <w:tcPr>
            <w:tcW w:w="1559" w:type="dxa"/>
            <w:vAlign w:val="center"/>
          </w:tcPr>
          <w:p>
            <w:pPr>
              <w:pStyle w:val="16"/>
            </w:pPr>
            <w:r>
              <w:rPr>
                <w:rFonts w:hint="eastAsia"/>
              </w:rPr>
              <w:t>行政运行</w:t>
            </w:r>
          </w:p>
        </w:tc>
        <w:tc>
          <w:tcPr>
            <w:tcW w:w="1134" w:type="dxa"/>
            <w:vAlign w:val="center"/>
          </w:tcPr>
          <w:p>
            <w:pPr>
              <w:pStyle w:val="15"/>
            </w:pPr>
            <w:r>
              <w:t>231.61</w:t>
            </w:r>
          </w:p>
        </w:tc>
        <w:tc>
          <w:tcPr>
            <w:tcW w:w="1134" w:type="dxa"/>
            <w:vAlign w:val="center"/>
          </w:tcPr>
          <w:p>
            <w:pPr>
              <w:pStyle w:val="15"/>
            </w:pPr>
            <w:r>
              <w:t>231.61</w:t>
            </w:r>
          </w:p>
        </w:tc>
        <w:tc>
          <w:tcPr>
            <w:tcW w:w="1134" w:type="dxa"/>
            <w:vAlign w:val="center"/>
          </w:tcPr>
          <w:p>
            <w:pPr>
              <w:pStyle w:val="15"/>
            </w:pPr>
            <w:r>
              <w:t>231.61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2010204</w:t>
            </w:r>
          </w:p>
        </w:tc>
        <w:tc>
          <w:tcPr>
            <w:tcW w:w="1559" w:type="dxa"/>
            <w:vAlign w:val="center"/>
          </w:tcPr>
          <w:p>
            <w:pPr>
              <w:pStyle w:val="16"/>
            </w:pPr>
            <w:r>
              <w:rPr>
                <w:rFonts w:hint="eastAsia"/>
              </w:rPr>
              <w:t>政协会议</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2010299</w:t>
            </w:r>
          </w:p>
        </w:tc>
        <w:tc>
          <w:tcPr>
            <w:tcW w:w="1559" w:type="dxa"/>
            <w:vAlign w:val="center"/>
          </w:tcPr>
          <w:p>
            <w:pPr>
              <w:pStyle w:val="16"/>
            </w:pPr>
            <w:r>
              <w:rPr>
                <w:rFonts w:hint="eastAsia"/>
              </w:rPr>
              <w:t>其他政协事务支出</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84.96</w:t>
            </w:r>
          </w:p>
        </w:tc>
        <w:tc>
          <w:tcPr>
            <w:tcW w:w="1134" w:type="dxa"/>
            <w:vAlign w:val="center"/>
          </w:tcPr>
          <w:p>
            <w:pPr>
              <w:pStyle w:val="15"/>
            </w:pPr>
            <w:r>
              <w:t>84.96</w:t>
            </w:r>
          </w:p>
        </w:tc>
        <w:tc>
          <w:tcPr>
            <w:tcW w:w="1134" w:type="dxa"/>
            <w:vAlign w:val="center"/>
          </w:tcPr>
          <w:p>
            <w:pPr>
              <w:pStyle w:val="15"/>
            </w:pPr>
            <w:r>
              <w:t>84.96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83.38</w:t>
            </w:r>
          </w:p>
        </w:tc>
        <w:tc>
          <w:tcPr>
            <w:tcW w:w="1134" w:type="dxa"/>
            <w:vAlign w:val="center"/>
          </w:tcPr>
          <w:p>
            <w:pPr>
              <w:pStyle w:val="15"/>
            </w:pPr>
            <w:r>
              <w:t>83.38</w:t>
            </w:r>
          </w:p>
        </w:tc>
        <w:tc>
          <w:tcPr>
            <w:tcW w:w="1134" w:type="dxa"/>
            <w:vAlign w:val="center"/>
          </w:tcPr>
          <w:p>
            <w:pPr>
              <w:pStyle w:val="15"/>
            </w:pPr>
            <w:r>
              <w:t>83.38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2080501</w:t>
            </w:r>
          </w:p>
        </w:tc>
        <w:tc>
          <w:tcPr>
            <w:tcW w:w="1559" w:type="dxa"/>
            <w:vAlign w:val="center"/>
          </w:tcPr>
          <w:p>
            <w:pPr>
              <w:pStyle w:val="16"/>
            </w:pPr>
            <w:r>
              <w:rPr>
                <w:rFonts w:hint="eastAsia"/>
              </w:rPr>
              <w:t>行政单位离退休</w:t>
            </w:r>
          </w:p>
        </w:tc>
        <w:tc>
          <w:tcPr>
            <w:tcW w:w="1134" w:type="dxa"/>
            <w:vAlign w:val="center"/>
          </w:tcPr>
          <w:p>
            <w:pPr>
              <w:pStyle w:val="15"/>
            </w:pPr>
            <w:r>
              <w:t>54.12</w:t>
            </w:r>
          </w:p>
        </w:tc>
        <w:tc>
          <w:tcPr>
            <w:tcW w:w="1134" w:type="dxa"/>
            <w:vAlign w:val="center"/>
          </w:tcPr>
          <w:p>
            <w:pPr>
              <w:pStyle w:val="15"/>
            </w:pPr>
            <w:r>
              <w:t>54.12</w:t>
            </w:r>
          </w:p>
        </w:tc>
        <w:tc>
          <w:tcPr>
            <w:tcW w:w="1134" w:type="dxa"/>
            <w:vAlign w:val="center"/>
          </w:tcPr>
          <w:p>
            <w:pPr>
              <w:pStyle w:val="15"/>
            </w:pPr>
            <w:r>
              <w:t>54.12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29.26</w:t>
            </w:r>
          </w:p>
        </w:tc>
        <w:tc>
          <w:tcPr>
            <w:tcW w:w="1134" w:type="dxa"/>
            <w:vAlign w:val="center"/>
          </w:tcPr>
          <w:p>
            <w:pPr>
              <w:pStyle w:val="15"/>
            </w:pPr>
            <w:r>
              <w:t>29.26</w:t>
            </w:r>
          </w:p>
        </w:tc>
        <w:tc>
          <w:tcPr>
            <w:tcW w:w="1134" w:type="dxa"/>
            <w:vAlign w:val="center"/>
          </w:tcPr>
          <w:p>
            <w:pPr>
              <w:pStyle w:val="15"/>
            </w:pPr>
            <w:r>
              <w:t>29.26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20808</w:t>
            </w:r>
          </w:p>
        </w:tc>
        <w:tc>
          <w:tcPr>
            <w:tcW w:w="1559" w:type="dxa"/>
            <w:vAlign w:val="center"/>
          </w:tcPr>
          <w:p>
            <w:pPr>
              <w:pStyle w:val="16"/>
            </w:pPr>
            <w:r>
              <w:rPr>
                <w:rFonts w:hint="eastAsia"/>
              </w:rPr>
              <w:t>抚恤</w:t>
            </w:r>
          </w:p>
        </w:tc>
        <w:tc>
          <w:tcPr>
            <w:tcW w:w="1134" w:type="dxa"/>
            <w:vAlign w:val="center"/>
          </w:tcPr>
          <w:p>
            <w:pPr>
              <w:pStyle w:val="15"/>
            </w:pPr>
            <w:r>
              <w:t>1.58</w:t>
            </w:r>
          </w:p>
        </w:tc>
        <w:tc>
          <w:tcPr>
            <w:tcW w:w="1134" w:type="dxa"/>
            <w:vAlign w:val="center"/>
          </w:tcPr>
          <w:p>
            <w:pPr>
              <w:pStyle w:val="15"/>
            </w:pPr>
            <w:r>
              <w:t>1.58</w:t>
            </w:r>
          </w:p>
        </w:tc>
        <w:tc>
          <w:tcPr>
            <w:tcW w:w="1134" w:type="dxa"/>
            <w:vAlign w:val="center"/>
          </w:tcPr>
          <w:p>
            <w:pPr>
              <w:pStyle w:val="15"/>
            </w:pPr>
            <w:r>
              <w:t>1.58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2080899</w:t>
            </w:r>
          </w:p>
        </w:tc>
        <w:tc>
          <w:tcPr>
            <w:tcW w:w="1559" w:type="dxa"/>
            <w:vAlign w:val="center"/>
          </w:tcPr>
          <w:p>
            <w:pPr>
              <w:pStyle w:val="16"/>
            </w:pPr>
            <w:r>
              <w:rPr>
                <w:rFonts w:hint="eastAsia"/>
              </w:rPr>
              <w:t>其他优抚支出</w:t>
            </w:r>
          </w:p>
        </w:tc>
        <w:tc>
          <w:tcPr>
            <w:tcW w:w="1134" w:type="dxa"/>
            <w:vAlign w:val="center"/>
          </w:tcPr>
          <w:p>
            <w:pPr>
              <w:pStyle w:val="15"/>
            </w:pPr>
            <w:r>
              <w:t>1.58</w:t>
            </w:r>
          </w:p>
        </w:tc>
        <w:tc>
          <w:tcPr>
            <w:tcW w:w="1134" w:type="dxa"/>
            <w:vAlign w:val="center"/>
          </w:tcPr>
          <w:p>
            <w:pPr>
              <w:pStyle w:val="15"/>
            </w:pPr>
            <w:r>
              <w:t>1.58</w:t>
            </w:r>
          </w:p>
        </w:tc>
        <w:tc>
          <w:tcPr>
            <w:tcW w:w="1134" w:type="dxa"/>
            <w:vAlign w:val="center"/>
          </w:tcPr>
          <w:p>
            <w:pPr>
              <w:pStyle w:val="15"/>
            </w:pPr>
            <w:r>
              <w:t>1.58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38.45</w:t>
            </w:r>
          </w:p>
        </w:tc>
        <w:tc>
          <w:tcPr>
            <w:tcW w:w="1134" w:type="dxa"/>
            <w:vAlign w:val="center"/>
          </w:tcPr>
          <w:p>
            <w:pPr>
              <w:pStyle w:val="15"/>
            </w:pPr>
            <w:r>
              <w:t>38.45</w:t>
            </w:r>
          </w:p>
        </w:tc>
        <w:tc>
          <w:tcPr>
            <w:tcW w:w="1134" w:type="dxa"/>
            <w:vAlign w:val="center"/>
          </w:tcPr>
          <w:p>
            <w:pPr>
              <w:pStyle w:val="15"/>
            </w:pPr>
            <w:r>
              <w:t>38.45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38.45</w:t>
            </w:r>
          </w:p>
        </w:tc>
        <w:tc>
          <w:tcPr>
            <w:tcW w:w="1134" w:type="dxa"/>
            <w:vAlign w:val="center"/>
          </w:tcPr>
          <w:p>
            <w:pPr>
              <w:pStyle w:val="15"/>
            </w:pPr>
            <w:r>
              <w:t>38.45</w:t>
            </w:r>
          </w:p>
        </w:tc>
        <w:tc>
          <w:tcPr>
            <w:tcW w:w="1134" w:type="dxa"/>
            <w:vAlign w:val="center"/>
          </w:tcPr>
          <w:p>
            <w:pPr>
              <w:pStyle w:val="15"/>
            </w:pPr>
            <w:r>
              <w:t>38.45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2101101</w:t>
            </w:r>
          </w:p>
        </w:tc>
        <w:tc>
          <w:tcPr>
            <w:tcW w:w="1559" w:type="dxa"/>
            <w:vAlign w:val="center"/>
          </w:tcPr>
          <w:p>
            <w:pPr>
              <w:pStyle w:val="16"/>
            </w:pPr>
            <w:r>
              <w:rPr>
                <w:rFonts w:hint="eastAsia"/>
              </w:rPr>
              <w:t>行政单位医疗</w:t>
            </w:r>
          </w:p>
        </w:tc>
        <w:tc>
          <w:tcPr>
            <w:tcW w:w="1134" w:type="dxa"/>
            <w:vAlign w:val="center"/>
          </w:tcPr>
          <w:p>
            <w:pPr>
              <w:pStyle w:val="15"/>
            </w:pPr>
            <w:r>
              <w:t>11.69</w:t>
            </w:r>
          </w:p>
        </w:tc>
        <w:tc>
          <w:tcPr>
            <w:tcW w:w="1134" w:type="dxa"/>
            <w:vAlign w:val="center"/>
          </w:tcPr>
          <w:p>
            <w:pPr>
              <w:pStyle w:val="15"/>
            </w:pPr>
            <w:r>
              <w:t>11.69</w:t>
            </w:r>
          </w:p>
        </w:tc>
        <w:tc>
          <w:tcPr>
            <w:tcW w:w="1134" w:type="dxa"/>
            <w:vAlign w:val="center"/>
          </w:tcPr>
          <w:p>
            <w:pPr>
              <w:pStyle w:val="15"/>
            </w:pPr>
            <w:r>
              <w:t>11.69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2101103</w:t>
            </w:r>
          </w:p>
        </w:tc>
        <w:tc>
          <w:tcPr>
            <w:tcW w:w="1559" w:type="dxa"/>
            <w:vAlign w:val="center"/>
          </w:tcPr>
          <w:p>
            <w:pPr>
              <w:pStyle w:val="16"/>
            </w:pPr>
            <w:r>
              <w:rPr>
                <w:rFonts w:hint="eastAsia"/>
              </w:rPr>
              <w:t>公务员医疗补助</w:t>
            </w:r>
          </w:p>
        </w:tc>
        <w:tc>
          <w:tcPr>
            <w:tcW w:w="1134" w:type="dxa"/>
            <w:vAlign w:val="center"/>
          </w:tcPr>
          <w:p>
            <w:pPr>
              <w:pStyle w:val="15"/>
            </w:pPr>
            <w:r>
              <w:t>26.76</w:t>
            </w:r>
          </w:p>
        </w:tc>
        <w:tc>
          <w:tcPr>
            <w:tcW w:w="1134" w:type="dxa"/>
            <w:vAlign w:val="center"/>
          </w:tcPr>
          <w:p>
            <w:pPr>
              <w:pStyle w:val="15"/>
            </w:pPr>
            <w:r>
              <w:t>26.76</w:t>
            </w:r>
          </w:p>
        </w:tc>
        <w:tc>
          <w:tcPr>
            <w:tcW w:w="1134" w:type="dxa"/>
            <w:vAlign w:val="center"/>
          </w:tcPr>
          <w:p>
            <w:pPr>
              <w:pStyle w:val="15"/>
            </w:pPr>
            <w:r>
              <w:t>26.76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22.29</w:t>
            </w:r>
          </w:p>
        </w:tc>
        <w:tc>
          <w:tcPr>
            <w:tcW w:w="1134" w:type="dxa"/>
            <w:vAlign w:val="center"/>
          </w:tcPr>
          <w:p>
            <w:pPr>
              <w:pStyle w:val="15"/>
            </w:pPr>
            <w:r>
              <w:t>22.29</w:t>
            </w:r>
          </w:p>
        </w:tc>
        <w:tc>
          <w:tcPr>
            <w:tcW w:w="1134" w:type="dxa"/>
            <w:vAlign w:val="center"/>
          </w:tcPr>
          <w:p>
            <w:pPr>
              <w:pStyle w:val="15"/>
            </w:pPr>
            <w:r>
              <w:t>22.29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22.29</w:t>
            </w:r>
          </w:p>
        </w:tc>
        <w:tc>
          <w:tcPr>
            <w:tcW w:w="1134" w:type="dxa"/>
            <w:vAlign w:val="center"/>
          </w:tcPr>
          <w:p>
            <w:pPr>
              <w:pStyle w:val="15"/>
            </w:pPr>
            <w:r>
              <w:t>22.29</w:t>
            </w:r>
          </w:p>
        </w:tc>
        <w:tc>
          <w:tcPr>
            <w:tcW w:w="1134" w:type="dxa"/>
            <w:vAlign w:val="center"/>
          </w:tcPr>
          <w:p>
            <w:pPr>
              <w:pStyle w:val="15"/>
            </w:pPr>
            <w:r>
              <w:t>22.29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22.29</w:t>
            </w:r>
          </w:p>
        </w:tc>
        <w:tc>
          <w:tcPr>
            <w:tcW w:w="1134" w:type="dxa"/>
            <w:vAlign w:val="center"/>
          </w:tcPr>
          <w:p>
            <w:pPr>
              <w:pStyle w:val="15"/>
            </w:pPr>
            <w:r>
              <w:t>22.29</w:t>
            </w:r>
          </w:p>
        </w:tc>
        <w:tc>
          <w:tcPr>
            <w:tcW w:w="1134" w:type="dxa"/>
            <w:vAlign w:val="center"/>
          </w:tcPr>
          <w:p>
            <w:pPr>
              <w:pStyle w:val="15"/>
            </w:pPr>
            <w:r>
              <w:t>22.29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26" w:name="_Toc7467_WPSOffice_Level1"/>
      <w:r>
        <w:rPr>
          <w:rFonts w:hint="eastAsia" w:ascii="方正小标宋_GBK" w:hAnsi="方正小标宋_GBK" w:eastAsia="方正小标宋_GBK" w:cs="方正小标宋_GBK"/>
          <w:color w:val="000000"/>
          <w:sz w:val="36"/>
        </w:rPr>
        <w:t>单位预算支出总表</w:t>
      </w:r>
      <w:bookmarkEnd w:id="2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131001</w:t>
            </w:r>
            <w:r>
              <w:rPr>
                <w:rFonts w:hint="eastAsia"/>
              </w:rPr>
              <w:t>政协单位中国人民政治协商会议河北省秦皇岛市山海关区委员会本级</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442.30</w:t>
            </w:r>
          </w:p>
        </w:tc>
        <w:tc>
          <w:tcPr>
            <w:tcW w:w="1361" w:type="dxa"/>
            <w:vAlign w:val="center"/>
          </w:tcPr>
          <w:p>
            <w:pPr>
              <w:pStyle w:val="19"/>
            </w:pPr>
            <w:r>
              <w:t>376.50</w:t>
            </w:r>
          </w:p>
        </w:tc>
        <w:tc>
          <w:tcPr>
            <w:tcW w:w="1361" w:type="dxa"/>
            <w:vAlign w:val="center"/>
          </w:tcPr>
          <w:p>
            <w:pPr>
              <w:pStyle w:val="19"/>
            </w:pPr>
            <w:r>
              <w:t>65.80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rPr>
                <w:rFonts w:hint="eastAsia"/>
              </w:rPr>
              <w:t>一般公共服务支出</w:t>
            </w:r>
          </w:p>
        </w:tc>
        <w:tc>
          <w:tcPr>
            <w:tcW w:w="1361" w:type="dxa"/>
            <w:vAlign w:val="center"/>
          </w:tcPr>
          <w:p>
            <w:pPr>
              <w:pStyle w:val="15"/>
            </w:pPr>
            <w:r>
              <w:t>296.61</w:t>
            </w:r>
          </w:p>
        </w:tc>
        <w:tc>
          <w:tcPr>
            <w:tcW w:w="1361" w:type="dxa"/>
            <w:vAlign w:val="center"/>
          </w:tcPr>
          <w:p>
            <w:pPr>
              <w:pStyle w:val="15"/>
            </w:pPr>
            <w:r>
              <w:t>230.81</w:t>
            </w:r>
          </w:p>
        </w:tc>
        <w:tc>
          <w:tcPr>
            <w:tcW w:w="1361" w:type="dxa"/>
            <w:vAlign w:val="center"/>
          </w:tcPr>
          <w:p>
            <w:pPr>
              <w:pStyle w:val="15"/>
            </w:pPr>
            <w:r>
              <w:t>65.80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20102</w:t>
            </w:r>
          </w:p>
        </w:tc>
        <w:tc>
          <w:tcPr>
            <w:tcW w:w="4535" w:type="dxa"/>
            <w:vAlign w:val="center"/>
          </w:tcPr>
          <w:p>
            <w:pPr>
              <w:pStyle w:val="16"/>
            </w:pPr>
            <w:r>
              <w:rPr>
                <w:rFonts w:hint="eastAsia"/>
              </w:rPr>
              <w:t>政协事务</w:t>
            </w:r>
          </w:p>
        </w:tc>
        <w:tc>
          <w:tcPr>
            <w:tcW w:w="1361" w:type="dxa"/>
            <w:vAlign w:val="center"/>
          </w:tcPr>
          <w:p>
            <w:pPr>
              <w:pStyle w:val="15"/>
            </w:pPr>
            <w:r>
              <w:t>296.61</w:t>
            </w:r>
          </w:p>
        </w:tc>
        <w:tc>
          <w:tcPr>
            <w:tcW w:w="1361" w:type="dxa"/>
            <w:vAlign w:val="center"/>
          </w:tcPr>
          <w:p>
            <w:pPr>
              <w:pStyle w:val="15"/>
            </w:pPr>
            <w:r>
              <w:t>230.81</w:t>
            </w:r>
          </w:p>
        </w:tc>
        <w:tc>
          <w:tcPr>
            <w:tcW w:w="1361" w:type="dxa"/>
            <w:vAlign w:val="center"/>
          </w:tcPr>
          <w:p>
            <w:pPr>
              <w:pStyle w:val="15"/>
            </w:pPr>
            <w:r>
              <w:t>65.80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2010201</w:t>
            </w:r>
          </w:p>
        </w:tc>
        <w:tc>
          <w:tcPr>
            <w:tcW w:w="4535" w:type="dxa"/>
            <w:vAlign w:val="center"/>
          </w:tcPr>
          <w:p>
            <w:pPr>
              <w:pStyle w:val="16"/>
            </w:pPr>
            <w:r>
              <w:rPr>
                <w:rFonts w:hint="eastAsia"/>
              </w:rPr>
              <w:t>行政运行</w:t>
            </w:r>
          </w:p>
        </w:tc>
        <w:tc>
          <w:tcPr>
            <w:tcW w:w="1361" w:type="dxa"/>
            <w:vAlign w:val="center"/>
          </w:tcPr>
          <w:p>
            <w:pPr>
              <w:pStyle w:val="15"/>
            </w:pPr>
            <w:r>
              <w:t>231.61</w:t>
            </w:r>
          </w:p>
        </w:tc>
        <w:tc>
          <w:tcPr>
            <w:tcW w:w="1361" w:type="dxa"/>
            <w:vAlign w:val="center"/>
          </w:tcPr>
          <w:p>
            <w:pPr>
              <w:pStyle w:val="15"/>
            </w:pPr>
            <w:r>
              <w:t>230.81</w:t>
            </w:r>
          </w:p>
        </w:tc>
        <w:tc>
          <w:tcPr>
            <w:tcW w:w="1361" w:type="dxa"/>
            <w:vAlign w:val="center"/>
          </w:tcPr>
          <w:p>
            <w:pPr>
              <w:pStyle w:val="15"/>
            </w:pPr>
            <w:r>
              <w:t>0.80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2010204</w:t>
            </w:r>
          </w:p>
        </w:tc>
        <w:tc>
          <w:tcPr>
            <w:tcW w:w="4535" w:type="dxa"/>
            <w:vAlign w:val="center"/>
          </w:tcPr>
          <w:p>
            <w:pPr>
              <w:pStyle w:val="16"/>
            </w:pPr>
            <w:r>
              <w:rPr>
                <w:rFonts w:hint="eastAsia"/>
              </w:rPr>
              <w:t>政协会议</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2010299</w:t>
            </w:r>
          </w:p>
        </w:tc>
        <w:tc>
          <w:tcPr>
            <w:tcW w:w="4535" w:type="dxa"/>
            <w:vAlign w:val="center"/>
          </w:tcPr>
          <w:p>
            <w:pPr>
              <w:pStyle w:val="16"/>
            </w:pPr>
            <w:r>
              <w:rPr>
                <w:rFonts w:hint="eastAsia"/>
              </w:rPr>
              <w:t>其他政协事务支出</w:t>
            </w: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84.96</w:t>
            </w:r>
          </w:p>
        </w:tc>
        <w:tc>
          <w:tcPr>
            <w:tcW w:w="1361" w:type="dxa"/>
            <w:vAlign w:val="center"/>
          </w:tcPr>
          <w:p>
            <w:pPr>
              <w:pStyle w:val="15"/>
            </w:pPr>
            <w:r>
              <w:t>84.96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83.38</w:t>
            </w:r>
          </w:p>
        </w:tc>
        <w:tc>
          <w:tcPr>
            <w:tcW w:w="1361" w:type="dxa"/>
            <w:vAlign w:val="center"/>
          </w:tcPr>
          <w:p>
            <w:pPr>
              <w:pStyle w:val="15"/>
            </w:pPr>
            <w:r>
              <w:t>83.38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2080501</w:t>
            </w:r>
          </w:p>
        </w:tc>
        <w:tc>
          <w:tcPr>
            <w:tcW w:w="4535" w:type="dxa"/>
            <w:vAlign w:val="center"/>
          </w:tcPr>
          <w:p>
            <w:pPr>
              <w:pStyle w:val="16"/>
            </w:pPr>
            <w:r>
              <w:rPr>
                <w:rFonts w:hint="eastAsia"/>
              </w:rPr>
              <w:t>行政单位离退休</w:t>
            </w:r>
          </w:p>
        </w:tc>
        <w:tc>
          <w:tcPr>
            <w:tcW w:w="1361" w:type="dxa"/>
            <w:vAlign w:val="center"/>
          </w:tcPr>
          <w:p>
            <w:pPr>
              <w:pStyle w:val="15"/>
            </w:pPr>
            <w:r>
              <w:t>54.12</w:t>
            </w:r>
          </w:p>
        </w:tc>
        <w:tc>
          <w:tcPr>
            <w:tcW w:w="1361" w:type="dxa"/>
            <w:vAlign w:val="center"/>
          </w:tcPr>
          <w:p>
            <w:pPr>
              <w:pStyle w:val="15"/>
            </w:pPr>
            <w:r>
              <w:t>54.12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29.26</w:t>
            </w:r>
          </w:p>
        </w:tc>
        <w:tc>
          <w:tcPr>
            <w:tcW w:w="1361" w:type="dxa"/>
            <w:vAlign w:val="center"/>
          </w:tcPr>
          <w:p>
            <w:pPr>
              <w:pStyle w:val="15"/>
            </w:pPr>
            <w:r>
              <w:t>29.26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20808</w:t>
            </w:r>
          </w:p>
        </w:tc>
        <w:tc>
          <w:tcPr>
            <w:tcW w:w="4535" w:type="dxa"/>
            <w:vAlign w:val="center"/>
          </w:tcPr>
          <w:p>
            <w:pPr>
              <w:pStyle w:val="16"/>
            </w:pPr>
            <w:r>
              <w:rPr>
                <w:rFonts w:hint="eastAsia"/>
              </w:rPr>
              <w:t>抚恤</w:t>
            </w:r>
          </w:p>
        </w:tc>
        <w:tc>
          <w:tcPr>
            <w:tcW w:w="1361" w:type="dxa"/>
            <w:vAlign w:val="center"/>
          </w:tcPr>
          <w:p>
            <w:pPr>
              <w:pStyle w:val="15"/>
            </w:pPr>
            <w:r>
              <w:t>1.58</w:t>
            </w:r>
          </w:p>
        </w:tc>
        <w:tc>
          <w:tcPr>
            <w:tcW w:w="1361" w:type="dxa"/>
            <w:vAlign w:val="center"/>
          </w:tcPr>
          <w:p>
            <w:pPr>
              <w:pStyle w:val="15"/>
            </w:pPr>
            <w:r>
              <w:t>1.58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2080899</w:t>
            </w:r>
          </w:p>
        </w:tc>
        <w:tc>
          <w:tcPr>
            <w:tcW w:w="4535" w:type="dxa"/>
            <w:vAlign w:val="center"/>
          </w:tcPr>
          <w:p>
            <w:pPr>
              <w:pStyle w:val="16"/>
            </w:pPr>
            <w:r>
              <w:rPr>
                <w:rFonts w:hint="eastAsia"/>
              </w:rPr>
              <w:t>其他优抚支出</w:t>
            </w:r>
          </w:p>
        </w:tc>
        <w:tc>
          <w:tcPr>
            <w:tcW w:w="1361" w:type="dxa"/>
            <w:vAlign w:val="center"/>
          </w:tcPr>
          <w:p>
            <w:pPr>
              <w:pStyle w:val="15"/>
            </w:pPr>
            <w:r>
              <w:t>1.58</w:t>
            </w:r>
          </w:p>
        </w:tc>
        <w:tc>
          <w:tcPr>
            <w:tcW w:w="1361" w:type="dxa"/>
            <w:vAlign w:val="center"/>
          </w:tcPr>
          <w:p>
            <w:pPr>
              <w:pStyle w:val="15"/>
            </w:pPr>
            <w:r>
              <w:t>1.58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38.45</w:t>
            </w:r>
          </w:p>
        </w:tc>
        <w:tc>
          <w:tcPr>
            <w:tcW w:w="1361" w:type="dxa"/>
            <w:vAlign w:val="center"/>
          </w:tcPr>
          <w:p>
            <w:pPr>
              <w:pStyle w:val="15"/>
            </w:pPr>
            <w:r>
              <w:t>38.45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38.45</w:t>
            </w:r>
          </w:p>
        </w:tc>
        <w:tc>
          <w:tcPr>
            <w:tcW w:w="1361" w:type="dxa"/>
            <w:vAlign w:val="center"/>
          </w:tcPr>
          <w:p>
            <w:pPr>
              <w:pStyle w:val="15"/>
            </w:pPr>
            <w:r>
              <w:t>38.45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2101101</w:t>
            </w:r>
          </w:p>
        </w:tc>
        <w:tc>
          <w:tcPr>
            <w:tcW w:w="4535" w:type="dxa"/>
            <w:vAlign w:val="center"/>
          </w:tcPr>
          <w:p>
            <w:pPr>
              <w:pStyle w:val="16"/>
            </w:pPr>
            <w:r>
              <w:rPr>
                <w:rFonts w:hint="eastAsia"/>
              </w:rPr>
              <w:t>行政单位医疗</w:t>
            </w:r>
          </w:p>
        </w:tc>
        <w:tc>
          <w:tcPr>
            <w:tcW w:w="1361" w:type="dxa"/>
            <w:vAlign w:val="center"/>
          </w:tcPr>
          <w:p>
            <w:pPr>
              <w:pStyle w:val="15"/>
            </w:pPr>
            <w:r>
              <w:t>11.69</w:t>
            </w:r>
          </w:p>
        </w:tc>
        <w:tc>
          <w:tcPr>
            <w:tcW w:w="1361" w:type="dxa"/>
            <w:vAlign w:val="center"/>
          </w:tcPr>
          <w:p>
            <w:pPr>
              <w:pStyle w:val="15"/>
            </w:pPr>
            <w:r>
              <w:t>11.69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2101103</w:t>
            </w:r>
          </w:p>
        </w:tc>
        <w:tc>
          <w:tcPr>
            <w:tcW w:w="4535" w:type="dxa"/>
            <w:vAlign w:val="center"/>
          </w:tcPr>
          <w:p>
            <w:pPr>
              <w:pStyle w:val="16"/>
            </w:pPr>
            <w:r>
              <w:rPr>
                <w:rFonts w:hint="eastAsia"/>
              </w:rPr>
              <w:t>公务员医疗补助</w:t>
            </w:r>
          </w:p>
        </w:tc>
        <w:tc>
          <w:tcPr>
            <w:tcW w:w="1361" w:type="dxa"/>
            <w:vAlign w:val="center"/>
          </w:tcPr>
          <w:p>
            <w:pPr>
              <w:pStyle w:val="15"/>
            </w:pPr>
            <w:r>
              <w:t>26.76</w:t>
            </w:r>
          </w:p>
        </w:tc>
        <w:tc>
          <w:tcPr>
            <w:tcW w:w="1361" w:type="dxa"/>
            <w:vAlign w:val="center"/>
          </w:tcPr>
          <w:p>
            <w:pPr>
              <w:pStyle w:val="15"/>
            </w:pPr>
            <w:r>
              <w:t>26.76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22.29</w:t>
            </w:r>
          </w:p>
        </w:tc>
        <w:tc>
          <w:tcPr>
            <w:tcW w:w="1361" w:type="dxa"/>
            <w:vAlign w:val="center"/>
          </w:tcPr>
          <w:p>
            <w:pPr>
              <w:pStyle w:val="15"/>
            </w:pPr>
            <w:r>
              <w:t>22.29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22.29</w:t>
            </w:r>
          </w:p>
        </w:tc>
        <w:tc>
          <w:tcPr>
            <w:tcW w:w="1361" w:type="dxa"/>
            <w:vAlign w:val="center"/>
          </w:tcPr>
          <w:p>
            <w:pPr>
              <w:pStyle w:val="15"/>
            </w:pPr>
            <w:r>
              <w:t>22.29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22.29</w:t>
            </w:r>
          </w:p>
        </w:tc>
        <w:tc>
          <w:tcPr>
            <w:tcW w:w="1361" w:type="dxa"/>
            <w:vAlign w:val="center"/>
          </w:tcPr>
          <w:p>
            <w:pPr>
              <w:pStyle w:val="15"/>
            </w:pPr>
            <w:r>
              <w:t>22.29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27" w:name="_Toc1131_WPSOffice_Level1"/>
      <w:r>
        <w:rPr>
          <w:rFonts w:hint="eastAsia" w:ascii="方正小标宋_GBK" w:hAnsi="方正小标宋_GBK" w:eastAsia="方正小标宋_GBK" w:cs="方正小标宋_GBK"/>
          <w:color w:val="000000"/>
          <w:sz w:val="36"/>
        </w:rPr>
        <w:t>单位预算财政拨款收支总表</w:t>
      </w:r>
      <w:bookmarkEnd w:id="2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131001</w:t>
            </w:r>
            <w:r>
              <w:rPr>
                <w:rFonts w:hint="eastAsia"/>
              </w:rPr>
              <w:t>政协单位中国人民政治协商会议河北省秦皇岛市山海关区委员会本级</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442.30</w:t>
            </w:r>
          </w:p>
        </w:tc>
        <w:tc>
          <w:tcPr>
            <w:tcW w:w="3402" w:type="dxa"/>
            <w:vAlign w:val="center"/>
          </w:tcPr>
          <w:p>
            <w:pPr>
              <w:pStyle w:val="16"/>
            </w:pPr>
            <w:r>
              <w:rPr>
                <w:rFonts w:hint="eastAsia"/>
              </w:rPr>
              <w:t>一、一般公共服务支出</w:t>
            </w:r>
          </w:p>
        </w:tc>
        <w:tc>
          <w:tcPr>
            <w:tcW w:w="1474" w:type="dxa"/>
            <w:vAlign w:val="center"/>
          </w:tcPr>
          <w:p>
            <w:pPr>
              <w:pStyle w:val="15"/>
            </w:pPr>
            <w:r>
              <w:t>296.61</w:t>
            </w:r>
          </w:p>
        </w:tc>
        <w:tc>
          <w:tcPr>
            <w:tcW w:w="1474" w:type="dxa"/>
            <w:vAlign w:val="center"/>
          </w:tcPr>
          <w:p>
            <w:pPr>
              <w:pStyle w:val="15"/>
            </w:pPr>
            <w:r>
              <w:t>296.61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84.96</w:t>
            </w:r>
          </w:p>
        </w:tc>
        <w:tc>
          <w:tcPr>
            <w:tcW w:w="1474" w:type="dxa"/>
            <w:vAlign w:val="center"/>
          </w:tcPr>
          <w:p>
            <w:pPr>
              <w:pStyle w:val="15"/>
            </w:pPr>
            <w:r>
              <w:t>84.96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38.45</w:t>
            </w:r>
          </w:p>
        </w:tc>
        <w:tc>
          <w:tcPr>
            <w:tcW w:w="1474" w:type="dxa"/>
            <w:vAlign w:val="center"/>
          </w:tcPr>
          <w:p>
            <w:pPr>
              <w:pStyle w:val="15"/>
            </w:pPr>
            <w:r>
              <w:t>38.45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22.29</w:t>
            </w:r>
          </w:p>
        </w:tc>
        <w:tc>
          <w:tcPr>
            <w:tcW w:w="1474" w:type="dxa"/>
            <w:vAlign w:val="center"/>
          </w:tcPr>
          <w:p>
            <w:pPr>
              <w:pStyle w:val="15"/>
            </w:pPr>
            <w:r>
              <w:t>22.29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rPr>
                <w:rFonts w:hint="eastAsia"/>
              </w:rPr>
              <w:t>本年收入合计</w:t>
            </w:r>
          </w:p>
        </w:tc>
        <w:tc>
          <w:tcPr>
            <w:tcW w:w="1474" w:type="dxa"/>
            <w:vAlign w:val="center"/>
          </w:tcPr>
          <w:p>
            <w:pPr>
              <w:pStyle w:val="19"/>
            </w:pPr>
            <w:r>
              <w:t>442.30</w:t>
            </w:r>
          </w:p>
        </w:tc>
        <w:tc>
          <w:tcPr>
            <w:tcW w:w="3402" w:type="dxa"/>
            <w:vAlign w:val="center"/>
          </w:tcPr>
          <w:p>
            <w:pPr>
              <w:pStyle w:val="18"/>
            </w:pPr>
            <w:r>
              <w:rPr>
                <w:rFonts w:hint="eastAsia"/>
              </w:rPr>
              <w:t>本年支出合计</w:t>
            </w:r>
          </w:p>
        </w:tc>
        <w:tc>
          <w:tcPr>
            <w:tcW w:w="1474" w:type="dxa"/>
            <w:vAlign w:val="center"/>
          </w:tcPr>
          <w:p>
            <w:pPr>
              <w:pStyle w:val="19"/>
            </w:pPr>
            <w:r>
              <w:t>442.30</w:t>
            </w:r>
          </w:p>
        </w:tc>
        <w:tc>
          <w:tcPr>
            <w:tcW w:w="1474" w:type="dxa"/>
            <w:vAlign w:val="center"/>
          </w:tcPr>
          <w:p>
            <w:pPr>
              <w:pStyle w:val="19"/>
            </w:pPr>
            <w:r>
              <w:t>442.30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rPr>
                <w:rFonts w:hint="eastAsia"/>
              </w:rPr>
              <w:t>收入总计</w:t>
            </w:r>
          </w:p>
        </w:tc>
        <w:tc>
          <w:tcPr>
            <w:tcW w:w="1474" w:type="dxa"/>
            <w:vAlign w:val="center"/>
          </w:tcPr>
          <w:p>
            <w:pPr>
              <w:pStyle w:val="19"/>
            </w:pPr>
            <w:r>
              <w:t>442.30</w:t>
            </w:r>
          </w:p>
        </w:tc>
        <w:tc>
          <w:tcPr>
            <w:tcW w:w="3402" w:type="dxa"/>
            <w:vAlign w:val="center"/>
          </w:tcPr>
          <w:p>
            <w:pPr>
              <w:pStyle w:val="18"/>
            </w:pPr>
            <w:r>
              <w:rPr>
                <w:rFonts w:hint="eastAsia"/>
              </w:rPr>
              <w:t>支出总计</w:t>
            </w:r>
          </w:p>
        </w:tc>
        <w:tc>
          <w:tcPr>
            <w:tcW w:w="1474" w:type="dxa"/>
            <w:vAlign w:val="center"/>
          </w:tcPr>
          <w:p>
            <w:pPr>
              <w:pStyle w:val="19"/>
            </w:pPr>
            <w:r>
              <w:t>442.30</w:t>
            </w:r>
          </w:p>
        </w:tc>
        <w:tc>
          <w:tcPr>
            <w:tcW w:w="1474" w:type="dxa"/>
            <w:vAlign w:val="center"/>
          </w:tcPr>
          <w:p>
            <w:pPr>
              <w:pStyle w:val="19"/>
            </w:pPr>
            <w:r>
              <w:t>442.30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28" w:name="_Toc15712_WPSOffice_Level1"/>
      <w:r>
        <w:rPr>
          <w:rFonts w:hint="eastAsia" w:ascii="方正小标宋_GBK" w:hAnsi="方正小标宋_GBK" w:eastAsia="方正小标宋_GBK" w:cs="方正小标宋_GBK"/>
          <w:color w:val="000000"/>
          <w:sz w:val="36"/>
        </w:rPr>
        <w:t>单位预算一般公共预算财政拨款支出表</w:t>
      </w:r>
      <w:bookmarkEnd w:id="2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131001</w:t>
            </w:r>
            <w:r>
              <w:rPr>
                <w:rFonts w:hint="eastAsia"/>
              </w:rPr>
              <w:t>政协单位中国人民政治协商会议河北省秦皇岛市山海关区委员会本级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442.30</w:t>
            </w:r>
          </w:p>
        </w:tc>
        <w:tc>
          <w:tcPr>
            <w:tcW w:w="2551" w:type="dxa"/>
            <w:vAlign w:val="center"/>
          </w:tcPr>
          <w:p>
            <w:pPr>
              <w:pStyle w:val="19"/>
            </w:pPr>
            <w:r>
              <w:t>376.50</w:t>
            </w:r>
          </w:p>
        </w:tc>
        <w:tc>
          <w:tcPr>
            <w:tcW w:w="2551" w:type="dxa"/>
            <w:vAlign w:val="center"/>
          </w:tcPr>
          <w:p>
            <w:pPr>
              <w:pStyle w:val="19"/>
            </w:pPr>
            <w:r>
              <w:t>65.80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rPr>
                <w:rFonts w:hint="eastAsia"/>
              </w:rPr>
              <w:t>一般公共服务支出</w:t>
            </w:r>
          </w:p>
        </w:tc>
        <w:tc>
          <w:tcPr>
            <w:tcW w:w="2551" w:type="dxa"/>
            <w:vAlign w:val="center"/>
          </w:tcPr>
          <w:p>
            <w:pPr>
              <w:pStyle w:val="15"/>
            </w:pPr>
            <w:r>
              <w:t>296.61</w:t>
            </w:r>
          </w:p>
        </w:tc>
        <w:tc>
          <w:tcPr>
            <w:tcW w:w="2551" w:type="dxa"/>
            <w:vAlign w:val="center"/>
          </w:tcPr>
          <w:p>
            <w:pPr>
              <w:pStyle w:val="15"/>
            </w:pPr>
            <w:r>
              <w:t>230.81</w:t>
            </w:r>
          </w:p>
        </w:tc>
        <w:tc>
          <w:tcPr>
            <w:tcW w:w="2551" w:type="dxa"/>
            <w:vAlign w:val="center"/>
          </w:tcPr>
          <w:p>
            <w:pPr>
              <w:pStyle w:val="15"/>
            </w:pPr>
            <w:r>
              <w:t>65.80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20102</w:t>
            </w:r>
          </w:p>
        </w:tc>
        <w:tc>
          <w:tcPr>
            <w:tcW w:w="4535" w:type="dxa"/>
            <w:vAlign w:val="center"/>
          </w:tcPr>
          <w:p>
            <w:pPr>
              <w:pStyle w:val="16"/>
            </w:pPr>
            <w:r>
              <w:rPr>
                <w:rFonts w:hint="eastAsia"/>
              </w:rPr>
              <w:t>政协事务</w:t>
            </w:r>
          </w:p>
        </w:tc>
        <w:tc>
          <w:tcPr>
            <w:tcW w:w="2551" w:type="dxa"/>
            <w:vAlign w:val="center"/>
          </w:tcPr>
          <w:p>
            <w:pPr>
              <w:pStyle w:val="15"/>
            </w:pPr>
            <w:r>
              <w:t>296.61</w:t>
            </w:r>
          </w:p>
        </w:tc>
        <w:tc>
          <w:tcPr>
            <w:tcW w:w="2551" w:type="dxa"/>
            <w:vAlign w:val="center"/>
          </w:tcPr>
          <w:p>
            <w:pPr>
              <w:pStyle w:val="15"/>
            </w:pPr>
            <w:r>
              <w:t>230.81</w:t>
            </w:r>
          </w:p>
        </w:tc>
        <w:tc>
          <w:tcPr>
            <w:tcW w:w="2551" w:type="dxa"/>
            <w:vAlign w:val="center"/>
          </w:tcPr>
          <w:p>
            <w:pPr>
              <w:pStyle w:val="15"/>
            </w:pPr>
            <w:r>
              <w:t>65.80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2010201</w:t>
            </w:r>
          </w:p>
        </w:tc>
        <w:tc>
          <w:tcPr>
            <w:tcW w:w="4535" w:type="dxa"/>
            <w:vAlign w:val="center"/>
          </w:tcPr>
          <w:p>
            <w:pPr>
              <w:pStyle w:val="16"/>
            </w:pPr>
            <w:r>
              <w:rPr>
                <w:rFonts w:hint="eastAsia"/>
              </w:rPr>
              <w:t>行政运行</w:t>
            </w:r>
          </w:p>
        </w:tc>
        <w:tc>
          <w:tcPr>
            <w:tcW w:w="2551" w:type="dxa"/>
            <w:vAlign w:val="center"/>
          </w:tcPr>
          <w:p>
            <w:pPr>
              <w:pStyle w:val="15"/>
            </w:pPr>
            <w:r>
              <w:t>231.61</w:t>
            </w:r>
          </w:p>
        </w:tc>
        <w:tc>
          <w:tcPr>
            <w:tcW w:w="2551" w:type="dxa"/>
            <w:vAlign w:val="center"/>
          </w:tcPr>
          <w:p>
            <w:pPr>
              <w:pStyle w:val="15"/>
            </w:pPr>
            <w:r>
              <w:t>230.81</w:t>
            </w:r>
          </w:p>
        </w:tc>
        <w:tc>
          <w:tcPr>
            <w:tcW w:w="2551"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2010204</w:t>
            </w:r>
          </w:p>
        </w:tc>
        <w:tc>
          <w:tcPr>
            <w:tcW w:w="4535" w:type="dxa"/>
            <w:vAlign w:val="center"/>
          </w:tcPr>
          <w:p>
            <w:pPr>
              <w:pStyle w:val="16"/>
            </w:pPr>
            <w:r>
              <w:rPr>
                <w:rFonts w:hint="eastAsia"/>
              </w:rPr>
              <w:t>政协会议</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2010299</w:t>
            </w:r>
          </w:p>
        </w:tc>
        <w:tc>
          <w:tcPr>
            <w:tcW w:w="4535" w:type="dxa"/>
            <w:vAlign w:val="center"/>
          </w:tcPr>
          <w:p>
            <w:pPr>
              <w:pStyle w:val="16"/>
            </w:pPr>
            <w:r>
              <w:rPr>
                <w:rFonts w:hint="eastAsia"/>
              </w:rPr>
              <w:t>其他政协事务支出</w:t>
            </w:r>
          </w:p>
        </w:tc>
        <w:tc>
          <w:tcPr>
            <w:tcW w:w="2551" w:type="dxa"/>
            <w:vAlign w:val="center"/>
          </w:tcPr>
          <w:p>
            <w:pPr>
              <w:pStyle w:val="15"/>
            </w:pPr>
            <w:r>
              <w:t>45.00</w:t>
            </w:r>
          </w:p>
        </w:tc>
        <w:tc>
          <w:tcPr>
            <w:tcW w:w="2551" w:type="dxa"/>
            <w:vAlign w:val="center"/>
          </w:tcPr>
          <w:p>
            <w:pPr>
              <w:pStyle w:val="15"/>
            </w:pPr>
          </w:p>
        </w:tc>
        <w:tc>
          <w:tcPr>
            <w:tcW w:w="2551"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84.96</w:t>
            </w:r>
          </w:p>
        </w:tc>
        <w:tc>
          <w:tcPr>
            <w:tcW w:w="2551" w:type="dxa"/>
            <w:vAlign w:val="center"/>
          </w:tcPr>
          <w:p>
            <w:pPr>
              <w:pStyle w:val="15"/>
            </w:pPr>
            <w:r>
              <w:t>84.96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83.38</w:t>
            </w:r>
          </w:p>
        </w:tc>
        <w:tc>
          <w:tcPr>
            <w:tcW w:w="2551" w:type="dxa"/>
            <w:vAlign w:val="center"/>
          </w:tcPr>
          <w:p>
            <w:pPr>
              <w:pStyle w:val="15"/>
            </w:pPr>
            <w:r>
              <w:t>83.38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2080501</w:t>
            </w:r>
          </w:p>
        </w:tc>
        <w:tc>
          <w:tcPr>
            <w:tcW w:w="4535" w:type="dxa"/>
            <w:vAlign w:val="center"/>
          </w:tcPr>
          <w:p>
            <w:pPr>
              <w:pStyle w:val="16"/>
            </w:pPr>
            <w:r>
              <w:rPr>
                <w:rFonts w:hint="eastAsia"/>
              </w:rPr>
              <w:t>行政单位离退休</w:t>
            </w:r>
          </w:p>
        </w:tc>
        <w:tc>
          <w:tcPr>
            <w:tcW w:w="2551" w:type="dxa"/>
            <w:vAlign w:val="center"/>
          </w:tcPr>
          <w:p>
            <w:pPr>
              <w:pStyle w:val="15"/>
            </w:pPr>
            <w:r>
              <w:t>54.12</w:t>
            </w:r>
          </w:p>
        </w:tc>
        <w:tc>
          <w:tcPr>
            <w:tcW w:w="2551" w:type="dxa"/>
            <w:vAlign w:val="center"/>
          </w:tcPr>
          <w:p>
            <w:pPr>
              <w:pStyle w:val="15"/>
            </w:pPr>
            <w:r>
              <w:t>54.12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29.26</w:t>
            </w:r>
          </w:p>
        </w:tc>
        <w:tc>
          <w:tcPr>
            <w:tcW w:w="2551" w:type="dxa"/>
            <w:vAlign w:val="center"/>
          </w:tcPr>
          <w:p>
            <w:pPr>
              <w:pStyle w:val="15"/>
            </w:pPr>
            <w:r>
              <w:t>29.26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20808</w:t>
            </w:r>
          </w:p>
        </w:tc>
        <w:tc>
          <w:tcPr>
            <w:tcW w:w="4535" w:type="dxa"/>
            <w:vAlign w:val="center"/>
          </w:tcPr>
          <w:p>
            <w:pPr>
              <w:pStyle w:val="16"/>
            </w:pPr>
            <w:r>
              <w:rPr>
                <w:rFonts w:hint="eastAsia"/>
              </w:rPr>
              <w:t>抚恤</w:t>
            </w:r>
          </w:p>
        </w:tc>
        <w:tc>
          <w:tcPr>
            <w:tcW w:w="2551" w:type="dxa"/>
            <w:vAlign w:val="center"/>
          </w:tcPr>
          <w:p>
            <w:pPr>
              <w:pStyle w:val="15"/>
            </w:pPr>
            <w:r>
              <w:t>1.58</w:t>
            </w:r>
          </w:p>
        </w:tc>
        <w:tc>
          <w:tcPr>
            <w:tcW w:w="2551" w:type="dxa"/>
            <w:vAlign w:val="center"/>
          </w:tcPr>
          <w:p>
            <w:pPr>
              <w:pStyle w:val="15"/>
            </w:pPr>
            <w:r>
              <w:t>1.58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2080899</w:t>
            </w:r>
          </w:p>
        </w:tc>
        <w:tc>
          <w:tcPr>
            <w:tcW w:w="4535" w:type="dxa"/>
            <w:vAlign w:val="center"/>
          </w:tcPr>
          <w:p>
            <w:pPr>
              <w:pStyle w:val="16"/>
            </w:pPr>
            <w:r>
              <w:rPr>
                <w:rFonts w:hint="eastAsia"/>
              </w:rPr>
              <w:t>其他优抚支出</w:t>
            </w:r>
          </w:p>
        </w:tc>
        <w:tc>
          <w:tcPr>
            <w:tcW w:w="2551" w:type="dxa"/>
            <w:vAlign w:val="center"/>
          </w:tcPr>
          <w:p>
            <w:pPr>
              <w:pStyle w:val="15"/>
            </w:pPr>
            <w:r>
              <w:t>1.58</w:t>
            </w:r>
          </w:p>
        </w:tc>
        <w:tc>
          <w:tcPr>
            <w:tcW w:w="2551" w:type="dxa"/>
            <w:vAlign w:val="center"/>
          </w:tcPr>
          <w:p>
            <w:pPr>
              <w:pStyle w:val="15"/>
            </w:pPr>
            <w:r>
              <w:t>1.58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38.45</w:t>
            </w:r>
          </w:p>
        </w:tc>
        <w:tc>
          <w:tcPr>
            <w:tcW w:w="2551" w:type="dxa"/>
            <w:vAlign w:val="center"/>
          </w:tcPr>
          <w:p>
            <w:pPr>
              <w:pStyle w:val="15"/>
            </w:pPr>
            <w:r>
              <w:t>38.45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38.45</w:t>
            </w:r>
          </w:p>
        </w:tc>
        <w:tc>
          <w:tcPr>
            <w:tcW w:w="2551" w:type="dxa"/>
            <w:vAlign w:val="center"/>
          </w:tcPr>
          <w:p>
            <w:pPr>
              <w:pStyle w:val="15"/>
            </w:pPr>
            <w:r>
              <w:t>38.45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2101101</w:t>
            </w:r>
          </w:p>
        </w:tc>
        <w:tc>
          <w:tcPr>
            <w:tcW w:w="4535" w:type="dxa"/>
            <w:vAlign w:val="center"/>
          </w:tcPr>
          <w:p>
            <w:pPr>
              <w:pStyle w:val="16"/>
            </w:pPr>
            <w:r>
              <w:rPr>
                <w:rFonts w:hint="eastAsia"/>
              </w:rPr>
              <w:t>行政单位医疗</w:t>
            </w:r>
          </w:p>
        </w:tc>
        <w:tc>
          <w:tcPr>
            <w:tcW w:w="2551" w:type="dxa"/>
            <w:vAlign w:val="center"/>
          </w:tcPr>
          <w:p>
            <w:pPr>
              <w:pStyle w:val="15"/>
            </w:pPr>
            <w:r>
              <w:t>11.69</w:t>
            </w:r>
          </w:p>
        </w:tc>
        <w:tc>
          <w:tcPr>
            <w:tcW w:w="2551" w:type="dxa"/>
            <w:vAlign w:val="center"/>
          </w:tcPr>
          <w:p>
            <w:pPr>
              <w:pStyle w:val="15"/>
            </w:pPr>
            <w:r>
              <w:t>11.69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2101103</w:t>
            </w:r>
          </w:p>
        </w:tc>
        <w:tc>
          <w:tcPr>
            <w:tcW w:w="4535" w:type="dxa"/>
            <w:vAlign w:val="center"/>
          </w:tcPr>
          <w:p>
            <w:pPr>
              <w:pStyle w:val="16"/>
            </w:pPr>
            <w:r>
              <w:rPr>
                <w:rFonts w:hint="eastAsia"/>
              </w:rPr>
              <w:t>公务员医疗补助</w:t>
            </w:r>
          </w:p>
        </w:tc>
        <w:tc>
          <w:tcPr>
            <w:tcW w:w="2551" w:type="dxa"/>
            <w:vAlign w:val="center"/>
          </w:tcPr>
          <w:p>
            <w:pPr>
              <w:pStyle w:val="15"/>
            </w:pPr>
            <w:r>
              <w:t>26.76</w:t>
            </w:r>
          </w:p>
        </w:tc>
        <w:tc>
          <w:tcPr>
            <w:tcW w:w="2551" w:type="dxa"/>
            <w:vAlign w:val="center"/>
          </w:tcPr>
          <w:p>
            <w:pPr>
              <w:pStyle w:val="15"/>
            </w:pPr>
            <w:r>
              <w:t>26.76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22.29</w:t>
            </w:r>
          </w:p>
        </w:tc>
        <w:tc>
          <w:tcPr>
            <w:tcW w:w="2551" w:type="dxa"/>
            <w:vAlign w:val="center"/>
          </w:tcPr>
          <w:p>
            <w:pPr>
              <w:pStyle w:val="15"/>
            </w:pPr>
            <w:r>
              <w:t>22.29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22.29</w:t>
            </w:r>
          </w:p>
        </w:tc>
        <w:tc>
          <w:tcPr>
            <w:tcW w:w="2551" w:type="dxa"/>
            <w:vAlign w:val="center"/>
          </w:tcPr>
          <w:p>
            <w:pPr>
              <w:pStyle w:val="15"/>
            </w:pPr>
            <w:r>
              <w:t>22.29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22.29</w:t>
            </w:r>
          </w:p>
        </w:tc>
        <w:tc>
          <w:tcPr>
            <w:tcW w:w="2551" w:type="dxa"/>
            <w:vAlign w:val="center"/>
          </w:tcPr>
          <w:p>
            <w:pPr>
              <w:pStyle w:val="15"/>
            </w:pPr>
            <w:r>
              <w:t>22.29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29" w:name="_Toc13078_WPSOffice_Level1"/>
      <w:r>
        <w:rPr>
          <w:rFonts w:hint="eastAsia" w:ascii="方正小标宋_GBK" w:hAnsi="方正小标宋_GBK" w:eastAsia="方正小标宋_GBK" w:cs="方正小标宋_GBK"/>
          <w:color w:val="000000"/>
          <w:sz w:val="36"/>
        </w:rPr>
        <w:t>单位预算一般公共预算财政拨款基本支出表</w:t>
      </w:r>
      <w:bookmarkEnd w:id="2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131001</w:t>
            </w:r>
            <w:r>
              <w:rPr>
                <w:rFonts w:hint="eastAsia"/>
              </w:rPr>
              <w:t>政协单位中国人民政治协商会议河北省秦皇岛市山海关区委员会本级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支出单位经济分类科目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376.50</w:t>
            </w:r>
          </w:p>
        </w:tc>
        <w:tc>
          <w:tcPr>
            <w:tcW w:w="2551" w:type="dxa"/>
            <w:vAlign w:val="center"/>
          </w:tcPr>
          <w:p>
            <w:pPr>
              <w:pStyle w:val="19"/>
            </w:pPr>
            <w:r>
              <w:t>342.01</w:t>
            </w:r>
          </w:p>
        </w:tc>
        <w:tc>
          <w:tcPr>
            <w:tcW w:w="2551" w:type="dxa"/>
            <w:vAlign w:val="center"/>
          </w:tcPr>
          <w:p>
            <w:pPr>
              <w:pStyle w:val="19"/>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290.47</w:t>
            </w:r>
          </w:p>
        </w:tc>
        <w:tc>
          <w:tcPr>
            <w:tcW w:w="2551" w:type="dxa"/>
            <w:vAlign w:val="center"/>
          </w:tcPr>
          <w:p>
            <w:pPr>
              <w:pStyle w:val="15"/>
            </w:pPr>
            <w:r>
              <w:t>290.47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98.88</w:t>
            </w:r>
          </w:p>
        </w:tc>
        <w:tc>
          <w:tcPr>
            <w:tcW w:w="2551" w:type="dxa"/>
            <w:vAlign w:val="center"/>
          </w:tcPr>
          <w:p>
            <w:pPr>
              <w:pStyle w:val="15"/>
            </w:pPr>
            <w:r>
              <w:t>98.88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73.43</w:t>
            </w:r>
          </w:p>
        </w:tc>
        <w:tc>
          <w:tcPr>
            <w:tcW w:w="2551" w:type="dxa"/>
            <w:vAlign w:val="center"/>
          </w:tcPr>
          <w:p>
            <w:pPr>
              <w:pStyle w:val="15"/>
            </w:pPr>
            <w:r>
              <w:t>73.43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20.23</w:t>
            </w:r>
          </w:p>
        </w:tc>
        <w:tc>
          <w:tcPr>
            <w:tcW w:w="2551" w:type="dxa"/>
            <w:vAlign w:val="center"/>
          </w:tcPr>
          <w:p>
            <w:pPr>
              <w:pStyle w:val="15"/>
            </w:pPr>
            <w:r>
              <w:t>20.23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6.98</w:t>
            </w:r>
          </w:p>
        </w:tc>
        <w:tc>
          <w:tcPr>
            <w:tcW w:w="2551" w:type="dxa"/>
            <w:vAlign w:val="center"/>
          </w:tcPr>
          <w:p>
            <w:pPr>
              <w:pStyle w:val="15"/>
            </w:pPr>
            <w:r>
              <w:t>6.98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29.26</w:t>
            </w:r>
          </w:p>
        </w:tc>
        <w:tc>
          <w:tcPr>
            <w:tcW w:w="2551" w:type="dxa"/>
            <w:vAlign w:val="center"/>
          </w:tcPr>
          <w:p>
            <w:pPr>
              <w:pStyle w:val="15"/>
            </w:pPr>
            <w:r>
              <w:t>29.26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rPr>
                <w:rFonts w:hint="eastAsia"/>
              </w:rPr>
              <w:t>职工基本医疗保险缴费</w:t>
            </w:r>
          </w:p>
        </w:tc>
        <w:tc>
          <w:tcPr>
            <w:tcW w:w="2551" w:type="dxa"/>
            <w:vAlign w:val="center"/>
          </w:tcPr>
          <w:p>
            <w:pPr>
              <w:pStyle w:val="15"/>
            </w:pPr>
            <w:r>
              <w:t>11.69</w:t>
            </w:r>
          </w:p>
        </w:tc>
        <w:tc>
          <w:tcPr>
            <w:tcW w:w="2551" w:type="dxa"/>
            <w:vAlign w:val="center"/>
          </w:tcPr>
          <w:p>
            <w:pPr>
              <w:pStyle w:val="15"/>
            </w:pPr>
            <w:r>
              <w:t>11.69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rPr>
                <w:rFonts w:hint="eastAsia"/>
              </w:rPr>
              <w:t>公务员医疗补助缴费</w:t>
            </w:r>
          </w:p>
        </w:tc>
        <w:tc>
          <w:tcPr>
            <w:tcW w:w="2551" w:type="dxa"/>
            <w:vAlign w:val="center"/>
          </w:tcPr>
          <w:p>
            <w:pPr>
              <w:pStyle w:val="15"/>
            </w:pPr>
            <w:r>
              <w:t>26.76</w:t>
            </w:r>
          </w:p>
        </w:tc>
        <w:tc>
          <w:tcPr>
            <w:tcW w:w="2551" w:type="dxa"/>
            <w:vAlign w:val="center"/>
          </w:tcPr>
          <w:p>
            <w:pPr>
              <w:pStyle w:val="15"/>
            </w:pPr>
            <w:r>
              <w:t>26.76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0.96</w:t>
            </w:r>
          </w:p>
        </w:tc>
        <w:tc>
          <w:tcPr>
            <w:tcW w:w="2551" w:type="dxa"/>
            <w:vAlign w:val="center"/>
          </w:tcPr>
          <w:p>
            <w:pPr>
              <w:pStyle w:val="15"/>
            </w:pPr>
            <w:r>
              <w:t>0.96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22.29</w:t>
            </w:r>
          </w:p>
        </w:tc>
        <w:tc>
          <w:tcPr>
            <w:tcW w:w="2551" w:type="dxa"/>
            <w:vAlign w:val="center"/>
          </w:tcPr>
          <w:p>
            <w:pPr>
              <w:pStyle w:val="15"/>
            </w:pPr>
            <w:r>
              <w:t>22.29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34.50</w:t>
            </w:r>
          </w:p>
        </w:tc>
        <w:tc>
          <w:tcPr>
            <w:tcW w:w="2551" w:type="dxa"/>
            <w:vAlign w:val="center"/>
          </w:tcPr>
          <w:p>
            <w:pPr>
              <w:pStyle w:val="15"/>
            </w:pPr>
          </w:p>
        </w:tc>
        <w:tc>
          <w:tcPr>
            <w:tcW w:w="2551" w:type="dxa"/>
            <w:vAlign w:val="center"/>
          </w:tcPr>
          <w:p>
            <w:pPr>
              <w:pStyle w:val="15"/>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30202</w:t>
            </w:r>
          </w:p>
        </w:tc>
        <w:tc>
          <w:tcPr>
            <w:tcW w:w="4535" w:type="dxa"/>
            <w:vAlign w:val="center"/>
          </w:tcPr>
          <w:p>
            <w:pPr>
              <w:pStyle w:val="16"/>
            </w:pPr>
            <w:r>
              <w:rPr>
                <w:rFonts w:hint="eastAsia"/>
              </w:rPr>
              <w:t>印刷费</w:t>
            </w:r>
          </w:p>
        </w:tc>
        <w:tc>
          <w:tcPr>
            <w:tcW w:w="2551" w:type="dxa"/>
            <w:vAlign w:val="center"/>
          </w:tcPr>
          <w:p>
            <w:pPr>
              <w:pStyle w:val="15"/>
            </w:pPr>
            <w:r>
              <w:t>0.14</w:t>
            </w:r>
          </w:p>
        </w:tc>
        <w:tc>
          <w:tcPr>
            <w:tcW w:w="2551" w:type="dxa"/>
            <w:vAlign w:val="center"/>
          </w:tcPr>
          <w:p>
            <w:pPr>
              <w:pStyle w:val="15"/>
            </w:pPr>
          </w:p>
        </w:tc>
        <w:tc>
          <w:tcPr>
            <w:tcW w:w="2551" w:type="dxa"/>
            <w:vAlign w:val="center"/>
          </w:tcPr>
          <w:p>
            <w:pPr>
              <w:pStyle w:val="15"/>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rPr>
                <w:rFonts w:hint="eastAsia"/>
              </w:rPr>
              <w:t>电费</w:t>
            </w:r>
          </w:p>
        </w:tc>
        <w:tc>
          <w:tcPr>
            <w:tcW w:w="2551" w:type="dxa"/>
            <w:vAlign w:val="center"/>
          </w:tcPr>
          <w:p>
            <w:pPr>
              <w:pStyle w:val="15"/>
            </w:pPr>
            <w:r>
              <w:t>2.62</w:t>
            </w:r>
          </w:p>
        </w:tc>
        <w:tc>
          <w:tcPr>
            <w:tcW w:w="2551" w:type="dxa"/>
            <w:vAlign w:val="center"/>
          </w:tcPr>
          <w:p>
            <w:pPr>
              <w:pStyle w:val="15"/>
            </w:pPr>
          </w:p>
        </w:tc>
        <w:tc>
          <w:tcPr>
            <w:tcW w:w="2551" w:type="dxa"/>
            <w:vAlign w:val="center"/>
          </w:tcPr>
          <w:p>
            <w:pPr>
              <w:pStyle w:val="15"/>
            </w:pPr>
            <w: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30213</w:t>
            </w:r>
          </w:p>
        </w:tc>
        <w:tc>
          <w:tcPr>
            <w:tcW w:w="4535" w:type="dxa"/>
            <w:vAlign w:val="center"/>
          </w:tcPr>
          <w:p>
            <w:pPr>
              <w:pStyle w:val="16"/>
            </w:pPr>
            <w:r>
              <w:rPr>
                <w:rFonts w:hint="eastAsia"/>
              </w:rPr>
              <w:t>维修</w:t>
            </w:r>
            <w:r>
              <w:t>(</w:t>
            </w:r>
            <w:r>
              <w:rPr>
                <w:rFonts w:hint="eastAsia"/>
              </w:rPr>
              <w:t>护</w:t>
            </w:r>
            <w:r>
              <w:t>)</w:t>
            </w:r>
            <w:r>
              <w:rPr>
                <w:rFonts w:hint="eastAsia"/>
              </w:rPr>
              <w:t>费</w:t>
            </w:r>
          </w:p>
        </w:tc>
        <w:tc>
          <w:tcPr>
            <w:tcW w:w="2551" w:type="dxa"/>
            <w:vAlign w:val="center"/>
          </w:tcPr>
          <w:p>
            <w:pPr>
              <w:pStyle w:val="15"/>
            </w:pPr>
            <w:r>
              <w:t>0.44</w:t>
            </w:r>
          </w:p>
        </w:tc>
        <w:tc>
          <w:tcPr>
            <w:tcW w:w="2551" w:type="dxa"/>
            <w:vAlign w:val="center"/>
          </w:tcPr>
          <w:p>
            <w:pPr>
              <w:pStyle w:val="15"/>
            </w:pPr>
          </w:p>
        </w:tc>
        <w:tc>
          <w:tcPr>
            <w:tcW w:w="2551" w:type="dxa"/>
            <w:vAlign w:val="center"/>
          </w:tcPr>
          <w:p>
            <w:pPr>
              <w:pStyle w:val="15"/>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30216</w:t>
            </w:r>
          </w:p>
        </w:tc>
        <w:tc>
          <w:tcPr>
            <w:tcW w:w="4535" w:type="dxa"/>
            <w:vAlign w:val="center"/>
          </w:tcPr>
          <w:p>
            <w:pPr>
              <w:pStyle w:val="16"/>
            </w:pPr>
            <w:r>
              <w:rPr>
                <w:rFonts w:hint="eastAsia"/>
              </w:rPr>
              <w:t>培训费</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30217</w:t>
            </w:r>
          </w:p>
        </w:tc>
        <w:tc>
          <w:tcPr>
            <w:tcW w:w="4535" w:type="dxa"/>
            <w:vAlign w:val="center"/>
          </w:tcPr>
          <w:p>
            <w:pPr>
              <w:pStyle w:val="16"/>
            </w:pPr>
            <w:r>
              <w:rPr>
                <w:rFonts w:hint="eastAsia"/>
              </w:rPr>
              <w:t>公务接待费</w:t>
            </w:r>
          </w:p>
        </w:tc>
        <w:tc>
          <w:tcPr>
            <w:tcW w:w="2551" w:type="dxa"/>
            <w:vAlign w:val="center"/>
          </w:tcPr>
          <w:p>
            <w:pPr>
              <w:pStyle w:val="15"/>
            </w:pPr>
            <w:r>
              <w:t>0.13</w:t>
            </w:r>
          </w:p>
        </w:tc>
        <w:tc>
          <w:tcPr>
            <w:tcW w:w="2551" w:type="dxa"/>
            <w:vAlign w:val="center"/>
          </w:tcPr>
          <w:p>
            <w:pPr>
              <w:pStyle w:val="15"/>
            </w:pPr>
          </w:p>
        </w:tc>
        <w:tc>
          <w:tcPr>
            <w:tcW w:w="2551" w:type="dxa"/>
            <w:vAlign w:val="center"/>
          </w:tcPr>
          <w:p>
            <w:pPr>
              <w:pStyle w:val="15"/>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30228</w:t>
            </w:r>
          </w:p>
        </w:tc>
        <w:tc>
          <w:tcPr>
            <w:tcW w:w="4535" w:type="dxa"/>
            <w:vAlign w:val="center"/>
          </w:tcPr>
          <w:p>
            <w:pPr>
              <w:pStyle w:val="16"/>
            </w:pPr>
            <w:r>
              <w:rPr>
                <w:rFonts w:hint="eastAsia"/>
              </w:rPr>
              <w:t>工会经费</w:t>
            </w:r>
          </w:p>
        </w:tc>
        <w:tc>
          <w:tcPr>
            <w:tcW w:w="2551" w:type="dxa"/>
            <w:vAlign w:val="center"/>
          </w:tcPr>
          <w:p>
            <w:pPr>
              <w:pStyle w:val="15"/>
            </w:pPr>
            <w:r>
              <w:t>3.46</w:t>
            </w:r>
          </w:p>
        </w:tc>
        <w:tc>
          <w:tcPr>
            <w:tcW w:w="2551" w:type="dxa"/>
            <w:vAlign w:val="center"/>
          </w:tcPr>
          <w:p>
            <w:pPr>
              <w:pStyle w:val="15"/>
            </w:pPr>
          </w:p>
        </w:tc>
        <w:tc>
          <w:tcPr>
            <w:tcW w:w="2551" w:type="dxa"/>
            <w:vAlign w:val="center"/>
          </w:tcPr>
          <w:p>
            <w:pPr>
              <w:pStyle w:val="15"/>
            </w:pPr>
            <w:r>
              <w:t>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30229</w:t>
            </w:r>
          </w:p>
        </w:tc>
        <w:tc>
          <w:tcPr>
            <w:tcW w:w="4535" w:type="dxa"/>
            <w:vAlign w:val="center"/>
          </w:tcPr>
          <w:p>
            <w:pPr>
              <w:pStyle w:val="16"/>
            </w:pPr>
            <w:r>
              <w:rPr>
                <w:rFonts w:hint="eastAsia"/>
              </w:rPr>
              <w:t>福利费</w:t>
            </w:r>
          </w:p>
        </w:tc>
        <w:tc>
          <w:tcPr>
            <w:tcW w:w="2551" w:type="dxa"/>
            <w:vAlign w:val="center"/>
          </w:tcPr>
          <w:p>
            <w:pPr>
              <w:pStyle w:val="15"/>
            </w:pPr>
            <w:r>
              <w:t>2.47</w:t>
            </w:r>
          </w:p>
        </w:tc>
        <w:tc>
          <w:tcPr>
            <w:tcW w:w="2551" w:type="dxa"/>
            <w:vAlign w:val="center"/>
          </w:tcPr>
          <w:p>
            <w:pPr>
              <w:pStyle w:val="15"/>
            </w:pPr>
          </w:p>
        </w:tc>
        <w:tc>
          <w:tcPr>
            <w:tcW w:w="2551" w:type="dxa"/>
            <w:vAlign w:val="center"/>
          </w:tcPr>
          <w:p>
            <w:pPr>
              <w:pStyle w:val="15"/>
            </w:pPr>
            <w:r>
              <w:t>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30231</w:t>
            </w:r>
          </w:p>
        </w:tc>
        <w:tc>
          <w:tcPr>
            <w:tcW w:w="4535" w:type="dxa"/>
            <w:vAlign w:val="center"/>
          </w:tcPr>
          <w:p>
            <w:pPr>
              <w:pStyle w:val="16"/>
            </w:pPr>
            <w:r>
              <w:rPr>
                <w:rFonts w:hint="eastAsia"/>
              </w:rPr>
              <w:t>公务用车运行维护费</w:t>
            </w:r>
          </w:p>
        </w:tc>
        <w:tc>
          <w:tcPr>
            <w:tcW w:w="2551" w:type="dxa"/>
            <w:vAlign w:val="center"/>
          </w:tcPr>
          <w:p>
            <w:pPr>
              <w:pStyle w:val="15"/>
            </w:pPr>
            <w:r>
              <w:t>1.20</w:t>
            </w:r>
          </w:p>
        </w:tc>
        <w:tc>
          <w:tcPr>
            <w:tcW w:w="2551" w:type="dxa"/>
            <w:vAlign w:val="center"/>
          </w:tcPr>
          <w:p>
            <w:pPr>
              <w:pStyle w:val="15"/>
            </w:pPr>
          </w:p>
        </w:tc>
        <w:tc>
          <w:tcPr>
            <w:tcW w:w="2551"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14.69</w:t>
            </w:r>
          </w:p>
        </w:tc>
        <w:tc>
          <w:tcPr>
            <w:tcW w:w="2551" w:type="dxa"/>
            <w:vAlign w:val="center"/>
          </w:tcPr>
          <w:p>
            <w:pPr>
              <w:pStyle w:val="15"/>
            </w:pPr>
          </w:p>
        </w:tc>
        <w:tc>
          <w:tcPr>
            <w:tcW w:w="2551" w:type="dxa"/>
            <w:vAlign w:val="center"/>
          </w:tcPr>
          <w:p>
            <w:pPr>
              <w:pStyle w:val="15"/>
            </w:pPr>
            <w:r>
              <w:t>14.69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30299</w:t>
            </w:r>
          </w:p>
        </w:tc>
        <w:tc>
          <w:tcPr>
            <w:tcW w:w="4535" w:type="dxa"/>
            <w:vAlign w:val="center"/>
          </w:tcPr>
          <w:p>
            <w:pPr>
              <w:pStyle w:val="16"/>
            </w:pPr>
            <w:r>
              <w:rPr>
                <w:rFonts w:hint="eastAsia"/>
              </w:rPr>
              <w:t>其他商品和服务支出</w:t>
            </w:r>
          </w:p>
        </w:tc>
        <w:tc>
          <w:tcPr>
            <w:tcW w:w="2551" w:type="dxa"/>
            <w:vAlign w:val="center"/>
          </w:tcPr>
          <w:p>
            <w:pPr>
              <w:pStyle w:val="15"/>
            </w:pPr>
            <w:r>
              <w:t>4.84</w:t>
            </w:r>
          </w:p>
        </w:tc>
        <w:tc>
          <w:tcPr>
            <w:tcW w:w="2551" w:type="dxa"/>
            <w:vAlign w:val="center"/>
          </w:tcPr>
          <w:p>
            <w:pPr>
              <w:pStyle w:val="15"/>
            </w:pPr>
          </w:p>
        </w:tc>
        <w:tc>
          <w:tcPr>
            <w:tcW w:w="2551" w:type="dxa"/>
            <w:vAlign w:val="center"/>
          </w:tcPr>
          <w:p>
            <w:pPr>
              <w:pStyle w:val="15"/>
            </w:pPr>
            <w:r>
              <w:t>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51.54</w:t>
            </w:r>
          </w:p>
        </w:tc>
        <w:tc>
          <w:tcPr>
            <w:tcW w:w="2551" w:type="dxa"/>
            <w:vAlign w:val="center"/>
          </w:tcPr>
          <w:p>
            <w:pPr>
              <w:pStyle w:val="15"/>
            </w:pPr>
            <w:r>
              <w:t>51.54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30301</w:t>
            </w:r>
          </w:p>
        </w:tc>
        <w:tc>
          <w:tcPr>
            <w:tcW w:w="4535" w:type="dxa"/>
            <w:vAlign w:val="center"/>
          </w:tcPr>
          <w:p>
            <w:pPr>
              <w:pStyle w:val="16"/>
            </w:pPr>
            <w:r>
              <w:rPr>
                <w:rFonts w:hint="eastAsia"/>
              </w:rPr>
              <w:t>离休费</w:t>
            </w:r>
          </w:p>
        </w:tc>
        <w:tc>
          <w:tcPr>
            <w:tcW w:w="2551" w:type="dxa"/>
            <w:vAlign w:val="center"/>
          </w:tcPr>
          <w:p>
            <w:pPr>
              <w:pStyle w:val="15"/>
            </w:pPr>
            <w:r>
              <w:t>13.76</w:t>
            </w:r>
          </w:p>
        </w:tc>
        <w:tc>
          <w:tcPr>
            <w:tcW w:w="2551" w:type="dxa"/>
            <w:vAlign w:val="center"/>
          </w:tcPr>
          <w:p>
            <w:pPr>
              <w:pStyle w:val="15"/>
            </w:pPr>
            <w:r>
              <w:t>13.76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35.92</w:t>
            </w:r>
          </w:p>
        </w:tc>
        <w:tc>
          <w:tcPr>
            <w:tcW w:w="2551" w:type="dxa"/>
            <w:vAlign w:val="center"/>
          </w:tcPr>
          <w:p>
            <w:pPr>
              <w:pStyle w:val="15"/>
            </w:pPr>
            <w:r>
              <w:t>35.92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1.58</w:t>
            </w:r>
          </w:p>
        </w:tc>
        <w:tc>
          <w:tcPr>
            <w:tcW w:w="2551" w:type="dxa"/>
            <w:vAlign w:val="center"/>
          </w:tcPr>
          <w:p>
            <w:pPr>
              <w:pStyle w:val="15"/>
            </w:pPr>
            <w:r>
              <w:t>1.58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0.02</w:t>
            </w:r>
          </w:p>
        </w:tc>
        <w:tc>
          <w:tcPr>
            <w:tcW w:w="2551" w:type="dxa"/>
            <w:vAlign w:val="center"/>
          </w:tcPr>
          <w:p>
            <w:pPr>
              <w:pStyle w:val="15"/>
            </w:pPr>
            <w:r>
              <w:t>0.02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30399</w:t>
            </w:r>
          </w:p>
        </w:tc>
        <w:tc>
          <w:tcPr>
            <w:tcW w:w="4535" w:type="dxa"/>
            <w:vAlign w:val="center"/>
          </w:tcPr>
          <w:p>
            <w:pPr>
              <w:pStyle w:val="16"/>
            </w:pPr>
            <w:r>
              <w:rPr>
                <w:rFonts w:hint="eastAsia"/>
              </w:rPr>
              <w:t>其他对个人和家庭的补助</w:t>
            </w:r>
          </w:p>
        </w:tc>
        <w:tc>
          <w:tcPr>
            <w:tcW w:w="2551" w:type="dxa"/>
            <w:vAlign w:val="center"/>
          </w:tcPr>
          <w:p>
            <w:pPr>
              <w:pStyle w:val="15"/>
            </w:pPr>
            <w:r>
              <w:t>0.25</w:t>
            </w:r>
          </w:p>
        </w:tc>
        <w:tc>
          <w:tcPr>
            <w:tcW w:w="2551" w:type="dxa"/>
            <w:vAlign w:val="center"/>
          </w:tcPr>
          <w:p>
            <w:pPr>
              <w:pStyle w:val="15"/>
            </w:pPr>
            <w:r>
              <w:t>0.25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30" w:name="_Toc27171_WPSOffice_Level1"/>
      <w:r>
        <w:rPr>
          <w:rFonts w:hint="eastAsia" w:ascii="方正小标宋_GBK" w:hAnsi="方正小标宋_GBK" w:eastAsia="方正小标宋_GBK" w:cs="方正小标宋_GBK"/>
          <w:color w:val="000000"/>
          <w:sz w:val="36"/>
        </w:rPr>
        <w:t>单位预算政府基金预算财政拨款支出表</w:t>
      </w:r>
      <w:bookmarkEnd w:id="3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131001</w:t>
            </w:r>
            <w:r>
              <w:rPr>
                <w:rFonts w:hint="eastAsia"/>
              </w:rPr>
              <w:t>政协单位中国人民政治协商会议河北省秦皇岛市山海关区委员会本级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bookmarkStart w:id="31" w:name="_Toc20126_WPSOffice_Level1"/>
      <w:r>
        <w:rPr>
          <w:rFonts w:hint="eastAsia" w:ascii="方正小标宋_GBK" w:hAnsi="方正小标宋_GBK" w:eastAsia="方正小标宋_GBK" w:cs="方正小标宋_GBK"/>
          <w:color w:val="000000"/>
          <w:sz w:val="36"/>
        </w:rPr>
        <w:t>单位预算国有资本经营预算财政拨款支出表</w:t>
      </w:r>
      <w:bookmarkEnd w:id="3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131001</w:t>
            </w:r>
            <w:r>
              <w:rPr>
                <w:rFonts w:hint="eastAsia"/>
              </w:rPr>
              <w:t>政协单位中国人民政治协商会议河北省秦皇岛市山海关区委员会本级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bookmarkStart w:id="32" w:name="_Toc19890_WPSOffice_Level1"/>
      <w:r>
        <w:rPr>
          <w:rFonts w:hint="eastAsia" w:ascii="方正小标宋_GBK" w:hAnsi="方正小标宋_GBK" w:eastAsia="方正小标宋_GBK" w:cs="方正小标宋_GBK"/>
          <w:color w:val="000000"/>
          <w:sz w:val="36"/>
        </w:rPr>
        <w:t>单位预算财政拨款“三公”经费支出表</w:t>
      </w:r>
      <w:bookmarkEnd w:id="3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131001</w:t>
            </w:r>
            <w:r>
              <w:rPr>
                <w:rFonts w:hint="eastAsia"/>
              </w:rPr>
              <w:t>政协单位中国人民政治协商会议河北省秦皇岛市山海关区委员会本级</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“三公”经费小计</w:t>
            </w:r>
          </w:p>
        </w:tc>
        <w:tc>
          <w:tcPr>
            <w:tcW w:w="2381" w:type="dxa"/>
            <w:vAlign w:val="center"/>
          </w:tcPr>
          <w:p>
            <w:pPr>
              <w:pStyle w:val="19"/>
            </w:pPr>
            <w:r>
              <w:t>4.63</w:t>
            </w:r>
          </w:p>
        </w:tc>
        <w:tc>
          <w:tcPr>
            <w:tcW w:w="2381" w:type="dxa"/>
            <w:vAlign w:val="center"/>
          </w:tcPr>
          <w:p>
            <w:pPr>
              <w:pStyle w:val="19"/>
            </w:pPr>
            <w:r>
              <w:t>4.63</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rPr>
                <w:rFonts w:hint="eastAsia"/>
              </w:rPr>
              <w:t>二、公务用车购置及运维费</w:t>
            </w:r>
          </w:p>
        </w:tc>
        <w:tc>
          <w:tcPr>
            <w:tcW w:w="2381" w:type="dxa"/>
            <w:vAlign w:val="center"/>
          </w:tcPr>
          <w:p>
            <w:pPr>
              <w:pStyle w:val="15"/>
            </w:pPr>
            <w:r>
              <w:t>4.50</w:t>
            </w:r>
          </w:p>
        </w:tc>
        <w:tc>
          <w:tcPr>
            <w:tcW w:w="2381" w:type="dxa"/>
            <w:vAlign w:val="center"/>
          </w:tcPr>
          <w:p>
            <w:pPr>
              <w:pStyle w:val="15"/>
            </w:pPr>
            <w:r>
              <w:t>4.50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w:t>
            </w:r>
            <w:r>
              <w:rPr>
                <w:rFonts w:hint="eastAsia"/>
              </w:rPr>
              <w:t>公务用车运行维护费</w:t>
            </w:r>
          </w:p>
        </w:tc>
        <w:tc>
          <w:tcPr>
            <w:tcW w:w="2381" w:type="dxa"/>
            <w:vAlign w:val="center"/>
          </w:tcPr>
          <w:p>
            <w:pPr>
              <w:pStyle w:val="15"/>
            </w:pPr>
            <w:r>
              <w:t>4.50</w:t>
            </w:r>
          </w:p>
        </w:tc>
        <w:tc>
          <w:tcPr>
            <w:tcW w:w="2381" w:type="dxa"/>
            <w:vAlign w:val="center"/>
          </w:tcPr>
          <w:p>
            <w:pPr>
              <w:pStyle w:val="15"/>
            </w:pPr>
            <w:r>
              <w:t>4.50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rPr>
                <w:rFonts w:hint="eastAsia"/>
              </w:rPr>
              <w:t>三、公务接待费</w:t>
            </w:r>
          </w:p>
        </w:tc>
        <w:tc>
          <w:tcPr>
            <w:tcW w:w="2381" w:type="dxa"/>
            <w:vAlign w:val="center"/>
          </w:tcPr>
          <w:p>
            <w:pPr>
              <w:pStyle w:val="15"/>
            </w:pPr>
            <w:r>
              <w:t>0.13</w:t>
            </w:r>
          </w:p>
        </w:tc>
        <w:tc>
          <w:tcPr>
            <w:tcW w:w="2381" w:type="dxa"/>
            <w:vAlign w:val="center"/>
          </w:tcPr>
          <w:p>
            <w:pPr>
              <w:pStyle w:val="15"/>
            </w:pPr>
            <w:r>
              <w:t>0.13</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rPr>
        <w:t>政协单位中国人民政治协商会议河北省秦皇岛市山海关区委员会本级</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按照《预算法》、《地方预决算公开操作规程》和《关于进一步推进预算公开工作的实施意见》规定，现将政协单位中国人民政治协商会议河北省秦皇岛市山海关区委员会本级</w:t>
      </w:r>
      <w:r>
        <w:rPr>
          <w:rFonts w:eastAsia="方正仿宋_GBK"/>
          <w:color w:val="000000"/>
          <w:sz w:val="28"/>
        </w:rPr>
        <w:t>2023</w:t>
      </w:r>
      <w:r>
        <w:rPr>
          <w:rFonts w:hint="eastAsia" w:eastAsia="方正仿宋_GBK"/>
          <w:color w:val="000000"/>
          <w:sz w:val="28"/>
        </w:rPr>
        <w:t>年单位预算公开如下：</w:t>
      </w:r>
    </w:p>
    <w:p>
      <w:pPr>
        <w:spacing w:before="10" w:after="10"/>
        <w:ind w:firstLine="640"/>
        <w:outlineLvl w:val="5"/>
      </w:pPr>
      <w:bookmarkStart w:id="33" w:name="_Toc11928_WPSOffice_Level1"/>
      <w:r>
        <w:rPr>
          <w:rFonts w:hint="eastAsia" w:ascii="黑体" w:hAnsi="黑体" w:eastAsia="黑体" w:cs="黑体"/>
          <w:color w:val="000000"/>
          <w:sz w:val="32"/>
        </w:rPr>
        <w:t>一、单位职责及机构设置情况</w:t>
      </w:r>
      <w:bookmarkEnd w:id="33"/>
    </w:p>
    <w:p>
      <w:pPr>
        <w:ind w:firstLine="640"/>
      </w:pPr>
      <w:r>
        <w:rPr>
          <w:rFonts w:hint="eastAsia" w:ascii="方正楷体_GBK" w:hAnsi="方正楷体_GBK" w:eastAsia="方正楷体_GBK" w:cs="方正楷体_GBK"/>
          <w:b/>
          <w:color w:val="000000"/>
          <w:sz w:val="32"/>
        </w:rPr>
        <w:t>单位职责：</w:t>
      </w:r>
    </w:p>
    <w:p>
      <w:pPr>
        <w:pStyle w:val="29"/>
      </w:pPr>
      <w:r>
        <w:rPr>
          <w:rFonts w:hint="eastAsia"/>
        </w:rPr>
        <w:t>一、政治协商专项业务</w:t>
      </w:r>
    </w:p>
    <w:p>
      <w:pPr>
        <w:pStyle w:val="29"/>
      </w:pPr>
      <w:r>
        <w:rPr>
          <w:rFonts w:hint="eastAsia"/>
        </w:rPr>
        <w:t>坚持</w:t>
      </w:r>
      <w:r>
        <w:t>“</w:t>
      </w:r>
      <w:r>
        <w:rPr>
          <w:rFonts w:hint="eastAsia"/>
        </w:rPr>
        <w:t>注重质量，讲求实效</w:t>
      </w:r>
      <w:r>
        <w:t>”</w:t>
      </w:r>
      <w:r>
        <w:rPr>
          <w:rFonts w:hint="eastAsia"/>
        </w:rPr>
        <w:t>的原则，紧紧围绕区委、区政府中心工作开展协商议政，努力在推进科学民主决策中发挥作用。积极开展多层次政治协商。充分利用全体会议、常委会议、主席会议、专委会议，认真开展政治协商。</w:t>
      </w:r>
    </w:p>
    <w:p>
      <w:pPr>
        <w:pStyle w:val="29"/>
      </w:pPr>
      <w:r>
        <w:rPr>
          <w:rFonts w:hint="eastAsia"/>
        </w:rPr>
        <w:t>二、民主监督</w:t>
      </w:r>
    </w:p>
    <w:p>
      <w:pPr>
        <w:pStyle w:val="29"/>
      </w:pPr>
      <w:r>
        <w:rPr>
          <w:rFonts w:hint="eastAsia"/>
        </w:rPr>
        <w:t>有效履行民主监督职责，发挥好协调关系、汇聚力量、建言献策、服务大局的作用。通过意见、建议、批评的方式对国家法律法规的实施、执行、党和政府的工作进行政治监督。</w:t>
      </w:r>
    </w:p>
    <w:p>
      <w:pPr>
        <w:pStyle w:val="29"/>
      </w:pPr>
      <w:r>
        <w:rPr>
          <w:rFonts w:hint="eastAsia"/>
        </w:rPr>
        <w:t>三、参政议政</w:t>
      </w:r>
    </w:p>
    <w:p>
      <w:pPr>
        <w:pStyle w:val="29"/>
      </w:pPr>
      <w:r>
        <w:rPr>
          <w:rFonts w:hint="eastAsia"/>
        </w:rPr>
        <w:t>通过调研课题就经济社会发展以及党委和政府关注的问题，提出客观、有价值、有分量、有影响的意见建议，促进决策民主化和科学化。通过界别渠道密切联系群众，反映社情民意，努力做到协调关系、化解矛盾、理顺情绪，增进社会各阶层不同利益群体的和谐和稳定。加强史料的收集，编辑高质量的文史资料。通过对全区重大问题以及人民群众普遍关心的问题，开展调查研究，反映社情民意，进行协商讨论，以调研报告、建议案或其他形式，向区委、区政府提出意见和建议。</w:t>
      </w:r>
    </w:p>
    <w:p>
      <w:pPr>
        <w:pStyle w:val="29"/>
      </w:pPr>
      <w:r>
        <w:rPr>
          <w:rFonts w:hint="eastAsia"/>
        </w:rPr>
        <w:t>四、政协事务管理</w:t>
      </w:r>
    </w:p>
    <w:p>
      <w:pPr>
        <w:pStyle w:val="29"/>
      </w:pPr>
      <w:r>
        <w:rPr>
          <w:rFonts w:hint="eastAsia"/>
        </w:rPr>
        <w:t>更加重视政协委员队伍建设，把建设</w:t>
      </w:r>
      <w:r>
        <w:t>“</w:t>
      </w:r>
      <w:r>
        <w:rPr>
          <w:rFonts w:hint="eastAsia"/>
        </w:rPr>
        <w:t>懂政协、会协商、善议政</w:t>
      </w:r>
      <w:r>
        <w:t>”</w:t>
      </w:r>
      <w:r>
        <w:rPr>
          <w:rFonts w:hint="eastAsia"/>
        </w:rPr>
        <w:t>，</w:t>
      </w:r>
      <w:r>
        <w:t>“</w:t>
      </w:r>
      <w:r>
        <w:rPr>
          <w:rFonts w:hint="eastAsia"/>
        </w:rPr>
        <w:t>守纪律、讲规矩、重品行</w:t>
      </w:r>
      <w:r>
        <w:t>”</w:t>
      </w:r>
      <w:r>
        <w:rPr>
          <w:rFonts w:hint="eastAsia"/>
        </w:rPr>
        <w:t>高素质队伍作为推进政协履职能力现代化建设的重要抓手，按照</w:t>
      </w:r>
      <w:r>
        <w:t>“</w:t>
      </w:r>
      <w:r>
        <w:rPr>
          <w:rFonts w:hint="eastAsia"/>
        </w:rPr>
        <w:t>严管厚爱</w:t>
      </w:r>
      <w:r>
        <w:t>”</w:t>
      </w:r>
      <w:r>
        <w:rPr>
          <w:rFonts w:hint="eastAsia"/>
        </w:rPr>
        <w:t>的原则带好政协委员队伍，为政协高效履职提供坚实的人才队伍保障。要进一步加强各专委会和委员活动组建设，积极探索围绕社会热点难点问题开展专题民主协商活动，努力使人民政协的工作充满生机与活力。更加重视机关自身建设，建章立制，规范管理，进一步提升服务保障能力。</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政协单位中国人民政治协商会议河北省秦皇岛市山海关区委员会本级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正处（县）级</w:t>
            </w:r>
          </w:p>
        </w:tc>
        <w:tc>
          <w:tcPr>
            <w:tcW w:w="3827" w:type="dxa"/>
            <w:vAlign w:val="center"/>
          </w:tcPr>
          <w:p>
            <w:pPr>
              <w:pStyle w:val="17"/>
            </w:pPr>
            <w:r>
              <w:rPr>
                <w:rFonts w:hint="eastAsia"/>
              </w:rPr>
              <w:t>财政拨款</w:t>
            </w:r>
          </w:p>
        </w:tc>
      </w:tr>
    </w:tbl>
    <w:p>
      <w:pPr>
        <w:spacing w:before="10" w:after="10"/>
        <w:ind w:firstLine="640"/>
        <w:outlineLvl w:val="5"/>
      </w:pPr>
      <w:bookmarkStart w:id="34" w:name="_Toc1654_WPSOffice_Level1"/>
      <w:r>
        <w:rPr>
          <w:rFonts w:hint="eastAsia" w:ascii="黑体" w:hAnsi="黑体" w:eastAsia="黑体" w:cs="黑体"/>
          <w:color w:val="000000"/>
          <w:sz w:val="32"/>
        </w:rPr>
        <w:t>二、单位预算安排的总体情况</w:t>
      </w:r>
      <w:bookmarkEnd w:id="34"/>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pStyle w:val="30"/>
      </w:pPr>
      <w:r>
        <w:rPr>
          <w:rFonts w:hint="eastAsia"/>
        </w:rPr>
        <w:t>按照预算管理有关规定，目前我区单位预算的编制实行综合预算制度，即全部收入和支出都反映在预算中。中国人民政治协商会议河北省秦皇岛市山海关区委员会机关及所属事业单位的收支包含在单位预算中。</w:t>
      </w:r>
    </w:p>
    <w:p>
      <w:pPr>
        <w:pStyle w:val="30"/>
      </w:pPr>
      <w:r>
        <w:t>1</w:t>
      </w:r>
      <w:r>
        <w:rPr>
          <w:rFonts w:hint="eastAsia"/>
        </w:rPr>
        <w:t>、收入说明</w:t>
      </w:r>
    </w:p>
    <w:p>
      <w:pPr>
        <w:pStyle w:val="30"/>
      </w:pPr>
      <w:r>
        <w:rPr>
          <w:rFonts w:hint="eastAsia"/>
        </w:rPr>
        <w:t>反映本单位当年全部收入。</w:t>
      </w:r>
      <w:r>
        <w:t>2023</w:t>
      </w:r>
      <w:r>
        <w:rPr>
          <w:rFonts w:hint="eastAsia"/>
        </w:rPr>
        <w:t>年预算收入为</w:t>
      </w:r>
      <w:r>
        <w:t>442.30</w:t>
      </w:r>
      <w:r>
        <w:rPr>
          <w:rFonts w:hint="eastAsia"/>
        </w:rPr>
        <w:t>万元，其中：一般公共预算收入</w:t>
      </w:r>
      <w:r>
        <w:t>442.30</w:t>
      </w:r>
      <w:r>
        <w:rPr>
          <w:rFonts w:hint="eastAsia"/>
        </w:rPr>
        <w:t>万元，基金预算收入</w:t>
      </w:r>
      <w:r>
        <w:t>0</w:t>
      </w:r>
      <w:r>
        <w:rPr>
          <w:rFonts w:hint="eastAsia"/>
        </w:rPr>
        <w:t>万元，财政专户核拨收入</w:t>
      </w:r>
      <w:r>
        <w:t>0</w:t>
      </w:r>
      <w:r>
        <w:rPr>
          <w:rFonts w:hint="eastAsia"/>
        </w:rPr>
        <w:t>万元，其他来源收入</w:t>
      </w:r>
      <w:r>
        <w:t>0</w:t>
      </w:r>
      <w:r>
        <w:rPr>
          <w:rFonts w:hint="eastAsia"/>
        </w:rPr>
        <w:t>万元。</w:t>
      </w:r>
    </w:p>
    <w:p>
      <w:pPr>
        <w:pStyle w:val="30"/>
      </w:pPr>
      <w:r>
        <w:t>2</w:t>
      </w:r>
      <w:r>
        <w:rPr>
          <w:rFonts w:hint="eastAsia"/>
        </w:rPr>
        <w:t>、支出说明</w:t>
      </w:r>
    </w:p>
    <w:p>
      <w:pPr>
        <w:pStyle w:val="30"/>
      </w:pPr>
      <w:r>
        <w:rPr>
          <w:rFonts w:hint="eastAsia"/>
        </w:rPr>
        <w:t>收支预算总表支出栏、基本支出表、项目支出表按经济分类和支出功能分类科目编制，反映中国人民政治协商会议河北省秦皇岛市山海关区委员会</w:t>
      </w:r>
      <w:r>
        <w:t>2023</w:t>
      </w:r>
      <w:r>
        <w:rPr>
          <w:rFonts w:hint="eastAsia"/>
        </w:rPr>
        <w:t>年度单位预算中支出预算的总体情况。</w:t>
      </w:r>
      <w:r>
        <w:t>2023</w:t>
      </w:r>
      <w:r>
        <w:rPr>
          <w:rFonts w:hint="eastAsia"/>
        </w:rPr>
        <w:t>年预算支出为</w:t>
      </w:r>
      <w:r>
        <w:t>442.30</w:t>
      </w:r>
      <w:r>
        <w:rPr>
          <w:rFonts w:hint="eastAsia"/>
        </w:rPr>
        <w:t>万元，其中：基本支出</w:t>
      </w:r>
      <w:r>
        <w:t>376.50</w:t>
      </w:r>
      <w:r>
        <w:rPr>
          <w:rFonts w:hint="eastAsia"/>
        </w:rPr>
        <w:t>万元，主要是人员经费</w:t>
      </w:r>
      <w:r>
        <w:t>342.01</w:t>
      </w:r>
      <w:r>
        <w:rPr>
          <w:rFonts w:hint="eastAsia"/>
        </w:rPr>
        <w:t>万元和日常公用经费</w:t>
      </w:r>
      <w:r>
        <w:t>34.50</w:t>
      </w:r>
      <w:r>
        <w:rPr>
          <w:rFonts w:hint="eastAsia"/>
        </w:rPr>
        <w:t>万元；项目支出</w:t>
      </w:r>
      <w:r>
        <w:t>65.80</w:t>
      </w:r>
      <w:r>
        <w:rPr>
          <w:rFonts w:hint="eastAsia"/>
        </w:rPr>
        <w:t>元，主要为政协会议项目安排资金</w:t>
      </w:r>
      <w:r>
        <w:t>20</w:t>
      </w:r>
      <w:r>
        <w:rPr>
          <w:rFonts w:hint="eastAsia"/>
        </w:rPr>
        <w:t>万元、车辆保险费</w:t>
      </w:r>
      <w:r>
        <w:t>0.80</w:t>
      </w:r>
      <w:r>
        <w:rPr>
          <w:rFonts w:hint="eastAsia"/>
        </w:rPr>
        <w:t>万元、综合事务管理费用</w:t>
      </w:r>
      <w:r>
        <w:t>45</w:t>
      </w:r>
      <w:r>
        <w:rPr>
          <w:rFonts w:hint="eastAsia"/>
        </w:rPr>
        <w:t>万元。</w:t>
      </w:r>
    </w:p>
    <w:p>
      <w:pPr>
        <w:pStyle w:val="30"/>
      </w:pPr>
      <w:r>
        <w:t>3</w:t>
      </w:r>
      <w:r>
        <w:rPr>
          <w:rFonts w:hint="eastAsia"/>
        </w:rPr>
        <w:t>、比上年增减情况</w:t>
      </w:r>
    </w:p>
    <w:p>
      <w:pPr>
        <w:pStyle w:val="30"/>
      </w:pPr>
      <w:r>
        <w:t>2023</w:t>
      </w:r>
      <w:r>
        <w:rPr>
          <w:rFonts w:hint="eastAsia"/>
        </w:rPr>
        <w:t>年预算支出安排</w:t>
      </w:r>
      <w:r>
        <w:t>442.30</w:t>
      </w:r>
      <w:r>
        <w:rPr>
          <w:rFonts w:hint="eastAsia"/>
        </w:rPr>
        <w:t>元，较</w:t>
      </w:r>
      <w:r>
        <w:t>2022</w:t>
      </w:r>
      <w:r>
        <w:rPr>
          <w:rFonts w:hint="eastAsia"/>
        </w:rPr>
        <w:t>年预算增加</w:t>
      </w:r>
      <w:r>
        <w:t>69.42</w:t>
      </w:r>
      <w:r>
        <w:rPr>
          <w:rFonts w:hint="eastAsia"/>
        </w:rPr>
        <w:t>万元，其中：基本支出增加</w:t>
      </w:r>
      <w:r>
        <w:t>49.42</w:t>
      </w:r>
      <w:r>
        <w:rPr>
          <w:rFonts w:hint="eastAsia"/>
        </w:rPr>
        <w:t>万元，主要为人员支出增加；项目支出增加</w:t>
      </w:r>
      <w:r>
        <w:t>20</w:t>
      </w:r>
      <w:r>
        <w:rPr>
          <w:rFonts w:hint="eastAsia"/>
        </w:rPr>
        <w:t>万元，主要为综合事务管理的增加。</w:t>
      </w:r>
    </w:p>
    <w:p>
      <w:pPr>
        <w:spacing w:before="10" w:after="10"/>
        <w:ind w:firstLine="640"/>
        <w:outlineLvl w:val="5"/>
      </w:pPr>
      <w:bookmarkStart w:id="35" w:name="_Toc4191_WPSOffice_Level1"/>
      <w:r>
        <w:rPr>
          <w:rFonts w:hint="eastAsia" w:ascii="黑体" w:hAnsi="黑体" w:eastAsia="黑体" w:cs="黑体"/>
          <w:color w:val="000000"/>
          <w:sz w:val="32"/>
        </w:rPr>
        <w:t>三、机关运行经费安排情况</w:t>
      </w:r>
      <w:bookmarkEnd w:id="35"/>
    </w:p>
    <w:p>
      <w:pPr>
        <w:pStyle w:val="31"/>
      </w:pPr>
      <w:r>
        <w:rPr>
          <w:rFonts w:hint="eastAsia"/>
        </w:rPr>
        <w:t>机关运行经费共计安排</w:t>
      </w:r>
      <w:r>
        <w:t>34.50</w:t>
      </w:r>
      <w:r>
        <w:rPr>
          <w:rFonts w:hint="eastAsia"/>
        </w:rPr>
        <w:t>元，主要用于邮电费</w:t>
      </w:r>
      <w:r>
        <w:t>4.00</w:t>
      </w:r>
      <w:r>
        <w:rPr>
          <w:rFonts w:hint="eastAsia"/>
        </w:rPr>
        <w:t>万元、差旅费</w:t>
      </w:r>
      <w:r>
        <w:t>0</w:t>
      </w:r>
      <w:r>
        <w:rPr>
          <w:rFonts w:hint="eastAsia"/>
        </w:rPr>
        <w:t>万元、会议费</w:t>
      </w:r>
      <w:r>
        <w:t>0</w:t>
      </w:r>
      <w:r>
        <w:rPr>
          <w:rFonts w:hint="eastAsia"/>
        </w:rPr>
        <w:t>万元、福利费</w:t>
      </w:r>
      <w:r>
        <w:t>0</w:t>
      </w:r>
      <w:r>
        <w:rPr>
          <w:rFonts w:hint="eastAsia"/>
        </w:rPr>
        <w:t>万元、日常维修费</w:t>
      </w:r>
      <w:r>
        <w:t>0.29</w:t>
      </w:r>
      <w:r>
        <w:rPr>
          <w:rFonts w:hint="eastAsia"/>
        </w:rPr>
        <w:t>万元、专用材料及一般设备购置费</w:t>
      </w:r>
      <w:r>
        <w:t>0</w:t>
      </w:r>
      <w:r>
        <w:rPr>
          <w:rFonts w:hint="eastAsia"/>
        </w:rPr>
        <w:t>万元、办公用房水电费</w:t>
      </w:r>
      <w:r>
        <w:t>0</w:t>
      </w:r>
      <w:r>
        <w:rPr>
          <w:rFonts w:hint="eastAsia"/>
        </w:rPr>
        <w:t>万元、办公用房取暖费</w:t>
      </w:r>
      <w:r>
        <w:t>0</w:t>
      </w:r>
      <w:r>
        <w:rPr>
          <w:rFonts w:hint="eastAsia"/>
        </w:rPr>
        <w:t>万元、办公用房物业管理费</w:t>
      </w:r>
      <w:r>
        <w:t>0</w:t>
      </w:r>
      <w:r>
        <w:rPr>
          <w:rFonts w:hint="eastAsia"/>
        </w:rPr>
        <w:t>万元、公务用车运行维护费以及其他费用</w:t>
      </w:r>
      <w:r>
        <w:t>30.21</w:t>
      </w:r>
      <w:r>
        <w:rPr>
          <w:rFonts w:hint="eastAsia"/>
        </w:rPr>
        <w:t>万元等日常运行支出。</w:t>
      </w:r>
    </w:p>
    <w:p>
      <w:pPr>
        <w:spacing w:before="10" w:after="10"/>
        <w:ind w:firstLine="640"/>
        <w:outlineLvl w:val="5"/>
      </w:pPr>
      <w:bookmarkStart w:id="36" w:name="_Toc31367_WPSOffice_Level1"/>
      <w:r>
        <w:rPr>
          <w:rFonts w:hint="eastAsia" w:ascii="黑体" w:hAnsi="黑体" w:eastAsia="黑体" w:cs="黑体"/>
          <w:color w:val="000000"/>
          <w:sz w:val="32"/>
        </w:rPr>
        <w:t>四、财政拨款“三公”经费预算情况及增减变化原因</w:t>
      </w:r>
      <w:bookmarkEnd w:id="36"/>
    </w:p>
    <w:p>
      <w:pPr>
        <w:pStyle w:val="32"/>
      </w:pPr>
      <w:r>
        <w:t>2023</w:t>
      </w:r>
      <w:r>
        <w:rPr>
          <w:rFonts w:hint="eastAsia"/>
        </w:rPr>
        <w:t>年，我单位财政拨款</w:t>
      </w:r>
      <w:r>
        <w:t>“</w:t>
      </w:r>
      <w:r>
        <w:rPr>
          <w:rFonts w:hint="eastAsia"/>
        </w:rPr>
        <w:t>三公</w:t>
      </w:r>
      <w:r>
        <w:t>”</w:t>
      </w:r>
      <w:r>
        <w:rPr>
          <w:rFonts w:hint="eastAsia"/>
        </w:rPr>
        <w:t>经费预算安排</w:t>
      </w:r>
      <w:r>
        <w:t>4.63</w:t>
      </w:r>
      <w:r>
        <w:rPr>
          <w:rFonts w:hint="eastAsia"/>
        </w:rPr>
        <w:t>万元，比上年减少</w:t>
      </w:r>
      <w:r>
        <w:t>0.19</w:t>
      </w:r>
      <w:r>
        <w:rPr>
          <w:rFonts w:hint="eastAsia"/>
        </w:rPr>
        <w:t>万元，。其中：因公出国（境）费</w:t>
      </w:r>
      <w:r>
        <w:t>0</w:t>
      </w:r>
      <w:r>
        <w:rPr>
          <w:rFonts w:hint="eastAsia"/>
        </w:rPr>
        <w:t>元，与上年持平，无增减变化；公务用车购置费</w:t>
      </w:r>
      <w:r>
        <w:t>0</w:t>
      </w:r>
      <w:r>
        <w:rPr>
          <w:rFonts w:hint="eastAsia"/>
        </w:rPr>
        <w:t>元，与上年持平，无增减变化；公务用车运行维护费</w:t>
      </w:r>
      <w:r>
        <w:t>4.5</w:t>
      </w:r>
      <w:r>
        <w:rPr>
          <w:rFonts w:hint="eastAsia"/>
        </w:rPr>
        <w:t>万元，与上年持平，无增减变化；公务接待费</w:t>
      </w:r>
      <w:r>
        <w:t>0.13</w:t>
      </w:r>
      <w:r>
        <w:rPr>
          <w:rFonts w:hint="eastAsia"/>
        </w:rPr>
        <w:t>万元，与比上年减少</w:t>
      </w:r>
      <w:r>
        <w:t>0.19</w:t>
      </w:r>
      <w:r>
        <w:rPr>
          <w:rFonts w:hint="eastAsia"/>
        </w:rPr>
        <w:t>万元。</w:t>
      </w:r>
    </w:p>
    <w:p>
      <w:pPr>
        <w:numPr>
          <w:ilvl w:val="0"/>
          <w:numId w:val="1"/>
        </w:numPr>
        <w:spacing w:before="10" w:after="10"/>
        <w:ind w:firstLine="640"/>
        <w:outlineLvl w:val="5"/>
        <w:rPr>
          <w:rFonts w:hint="eastAsia" w:ascii="黑体" w:hAnsi="黑体" w:eastAsia="黑体" w:cs="黑体"/>
          <w:color w:val="000000"/>
          <w:sz w:val="32"/>
        </w:rPr>
      </w:pPr>
      <w:bookmarkStart w:id="37" w:name="_Toc12054_WPSOffice_Level1"/>
      <w:r>
        <w:rPr>
          <w:rFonts w:hint="eastAsia" w:ascii="黑体" w:hAnsi="黑体" w:eastAsia="黑体" w:cs="黑体"/>
          <w:color w:val="000000"/>
          <w:sz w:val="32"/>
        </w:rPr>
        <w:t>预算绩效信息</w:t>
      </w:r>
      <w:bookmarkEnd w:id="37"/>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黑体" w:hAnsi="黑体" w:eastAsia="黑体" w:cs="黑体"/>
          <w:sz w:val="32"/>
          <w:szCs w:val="32"/>
        </w:rPr>
      </w:pPr>
      <w:bookmarkStart w:id="38" w:name="_Toc11154"/>
      <w:r>
        <w:rPr>
          <w:rFonts w:hint="eastAsia" w:ascii="黑体" w:hAnsi="黑体" w:eastAsia="黑体" w:cs="黑体"/>
          <w:color w:val="000000"/>
          <w:sz w:val="32"/>
          <w:szCs w:val="32"/>
        </w:rPr>
        <w:t>一、总体绩效目标</w:t>
      </w:r>
      <w:bookmarkEnd w:id="3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坚持以习近平新时代中国特色社会主义思想为指导，全面学习、全面把握、全面落实中共二十大精神，认真</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落实省委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区委全会会议精神，深刻领悟“两个确立”的决定性意义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增强“四个意识”</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坚定“四个自信”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做到“两个维护”,紧紧围绕“三年打基础，脱困境；两年求突破，增实力”的工作目标，</w:t>
      </w:r>
      <w:r>
        <w:rPr>
          <w:rFonts w:hint="eastAsia" w:ascii="仿宋_GB2312" w:hAnsi="仿宋_GB2312" w:eastAsia="仿宋_GB2312" w:cs="仿宋_GB2312"/>
          <w:sz w:val="32"/>
          <w:szCs w:val="32"/>
          <w:lang w:eastAsia="zh-CN"/>
        </w:rPr>
        <w:t>助力</w:t>
      </w:r>
      <w:r>
        <w:rPr>
          <w:rFonts w:hint="eastAsia" w:ascii="仿宋_GB2312" w:hAnsi="仿宋_GB2312" w:eastAsia="仿宋_GB2312" w:cs="仿宋_GB2312"/>
          <w:sz w:val="32"/>
          <w:szCs w:val="32"/>
        </w:rPr>
        <w:t>打造“一地三区四城”中国式现代化山海关场景</w:t>
      </w:r>
      <w:r>
        <w:rPr>
          <w:rFonts w:hint="eastAsia" w:ascii="仿宋_GB2312" w:hAnsi="仿宋_GB2312" w:eastAsia="仿宋_GB2312" w:cs="仿宋_GB2312"/>
          <w:sz w:val="32"/>
          <w:szCs w:val="32"/>
          <w:lang w:eastAsia="zh-CN"/>
        </w:rPr>
        <w:t>的发展目标，站位全区，</w:t>
      </w:r>
      <w:r>
        <w:rPr>
          <w:rFonts w:hint="eastAsia" w:ascii="仿宋_GB2312" w:hAnsi="仿宋_GB2312" w:eastAsia="仿宋_GB2312" w:cs="仿宋_GB2312"/>
          <w:sz w:val="32"/>
          <w:szCs w:val="32"/>
        </w:rPr>
        <w:t>服务大局</w:t>
      </w:r>
      <w:r>
        <w:rPr>
          <w:rFonts w:hint="eastAsia" w:ascii="仿宋_GB2312" w:hAnsi="仿宋_GB2312" w:eastAsia="仿宋_GB2312" w:cs="仿宋_GB2312"/>
          <w:sz w:val="32"/>
          <w:szCs w:val="32"/>
          <w:lang w:eastAsia="zh-CN"/>
        </w:rPr>
        <w:t>，紧盯</w:t>
      </w:r>
      <w:r>
        <w:rPr>
          <w:rFonts w:hint="eastAsia" w:ascii="仿宋_GB2312" w:hAnsi="仿宋_GB2312" w:eastAsia="仿宋_GB2312" w:cs="仿宋_GB2312"/>
          <w:sz w:val="32"/>
          <w:szCs w:val="32"/>
        </w:rPr>
        <w:t>项目建设、</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城市建设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民生保障、</w:t>
      </w:r>
      <w:r>
        <w:rPr>
          <w:rFonts w:hint="eastAsia" w:ascii="仿宋_GB2312" w:hAnsi="仿宋_GB2312" w:eastAsia="仿宋_GB2312" w:cs="仿宋_GB2312"/>
          <w:sz w:val="32"/>
          <w:szCs w:val="32"/>
        </w:rPr>
        <w:t>安全稳定</w:t>
      </w:r>
      <w:r>
        <w:rPr>
          <w:rFonts w:hint="eastAsia" w:ascii="仿宋_GB2312" w:hAnsi="仿宋_GB2312" w:eastAsia="仿宋_GB2312" w:cs="仿宋_GB2312"/>
          <w:sz w:val="32"/>
          <w:szCs w:val="32"/>
          <w:lang w:eastAsia="zh-CN"/>
        </w:rPr>
        <w:t>等重点任务，</w:t>
      </w:r>
      <w:r>
        <w:rPr>
          <w:rFonts w:hint="eastAsia" w:ascii="仿宋_GB2312" w:hAnsi="仿宋_GB2312" w:eastAsia="仿宋_GB2312" w:cs="仿宋_GB2312"/>
          <w:sz w:val="32"/>
          <w:szCs w:val="32"/>
        </w:rPr>
        <w:t>深入</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协商议政</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lang w:val="en-US" w:eastAsia="zh-CN"/>
        </w:rPr>
        <w:t>围绕动能转换</w:t>
      </w:r>
      <w:r>
        <w:rPr>
          <w:rFonts w:hint="eastAsia" w:ascii="仿宋_GB2312" w:hAnsi="仿宋_GB2312" w:eastAsia="仿宋_GB2312" w:cs="仿宋_GB2312"/>
          <w:sz w:val="32"/>
          <w:szCs w:val="32"/>
          <w:lang w:val="en-US" w:eastAsia="uk-UA"/>
        </w:rPr>
        <w:t>、转型升级、营商环境等事关长远发展的重大课题开展专题协商，</w:t>
      </w:r>
      <w:r>
        <w:rPr>
          <w:rFonts w:hint="eastAsia" w:ascii="仿宋_GB2312" w:hAnsi="仿宋_GB2312" w:eastAsia="仿宋_GB2312" w:cs="仿宋_GB2312"/>
          <w:sz w:val="32"/>
          <w:szCs w:val="32"/>
        </w:rPr>
        <w:t>谋划做好凝聚共识、凝聚力量、凝聚信心、凝聚正能量等工作，在更好发挥专门协商机构作用上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求创新、求突破、求成果，为助力</w:t>
      </w:r>
      <w:r>
        <w:rPr>
          <w:rFonts w:hint="eastAsia" w:ascii="仿宋_GB2312" w:hAnsi="仿宋_GB2312" w:eastAsia="仿宋_GB2312" w:cs="仿宋_GB2312"/>
          <w:sz w:val="32"/>
          <w:szCs w:val="32"/>
          <w:lang w:eastAsia="zh-CN"/>
        </w:rPr>
        <w:t>山海关区经济社会高质量发展</w:t>
      </w:r>
      <w:r>
        <w:rPr>
          <w:rFonts w:hint="eastAsia" w:ascii="仿宋_GB2312" w:hAnsi="仿宋_GB2312" w:eastAsia="仿宋_GB2312" w:cs="仿宋_GB2312"/>
          <w:sz w:val="32"/>
          <w:szCs w:val="32"/>
        </w:rPr>
        <w:t>履职尽责、奋发进取、担当作为。</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黑体" w:hAnsi="黑体" w:eastAsia="黑体" w:cs="黑体"/>
          <w:color w:val="000000"/>
          <w:sz w:val="32"/>
          <w:szCs w:val="32"/>
        </w:rPr>
      </w:pPr>
      <w:bookmarkStart w:id="39" w:name="_Toc513"/>
      <w:r>
        <w:rPr>
          <w:rFonts w:hint="eastAsia" w:ascii="黑体" w:hAnsi="黑体" w:eastAsia="黑体" w:cs="黑体"/>
          <w:color w:val="000000"/>
          <w:sz w:val="32"/>
          <w:szCs w:val="32"/>
        </w:rPr>
        <w:t>二、分项绩效目标</w:t>
      </w:r>
      <w:bookmarkEnd w:id="3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（一）绩效目标：</w:t>
      </w:r>
      <w:r>
        <w:rPr>
          <w:rFonts w:hint="eastAsia" w:ascii="仿宋_GB2312" w:hAnsi="仿宋_GB2312" w:eastAsia="仿宋_GB2312" w:cs="仿宋_GB2312"/>
          <w:sz w:val="32"/>
          <w:szCs w:val="32"/>
        </w:rPr>
        <w:t>学习贯彻二十大精神广泛凝聚政治共识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以政协党组理论中心组扩大学习、常委会议第一议题学习宣讲活动为主要形式，学习贯彻中共二十大精神。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认真贯彻新时代党的建设总要求，切实发挥政协党组把方向、管大局、保落实的领导作用。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引导政协组织、政协委员、社会各界人士，不断增强政治判断力、政治领悟力、政治执行力。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助力推动中国式现代化</w:t>
      </w:r>
      <w:r>
        <w:rPr>
          <w:rFonts w:hint="eastAsia" w:ascii="仿宋_GB2312" w:hAnsi="仿宋_GB2312" w:eastAsia="仿宋_GB2312" w:cs="仿宋_GB2312"/>
          <w:sz w:val="32"/>
          <w:szCs w:val="32"/>
          <w:lang w:eastAsia="zh-CN"/>
        </w:rPr>
        <w:t>山海关</w:t>
      </w:r>
      <w:r>
        <w:rPr>
          <w:rFonts w:hint="eastAsia" w:ascii="仿宋_GB2312" w:hAnsi="仿宋_GB2312" w:eastAsia="仿宋_GB2312" w:cs="仿宋_GB2312"/>
          <w:sz w:val="32"/>
          <w:szCs w:val="32"/>
        </w:rPr>
        <w:t>场景建设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发挥政协专门协商机构作用。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组织开展主席会议、常委会议</w:t>
      </w:r>
      <w:r>
        <w:rPr>
          <w:rFonts w:hint="eastAsia" w:ascii="仿宋_GB2312" w:hAnsi="仿宋_GB2312" w:eastAsia="仿宋_GB2312" w:cs="仿宋_GB2312"/>
          <w:sz w:val="32"/>
          <w:szCs w:val="32"/>
          <w:lang w:eastAsia="zh-CN"/>
        </w:rPr>
        <w:t>、专委会议</w:t>
      </w:r>
      <w:r>
        <w:rPr>
          <w:rFonts w:hint="eastAsia" w:ascii="仿宋_GB2312" w:hAnsi="仿宋_GB2312" w:eastAsia="仿宋_GB2312" w:cs="仿宋_GB2312"/>
          <w:sz w:val="32"/>
          <w:szCs w:val="32"/>
        </w:rPr>
        <w:t>专题协商议政。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保障政协全会顺利召开。做好会议筹备、文件撰写打印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委员活动通知、提案征集审查等相关工作。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助力推进民生保障与改善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坚持把反映社情民意作为听民声、传民意、聚民智的重要载体，开展重点调研活动，协助党委和政府破解民生难题、增进人民福扯。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绩效指标2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围绕重点民生实事</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等开展视察监督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w:t>
      </w:r>
      <w:r>
        <w:rPr>
          <w:rFonts w:hint="eastAsia" w:ascii="仿宋_GB2312" w:hAnsi="仿宋_GB2312" w:eastAsia="仿宋_GB2312" w:cs="仿宋_GB2312"/>
          <w:sz w:val="32"/>
          <w:szCs w:val="32"/>
          <w:lang w:eastAsia="zh-CN"/>
        </w:rPr>
        <w:t>指标</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：选取</w:t>
      </w:r>
      <w:r>
        <w:rPr>
          <w:rFonts w:hint="eastAsia" w:ascii="仿宋_GB2312" w:hAnsi="仿宋_GB2312" w:eastAsia="仿宋_GB2312" w:cs="仿宋_GB2312"/>
          <w:sz w:val="32"/>
          <w:szCs w:val="32"/>
        </w:rPr>
        <w:t>重点提案进行跟踪督办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深入推进提案办理协商。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加强政协自身建设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加强政协党组、机关党组、机关党支部建设。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绩效指标2</w:t>
      </w:r>
      <w:r>
        <w:rPr>
          <w:rFonts w:hint="eastAsia" w:ascii="仿宋_GB2312" w:hAnsi="仿宋_GB2312" w:eastAsia="仿宋_GB2312" w:cs="仿宋_GB2312"/>
          <w:sz w:val="32"/>
          <w:szCs w:val="32"/>
          <w:lang w:eastAsia="zh-CN"/>
        </w:rPr>
        <w:t>：加强各专委会和</w:t>
      </w:r>
      <w:r>
        <w:rPr>
          <w:rFonts w:hint="eastAsia" w:ascii="仿宋_GB2312" w:hAnsi="仿宋_GB2312" w:eastAsia="仿宋_GB2312" w:cs="仿宋_GB2312"/>
          <w:sz w:val="32"/>
          <w:szCs w:val="32"/>
        </w:rPr>
        <w:t>委员工作室建设。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sz w:val="32"/>
          <w:szCs w:val="32"/>
          <w:lang w:val="en-US" w:eastAsia="uk-UA" w:bidi="ar-SA"/>
        </w:rPr>
        <w:t>把建设“懂政协、会协商、善议政”“守纪律、讲规矩、重品行”作为推进政协履职能力现代化建设的重要抓手，加强政协委员培训工作，</w:t>
      </w:r>
      <w:r>
        <w:rPr>
          <w:rFonts w:hint="eastAsia" w:ascii="仿宋_GB2312" w:hAnsi="仿宋_GB2312" w:eastAsia="仿宋_GB2312" w:cs="仿宋_GB2312"/>
          <w:sz w:val="32"/>
          <w:szCs w:val="32"/>
        </w:rPr>
        <w:t>提升委员履职能力。</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黑体" w:hAnsi="黑体" w:eastAsia="黑体" w:cs="黑体"/>
          <w:color w:val="000000"/>
          <w:sz w:val="32"/>
          <w:szCs w:val="32"/>
        </w:rPr>
      </w:pPr>
      <w:bookmarkStart w:id="40" w:name="_Toc19216"/>
      <w:r>
        <w:rPr>
          <w:rFonts w:hint="eastAsia" w:ascii="黑体" w:hAnsi="黑体" w:eastAsia="黑体" w:cs="黑体"/>
          <w:color w:val="000000"/>
          <w:sz w:val="32"/>
          <w:szCs w:val="32"/>
        </w:rPr>
        <w:t>三、工作保障措施</w:t>
      </w:r>
      <w:bookmarkEnd w:id="4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完善制度建设。完善各项会议制度，规范会议程序，提高会议质量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提高协商水平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完善民主监督机制，畅通民主监督渠道，建立健全知情、沟通制度，将民主监督寓于提案、视察、参与工作检查等活动中，提高民主监督质量和成效。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加强支出管理。全面加强支出管理，对项目经费支出加强监督管理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对每个项目及时跟进，确保项目经费按照预算进度使用，及时获取项目资金确保支出进度达标。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加强绩效运行监控。按照部门预算的要求，认真编制预算，对支出实行分类管理，有支出标准、有制度依据，严格按照绩效目标的要求，监控项目经费的使用，确保项目经费使用达到指标要求。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做好绩效自评。及时做好绩效自评工作，对评价中发现问题及时整改，调整优化支出结构，提高项目资金的使用效率。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规范财务资产管理。完善财务管理制度，严格审批程序，加强固定资产登记、使用和报废处置管理，做到支出合理，物尽其用。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加强内部监督。加强内部监管制度建设，严格控制项目支出，认真开展资产清查和核实工作，同时积极配合有关单位的审计工作，确保绩效目标如期保质完成。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宣传培训调研等。加强学习培训，提高机关工作人员综合业务素质和服务保障能力，夯实政协整体工作水平:加强调研，提出优化财政资金配置、提高资金使用效益的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numPr>
          <w:ilvl w:val="0"/>
          <w:numId w:val="2"/>
        </w:numPr>
        <w:ind w:firstLine="640"/>
        <w:rPr>
          <w:rFonts w:hint="eastAsia"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numPr>
          <w:ilvl w:val="0"/>
          <w:numId w:val="0"/>
        </w:numPr>
        <w:rPr>
          <w:rFonts w:hint="eastAsia" w:ascii="方正楷体_GBK" w:hAnsi="方正楷体_GBK" w:eastAsia="方正楷体_GBK" w:cs="方正楷体_GBK"/>
          <w:b/>
          <w:color w:val="000000"/>
          <w:sz w:val="32"/>
        </w:rPr>
      </w:pPr>
    </w:p>
    <w:p>
      <w:pPr>
        <w:numPr>
          <w:ilvl w:val="0"/>
          <w:numId w:val="0"/>
        </w:numPr>
        <w:rPr>
          <w:rFonts w:hint="eastAsia"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无。</w:t>
      </w:r>
    </w:p>
    <w:p>
      <w:pPr>
        <w:numPr>
          <w:ilvl w:val="0"/>
          <w:numId w:val="2"/>
        </w:numPr>
        <w:ind w:left="0" w:leftChars="0" w:firstLine="640" w:firstLineChars="0"/>
        <w:rPr>
          <w:rFonts w:hint="eastAsia"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numPr>
          <w:ilvl w:val="0"/>
          <w:numId w:val="0"/>
        </w:numPr>
        <w:spacing w:before="10" w:after="10"/>
        <w:outlineLvl w:val="5"/>
        <w:rPr>
          <w:rFonts w:hint="eastAsia" w:ascii="黑体" w:hAnsi="黑体" w:eastAsia="黑体" w:cs="黑体"/>
          <w:color w:val="000000"/>
          <w:sz w:val="32"/>
        </w:rPr>
      </w:pPr>
      <w:bookmarkStart w:id="54" w:name="_GoBack"/>
      <w:bookmarkEnd w:id="54"/>
    </w:p>
    <w:p>
      <w:pPr>
        <w:spacing w:before="0" w:after="0"/>
        <w:ind w:firstLine="560"/>
        <w:jc w:val="left"/>
        <w:outlineLvl w:val="3"/>
      </w:pPr>
      <w:bookmarkStart w:id="41" w:name="_Toc_4_4_0000000004"/>
      <w:r>
        <w:rPr>
          <w:rFonts w:ascii="方正仿宋_GBK" w:hAnsi="方正仿宋_GBK" w:eastAsia="方正仿宋_GBK" w:cs="方正仿宋_GBK"/>
          <w:color w:val="000000"/>
          <w:sz w:val="28"/>
        </w:rPr>
        <w:t>1. 车辆保险费绩效目标表</w:t>
      </w:r>
      <w:bookmarkEnd w:id="4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131001政协部门中国人民政治协商会议河北省秦皇岛市山海关区委员会本级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13030323P003970100395</w:t>
            </w:r>
          </w:p>
        </w:tc>
        <w:tc>
          <w:tcPr>
            <w:tcW w:w="1587" w:type="dxa"/>
            <w:vAlign w:val="center"/>
          </w:tcPr>
          <w:p>
            <w:pPr>
              <w:pStyle w:val="14"/>
            </w:pPr>
            <w:r>
              <w:t>项目名称</w:t>
            </w:r>
          </w:p>
        </w:tc>
        <w:tc>
          <w:tcPr>
            <w:tcW w:w="4422" w:type="dxa"/>
            <w:gridSpan w:val="3"/>
            <w:vAlign w:val="center"/>
          </w:tcPr>
          <w:p>
            <w:pPr>
              <w:pStyle w:val="16"/>
            </w:pPr>
            <w:r>
              <w:t xml:space="preserve"> 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0.80</w:t>
            </w:r>
          </w:p>
        </w:tc>
        <w:tc>
          <w:tcPr>
            <w:tcW w:w="1587" w:type="dxa"/>
            <w:vAlign w:val="center"/>
          </w:tcPr>
          <w:p>
            <w:pPr>
              <w:pStyle w:val="14"/>
            </w:pPr>
            <w:r>
              <w:t>其中：财政    资金</w:t>
            </w:r>
          </w:p>
        </w:tc>
        <w:tc>
          <w:tcPr>
            <w:tcW w:w="1304" w:type="dxa"/>
            <w:vAlign w:val="center"/>
          </w:tcPr>
          <w:p>
            <w:pPr>
              <w:pStyle w:val="16"/>
            </w:pPr>
            <w:r>
              <w:t>0.80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rPr>
                <w:rFonts w:hint="eastAsia"/>
                <w:lang w:val="en-US" w:eastAsia="zh-CN"/>
              </w:rPr>
              <w:t>缴纳公车保险。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rPr>
                <w:rFonts w:hint="default" w:eastAsia="方正书宋_GBK"/>
                <w:lang w:val="en-US" w:eastAsia="zh-CN"/>
              </w:rPr>
            </w:pPr>
            <w:r>
              <w:rPr>
                <w:rFonts w:hint="eastAsia"/>
                <w:lang w:val="en-US" w:eastAsia="zh-CN"/>
              </w:rPr>
              <w:t>0%</w:t>
            </w:r>
          </w:p>
        </w:tc>
        <w:tc>
          <w:tcPr>
            <w:tcW w:w="1587" w:type="dxa"/>
            <w:vAlign w:val="center"/>
          </w:tcPr>
          <w:p>
            <w:pPr>
              <w:pStyle w:val="17"/>
              <w:rPr>
                <w:rFonts w:hint="default" w:eastAsia="方正书宋_GBK"/>
                <w:lang w:val="en-US" w:eastAsia="zh-CN"/>
              </w:rPr>
            </w:pPr>
            <w:r>
              <w:rPr>
                <w:rFonts w:hint="eastAsia"/>
                <w:lang w:val="en-US" w:eastAsia="zh-CN"/>
              </w:rPr>
              <w:t>0%</w:t>
            </w:r>
          </w:p>
        </w:tc>
        <w:tc>
          <w:tcPr>
            <w:tcW w:w="1304" w:type="dxa"/>
            <w:vAlign w:val="center"/>
          </w:tcPr>
          <w:p>
            <w:pPr>
              <w:pStyle w:val="17"/>
              <w:rPr>
                <w:rFonts w:hint="default" w:eastAsia="方正书宋_GBK"/>
                <w:lang w:val="en-US" w:eastAsia="zh-CN"/>
              </w:rPr>
            </w:pPr>
            <w:r>
              <w:rPr>
                <w:rFonts w:hint="eastAsia"/>
                <w:lang w:val="en-US" w:eastAsia="zh-CN"/>
              </w:rPr>
              <w:t>0%</w:t>
            </w:r>
          </w:p>
        </w:tc>
        <w:tc>
          <w:tcPr>
            <w:tcW w:w="3118" w:type="dxa"/>
            <w:gridSpan w:val="2"/>
            <w:vAlign w:val="center"/>
          </w:tcPr>
          <w:p>
            <w:pPr>
              <w:pStyle w:val="17"/>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rPr>
                <w:rFonts w:hint="eastAsia" w:eastAsia="方正书宋_GBK"/>
                <w:lang w:val="en-US" w:eastAsia="zh-CN"/>
              </w:rPr>
            </w:pPr>
            <w:r>
              <w:rPr>
                <w:color w:val="FF0000"/>
              </w:rPr>
              <w:t xml:space="preserve"> </w:t>
            </w:r>
            <w:r>
              <w:rPr>
                <w:rFonts w:hint="eastAsia"/>
                <w:lang w:val="en-US" w:eastAsia="zh-CN"/>
              </w:rPr>
              <w:t>按期缴纳保险，为人车安全提供保障。</w:t>
            </w:r>
            <w:r>
              <w:rPr>
                <w:rFonts w:hint="eastAsia"/>
                <w:color w:val="FF0000"/>
                <w:lang w:val="en-US" w:eastAsia="zh-CN"/>
              </w:rPr>
              <w:t xml:space="preserve">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6"/>
            </w:pPr>
            <w:r>
              <w:t>数量指标</w:t>
            </w:r>
          </w:p>
        </w:tc>
        <w:tc>
          <w:tcPr>
            <w:tcW w:w="1327" w:type="dxa"/>
            <w:vAlign w:val="center"/>
          </w:tcPr>
          <w:p>
            <w:pPr>
              <w:pStyle w:val="16"/>
            </w:pPr>
            <w:r>
              <w:rPr>
                <w:rFonts w:hint="eastAsia"/>
                <w:lang w:val="en-US" w:eastAsia="zh-CN"/>
              </w:rPr>
              <w:t>缴纳保险车辆</w:t>
            </w:r>
            <w:r>
              <w:t>数量</w:t>
            </w:r>
          </w:p>
        </w:tc>
        <w:tc>
          <w:tcPr>
            <w:tcW w:w="2654" w:type="dxa"/>
            <w:vAlign w:val="center"/>
          </w:tcPr>
          <w:p>
            <w:pPr>
              <w:pStyle w:val="16"/>
              <w:rPr>
                <w:rFonts w:hint="default" w:eastAsia="方正书宋_GBK"/>
                <w:lang w:val="en-US" w:eastAsia="zh-CN"/>
              </w:rPr>
            </w:pPr>
            <w:r>
              <w:rPr>
                <w:rFonts w:hint="eastAsia"/>
                <w:lang w:val="en-US" w:eastAsia="zh-CN"/>
              </w:rPr>
              <w:t>缴纳</w:t>
            </w:r>
            <w:r>
              <w:t>车辆</w:t>
            </w:r>
            <w:r>
              <w:rPr>
                <w:rFonts w:hint="eastAsia"/>
                <w:lang w:val="en-US" w:eastAsia="zh-CN"/>
              </w:rPr>
              <w:t>保险车辆数</w:t>
            </w:r>
          </w:p>
        </w:tc>
        <w:tc>
          <w:tcPr>
            <w:tcW w:w="1327" w:type="dxa"/>
            <w:vAlign w:val="center"/>
          </w:tcPr>
          <w:p>
            <w:pPr>
              <w:pStyle w:val="16"/>
              <w:rPr>
                <w:rFonts w:hint="default" w:eastAsia="方正书宋_GBK"/>
                <w:lang w:val="en-US" w:eastAsia="zh-CN"/>
              </w:rPr>
            </w:pPr>
            <w:r>
              <w:rPr>
                <w:rFonts w:hint="eastAsia"/>
                <w:lang w:val="en-US" w:eastAsia="zh-CN"/>
              </w:rPr>
              <w:t>2辆</w:t>
            </w:r>
          </w:p>
        </w:tc>
        <w:tc>
          <w:tcPr>
            <w:tcW w:w="1327" w:type="dxa"/>
            <w:vAlign w:val="center"/>
          </w:tcPr>
          <w:p>
            <w:pPr>
              <w:pStyle w:val="16"/>
              <w:rPr>
                <w:rFonts w:hint="eastAsia" w:eastAsia="方正书宋_GBK"/>
                <w:lang w:eastAsia="zh-CN"/>
              </w:rPr>
            </w:pPr>
            <w:r>
              <w:rPr>
                <w:rFonts w:hint="eastAsia"/>
                <w:lang w:val="en-US" w:eastAsia="zh-CN"/>
              </w:rPr>
              <w:t>单位实有</w:t>
            </w:r>
            <w:r>
              <w:t>车辆</w:t>
            </w:r>
            <w:r>
              <w:rPr>
                <w:rFonts w:hint="eastAsia"/>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质量指标</w:t>
            </w:r>
          </w:p>
        </w:tc>
        <w:tc>
          <w:tcPr>
            <w:tcW w:w="1327" w:type="dxa"/>
            <w:vAlign w:val="center"/>
          </w:tcPr>
          <w:p>
            <w:pPr>
              <w:pStyle w:val="16"/>
            </w:pPr>
            <w:r>
              <w:rPr>
                <w:rFonts w:hint="eastAsia"/>
                <w:lang w:val="en-US" w:eastAsia="zh-CN"/>
              </w:rPr>
              <w:t>车辆正常运行率</w:t>
            </w:r>
          </w:p>
        </w:tc>
        <w:tc>
          <w:tcPr>
            <w:tcW w:w="2654" w:type="dxa"/>
            <w:vAlign w:val="center"/>
          </w:tcPr>
          <w:p>
            <w:pPr>
              <w:pStyle w:val="16"/>
              <w:jc w:val="center"/>
              <w:rPr>
                <w:rFonts w:hint="default" w:eastAsia="方正书宋_GBK"/>
                <w:lang w:val="en-US" w:eastAsia="zh-CN"/>
              </w:rPr>
            </w:pPr>
            <w:r>
              <w:rPr>
                <w:rFonts w:hint="eastAsia"/>
                <w:lang w:val="en-US" w:eastAsia="zh-CN"/>
              </w:rPr>
              <w:t>车辆正常运行天数占全部运行天数比率</w:t>
            </w:r>
          </w:p>
        </w:tc>
        <w:tc>
          <w:tcPr>
            <w:tcW w:w="1327" w:type="dxa"/>
            <w:vAlign w:val="center"/>
          </w:tcPr>
          <w:p>
            <w:pPr>
              <w:pStyle w:val="16"/>
              <w:rPr>
                <w:rFonts w:hint="default" w:eastAsia="方正书宋_GBK"/>
                <w:lang w:val="en-US" w:eastAsia="zh-CN"/>
              </w:rPr>
            </w:pPr>
            <w:r>
              <w:t>≥</w:t>
            </w:r>
            <w:r>
              <w:rPr>
                <w:rFonts w:hint="eastAsia"/>
                <w:lang w:val="en-US" w:eastAsia="zh-CN"/>
              </w:rPr>
              <w:t>95%</w:t>
            </w:r>
          </w:p>
        </w:tc>
        <w:tc>
          <w:tcPr>
            <w:tcW w:w="1327" w:type="dxa"/>
            <w:vAlign w:val="center"/>
          </w:tcPr>
          <w:p>
            <w:pPr>
              <w:pStyle w:val="16"/>
              <w:rPr>
                <w:rFonts w:hint="default" w:eastAsia="方正书宋_GBK"/>
                <w:lang w:val="en-US" w:eastAsia="zh-CN"/>
              </w:rPr>
            </w:pPr>
            <w:r>
              <w:rPr>
                <w:rFonts w:hint="eastAsia"/>
                <w:lang w:val="en-US" w:eastAsia="zh-CN"/>
              </w:rPr>
              <w:t>车辆正常运行情况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时效指标</w:t>
            </w:r>
          </w:p>
        </w:tc>
        <w:tc>
          <w:tcPr>
            <w:tcW w:w="1327" w:type="dxa"/>
            <w:vAlign w:val="center"/>
          </w:tcPr>
          <w:p>
            <w:pPr>
              <w:pStyle w:val="16"/>
              <w:rPr>
                <w:rFonts w:hint="default" w:eastAsia="方正书宋_GBK"/>
                <w:lang w:val="en-US" w:eastAsia="zh-CN"/>
              </w:rPr>
            </w:pPr>
            <w:r>
              <w:rPr>
                <w:rFonts w:hint="eastAsia"/>
                <w:lang w:val="en-US" w:eastAsia="zh-CN"/>
              </w:rPr>
              <w:t>按期缴纳保险</w:t>
            </w:r>
          </w:p>
        </w:tc>
        <w:tc>
          <w:tcPr>
            <w:tcW w:w="2654" w:type="dxa"/>
            <w:vAlign w:val="center"/>
          </w:tcPr>
          <w:p>
            <w:pPr>
              <w:pStyle w:val="16"/>
              <w:rPr>
                <w:rFonts w:hint="default" w:eastAsia="方正书宋_GBK"/>
                <w:lang w:val="en-US" w:eastAsia="zh-CN"/>
              </w:rPr>
            </w:pPr>
            <w:r>
              <w:rPr>
                <w:rFonts w:hint="eastAsia"/>
                <w:lang w:val="en-US" w:eastAsia="zh-CN"/>
              </w:rPr>
              <w:t>保费到期前及时缴纳车保险</w:t>
            </w:r>
          </w:p>
        </w:tc>
        <w:tc>
          <w:tcPr>
            <w:tcW w:w="1327" w:type="dxa"/>
            <w:vAlign w:val="center"/>
          </w:tcPr>
          <w:p>
            <w:pPr>
              <w:pStyle w:val="16"/>
              <w:rPr>
                <w:rFonts w:hint="eastAsia" w:eastAsia="方正书宋_GBK"/>
                <w:lang w:eastAsia="zh-CN"/>
              </w:rPr>
            </w:pPr>
            <w:r>
              <w:rPr>
                <w:rFonts w:hint="eastAsia"/>
                <w:lang w:val="en-US" w:eastAsia="zh-CN"/>
              </w:rPr>
              <w:t>及时</w:t>
            </w:r>
          </w:p>
        </w:tc>
        <w:tc>
          <w:tcPr>
            <w:tcW w:w="1327" w:type="dxa"/>
            <w:vAlign w:val="center"/>
          </w:tcPr>
          <w:p>
            <w:pPr>
              <w:pStyle w:val="16"/>
              <w:rPr>
                <w:rFonts w:hint="default" w:eastAsia="方正书宋_GBK"/>
                <w:lang w:val="en-US" w:eastAsia="zh-CN"/>
              </w:rPr>
            </w:pPr>
            <w:r>
              <w:rPr>
                <w:rFonts w:hint="eastAsia"/>
                <w:lang w:val="en-US" w:eastAsia="zh-CN"/>
              </w:rPr>
              <w:t>根据保险合同日期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成本指标</w:t>
            </w:r>
          </w:p>
        </w:tc>
        <w:tc>
          <w:tcPr>
            <w:tcW w:w="1327" w:type="dxa"/>
            <w:vAlign w:val="center"/>
          </w:tcPr>
          <w:p>
            <w:pPr>
              <w:pStyle w:val="16"/>
              <w:rPr>
                <w:rFonts w:hint="default" w:eastAsia="方正书宋_GBK"/>
                <w:lang w:val="en-US" w:eastAsia="zh-CN"/>
              </w:rPr>
            </w:pPr>
            <w:r>
              <w:rPr>
                <w:rFonts w:hint="eastAsia"/>
                <w:lang w:val="en-US" w:eastAsia="zh-CN"/>
              </w:rPr>
              <w:t>保险费用</w:t>
            </w:r>
          </w:p>
        </w:tc>
        <w:tc>
          <w:tcPr>
            <w:tcW w:w="2654" w:type="dxa"/>
            <w:vAlign w:val="center"/>
          </w:tcPr>
          <w:p>
            <w:pPr>
              <w:pStyle w:val="16"/>
            </w:pPr>
            <w:r>
              <w:t>按</w:t>
            </w:r>
            <w:r>
              <w:rPr>
                <w:rFonts w:hint="eastAsia"/>
                <w:lang w:val="en-US" w:eastAsia="zh-CN"/>
              </w:rPr>
              <w:t>当年保险费用预算</w:t>
            </w:r>
            <w:r>
              <w:t>控制</w:t>
            </w:r>
          </w:p>
        </w:tc>
        <w:tc>
          <w:tcPr>
            <w:tcW w:w="1327" w:type="dxa"/>
            <w:vAlign w:val="center"/>
          </w:tcPr>
          <w:p>
            <w:pPr>
              <w:pStyle w:val="16"/>
              <w:rPr>
                <w:rFonts w:hint="default" w:eastAsia="方正书宋_GBK"/>
                <w:lang w:val="en-US" w:eastAsia="zh-CN"/>
              </w:rPr>
            </w:pPr>
            <w:r>
              <w:rPr>
                <w:rFonts w:hint="eastAsia"/>
                <w:lang w:val="en-US" w:eastAsia="zh-CN"/>
              </w:rPr>
              <w:t xml:space="preserve"> 100%</w:t>
            </w:r>
          </w:p>
        </w:tc>
        <w:tc>
          <w:tcPr>
            <w:tcW w:w="1327" w:type="dxa"/>
            <w:vAlign w:val="center"/>
          </w:tcPr>
          <w:p>
            <w:pPr>
              <w:pStyle w:val="16"/>
            </w:pPr>
            <w:r>
              <w:rPr>
                <w:rFonts w:hint="eastAsia"/>
                <w:lang w:val="en-US" w:eastAsia="zh-CN"/>
              </w:rPr>
              <w:t>实际保险缴费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ascii="方正书宋_GBK" w:hAnsi="方正书宋_GBK" w:eastAsia="方正书宋_GBK" w:cs="方正书宋_GBK"/>
                <w:sz w:val="21"/>
                <w:szCs w:val="24"/>
                <w:lang w:val="en-US" w:eastAsia="uk-UA" w:bidi="ar-SA"/>
              </w:rPr>
              <w:t>效益指标</w:t>
            </w:r>
          </w:p>
        </w:tc>
        <w:tc>
          <w:tcPr>
            <w:tcW w:w="1327" w:type="dxa"/>
            <w:vAlign w:val="center"/>
          </w:tcPr>
          <w:p>
            <w:pPr>
              <w:pStyle w:val="16"/>
              <w:rPr>
                <w:color w:val="auto"/>
              </w:rPr>
            </w:pPr>
            <w:r>
              <w:rPr>
                <w:color w:val="auto"/>
              </w:rPr>
              <w:t>社会效益指标</w:t>
            </w:r>
          </w:p>
        </w:tc>
        <w:tc>
          <w:tcPr>
            <w:tcW w:w="1327" w:type="dxa"/>
            <w:vAlign w:val="center"/>
          </w:tcPr>
          <w:p>
            <w:pPr>
              <w:pStyle w:val="16"/>
              <w:rPr>
                <w:color w:val="auto"/>
              </w:rPr>
            </w:pPr>
            <w:r>
              <w:rPr>
                <w:rFonts w:hint="eastAsia"/>
                <w:color w:val="auto"/>
                <w:lang w:val="en-US" w:eastAsia="zh-CN"/>
              </w:rPr>
              <w:t>业务能力保障</w:t>
            </w:r>
          </w:p>
        </w:tc>
        <w:tc>
          <w:tcPr>
            <w:tcW w:w="2654" w:type="dxa"/>
            <w:vAlign w:val="center"/>
          </w:tcPr>
          <w:p>
            <w:pPr>
              <w:pStyle w:val="16"/>
              <w:rPr>
                <w:rFonts w:hint="default" w:eastAsia="方正书宋_GBK"/>
                <w:color w:val="auto"/>
                <w:lang w:val="en-US" w:eastAsia="zh-CN"/>
              </w:rPr>
            </w:pPr>
            <w:r>
              <w:rPr>
                <w:color w:val="auto"/>
              </w:rPr>
              <w:t>保障</w:t>
            </w:r>
            <w:r>
              <w:rPr>
                <w:rFonts w:hint="eastAsia"/>
                <w:color w:val="auto"/>
                <w:lang w:val="en-US" w:eastAsia="zh-CN"/>
              </w:rPr>
              <w:t>相关业务、工作等开展情况</w:t>
            </w:r>
          </w:p>
        </w:tc>
        <w:tc>
          <w:tcPr>
            <w:tcW w:w="1327" w:type="dxa"/>
            <w:vAlign w:val="center"/>
          </w:tcPr>
          <w:p>
            <w:pPr>
              <w:pStyle w:val="16"/>
              <w:rPr>
                <w:rFonts w:hint="default" w:eastAsia="方正书宋_GBK"/>
                <w:color w:val="auto"/>
                <w:lang w:val="en-US" w:eastAsia="zh-CN"/>
              </w:rPr>
            </w:pPr>
            <w:r>
              <w:rPr>
                <w:rFonts w:hint="eastAsia"/>
                <w:color w:val="auto"/>
                <w:lang w:val="en-US" w:eastAsia="zh-CN"/>
              </w:rPr>
              <w:t>工作正常开展</w:t>
            </w:r>
          </w:p>
        </w:tc>
        <w:tc>
          <w:tcPr>
            <w:tcW w:w="1327" w:type="dxa"/>
            <w:vAlign w:val="center"/>
          </w:tcPr>
          <w:p>
            <w:pPr>
              <w:pStyle w:val="16"/>
              <w:rPr>
                <w:rFonts w:hint="default"/>
                <w:color w:val="auto"/>
                <w:lang w:val="en-US"/>
              </w:rPr>
            </w:pPr>
            <w:r>
              <w:rPr>
                <w:color w:val="auto"/>
              </w:rPr>
              <w:t>车辆</w:t>
            </w:r>
            <w:r>
              <w:rPr>
                <w:rFonts w:hint="eastAsia"/>
                <w:color w:val="auto"/>
                <w:lang w:val="en-US" w:eastAsia="zh-CN"/>
              </w:rP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6"/>
            </w:pPr>
            <w:r>
              <w:t>服务对象满意度指标</w:t>
            </w:r>
          </w:p>
        </w:tc>
        <w:tc>
          <w:tcPr>
            <w:tcW w:w="1327" w:type="dxa"/>
            <w:vAlign w:val="center"/>
          </w:tcPr>
          <w:p>
            <w:pPr>
              <w:pStyle w:val="16"/>
            </w:pPr>
            <w:r>
              <w:t>服务对象满意度指标</w:t>
            </w:r>
          </w:p>
        </w:tc>
        <w:tc>
          <w:tcPr>
            <w:tcW w:w="2654" w:type="dxa"/>
            <w:vAlign w:val="center"/>
          </w:tcPr>
          <w:p>
            <w:pPr>
              <w:pStyle w:val="16"/>
              <w:rPr>
                <w:rFonts w:hint="default" w:eastAsia="方正书宋_GBK"/>
                <w:lang w:val="en-US" w:eastAsia="zh-CN"/>
              </w:rPr>
            </w:pPr>
            <w:r>
              <w:rPr>
                <w:rFonts w:hint="eastAsia"/>
                <w:lang w:val="en-US" w:eastAsia="zh-CN"/>
              </w:rPr>
              <w:t>调查人员中满意人员占调查人员的比例</w:t>
            </w:r>
          </w:p>
        </w:tc>
        <w:tc>
          <w:tcPr>
            <w:tcW w:w="1327" w:type="dxa"/>
            <w:vAlign w:val="center"/>
          </w:tcPr>
          <w:p>
            <w:pPr>
              <w:pStyle w:val="16"/>
            </w:pPr>
            <w:r>
              <w:t>≥</w:t>
            </w:r>
            <w:r>
              <w:rPr>
                <w:rFonts w:hint="eastAsia"/>
                <w:lang w:val="en-US" w:eastAsia="zh-CN"/>
              </w:rPr>
              <w:t>90</w:t>
            </w:r>
            <w:r>
              <w:t xml:space="preserve">% </w:t>
            </w:r>
          </w:p>
        </w:tc>
        <w:tc>
          <w:tcPr>
            <w:tcW w:w="1327" w:type="dxa"/>
            <w:vAlign w:val="center"/>
          </w:tcPr>
          <w:p>
            <w:pPr>
              <w:pStyle w:val="16"/>
              <w:rPr>
                <w:rFonts w:hint="default" w:eastAsia="方正书宋_GBK"/>
                <w:lang w:val="en-US" w:eastAsia="zh-CN"/>
              </w:rPr>
            </w:pPr>
            <w:r>
              <w:rPr>
                <w:rFonts w:hint="eastAsia"/>
                <w:lang w:val="en-US" w:eastAsia="zh-CN"/>
              </w:rP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2" w:name="_Toc_4_4_0000000005"/>
      <w:r>
        <w:rPr>
          <w:rFonts w:ascii="方正仿宋_GBK" w:hAnsi="方正仿宋_GBK" w:eastAsia="方正仿宋_GBK" w:cs="方正仿宋_GBK"/>
          <w:color w:val="000000"/>
          <w:sz w:val="28"/>
        </w:rPr>
        <w:t>2.综合事务管理绩效目标表</w:t>
      </w:r>
      <w:bookmarkEnd w:id="4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131001政协部门中国人民政治协商会议河北省秦皇岛市山海关区委员会本级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13030323P00396710003C</w:t>
            </w:r>
          </w:p>
        </w:tc>
        <w:tc>
          <w:tcPr>
            <w:tcW w:w="1587" w:type="dxa"/>
            <w:vAlign w:val="center"/>
          </w:tcPr>
          <w:p>
            <w:pPr>
              <w:pStyle w:val="14"/>
            </w:pPr>
            <w:r>
              <w:t>项目名称</w:t>
            </w:r>
          </w:p>
        </w:tc>
        <w:tc>
          <w:tcPr>
            <w:tcW w:w="4422" w:type="dxa"/>
            <w:gridSpan w:val="3"/>
            <w:vAlign w:val="center"/>
          </w:tcPr>
          <w:p>
            <w:pPr>
              <w:pStyle w:val="16"/>
            </w:pPr>
            <w:r>
              <w:t>综合事务管理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45.00</w:t>
            </w:r>
          </w:p>
        </w:tc>
        <w:tc>
          <w:tcPr>
            <w:tcW w:w="1587" w:type="dxa"/>
            <w:vAlign w:val="center"/>
          </w:tcPr>
          <w:p>
            <w:pPr>
              <w:pStyle w:val="14"/>
            </w:pPr>
            <w:r>
              <w:t>其中：财政    资金</w:t>
            </w:r>
          </w:p>
        </w:tc>
        <w:tc>
          <w:tcPr>
            <w:tcW w:w="1304" w:type="dxa"/>
            <w:vAlign w:val="center"/>
          </w:tcPr>
          <w:p>
            <w:pPr>
              <w:pStyle w:val="16"/>
            </w:pPr>
            <w:r>
              <w:t>45.00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rPr>
                <w:color w:val="auto"/>
              </w:rPr>
              <w:t>保障</w:t>
            </w:r>
            <w:r>
              <w:rPr>
                <w:rFonts w:hint="eastAsia"/>
                <w:color w:val="auto"/>
                <w:lang w:val="en-US" w:eastAsia="zh-CN"/>
              </w:rPr>
              <w:t>政协</w:t>
            </w:r>
            <w:r>
              <w:rPr>
                <w:color w:val="auto"/>
              </w:rPr>
              <w:t>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rPr>
                <w:rFonts w:hint="default" w:eastAsia="方正书宋_GBK"/>
                <w:lang w:val="en-US" w:eastAsia="zh-CN"/>
              </w:rPr>
            </w:pPr>
            <w:r>
              <w:rPr>
                <w:rFonts w:hint="eastAsia"/>
                <w:lang w:val="en-US" w:eastAsia="zh-CN"/>
              </w:rPr>
              <w:t>25%</w:t>
            </w:r>
          </w:p>
        </w:tc>
        <w:tc>
          <w:tcPr>
            <w:tcW w:w="1587" w:type="dxa"/>
            <w:vAlign w:val="center"/>
          </w:tcPr>
          <w:p>
            <w:pPr>
              <w:pStyle w:val="17"/>
              <w:rPr>
                <w:rFonts w:hint="default" w:eastAsia="方正书宋_GBK"/>
                <w:lang w:val="en-US" w:eastAsia="zh-CN"/>
              </w:rPr>
            </w:pPr>
            <w:r>
              <w:rPr>
                <w:rFonts w:hint="eastAsia"/>
                <w:lang w:val="en-US" w:eastAsia="zh-CN"/>
              </w:rPr>
              <w:t>50%</w:t>
            </w:r>
          </w:p>
        </w:tc>
        <w:tc>
          <w:tcPr>
            <w:tcW w:w="1304" w:type="dxa"/>
            <w:vAlign w:val="center"/>
          </w:tcPr>
          <w:p>
            <w:pPr>
              <w:pStyle w:val="17"/>
              <w:rPr>
                <w:rFonts w:hint="default" w:eastAsia="方正书宋_GBK"/>
                <w:lang w:val="en-US" w:eastAsia="zh-CN"/>
              </w:rPr>
            </w:pPr>
            <w:r>
              <w:rPr>
                <w:rFonts w:hint="eastAsia"/>
                <w:lang w:val="en-US" w:eastAsia="zh-CN"/>
              </w:rPr>
              <w:t>75%</w:t>
            </w:r>
          </w:p>
        </w:tc>
        <w:tc>
          <w:tcPr>
            <w:tcW w:w="3118" w:type="dxa"/>
            <w:gridSpan w:val="2"/>
            <w:vAlign w:val="center"/>
          </w:tcPr>
          <w:p>
            <w:pPr>
              <w:pStyle w:val="17"/>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6"/>
              <w:rPr>
                <w:rFonts w:hint="default" w:eastAsia="方正书宋_GBK"/>
                <w:lang w:val="en-US" w:eastAsia="zh-CN"/>
              </w:rPr>
            </w:pPr>
            <w:r>
              <w:rPr>
                <w:rFonts w:hint="eastAsia"/>
                <w:color w:val="auto"/>
                <w:lang w:val="en-US" w:eastAsia="zh-CN"/>
              </w:rPr>
              <w:t>保障政协日常办公及委员活动，充分发挥政协委员作用。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jc w:val="center"/>
            </w:pPr>
            <w:r>
              <w:t>产出指标</w:t>
            </w:r>
          </w:p>
        </w:tc>
        <w:tc>
          <w:tcPr>
            <w:tcW w:w="1327" w:type="dxa"/>
            <w:vAlign w:val="center"/>
          </w:tcPr>
          <w:p>
            <w:pPr>
              <w:pStyle w:val="16"/>
            </w:pPr>
            <w:r>
              <w:t>数量指标</w:t>
            </w:r>
          </w:p>
        </w:tc>
        <w:tc>
          <w:tcPr>
            <w:tcW w:w="1327" w:type="dxa"/>
            <w:vAlign w:val="center"/>
          </w:tcPr>
          <w:p>
            <w:pPr>
              <w:pStyle w:val="16"/>
              <w:rPr>
                <w:rFonts w:hint="eastAsia" w:eastAsia="方正书宋_GBK"/>
                <w:lang w:val="en-US" w:eastAsia="zh-CN"/>
              </w:rPr>
            </w:pPr>
            <w:r>
              <w:rPr>
                <w:rFonts w:hint="eastAsia"/>
                <w:lang w:val="en-US" w:eastAsia="zh-CN"/>
              </w:rPr>
              <w:t>活动开展次数</w:t>
            </w:r>
          </w:p>
        </w:tc>
        <w:tc>
          <w:tcPr>
            <w:tcW w:w="2654" w:type="dxa"/>
            <w:vAlign w:val="center"/>
          </w:tcPr>
          <w:p>
            <w:pPr>
              <w:pStyle w:val="16"/>
              <w:rPr>
                <w:rFonts w:hint="default" w:eastAsia="方正书宋_GBK"/>
                <w:lang w:val="en-US" w:eastAsia="zh-CN"/>
              </w:rPr>
            </w:pPr>
            <w:r>
              <w:rPr>
                <w:rFonts w:hint="eastAsia"/>
                <w:lang w:val="en-US" w:eastAsia="zh-CN"/>
              </w:rPr>
              <w:t>开展委员调研视察督办活动次数</w:t>
            </w:r>
          </w:p>
        </w:tc>
        <w:tc>
          <w:tcPr>
            <w:tcW w:w="1327" w:type="dxa"/>
            <w:vAlign w:val="center"/>
          </w:tcPr>
          <w:p>
            <w:pPr>
              <w:pStyle w:val="16"/>
              <w:rPr>
                <w:rFonts w:hint="eastAsia" w:eastAsia="方正书宋_GBK"/>
                <w:lang w:val="en-US" w:eastAsia="zh-CN"/>
              </w:rPr>
            </w:pPr>
            <w:r>
              <w:t>≥</w:t>
            </w:r>
            <w:r>
              <w:rPr>
                <w:rFonts w:hint="eastAsia"/>
                <w:lang w:val="en-US" w:eastAsia="zh-CN"/>
              </w:rPr>
              <w:t>1</w:t>
            </w:r>
            <w:r>
              <w:t>0</w:t>
            </w:r>
            <w:r>
              <w:rPr>
                <w:rFonts w:hint="eastAsia"/>
                <w:lang w:val="en-US" w:eastAsia="zh-CN"/>
              </w:rPr>
              <w:t>次</w:t>
            </w:r>
          </w:p>
        </w:tc>
        <w:tc>
          <w:tcPr>
            <w:tcW w:w="1327" w:type="dxa"/>
            <w:vAlign w:val="center"/>
          </w:tcPr>
          <w:p>
            <w:pPr>
              <w:pStyle w:val="16"/>
              <w:rPr>
                <w:rFonts w:hint="default" w:eastAsia="方正书宋_GBK"/>
                <w:lang w:val="en-US" w:eastAsia="zh-CN"/>
              </w:rPr>
            </w:pPr>
            <w:r>
              <w:rPr>
                <w:rFonts w:hint="eastAsia"/>
                <w:lang w:val="en-US" w:eastAsia="zh-CN"/>
              </w:rPr>
              <w:t>2023年年初工作谋划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top"/>
          </w:tcPr>
          <w:p>
            <w:pPr>
              <w:jc w:val="left"/>
            </w:pPr>
          </w:p>
        </w:tc>
        <w:tc>
          <w:tcPr>
            <w:tcW w:w="1327" w:type="dxa"/>
            <w:vAlign w:val="center"/>
          </w:tcPr>
          <w:p>
            <w:pP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数量指标</w:t>
            </w:r>
          </w:p>
        </w:tc>
        <w:tc>
          <w:tcPr>
            <w:tcW w:w="1327" w:type="dxa"/>
            <w:vAlign w:val="center"/>
          </w:tcPr>
          <w:p>
            <w:pPr>
              <w:pStyle w:val="16"/>
              <w:rPr>
                <w:rFonts w:hint="default" w:eastAsia="方正书宋_GBK"/>
                <w:lang w:val="en-US" w:eastAsia="zh-CN"/>
              </w:rPr>
            </w:pPr>
            <w:r>
              <w:rPr>
                <w:rFonts w:hint="eastAsia"/>
                <w:lang w:val="en-US" w:eastAsia="zh-CN"/>
              </w:rPr>
              <w:t>经费保障科室数</w:t>
            </w:r>
          </w:p>
        </w:tc>
        <w:tc>
          <w:tcPr>
            <w:tcW w:w="2654"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经费保障科室数</w:t>
            </w:r>
          </w:p>
        </w:tc>
        <w:tc>
          <w:tcPr>
            <w:tcW w:w="1327" w:type="dxa"/>
            <w:vAlign w:val="center"/>
          </w:tcPr>
          <w:p>
            <w:pPr>
              <w:pStyle w:val="16"/>
              <w:rPr>
                <w:rFonts w:hint="default" w:eastAsia="方正书宋_GBK"/>
                <w:lang w:val="en-US" w:eastAsia="zh-CN"/>
              </w:rPr>
            </w:pPr>
            <w:r>
              <w:rPr>
                <w:rFonts w:hint="eastAsia"/>
                <w:lang w:val="en-US" w:eastAsia="zh-CN"/>
              </w:rPr>
              <w:t>4个</w:t>
            </w:r>
          </w:p>
        </w:tc>
        <w:tc>
          <w:tcPr>
            <w:tcW w:w="1327"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2023年年初工作谋划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top"/>
          </w:tcPr>
          <w:p>
            <w:pPr>
              <w:jc w:val="left"/>
            </w:pPr>
          </w:p>
        </w:tc>
        <w:tc>
          <w:tcPr>
            <w:tcW w:w="1327" w:type="dxa"/>
            <w:vAlign w:val="center"/>
          </w:tcPr>
          <w:p>
            <w:r>
              <w:rPr>
                <w:rFonts w:hint="eastAsia" w:ascii="方正书宋_GBK" w:hAnsi="方正书宋_GBK" w:eastAsia="方正书宋_GBK" w:cs="方正书宋_GBK"/>
                <w:sz w:val="21"/>
                <w:szCs w:val="24"/>
                <w:lang w:val="en-US" w:eastAsia="zh-CN" w:bidi="ar-SA"/>
              </w:rPr>
              <w:t>数量指标</w:t>
            </w:r>
          </w:p>
        </w:tc>
        <w:tc>
          <w:tcPr>
            <w:tcW w:w="1327" w:type="dxa"/>
            <w:vAlign w:val="center"/>
          </w:tcPr>
          <w:p>
            <w:pPr>
              <w:pStyle w:val="16"/>
              <w:rPr>
                <w:rFonts w:hint="eastAsia" w:eastAsia="方正书宋_GBK"/>
                <w:lang w:val="en-US" w:eastAsia="zh-CN"/>
              </w:rPr>
            </w:pPr>
            <w:r>
              <w:rPr>
                <w:rFonts w:hint="eastAsia"/>
                <w:lang w:val="en-US" w:eastAsia="zh-CN"/>
              </w:rPr>
              <w:t>撰写报告提出建议</w:t>
            </w:r>
          </w:p>
        </w:tc>
        <w:tc>
          <w:tcPr>
            <w:tcW w:w="2654" w:type="dxa"/>
            <w:vAlign w:val="center"/>
          </w:tcPr>
          <w:p>
            <w:pPr>
              <w:pStyle w:val="16"/>
            </w:pPr>
            <w:r>
              <w:rPr>
                <w:rFonts w:hint="eastAsia"/>
                <w:lang w:val="en-US" w:eastAsia="zh-CN"/>
              </w:rPr>
              <w:t>撰写报告提出建议</w:t>
            </w:r>
          </w:p>
        </w:tc>
        <w:tc>
          <w:tcPr>
            <w:tcW w:w="1327" w:type="dxa"/>
            <w:vAlign w:val="center"/>
          </w:tcPr>
          <w:p>
            <w:pPr>
              <w:pStyle w:val="16"/>
              <w:rPr>
                <w:rFonts w:hint="eastAsia" w:eastAsia="方正书宋_GBK"/>
                <w:lang w:val="en-US" w:eastAsia="zh-CN"/>
              </w:rPr>
            </w:pPr>
            <w:r>
              <w:t>≥</w:t>
            </w:r>
            <w:r>
              <w:rPr>
                <w:rFonts w:hint="eastAsia"/>
                <w:lang w:val="en-US" w:eastAsia="zh-CN"/>
              </w:rPr>
              <w:t>1</w:t>
            </w:r>
            <w:r>
              <w:t>0</w:t>
            </w:r>
            <w:r>
              <w:rPr>
                <w:rFonts w:hint="eastAsia"/>
                <w:lang w:val="en-US" w:eastAsia="zh-CN"/>
              </w:rPr>
              <w:t>篇</w:t>
            </w:r>
          </w:p>
        </w:tc>
        <w:tc>
          <w:tcPr>
            <w:tcW w:w="1327"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2023年年初工作谋划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top"/>
          </w:tcPr>
          <w:p>
            <w:pPr>
              <w:jc w:val="left"/>
            </w:pPr>
          </w:p>
        </w:tc>
        <w:tc>
          <w:tcPr>
            <w:tcW w:w="1327" w:type="dxa"/>
            <w:vAlign w:val="center"/>
          </w:tcPr>
          <w:p>
            <w:pPr>
              <w:pStyle w:val="16"/>
            </w:pPr>
            <w:r>
              <w:rPr>
                <w:rFonts w:hint="eastAsia"/>
                <w:lang w:val="en-US" w:eastAsia="zh-CN"/>
              </w:rPr>
              <w:t>质量</w:t>
            </w:r>
            <w:r>
              <w:t>指标</w:t>
            </w:r>
          </w:p>
        </w:tc>
        <w:tc>
          <w:tcPr>
            <w:tcW w:w="1327" w:type="dxa"/>
            <w:vAlign w:val="center"/>
          </w:tcPr>
          <w:p>
            <w:pPr>
              <w:pStyle w:val="16"/>
              <w:rPr>
                <w:rFonts w:hint="default" w:eastAsia="方正书宋_GBK"/>
                <w:lang w:val="en-US" w:eastAsia="zh-CN"/>
              </w:rPr>
            </w:pPr>
            <w:r>
              <w:rPr>
                <w:rFonts w:hint="eastAsia"/>
                <w:lang w:val="en-US" w:eastAsia="zh-CN"/>
              </w:rPr>
              <w:t>各委室工作正常运转率</w:t>
            </w:r>
          </w:p>
        </w:tc>
        <w:tc>
          <w:tcPr>
            <w:tcW w:w="2654" w:type="dxa"/>
            <w:vAlign w:val="center"/>
          </w:tcPr>
          <w:p>
            <w:pPr>
              <w:pStyle w:val="16"/>
              <w:rPr>
                <w:rFonts w:hint="default"/>
                <w:lang w:val="en-US"/>
              </w:rPr>
            </w:pPr>
            <w:r>
              <w:rPr>
                <w:rFonts w:hint="eastAsia"/>
                <w:lang w:val="en-US" w:eastAsia="zh-CN"/>
              </w:rPr>
              <w:t>各委室工作保障情况</w:t>
            </w:r>
          </w:p>
        </w:tc>
        <w:tc>
          <w:tcPr>
            <w:tcW w:w="1327" w:type="dxa"/>
            <w:vAlign w:val="center"/>
          </w:tcPr>
          <w:p>
            <w:pPr>
              <w:pStyle w:val="16"/>
              <w:rPr>
                <w:rFonts w:hint="default" w:eastAsia="方正书宋_GBK"/>
                <w:lang w:val="en-US" w:eastAsia="zh-CN"/>
              </w:rPr>
            </w:pPr>
            <w:r>
              <w:rPr>
                <w:rFonts w:hint="eastAsia"/>
                <w:lang w:val="en-US" w:eastAsia="zh-CN"/>
              </w:rPr>
              <w:t>100%</w:t>
            </w:r>
          </w:p>
        </w:tc>
        <w:tc>
          <w:tcPr>
            <w:tcW w:w="1327" w:type="dxa"/>
            <w:vAlign w:val="center"/>
          </w:tcPr>
          <w:p>
            <w:pPr>
              <w:pStyle w:val="16"/>
              <w:ind w:firstLine="0" w:firstLineChars="0"/>
            </w:pPr>
            <w:r>
              <w:rPr>
                <w:rFonts w:hint="eastAsia"/>
                <w:lang w:val="en-US" w:eastAsia="zh-CN"/>
              </w:rPr>
              <w:t>2023年年初工作谋划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1327" w:type="dxa"/>
            <w:vMerge w:val="continue"/>
            <w:vAlign w:val="top"/>
          </w:tcPr>
          <w:p>
            <w:pPr>
              <w:pStyle w:val="17"/>
              <w:jc w:val="left"/>
            </w:pPr>
          </w:p>
        </w:tc>
        <w:tc>
          <w:tcPr>
            <w:tcW w:w="1327" w:type="dxa"/>
            <w:vAlign w:val="center"/>
          </w:tcPr>
          <w:p>
            <w:pPr>
              <w:pStyle w:val="16"/>
              <w:rPr>
                <w:rFonts w:hint="eastAsia"/>
                <w:lang w:val="en-US" w:eastAsia="zh-CN"/>
              </w:rPr>
            </w:pPr>
            <w:r>
              <w:rPr>
                <w:rFonts w:hint="eastAsia"/>
                <w:lang w:val="en-US" w:eastAsia="zh-CN"/>
              </w:rPr>
              <w:t>质量</w:t>
            </w:r>
            <w:r>
              <w:t>指标</w:t>
            </w:r>
          </w:p>
        </w:tc>
        <w:tc>
          <w:tcPr>
            <w:tcW w:w="1327" w:type="dxa"/>
            <w:vAlign w:val="center"/>
          </w:tcPr>
          <w:p>
            <w:pPr>
              <w:pStyle w:val="16"/>
              <w:rPr>
                <w:rFonts w:hint="default" w:eastAsia="方正书宋_GBK"/>
                <w:lang w:val="en-US" w:eastAsia="zh-CN"/>
              </w:rPr>
            </w:pPr>
            <w:r>
              <w:rPr>
                <w:rFonts w:hint="eastAsia"/>
                <w:lang w:val="en-US" w:eastAsia="zh-CN"/>
              </w:rPr>
              <w:t>提案督办完成率</w:t>
            </w:r>
          </w:p>
        </w:tc>
        <w:tc>
          <w:tcPr>
            <w:tcW w:w="2654"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提案督办完成率</w:t>
            </w:r>
          </w:p>
        </w:tc>
        <w:tc>
          <w:tcPr>
            <w:tcW w:w="1327" w:type="dxa"/>
            <w:vAlign w:val="center"/>
          </w:tcPr>
          <w:p>
            <w:pPr>
              <w:pStyle w:val="16"/>
              <w:ind w:firstLine="0" w:firstLineChars="0"/>
              <w:rPr>
                <w:rFonts w:hint="default" w:eastAsia="方正书宋_GBK"/>
                <w:lang w:val="en-US" w:eastAsia="zh-CN"/>
              </w:rPr>
            </w:pPr>
            <w:r>
              <w:t>≥</w:t>
            </w:r>
            <w:r>
              <w:rPr>
                <w:rFonts w:hint="eastAsia"/>
                <w:lang w:val="en-US" w:eastAsia="zh-CN"/>
              </w:rPr>
              <w:t>95%</w:t>
            </w:r>
          </w:p>
        </w:tc>
        <w:tc>
          <w:tcPr>
            <w:tcW w:w="1327"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2023年年初工作谋划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top"/>
          </w:tcPr>
          <w:p>
            <w:pPr>
              <w:pStyle w:val="17"/>
              <w:jc w:val="left"/>
            </w:pPr>
          </w:p>
        </w:tc>
        <w:tc>
          <w:tcPr>
            <w:tcW w:w="1327" w:type="dxa"/>
            <w:vAlign w:val="center"/>
          </w:tcPr>
          <w:p>
            <w:pPr>
              <w:pStyle w:val="16"/>
            </w:pPr>
            <w:r>
              <w:rPr>
                <w:rFonts w:hint="eastAsia"/>
                <w:lang w:val="en-US" w:eastAsia="zh-CN"/>
              </w:rPr>
              <w:t>时效</w:t>
            </w:r>
            <w:r>
              <w:t>指标</w:t>
            </w:r>
          </w:p>
        </w:tc>
        <w:tc>
          <w:tcPr>
            <w:tcW w:w="1327" w:type="dxa"/>
            <w:vAlign w:val="center"/>
          </w:tcPr>
          <w:p>
            <w:pPr>
              <w:pStyle w:val="16"/>
              <w:rPr>
                <w:rFonts w:hint="eastAsia" w:eastAsia="方正书宋_GBK"/>
                <w:color w:val="FF0000"/>
                <w:lang w:val="en-US" w:eastAsia="zh-CN"/>
              </w:rPr>
            </w:pPr>
            <w:r>
              <w:t>综合事务工作完成及时率</w:t>
            </w:r>
          </w:p>
        </w:tc>
        <w:tc>
          <w:tcPr>
            <w:tcW w:w="2654" w:type="dxa"/>
            <w:vAlign w:val="center"/>
          </w:tcPr>
          <w:p>
            <w:pPr>
              <w:pStyle w:val="16"/>
              <w:rPr>
                <w:rFonts w:hint="default" w:eastAsia="方正书宋_GBK"/>
                <w:color w:val="FF0000"/>
                <w:lang w:val="en-US" w:eastAsia="zh-CN"/>
              </w:rPr>
            </w:pPr>
            <w:r>
              <w:rPr>
                <w:rFonts w:hint="eastAsia"/>
                <w:lang w:val="en-US" w:eastAsia="zh-CN"/>
              </w:rPr>
              <w:t>按照年初工作谋划，各项</w:t>
            </w:r>
            <w:r>
              <w:t>工作完成及时率</w:t>
            </w:r>
          </w:p>
        </w:tc>
        <w:tc>
          <w:tcPr>
            <w:tcW w:w="1327" w:type="dxa"/>
            <w:vAlign w:val="center"/>
          </w:tcPr>
          <w:p>
            <w:pPr>
              <w:pStyle w:val="16"/>
              <w:rPr>
                <w:color w:val="FF0000"/>
              </w:rPr>
            </w:pPr>
            <w:r>
              <w:rPr>
                <w:rFonts w:hint="eastAsia"/>
                <w:color w:val="auto"/>
                <w:lang w:val="en-US" w:eastAsia="zh-CN"/>
              </w:rPr>
              <w:t>100%</w:t>
            </w:r>
          </w:p>
        </w:tc>
        <w:tc>
          <w:tcPr>
            <w:tcW w:w="1327" w:type="dxa"/>
            <w:vAlign w:val="center"/>
          </w:tcPr>
          <w:p>
            <w:pPr>
              <w:pStyle w:val="16"/>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2023年年初工作谋划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top"/>
          </w:tcPr>
          <w:p>
            <w:pPr>
              <w:pStyle w:val="17"/>
              <w:jc w:val="left"/>
            </w:pPr>
          </w:p>
        </w:tc>
        <w:tc>
          <w:tcPr>
            <w:tcW w:w="1327" w:type="dxa"/>
            <w:vAlign w:val="center"/>
          </w:tcPr>
          <w:p>
            <w:pPr>
              <w:pStyle w:val="16"/>
              <w:rPr>
                <w:rFonts w:hint="eastAsia" w:eastAsia="方正书宋_GBK"/>
                <w:lang w:val="en-US" w:eastAsia="zh-CN"/>
              </w:rPr>
            </w:pPr>
            <w:r>
              <w:rPr>
                <w:rFonts w:hint="eastAsia"/>
                <w:lang w:val="en-US" w:eastAsia="zh-CN"/>
              </w:rPr>
              <w:t>成本指标</w:t>
            </w:r>
          </w:p>
        </w:tc>
        <w:tc>
          <w:tcPr>
            <w:tcW w:w="1327" w:type="dxa"/>
            <w:vAlign w:val="center"/>
          </w:tcPr>
          <w:p>
            <w:pPr>
              <w:pStyle w:val="16"/>
              <w:rPr>
                <w:rFonts w:hint="eastAsia" w:eastAsia="方正书宋_GBK"/>
                <w:lang w:val="en-US" w:eastAsia="zh-CN"/>
              </w:rPr>
            </w:pPr>
            <w:r>
              <w:rPr>
                <w:rFonts w:hint="eastAsia"/>
                <w:lang w:val="en-US" w:eastAsia="zh-CN"/>
              </w:rPr>
              <w:t>成本控制数</w:t>
            </w:r>
          </w:p>
        </w:tc>
        <w:tc>
          <w:tcPr>
            <w:tcW w:w="2654" w:type="dxa"/>
            <w:vAlign w:val="center"/>
          </w:tcPr>
          <w:p>
            <w:pPr>
              <w:pStyle w:val="16"/>
              <w:rPr>
                <w:rFonts w:hint="default" w:eastAsia="方正书宋_GBK"/>
                <w:lang w:val="en-US" w:eastAsia="zh-CN"/>
              </w:rPr>
            </w:pPr>
            <w:r>
              <w:rPr>
                <w:rFonts w:hint="eastAsia"/>
                <w:lang w:val="en-US" w:eastAsia="zh-CN"/>
              </w:rPr>
              <w:t>总支出成本控制在预算以内</w:t>
            </w:r>
          </w:p>
        </w:tc>
        <w:tc>
          <w:tcPr>
            <w:tcW w:w="1327" w:type="dxa"/>
            <w:vAlign w:val="center"/>
          </w:tcPr>
          <w:p>
            <w:pPr>
              <w:pStyle w:val="16"/>
              <w:rPr>
                <w:rFonts w:hint="default" w:eastAsia="方正书宋_GBK"/>
                <w:lang w:val="en-US" w:eastAsia="zh-CN"/>
              </w:rPr>
            </w:pPr>
            <w:r>
              <w:rPr>
                <w:rFonts w:hint="default" w:ascii="Arial" w:hAnsi="Arial" w:cs="Arial"/>
                <w:color w:val="auto"/>
              </w:rPr>
              <w:t>≤</w:t>
            </w:r>
            <w:r>
              <w:rPr>
                <w:rFonts w:hint="eastAsia"/>
                <w:color w:val="auto"/>
                <w:lang w:val="en-US" w:eastAsia="zh-CN"/>
              </w:rPr>
              <w:t>45万元</w:t>
            </w:r>
          </w:p>
        </w:tc>
        <w:tc>
          <w:tcPr>
            <w:tcW w:w="1327" w:type="dxa"/>
            <w:vAlign w:val="center"/>
          </w:tcPr>
          <w:p>
            <w:pPr>
              <w:pStyle w:val="16"/>
              <w:rPr>
                <w:rFonts w:hint="eastAsia" w:eastAsia="方正书宋_GBK"/>
                <w:lang w:val="en-US" w:eastAsia="zh-CN"/>
              </w:rPr>
            </w:pPr>
            <w:r>
              <w:rPr>
                <w:rFonts w:hint="eastAsia"/>
                <w:lang w:val="en-US" w:eastAsia="zh-CN"/>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效益指标</w:t>
            </w:r>
          </w:p>
        </w:tc>
        <w:tc>
          <w:tcPr>
            <w:tcW w:w="1327" w:type="dxa"/>
            <w:vAlign w:val="center"/>
          </w:tcPr>
          <w:p>
            <w:pPr>
              <w:pStyle w:val="16"/>
            </w:pPr>
            <w:r>
              <w:rPr>
                <w:rFonts w:hint="eastAsia"/>
                <w:lang w:val="en-US" w:eastAsia="zh-CN"/>
              </w:rPr>
              <w:t>社会</w:t>
            </w:r>
            <w:r>
              <w:t>效益指标</w:t>
            </w:r>
          </w:p>
        </w:tc>
        <w:tc>
          <w:tcPr>
            <w:tcW w:w="1327" w:type="dxa"/>
            <w:vAlign w:val="center"/>
          </w:tcPr>
          <w:p>
            <w:pPr>
              <w:pStyle w:val="16"/>
              <w:rPr>
                <w:rFonts w:hint="eastAsia" w:eastAsia="方正书宋_GBK"/>
                <w:color w:val="auto"/>
                <w:lang w:val="en-US" w:eastAsia="zh-CN"/>
              </w:rPr>
            </w:pPr>
            <w:r>
              <w:rPr>
                <w:rFonts w:hint="eastAsia"/>
                <w:color w:val="auto"/>
              </w:rPr>
              <w:t>参政议政能力提升</w:t>
            </w:r>
          </w:p>
        </w:tc>
        <w:tc>
          <w:tcPr>
            <w:tcW w:w="2654" w:type="dxa"/>
            <w:vAlign w:val="center"/>
          </w:tcPr>
          <w:p>
            <w:pPr>
              <w:pStyle w:val="16"/>
              <w:rPr>
                <w:rFonts w:hint="default" w:eastAsia="方正书宋_GBK"/>
                <w:color w:val="auto"/>
                <w:lang w:val="en-US" w:eastAsia="zh-CN"/>
              </w:rPr>
            </w:pPr>
            <w:r>
              <w:rPr>
                <w:rFonts w:hint="eastAsia"/>
                <w:color w:val="auto"/>
              </w:rPr>
              <w:t>发挥并提升政协委员参政议政能力</w:t>
            </w:r>
          </w:p>
        </w:tc>
        <w:tc>
          <w:tcPr>
            <w:tcW w:w="1327" w:type="dxa"/>
            <w:vAlign w:val="center"/>
          </w:tcPr>
          <w:p>
            <w:pPr>
              <w:pStyle w:val="16"/>
              <w:rPr>
                <w:rFonts w:hint="eastAsia" w:eastAsia="方正书宋_GBK"/>
                <w:lang w:val="en-US" w:eastAsia="zh-CN"/>
              </w:rPr>
            </w:pPr>
            <w:r>
              <w:rPr>
                <w:rFonts w:hint="eastAsia"/>
                <w:lang w:val="en-US" w:eastAsia="zh-CN"/>
              </w:rPr>
              <w:t>有所提高</w:t>
            </w:r>
          </w:p>
        </w:tc>
        <w:tc>
          <w:tcPr>
            <w:tcW w:w="1327" w:type="dxa"/>
            <w:vAlign w:val="center"/>
          </w:tcPr>
          <w:p>
            <w:pPr>
              <w:pStyle w:val="16"/>
              <w:ind w:firstLine="0" w:firstLineChars="0"/>
            </w:pPr>
            <w:r>
              <w:rPr>
                <w:rFonts w:hint="eastAsia"/>
                <w:lang w:val="en-US" w:eastAsia="zh-CN"/>
              </w:rPr>
              <w:t>2023年年初工作谋划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6"/>
            </w:pPr>
            <w:r>
              <w:t>服务对象满意度指标</w:t>
            </w:r>
          </w:p>
        </w:tc>
        <w:tc>
          <w:tcPr>
            <w:tcW w:w="1327" w:type="dxa"/>
            <w:vAlign w:val="center"/>
          </w:tcPr>
          <w:p>
            <w:pPr>
              <w:pStyle w:val="16"/>
              <w:rPr>
                <w:rFonts w:hint="default" w:eastAsia="方正书宋_GBK"/>
                <w:lang w:val="en-US" w:eastAsia="zh-CN"/>
              </w:rPr>
            </w:pPr>
            <w:r>
              <w:rPr>
                <w:rFonts w:hint="eastAsia"/>
                <w:lang w:val="en-US" w:eastAsia="zh-CN"/>
              </w:rPr>
              <w:t>各委室工作人员满意度</w:t>
            </w:r>
          </w:p>
        </w:tc>
        <w:tc>
          <w:tcPr>
            <w:tcW w:w="2654" w:type="dxa"/>
            <w:vAlign w:val="center"/>
          </w:tcPr>
          <w:p>
            <w:pPr>
              <w:pStyle w:val="16"/>
              <w:rPr>
                <w:rFonts w:hint="default" w:eastAsia="方正书宋_GBK"/>
                <w:lang w:val="en-US" w:eastAsia="zh-CN"/>
              </w:rPr>
            </w:pPr>
            <w:r>
              <w:rPr>
                <w:rFonts w:hint="eastAsia"/>
                <w:lang w:val="en-US" w:eastAsia="zh-CN"/>
              </w:rPr>
              <w:t>调查人员中满意人员占调查人员的比例</w:t>
            </w:r>
          </w:p>
        </w:tc>
        <w:tc>
          <w:tcPr>
            <w:tcW w:w="1327" w:type="dxa"/>
            <w:vAlign w:val="center"/>
          </w:tcPr>
          <w:p>
            <w:pPr>
              <w:pStyle w:val="16"/>
              <w:rPr>
                <w:rFonts w:hint="default" w:eastAsia="方正书宋_GBK"/>
                <w:lang w:val="en-US" w:eastAsia="zh-CN"/>
              </w:rPr>
            </w:pPr>
            <w:r>
              <w:t>≥9</w:t>
            </w:r>
            <w:r>
              <w:rPr>
                <w:rFonts w:hint="eastAsia"/>
                <w:lang w:val="en-US" w:eastAsia="zh-CN"/>
              </w:rPr>
              <w:t>5%</w:t>
            </w:r>
          </w:p>
        </w:tc>
        <w:tc>
          <w:tcPr>
            <w:tcW w:w="1327" w:type="dxa"/>
            <w:vAlign w:val="center"/>
          </w:tcPr>
          <w:p>
            <w:pPr>
              <w:pStyle w:val="16"/>
              <w:rPr>
                <w:rFonts w:hint="eastAsia" w:eastAsia="方正书宋_GBK"/>
                <w:lang w:val="en-US" w:eastAsia="zh-CN"/>
              </w:rPr>
            </w:pPr>
            <w:r>
              <w:rPr>
                <w:rFonts w:hint="eastAsia"/>
                <w:lang w:val="en-US" w:eastAsia="zh-CN"/>
              </w:rP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3" w:name="_Toc_4_4_0000000006"/>
      <w:r>
        <w:rPr>
          <w:rFonts w:ascii="方正仿宋_GBK" w:hAnsi="方正仿宋_GBK" w:eastAsia="方正仿宋_GBK" w:cs="方正仿宋_GBK"/>
          <w:color w:val="000000"/>
          <w:sz w:val="28"/>
        </w:rPr>
        <w:t>3.政协会议绩效目标表</w:t>
      </w:r>
      <w:bookmarkEnd w:id="4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pPr>
            <w:r>
              <w:t>131001政协部门中国人民政治协商会议河北省秦皇岛市山海关区委员会本级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13030323P00397210002K</w:t>
            </w:r>
          </w:p>
        </w:tc>
        <w:tc>
          <w:tcPr>
            <w:tcW w:w="1587" w:type="dxa"/>
            <w:vAlign w:val="center"/>
          </w:tcPr>
          <w:p>
            <w:pPr>
              <w:pStyle w:val="14"/>
            </w:pPr>
            <w:r>
              <w:t>项目名称</w:t>
            </w:r>
          </w:p>
        </w:tc>
        <w:tc>
          <w:tcPr>
            <w:tcW w:w="4422" w:type="dxa"/>
            <w:gridSpan w:val="3"/>
            <w:vAlign w:val="center"/>
          </w:tcPr>
          <w:p>
            <w:pPr>
              <w:pStyle w:val="16"/>
            </w:pPr>
            <w:r>
              <w:t>政协会议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20.00</w:t>
            </w:r>
          </w:p>
        </w:tc>
        <w:tc>
          <w:tcPr>
            <w:tcW w:w="1587" w:type="dxa"/>
            <w:vAlign w:val="center"/>
          </w:tcPr>
          <w:p>
            <w:pPr>
              <w:pStyle w:val="14"/>
            </w:pPr>
            <w:r>
              <w:t>其中：财政    资金</w:t>
            </w:r>
          </w:p>
        </w:tc>
        <w:tc>
          <w:tcPr>
            <w:tcW w:w="1304" w:type="dxa"/>
            <w:vAlign w:val="center"/>
          </w:tcPr>
          <w:p>
            <w:pPr>
              <w:pStyle w:val="16"/>
            </w:pPr>
            <w:r>
              <w:t>20.00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rPr>
                <w:rFonts w:hint="default" w:eastAsia="方正书宋_GBK"/>
                <w:lang w:val="en-US" w:eastAsia="zh-CN"/>
              </w:rPr>
            </w:pPr>
            <w:r>
              <w:rPr>
                <w:rFonts w:hint="eastAsia"/>
                <w:color w:val="auto"/>
                <w:lang w:val="en-US" w:eastAsia="zh-CN"/>
              </w:rPr>
              <w:t>保障政协会议顺利召开。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rPr>
                <w:rFonts w:hint="default" w:eastAsia="方正书宋_GBK"/>
                <w:lang w:val="en-US" w:eastAsia="zh-CN"/>
              </w:rPr>
            </w:pPr>
            <w:r>
              <w:rPr>
                <w:rFonts w:hint="eastAsia"/>
                <w:lang w:val="en-US" w:eastAsia="zh-CN"/>
              </w:rPr>
              <w:t>50%</w:t>
            </w:r>
          </w:p>
        </w:tc>
        <w:tc>
          <w:tcPr>
            <w:tcW w:w="1587" w:type="dxa"/>
            <w:vAlign w:val="center"/>
          </w:tcPr>
          <w:p>
            <w:pPr>
              <w:pStyle w:val="17"/>
              <w:rPr>
                <w:rFonts w:hint="default" w:eastAsia="方正书宋_GBK"/>
                <w:lang w:val="en-US" w:eastAsia="zh-CN"/>
              </w:rPr>
            </w:pPr>
            <w:r>
              <w:rPr>
                <w:rFonts w:hint="eastAsia"/>
                <w:lang w:val="en-US" w:eastAsia="zh-CN"/>
              </w:rPr>
              <w:t>60%</w:t>
            </w:r>
          </w:p>
        </w:tc>
        <w:tc>
          <w:tcPr>
            <w:tcW w:w="1304" w:type="dxa"/>
            <w:vAlign w:val="center"/>
          </w:tcPr>
          <w:p>
            <w:pPr>
              <w:pStyle w:val="17"/>
              <w:rPr>
                <w:rFonts w:hint="default" w:eastAsia="方正书宋_GBK"/>
                <w:lang w:val="en-US" w:eastAsia="zh-CN"/>
              </w:rPr>
            </w:pPr>
            <w:r>
              <w:rPr>
                <w:rFonts w:hint="eastAsia"/>
                <w:lang w:val="en-US" w:eastAsia="zh-CN"/>
              </w:rPr>
              <w:t>80%</w:t>
            </w:r>
          </w:p>
        </w:tc>
        <w:tc>
          <w:tcPr>
            <w:tcW w:w="3118" w:type="dxa"/>
            <w:gridSpan w:val="2"/>
            <w:vAlign w:val="center"/>
          </w:tcPr>
          <w:p>
            <w:pPr>
              <w:pStyle w:val="17"/>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keepNext w:val="0"/>
              <w:keepLines w:val="0"/>
              <w:widowControl/>
              <w:numPr>
                <w:ilvl w:val="0"/>
                <w:numId w:val="3"/>
              </w:numPr>
              <w:suppressLineNumbers w:val="0"/>
              <w:jc w:val="lef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通过组织召开会议，完成会议各项章程，达到强化思想引领，广泛凝聚共识的作用。</w:t>
            </w:r>
          </w:p>
          <w:p>
            <w:pPr>
              <w:keepNext w:val="0"/>
              <w:keepLines w:val="0"/>
              <w:widowControl/>
              <w:numPr>
                <w:ilvl w:val="0"/>
                <w:numId w:val="3"/>
              </w:numPr>
              <w:suppressLineNumbers w:val="0"/>
              <w:jc w:val="left"/>
              <w:rPr>
                <w:rFonts w:hint="default" w:eastAsia="方正书宋_GBK"/>
                <w:lang w:val="en-US" w:eastAsia="zh-CN"/>
              </w:rPr>
            </w:pPr>
            <w:r>
              <w:rPr>
                <w:rFonts w:ascii="方正书宋_GBK" w:hAnsi="方正书宋_GBK" w:eastAsia="方正书宋_GBK" w:cs="方正书宋_GBK"/>
                <w:sz w:val="21"/>
                <w:szCs w:val="24"/>
                <w:lang w:val="en-US" w:eastAsia="zh-CN" w:bidi="ar-SA"/>
              </w:rPr>
              <w:t>提出客观、有价值、有分量、有影响的意见建议，促进决策民主化科学化。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252"/>
        <w:gridCol w:w="1402"/>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252" w:type="dxa"/>
            <w:vAlign w:val="center"/>
          </w:tcPr>
          <w:p>
            <w:pPr>
              <w:pStyle w:val="14"/>
            </w:pPr>
            <w:r>
              <w:t>二级指标</w:t>
            </w:r>
          </w:p>
        </w:tc>
        <w:tc>
          <w:tcPr>
            <w:tcW w:w="1402"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252" w:type="dxa"/>
            <w:vAlign w:val="center"/>
          </w:tcPr>
          <w:p>
            <w:pPr>
              <w:pStyle w:val="16"/>
            </w:pPr>
            <w:r>
              <w:t>数量指标</w:t>
            </w:r>
          </w:p>
        </w:tc>
        <w:tc>
          <w:tcPr>
            <w:tcW w:w="1402" w:type="dxa"/>
            <w:vAlign w:val="center"/>
          </w:tcPr>
          <w:p>
            <w:pPr>
              <w:pStyle w:val="16"/>
              <w:rPr>
                <w:rFonts w:hint="eastAsia" w:eastAsia="方正书宋_GBK"/>
                <w:lang w:val="en-US" w:eastAsia="zh-CN"/>
              </w:rPr>
            </w:pPr>
            <w:r>
              <w:rPr>
                <w:rFonts w:hint="eastAsia"/>
                <w:lang w:val="en-US" w:eastAsia="zh-CN"/>
              </w:rPr>
              <w:t>委员参会率</w:t>
            </w:r>
          </w:p>
        </w:tc>
        <w:tc>
          <w:tcPr>
            <w:tcW w:w="2654" w:type="dxa"/>
            <w:vAlign w:val="center"/>
          </w:tcPr>
          <w:p>
            <w:pPr>
              <w:pStyle w:val="16"/>
              <w:rPr>
                <w:rFonts w:hint="default" w:eastAsia="方正书宋_GBK"/>
                <w:lang w:val="en-US" w:eastAsia="zh-CN"/>
              </w:rPr>
            </w:pPr>
            <w:r>
              <w:rPr>
                <w:rFonts w:hint="eastAsia"/>
                <w:lang w:val="en-US" w:eastAsia="zh-CN"/>
              </w:rPr>
              <w:t>参会委员占全部委员的比例</w:t>
            </w:r>
          </w:p>
        </w:tc>
        <w:tc>
          <w:tcPr>
            <w:tcW w:w="1327" w:type="dxa"/>
            <w:vAlign w:val="center"/>
          </w:tcPr>
          <w:p>
            <w:pPr>
              <w:pStyle w:val="16"/>
              <w:rPr>
                <w:rFonts w:hint="default" w:eastAsia="方正书宋_GBK"/>
                <w:lang w:val="en-US" w:eastAsia="zh-CN"/>
              </w:rPr>
            </w:pPr>
            <w:r>
              <w:t>≥9</w:t>
            </w:r>
            <w:r>
              <w:rPr>
                <w:rFonts w:hint="eastAsia"/>
                <w:lang w:val="en-US" w:eastAsia="zh-CN"/>
              </w:rPr>
              <w:t>0%</w:t>
            </w:r>
          </w:p>
        </w:tc>
        <w:tc>
          <w:tcPr>
            <w:tcW w:w="1327" w:type="dxa"/>
            <w:vAlign w:val="center"/>
          </w:tcPr>
          <w:p>
            <w:pPr>
              <w:pStyle w:val="16"/>
              <w:rPr>
                <w:rFonts w:hint="default" w:eastAsia="方正书宋_GBK"/>
                <w:lang w:val="en-US" w:eastAsia="zh-CN"/>
              </w:rPr>
            </w:pPr>
            <w:r>
              <w:rPr>
                <w:rFonts w:hint="eastAsia"/>
                <w:lang w:val="en-US" w:eastAsia="zh-CN"/>
              </w:rPr>
              <w:t>2023年年初工作谋划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252" w:type="dxa"/>
            <w:vAlign w:val="center"/>
          </w:tcPr>
          <w:p>
            <w:pPr>
              <w:pStyle w:val="16"/>
            </w:pPr>
            <w:r>
              <w:t>数量指标</w:t>
            </w:r>
          </w:p>
        </w:tc>
        <w:tc>
          <w:tcPr>
            <w:tcW w:w="1402" w:type="dxa"/>
            <w:vAlign w:val="center"/>
          </w:tcPr>
          <w:p>
            <w:pPr>
              <w:pStyle w:val="16"/>
              <w:rPr>
                <w:rFonts w:hint="eastAsia" w:eastAsia="方正书宋_GBK"/>
                <w:lang w:val="en-US" w:eastAsia="zh-CN"/>
              </w:rPr>
            </w:pPr>
            <w:r>
              <w:rPr>
                <w:rFonts w:hint="eastAsia"/>
                <w:lang w:val="en-US" w:eastAsia="zh-CN"/>
              </w:rPr>
              <w:t>召开会议次数</w:t>
            </w:r>
          </w:p>
        </w:tc>
        <w:tc>
          <w:tcPr>
            <w:tcW w:w="2654" w:type="dxa"/>
            <w:vAlign w:val="center"/>
          </w:tcPr>
          <w:p>
            <w:pPr>
              <w:pStyle w:val="16"/>
              <w:rPr>
                <w:rFonts w:hint="default" w:eastAsia="方正书宋_GBK"/>
                <w:lang w:val="en-US" w:eastAsia="zh-CN"/>
              </w:rPr>
            </w:pPr>
            <w:r>
              <w:rPr>
                <w:rFonts w:hint="eastAsia"/>
                <w:lang w:val="en-US" w:eastAsia="zh-CN"/>
              </w:rPr>
              <w:t>协商议政类会议次数</w:t>
            </w:r>
          </w:p>
        </w:tc>
        <w:tc>
          <w:tcPr>
            <w:tcW w:w="1327" w:type="dxa"/>
            <w:vAlign w:val="center"/>
          </w:tcPr>
          <w:p>
            <w:pPr>
              <w:pStyle w:val="16"/>
              <w:rPr>
                <w:rFonts w:hint="default" w:eastAsia="方正书宋_GBK"/>
                <w:lang w:val="en-US" w:eastAsia="zh-CN"/>
              </w:rPr>
            </w:pPr>
            <w:r>
              <w:t>≥</w:t>
            </w:r>
            <w:r>
              <w:rPr>
                <w:rFonts w:hint="eastAsia"/>
                <w:lang w:val="en-US" w:eastAsia="zh-CN"/>
              </w:rPr>
              <w:t>10次</w:t>
            </w:r>
          </w:p>
        </w:tc>
        <w:tc>
          <w:tcPr>
            <w:tcW w:w="1327" w:type="dxa"/>
            <w:vAlign w:val="center"/>
          </w:tcPr>
          <w:p>
            <w:pPr>
              <w:pStyle w:val="16"/>
            </w:pPr>
            <w:r>
              <w:rPr>
                <w:rFonts w:hint="eastAsia"/>
                <w:lang w:val="en-US" w:eastAsia="zh-CN"/>
              </w:rPr>
              <w:t>2023年年初工作谋划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252" w:type="dxa"/>
            <w:vAlign w:val="center"/>
          </w:tcPr>
          <w:p>
            <w:pPr>
              <w:pStyle w:val="16"/>
            </w:pPr>
            <w:r>
              <w:rPr>
                <w:rFonts w:hint="eastAsia"/>
                <w:lang w:val="en-US" w:eastAsia="zh-CN"/>
              </w:rPr>
              <w:t>质量</w:t>
            </w:r>
            <w:r>
              <w:t>指标</w:t>
            </w:r>
          </w:p>
        </w:tc>
        <w:tc>
          <w:tcPr>
            <w:tcW w:w="1402" w:type="dxa"/>
            <w:vAlign w:val="center"/>
          </w:tcPr>
          <w:p>
            <w:pPr>
              <w:pStyle w:val="16"/>
              <w:rPr>
                <w:rFonts w:hint="default" w:eastAsia="方正书宋_GBK"/>
                <w:lang w:val="en-US" w:eastAsia="zh-CN"/>
              </w:rPr>
            </w:pPr>
            <w:r>
              <w:rPr>
                <w:rFonts w:hint="eastAsia"/>
                <w:lang w:val="en-US" w:eastAsia="zh-CN"/>
              </w:rPr>
              <w:t>会议圆满完成率</w:t>
            </w:r>
          </w:p>
        </w:tc>
        <w:tc>
          <w:tcPr>
            <w:tcW w:w="2654" w:type="dxa"/>
            <w:vAlign w:val="center"/>
          </w:tcPr>
          <w:p>
            <w:pPr>
              <w:pStyle w:val="16"/>
              <w:rPr>
                <w:rFonts w:hint="default" w:eastAsia="方正书宋_GBK"/>
                <w:lang w:val="en-US" w:eastAsia="zh-CN"/>
              </w:rPr>
            </w:pPr>
            <w:r>
              <w:rPr>
                <w:rFonts w:hint="eastAsia"/>
                <w:lang w:val="en-US" w:eastAsia="zh-CN"/>
              </w:rPr>
              <w:t>圆满完成会议的次数占总召开次数的比例</w:t>
            </w:r>
          </w:p>
        </w:tc>
        <w:tc>
          <w:tcPr>
            <w:tcW w:w="1327" w:type="dxa"/>
            <w:vAlign w:val="center"/>
          </w:tcPr>
          <w:p>
            <w:pPr>
              <w:rPr>
                <w:rFonts w:hint="default" w:eastAsia="宋体"/>
                <w:lang w:val="en-US" w:eastAsia="zh-CN"/>
              </w:rPr>
            </w:pPr>
            <w:r>
              <w:rPr>
                <w:rFonts w:hint="eastAsia" w:eastAsia="宋体"/>
                <w:lang w:val="en-US" w:eastAsia="zh-CN"/>
              </w:rPr>
              <w:t>100%</w:t>
            </w:r>
          </w:p>
        </w:tc>
        <w:tc>
          <w:tcPr>
            <w:tcW w:w="1327" w:type="dxa"/>
            <w:vAlign w:val="center"/>
          </w:tcPr>
          <w:p>
            <w:r>
              <w:rPr>
                <w:rFonts w:hint="eastAsia"/>
                <w:lang w:val="en-US" w:eastAsia="zh-CN"/>
              </w:rPr>
              <w:t>2023年年初工作谋划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252" w:type="dxa"/>
            <w:vAlign w:val="center"/>
          </w:tcPr>
          <w:p>
            <w:pPr>
              <w:pStyle w:val="16"/>
              <w:ind w:firstLine="0" w:firstLineChars="0"/>
            </w:pPr>
            <w:r>
              <w:rPr>
                <w:rFonts w:hint="eastAsia"/>
                <w:lang w:val="en-US" w:eastAsia="zh-CN"/>
              </w:rPr>
              <w:t>质量</w:t>
            </w:r>
            <w:r>
              <w:t>指标</w:t>
            </w:r>
          </w:p>
        </w:tc>
        <w:tc>
          <w:tcPr>
            <w:tcW w:w="1402" w:type="dxa"/>
            <w:vAlign w:val="center"/>
          </w:tcPr>
          <w:p>
            <w:pPr>
              <w:pStyle w:val="16"/>
              <w:rPr>
                <w:rFonts w:hint="default" w:eastAsia="方正书宋_GBK"/>
                <w:lang w:val="en-US" w:eastAsia="zh-CN"/>
              </w:rPr>
            </w:pPr>
            <w:r>
              <w:rPr>
                <w:rFonts w:hint="eastAsia"/>
                <w:lang w:val="en-US" w:eastAsia="zh-CN"/>
              </w:rPr>
              <w:t>会议筹备完成率</w:t>
            </w:r>
          </w:p>
        </w:tc>
        <w:tc>
          <w:tcPr>
            <w:tcW w:w="2654" w:type="dxa"/>
            <w:vAlign w:val="center"/>
          </w:tcPr>
          <w:p>
            <w:pPr>
              <w:pStyle w:val="16"/>
              <w:rPr>
                <w:rFonts w:hint="default" w:eastAsia="方正书宋_GBK"/>
                <w:lang w:val="en-US" w:eastAsia="zh-CN"/>
              </w:rPr>
            </w:pPr>
            <w:r>
              <w:rPr>
                <w:rFonts w:hint="eastAsia"/>
                <w:lang w:val="en-US" w:eastAsia="zh-CN"/>
              </w:rPr>
              <w:t>会议筹备工作完成率</w:t>
            </w:r>
          </w:p>
        </w:tc>
        <w:tc>
          <w:tcPr>
            <w:tcW w:w="1327" w:type="dxa"/>
            <w:vAlign w:val="center"/>
          </w:tcPr>
          <w:p>
            <w:pPr>
              <w:pStyle w:val="16"/>
              <w:rPr>
                <w:rFonts w:hint="default" w:eastAsia="方正书宋_GBK"/>
                <w:lang w:val="en-US" w:eastAsia="zh-CN"/>
              </w:rPr>
            </w:pPr>
            <w:r>
              <w:rPr>
                <w:rFonts w:hint="eastAsia"/>
                <w:lang w:val="en-US" w:eastAsia="zh-CN"/>
              </w:rPr>
              <w:t>100%</w:t>
            </w:r>
          </w:p>
        </w:tc>
        <w:tc>
          <w:tcPr>
            <w:tcW w:w="1327" w:type="dxa"/>
            <w:vAlign w:val="center"/>
          </w:tcPr>
          <w:p>
            <w:pPr>
              <w:pStyle w:val="16"/>
              <w:rPr>
                <w:rFonts w:hint="eastAsia" w:eastAsia="方正书宋_GBK"/>
                <w:lang w:val="en-US" w:eastAsia="zh-CN"/>
              </w:rPr>
            </w:pPr>
            <w:r>
              <w:rPr>
                <w:rFonts w:hint="eastAsia"/>
                <w:lang w:val="en-US" w:eastAsia="zh-CN"/>
              </w:rPr>
              <w:t>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7"/>
            </w:pPr>
          </w:p>
        </w:tc>
        <w:tc>
          <w:tcPr>
            <w:tcW w:w="1252" w:type="dxa"/>
            <w:vAlign w:val="center"/>
          </w:tcPr>
          <w:p>
            <w:pPr>
              <w:pStyle w:val="16"/>
            </w:pPr>
            <w:r>
              <w:t>时效指标</w:t>
            </w:r>
          </w:p>
        </w:tc>
        <w:tc>
          <w:tcPr>
            <w:tcW w:w="1402" w:type="dxa"/>
            <w:vAlign w:val="center"/>
          </w:tcPr>
          <w:p>
            <w:pPr>
              <w:pStyle w:val="16"/>
              <w:rPr>
                <w:rFonts w:hint="default" w:eastAsia="方正书宋_GBK"/>
                <w:color w:val="auto"/>
                <w:lang w:val="en-US" w:eastAsia="zh-CN"/>
              </w:rPr>
            </w:pPr>
            <w:r>
              <w:rPr>
                <w:rFonts w:hint="eastAsia"/>
                <w:color w:val="auto"/>
                <w:lang w:val="en-US" w:eastAsia="zh-CN"/>
              </w:rPr>
              <w:t>会议按期召开及时率</w:t>
            </w:r>
          </w:p>
        </w:tc>
        <w:tc>
          <w:tcPr>
            <w:tcW w:w="2654" w:type="dxa"/>
            <w:vAlign w:val="center"/>
          </w:tcPr>
          <w:p>
            <w:pPr>
              <w:pStyle w:val="16"/>
              <w:rPr>
                <w:rFonts w:hint="default" w:eastAsia="方正书宋_GBK"/>
                <w:color w:val="auto"/>
                <w:lang w:val="en-US" w:eastAsia="zh-CN"/>
              </w:rPr>
            </w:pPr>
            <w:r>
              <w:rPr>
                <w:rFonts w:hint="eastAsia"/>
                <w:color w:val="auto"/>
                <w:lang w:val="en-US" w:eastAsia="zh-CN"/>
              </w:rPr>
              <w:t>十届三次会议按期召开</w:t>
            </w:r>
          </w:p>
        </w:tc>
        <w:tc>
          <w:tcPr>
            <w:tcW w:w="1327" w:type="dxa"/>
            <w:vAlign w:val="center"/>
          </w:tcPr>
          <w:p>
            <w:pPr>
              <w:pStyle w:val="16"/>
              <w:rPr>
                <w:rFonts w:hint="default" w:eastAsia="方正书宋_GBK"/>
                <w:lang w:val="en-US" w:eastAsia="zh-CN"/>
              </w:rPr>
            </w:pPr>
            <w:r>
              <w:rPr>
                <w:rFonts w:hint="eastAsia"/>
                <w:lang w:val="en-US" w:eastAsia="zh-CN"/>
              </w:rPr>
              <w:t>按会议计划召开</w:t>
            </w:r>
          </w:p>
        </w:tc>
        <w:tc>
          <w:tcPr>
            <w:tcW w:w="1327" w:type="dxa"/>
            <w:vAlign w:val="center"/>
          </w:tcPr>
          <w:p>
            <w:pPr>
              <w:rPr>
                <w:rFonts w:ascii="Times New Roman" w:hAnsi="Times New Roman" w:eastAsia="Times New Roman"/>
                <w:sz w:val="24"/>
                <w:szCs w:val="24"/>
                <w:lang w:val="en-US" w:eastAsia="uk-UA" w:bidi="ar-SA"/>
              </w:rPr>
            </w:pPr>
            <w:r>
              <w:rPr>
                <w:rFonts w:hint="eastAsia"/>
                <w:lang w:val="en-US" w:eastAsia="zh-CN"/>
              </w:rPr>
              <w:t>2023年年初工作谋划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7"/>
            </w:pPr>
          </w:p>
        </w:tc>
        <w:tc>
          <w:tcPr>
            <w:tcW w:w="1252" w:type="dxa"/>
            <w:vAlign w:val="center"/>
          </w:tcPr>
          <w:p>
            <w:pPr>
              <w:pStyle w:val="16"/>
              <w:rPr>
                <w:rFonts w:hint="eastAsia" w:eastAsia="方正书宋_GBK"/>
                <w:lang w:val="en-US" w:eastAsia="zh-CN"/>
              </w:rPr>
            </w:pPr>
            <w:r>
              <w:rPr>
                <w:rFonts w:hint="eastAsia"/>
                <w:lang w:val="en-US" w:eastAsia="zh-CN"/>
              </w:rPr>
              <w:t>成本指标</w:t>
            </w:r>
          </w:p>
        </w:tc>
        <w:tc>
          <w:tcPr>
            <w:tcW w:w="1402" w:type="dxa"/>
            <w:vAlign w:val="center"/>
          </w:tcPr>
          <w:p>
            <w:pPr>
              <w:pStyle w:val="16"/>
              <w:rPr>
                <w:rFonts w:hint="eastAsia" w:eastAsia="方正书宋_GBK"/>
                <w:lang w:val="en-US" w:eastAsia="zh-CN"/>
              </w:rPr>
            </w:pPr>
            <w:r>
              <w:rPr>
                <w:rFonts w:hint="eastAsia"/>
                <w:lang w:val="en-US" w:eastAsia="zh-CN"/>
              </w:rPr>
              <w:t>成本控制数</w:t>
            </w:r>
          </w:p>
        </w:tc>
        <w:tc>
          <w:tcPr>
            <w:tcW w:w="2654" w:type="dxa"/>
            <w:vAlign w:val="center"/>
          </w:tcPr>
          <w:p>
            <w:pPr>
              <w:pStyle w:val="16"/>
              <w:rPr>
                <w:rFonts w:hint="default" w:eastAsia="方正书宋_GBK"/>
                <w:lang w:val="en-US" w:eastAsia="zh-CN"/>
              </w:rPr>
            </w:pPr>
            <w:r>
              <w:rPr>
                <w:rFonts w:hint="eastAsia"/>
                <w:lang w:val="en-US" w:eastAsia="zh-CN"/>
              </w:rPr>
              <w:t>总会以成本控制在预算以内</w:t>
            </w:r>
          </w:p>
        </w:tc>
        <w:tc>
          <w:tcPr>
            <w:tcW w:w="1327" w:type="dxa"/>
            <w:vAlign w:val="center"/>
          </w:tcPr>
          <w:p>
            <w:pPr>
              <w:pStyle w:val="16"/>
              <w:rPr>
                <w:rFonts w:hint="default" w:eastAsia="方正书宋_GBK"/>
                <w:lang w:val="en-US" w:eastAsia="zh-CN"/>
              </w:rPr>
            </w:pPr>
            <w:r>
              <w:rPr>
                <w:rFonts w:hint="default" w:ascii="Arial" w:hAnsi="Arial" w:cs="Arial"/>
              </w:rPr>
              <w:t>≤</w:t>
            </w:r>
            <w:r>
              <w:rPr>
                <w:rFonts w:hint="eastAsia"/>
                <w:lang w:val="en-US" w:eastAsia="zh-CN"/>
              </w:rPr>
              <w:t>20万元</w:t>
            </w:r>
          </w:p>
        </w:tc>
        <w:tc>
          <w:tcPr>
            <w:tcW w:w="1327" w:type="dxa"/>
            <w:vAlign w:val="center"/>
          </w:tcPr>
          <w:p>
            <w:pPr>
              <w:pStyle w:val="16"/>
              <w:rPr>
                <w:rFonts w:hint="eastAsia" w:eastAsia="方正书宋_GBK"/>
                <w:lang w:val="en-US" w:eastAsia="zh-CN"/>
              </w:rPr>
            </w:pPr>
            <w:r>
              <w:rPr>
                <w:rFonts w:hint="eastAsia"/>
                <w:lang w:val="en-US" w:eastAsia="zh-CN"/>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效益指标</w:t>
            </w:r>
          </w:p>
        </w:tc>
        <w:tc>
          <w:tcPr>
            <w:tcW w:w="1252" w:type="dxa"/>
            <w:vAlign w:val="center"/>
          </w:tcPr>
          <w:p>
            <w:pPr>
              <w:pStyle w:val="16"/>
            </w:pPr>
            <w:r>
              <w:t>社会效益指标</w:t>
            </w:r>
          </w:p>
        </w:tc>
        <w:tc>
          <w:tcPr>
            <w:tcW w:w="1402" w:type="dxa"/>
            <w:vAlign w:val="center"/>
          </w:tcPr>
          <w:p>
            <w:pPr>
              <w:pStyle w:val="16"/>
              <w:rPr>
                <w:rFonts w:hint="default" w:eastAsia="方正书宋_GBK"/>
                <w:color w:val="auto"/>
                <w:lang w:val="en-US" w:eastAsia="zh-CN"/>
              </w:rPr>
            </w:pPr>
            <w:r>
              <w:rPr>
                <w:rFonts w:hint="eastAsia"/>
                <w:color w:val="auto"/>
              </w:rPr>
              <w:t>意见建议采纳率</w:t>
            </w:r>
          </w:p>
        </w:tc>
        <w:tc>
          <w:tcPr>
            <w:tcW w:w="2654" w:type="dxa"/>
            <w:vAlign w:val="center"/>
          </w:tcPr>
          <w:p>
            <w:pPr>
              <w:pStyle w:val="16"/>
              <w:rPr>
                <w:rFonts w:hint="default" w:eastAsia="方正书宋_GBK"/>
                <w:color w:val="auto"/>
                <w:lang w:val="en-US" w:eastAsia="zh-CN"/>
              </w:rPr>
            </w:pPr>
            <w:r>
              <w:rPr>
                <w:rFonts w:hint="eastAsia"/>
                <w:color w:val="auto"/>
              </w:rPr>
              <w:t>向区委、政府提出意见建议的采纳情况</w:t>
            </w:r>
          </w:p>
        </w:tc>
        <w:tc>
          <w:tcPr>
            <w:tcW w:w="1327" w:type="dxa"/>
            <w:vAlign w:val="center"/>
          </w:tcPr>
          <w:p>
            <w:pPr>
              <w:pStyle w:val="16"/>
              <w:rPr>
                <w:rFonts w:hint="eastAsia" w:eastAsia="方正书宋_GBK"/>
                <w:lang w:val="en-US" w:eastAsia="zh-CN"/>
              </w:rPr>
            </w:pPr>
            <w:r>
              <w:rPr>
                <w:rFonts w:hint="eastAsia"/>
                <w:lang w:val="en-US" w:eastAsia="zh-CN"/>
              </w:rPr>
              <w:t>有所提高</w:t>
            </w:r>
          </w:p>
        </w:tc>
        <w:tc>
          <w:tcPr>
            <w:tcW w:w="1327" w:type="dxa"/>
            <w:vAlign w:val="center"/>
          </w:tcPr>
          <w:p>
            <w:r>
              <w:rPr>
                <w:rFonts w:hint="eastAsia"/>
                <w:lang w:val="en-US" w:eastAsia="zh-CN"/>
              </w:rPr>
              <w:t>2023年年初工作谋划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252" w:type="dxa"/>
            <w:vAlign w:val="center"/>
          </w:tcPr>
          <w:p>
            <w:pPr>
              <w:pStyle w:val="16"/>
            </w:pPr>
            <w:r>
              <w:t>服务对象满意度指标</w:t>
            </w:r>
          </w:p>
        </w:tc>
        <w:tc>
          <w:tcPr>
            <w:tcW w:w="1402" w:type="dxa"/>
            <w:vAlign w:val="center"/>
          </w:tcPr>
          <w:p>
            <w:pPr>
              <w:pStyle w:val="16"/>
              <w:rPr>
                <w:rFonts w:hint="eastAsia" w:eastAsia="方正书宋_GBK"/>
                <w:lang w:val="en-US" w:eastAsia="zh-CN"/>
              </w:rPr>
            </w:pPr>
            <w:r>
              <w:rPr>
                <w:rFonts w:hint="eastAsia"/>
                <w:lang w:val="en-US" w:eastAsia="zh-CN"/>
              </w:rPr>
              <w:t>参会委员满意度</w:t>
            </w:r>
          </w:p>
        </w:tc>
        <w:tc>
          <w:tcPr>
            <w:tcW w:w="2654" w:type="dxa"/>
            <w:vAlign w:val="center"/>
          </w:tcPr>
          <w:p>
            <w:pPr>
              <w:pStyle w:val="16"/>
              <w:rPr>
                <w:rFonts w:hint="default" w:eastAsia="方正书宋_GBK"/>
                <w:lang w:val="en-US" w:eastAsia="zh-CN"/>
              </w:rPr>
            </w:pPr>
            <w:r>
              <w:t>群</w:t>
            </w:r>
            <w:r>
              <w:rPr>
                <w:rFonts w:hint="eastAsia"/>
                <w:lang w:val="en-US" w:eastAsia="zh-CN"/>
              </w:rPr>
              <w:t>调查人员中满意人员占调查人员的比例</w:t>
            </w:r>
          </w:p>
        </w:tc>
        <w:tc>
          <w:tcPr>
            <w:tcW w:w="1327" w:type="dxa"/>
            <w:vAlign w:val="center"/>
          </w:tcPr>
          <w:p>
            <w:pPr>
              <w:pStyle w:val="16"/>
              <w:rPr>
                <w:rFonts w:hint="default" w:eastAsia="方正书宋_GBK"/>
                <w:lang w:val="en-US" w:eastAsia="zh-CN"/>
              </w:rPr>
            </w:pPr>
            <w:r>
              <w:t>≥9</w:t>
            </w:r>
            <w:r>
              <w:rPr>
                <w:rFonts w:hint="eastAsia"/>
                <w:lang w:val="en-US" w:eastAsia="zh-CN"/>
              </w:rPr>
              <w:t>5%</w:t>
            </w:r>
          </w:p>
        </w:tc>
        <w:tc>
          <w:tcPr>
            <w:tcW w:w="1327" w:type="dxa"/>
            <w:vAlign w:val="center"/>
          </w:tcPr>
          <w:p>
            <w:pPr>
              <w:pStyle w:val="16"/>
              <w:rPr>
                <w:rFonts w:hint="eastAsia" w:eastAsia="方正书宋_GBK"/>
                <w:lang w:val="en-US" w:eastAsia="zh-CN"/>
              </w:rPr>
            </w:pPr>
            <w:r>
              <w:rPr>
                <w:rFonts w:hint="eastAsia"/>
                <w:lang w:val="en-US" w:eastAsia="zh-CN"/>
              </w:rPr>
              <w:t>调查问卷</w:t>
            </w:r>
          </w:p>
        </w:tc>
      </w:tr>
    </w:tbl>
    <w:p/>
    <w:p>
      <w:pPr>
        <w:numPr>
          <w:ilvl w:val="0"/>
          <w:numId w:val="0"/>
        </w:numPr>
        <w:spacing w:before="10" w:after="10"/>
        <w:outlineLvl w:val="5"/>
        <w:rPr>
          <w:rFonts w:hint="eastAsia" w:ascii="黑体" w:hAnsi="黑体" w:eastAsia="黑体" w:cs="黑体"/>
          <w:color w:val="000000"/>
          <w:sz w:val="32"/>
        </w:rPr>
        <w:sectPr>
          <w:pgSz w:w="16840" w:h="11900" w:orient="landscape"/>
          <w:pgMar w:top="1361" w:right="1020" w:bottom="1361" w:left="1020" w:header="720" w:footer="720" w:gutter="0"/>
          <w:cols w:space="720" w:num="1"/>
        </w:sectPr>
      </w:pPr>
    </w:p>
    <w:p>
      <w:pPr>
        <w:spacing w:before="10" w:after="10"/>
        <w:ind w:firstLine="640"/>
        <w:outlineLvl w:val="5"/>
        <w:rPr>
          <w:rFonts w:hint="eastAsia" w:ascii="黑体" w:hAnsi="黑体" w:eastAsia="黑体" w:cs="黑体"/>
          <w:color w:val="000000"/>
          <w:sz w:val="32"/>
        </w:rPr>
      </w:pPr>
      <w:bookmarkStart w:id="44" w:name="_Toc22597_WPSOffice_Level1"/>
    </w:p>
    <w:p>
      <w:pPr>
        <w:spacing w:before="10" w:after="10"/>
        <w:ind w:firstLine="640"/>
        <w:outlineLvl w:val="5"/>
      </w:pPr>
      <w:r>
        <w:rPr>
          <w:rFonts w:hint="eastAsia" w:ascii="黑体" w:hAnsi="黑体" w:eastAsia="黑体" w:cs="黑体"/>
          <w:color w:val="000000"/>
          <w:sz w:val="32"/>
        </w:rPr>
        <w:t>六、政府采购预算情况</w:t>
      </w:r>
      <w:bookmarkEnd w:id="44"/>
    </w:p>
    <w:p>
      <w:pPr>
        <w:spacing w:line="500" w:lineRule="exact"/>
        <w:ind w:firstLine="560"/>
      </w:pPr>
      <w:r>
        <w:rPr>
          <w:rFonts w:eastAsia="方正仿宋_GBK"/>
          <w:color w:val="000000"/>
          <w:sz w:val="28"/>
        </w:rPr>
        <w:t>2023</w:t>
      </w:r>
      <w:r>
        <w:rPr>
          <w:rFonts w:hint="eastAsia" w:eastAsia="方正仿宋_GBK"/>
          <w:color w:val="000000"/>
          <w:sz w:val="28"/>
        </w:rPr>
        <w:t>年，政协单位中国人民政治协商会议河北省秦皇岛市山海关区委员会本级安排政府采购预算</w:t>
      </w:r>
      <w:r>
        <w:rPr>
          <w:rFonts w:eastAsia="方正仿宋_GBK"/>
          <w:color w:val="000000"/>
          <w:sz w:val="28"/>
        </w:rPr>
        <w:t>0.00</w:t>
      </w:r>
      <w:r>
        <w:rPr>
          <w:rFonts w:hint="eastAsia" w:eastAsia="方正仿宋_GBK"/>
          <w:color w:val="000000"/>
          <w:sz w:val="28"/>
        </w:rPr>
        <w:t>万元。具体内容见下表。</w:t>
      </w:r>
    </w:p>
    <w:p>
      <w:pPr>
        <w:jc w:val="center"/>
      </w:pPr>
      <w:bookmarkStart w:id="45" w:name="_Toc19832_WPSOffice_Level1"/>
      <w:bookmarkStart w:id="46" w:name="_Toc26713_WPSOffice_Level1"/>
      <w:bookmarkStart w:id="47" w:name="_Toc23808_WPSOffice_Level1"/>
      <w:r>
        <w:rPr>
          <w:rFonts w:hint="eastAsia" w:ascii="方正小标宋_GBK" w:hAnsi="方正小标宋_GBK" w:eastAsia="方正小标宋_GBK" w:cs="方正小标宋_GBK"/>
          <w:color w:val="000000"/>
          <w:sz w:val="36"/>
        </w:rPr>
        <w:t>单位政府采购预算</w:t>
      </w:r>
      <w:bookmarkEnd w:id="45"/>
      <w:bookmarkEnd w:id="46"/>
      <w:bookmarkEnd w:id="4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131001</w:t>
            </w:r>
            <w:r>
              <w:rPr>
                <w:rFonts w:hint="eastAsia"/>
              </w:rPr>
              <w:t>政协单位中国人民政治协商会议河北省秦皇岛市山海关区委员会本级</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政府采购金额（当年单位预算安排资金）</w:t>
            </w:r>
          </w:p>
        </w:tc>
        <w:tc>
          <w:tcPr>
            <w:tcW w:w="964" w:type="dxa"/>
            <w:vMerge w:val="restart"/>
            <w:vAlign w:val="center"/>
          </w:tcPr>
          <w:p>
            <w:pPr>
              <w:pStyle w:val="14"/>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bookmarkStart w:id="48" w:name="_Toc13480_WPSOffice_Level1"/>
      <w:r>
        <w:rPr>
          <w:rFonts w:hint="eastAsia" w:ascii="黑体" w:hAnsi="黑体" w:eastAsia="黑体" w:cs="黑体"/>
          <w:color w:val="000000"/>
          <w:sz w:val="32"/>
        </w:rPr>
        <w:t>七、国有资产信息</w:t>
      </w:r>
      <w:bookmarkEnd w:id="48"/>
    </w:p>
    <w:p>
      <w:pPr>
        <w:spacing w:line="500" w:lineRule="exact"/>
        <w:ind w:firstLine="560"/>
      </w:pPr>
      <w:r>
        <w:rPr>
          <w:rFonts w:hint="eastAsia" w:eastAsia="方正仿宋_GBK"/>
          <w:color w:val="000000"/>
          <w:sz w:val="28"/>
        </w:rPr>
        <w:t>政协单位中国人民政治协商会议河北省秦皇岛市山海关区委员会本级上年末固定资产金额为</w:t>
      </w:r>
      <w:r>
        <w:rPr>
          <w:rFonts w:eastAsia="方正仿宋_GBK"/>
          <w:color w:val="000000"/>
          <w:sz w:val="28"/>
        </w:rPr>
        <w:t>90.06</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bookmarkStart w:id="49" w:name="_Toc6511_WPSOffice_Level1"/>
      <w:bookmarkStart w:id="50" w:name="_Toc15301_WPSOffice_Level1"/>
      <w:bookmarkStart w:id="51" w:name="_Toc30510_WPSOffice_Level1"/>
      <w:r>
        <w:rPr>
          <w:rFonts w:hint="eastAsia" w:ascii="方正小标宋_GBK" w:hAnsi="方正小标宋_GBK" w:eastAsia="方正小标宋_GBK" w:cs="方正小标宋_GBK"/>
          <w:color w:val="000000"/>
          <w:sz w:val="36"/>
        </w:rPr>
        <w:t>单位固定资产占用情况表</w:t>
      </w:r>
      <w:bookmarkEnd w:id="49"/>
      <w:bookmarkEnd w:id="50"/>
      <w:bookmarkEnd w:id="5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131001</w:t>
            </w:r>
            <w:r>
              <w:rPr>
                <w:rFonts w:hint="eastAsia"/>
              </w:rPr>
              <w:t>政协单位中国人民政治协商会议河北省秦皇岛市山海关区委员会本级</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pPr>
            <w:r>
              <w:t>90.06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w:t>
            </w:r>
            <w:r>
              <w:rPr>
                <w:rFonts w:hint="eastAsia"/>
              </w:rPr>
              <w:t>、房屋（平方米）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pPr>
            <w:r>
              <w:t>2</w:t>
            </w:r>
          </w:p>
        </w:tc>
        <w:tc>
          <w:tcPr>
            <w:tcW w:w="2835" w:type="dxa"/>
            <w:vAlign w:val="center"/>
          </w:tcPr>
          <w:p>
            <w:pPr>
              <w:pStyle w:val="15"/>
            </w:pPr>
            <w:r>
              <w:t>54.56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pPr>
            <w:r>
              <w:t>83</w:t>
            </w:r>
          </w:p>
        </w:tc>
        <w:tc>
          <w:tcPr>
            <w:tcW w:w="2835" w:type="dxa"/>
            <w:vAlign w:val="center"/>
          </w:tcPr>
          <w:p>
            <w:pPr>
              <w:pStyle w:val="15"/>
            </w:pPr>
            <w:r>
              <w:t>35.50</w:t>
            </w:r>
          </w:p>
        </w:tc>
      </w:tr>
    </w:tbl>
    <w:p>
      <w:pPr>
        <w:ind w:firstLine="640"/>
      </w:pPr>
      <w:r>
        <w:rPr>
          <w:rFonts w:eastAsia="方正仿宋_GBK"/>
          <w:color w:val="000000"/>
          <w:sz w:val="32"/>
        </w:rPr>
        <w:t xml:space="preserve"> </w:t>
      </w:r>
    </w:p>
    <w:p>
      <w:pPr>
        <w:spacing w:before="10" w:after="10"/>
        <w:ind w:firstLine="640"/>
        <w:outlineLvl w:val="5"/>
      </w:pPr>
      <w:bookmarkStart w:id="52" w:name="_Toc32065_WPSOffice_Level1"/>
      <w:r>
        <w:rPr>
          <w:rFonts w:hint="eastAsia" w:ascii="黑体" w:hAnsi="黑体" w:eastAsia="黑体" w:cs="黑体"/>
          <w:color w:val="000000"/>
          <w:sz w:val="32"/>
        </w:rPr>
        <w:t>八、名词解释</w:t>
      </w:r>
      <w:bookmarkEnd w:id="52"/>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bookmarkStart w:id="53" w:name="_Toc9094_WPSOffice_Level1"/>
      <w:r>
        <w:rPr>
          <w:rFonts w:hint="eastAsia" w:ascii="黑体" w:hAnsi="黑体" w:eastAsia="黑体" w:cs="黑体"/>
          <w:color w:val="000000"/>
          <w:sz w:val="32"/>
        </w:rPr>
        <w:t>九、其他需要说明的事项</w:t>
      </w:r>
      <w:bookmarkEnd w:id="53"/>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81489"/>
    <w:multiLevelType w:val="singleLevel"/>
    <w:tmpl w:val="84C81489"/>
    <w:lvl w:ilvl="0" w:tentative="0">
      <w:start w:val="1"/>
      <w:numFmt w:val="decimal"/>
      <w:lvlText w:val="%1."/>
      <w:lvlJc w:val="left"/>
      <w:pPr>
        <w:tabs>
          <w:tab w:val="left" w:pos="312"/>
        </w:tabs>
      </w:pPr>
    </w:lvl>
  </w:abstractNum>
  <w:abstractNum w:abstractNumId="1">
    <w:nsid w:val="E0852C77"/>
    <w:multiLevelType w:val="singleLevel"/>
    <w:tmpl w:val="E0852C77"/>
    <w:lvl w:ilvl="0" w:tentative="0">
      <w:start w:val="2"/>
      <w:numFmt w:val="chineseCounting"/>
      <w:suff w:val="space"/>
      <w:lvlText w:val="第%1部分"/>
      <w:lvlJc w:val="left"/>
      <w:rPr>
        <w:rFonts w:hint="eastAsia"/>
      </w:rPr>
    </w:lvl>
  </w:abstractNum>
  <w:abstractNum w:abstractNumId="2">
    <w:nsid w:val="18329D83"/>
    <w:multiLevelType w:val="singleLevel"/>
    <w:tmpl w:val="18329D83"/>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FF"/>
    <w:rsid w:val="00094925"/>
    <w:rsid w:val="001521A0"/>
    <w:rsid w:val="001C0349"/>
    <w:rsid w:val="001F325B"/>
    <w:rsid w:val="00261357"/>
    <w:rsid w:val="003F59B2"/>
    <w:rsid w:val="00447CDE"/>
    <w:rsid w:val="0066407F"/>
    <w:rsid w:val="00710E75"/>
    <w:rsid w:val="007A6E06"/>
    <w:rsid w:val="00841B65"/>
    <w:rsid w:val="00A04EE0"/>
    <w:rsid w:val="00A859FF"/>
    <w:rsid w:val="00F27801"/>
    <w:rsid w:val="00F90E07"/>
    <w:rsid w:val="050A7249"/>
    <w:rsid w:val="09575E88"/>
    <w:rsid w:val="28D660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uiPriority w:val="99"/>
    <w:pPr>
      <w:ind w:left="240"/>
    </w:p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Header Char"/>
    <w:basedOn w:val="10"/>
    <w:link w:val="4"/>
    <w:semiHidden/>
    <w:qFormat/>
    <w:locked/>
    <w:uiPriority w:val="99"/>
    <w:rPr>
      <w:rFonts w:cs="Times New Roman"/>
      <w:kern w:val="0"/>
      <w:sz w:val="18"/>
      <w:szCs w:val="18"/>
      <w:lang w:eastAsia="uk-UA"/>
    </w:rPr>
  </w:style>
  <w:style w:type="character" w:customStyle="1" w:styleId="34">
    <w:name w:val="Footer Char"/>
    <w:basedOn w:val="10"/>
    <w:link w:val="3"/>
    <w:semiHidden/>
    <w:qFormat/>
    <w:locked/>
    <w:uiPriority w:val="99"/>
    <w:rPr>
      <w:rFonts w:cs="Times New Roman"/>
      <w:kern w:val="0"/>
      <w:sz w:val="18"/>
      <w:szCs w:val="18"/>
      <w:lang w:eastAsia="uk-UA"/>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27</Pages>
  <Words>1814</Words>
  <Characters>10345</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2023-01-31T09:05:00Z</dcterms:created>
  <dc:creator>Administrator</dc:creator>
  <cp:lastModifiedBy>ZHX</cp:lastModifiedBy>
  <dcterms:modified xsi:type="dcterms:W3CDTF">2023-12-27T09:39:43Z</dcterms:modified>
  <dc:title>2023年部门预算信息公开目录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