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rPr>
      </w:pPr>
      <w:r>
        <w:rPr>
          <w:rFonts w:ascii="黑体" w:hAnsi="黑体" w:eastAsia="黑体" w:cs="黑体"/>
          <w:b/>
          <w:color w:val="000000"/>
          <w:sz w:val="44"/>
        </w:rPr>
        <w:t>2023</w:t>
      </w:r>
      <w:r>
        <w:rPr>
          <w:rFonts w:hint="eastAsia" w:ascii="黑体" w:hAnsi="黑体" w:eastAsia="黑体" w:cs="黑体"/>
          <w:b/>
          <w:color w:val="000000"/>
          <w:sz w:val="44"/>
        </w:rPr>
        <w:t>年</w:t>
      </w:r>
      <w:r>
        <w:rPr>
          <w:rFonts w:hint="eastAsia" w:ascii="黑体" w:hAnsi="黑体" w:eastAsia="黑体" w:cs="黑体"/>
          <w:b/>
          <w:color w:val="000000"/>
          <w:sz w:val="44"/>
          <w:lang w:eastAsia="zh-CN"/>
        </w:rPr>
        <w:t>单位</w:t>
      </w:r>
      <w:r>
        <w:rPr>
          <w:rFonts w:hint="eastAsia" w:ascii="黑体" w:hAnsi="黑体" w:eastAsia="黑体" w:cs="黑体"/>
          <w:b/>
          <w:color w:val="000000"/>
          <w:sz w:val="44"/>
        </w:rPr>
        <w:t>预算信息公开目录</w:t>
      </w:r>
    </w:p>
    <w:p>
      <w:pPr>
        <w:jc w:val="center"/>
        <w:rPr>
          <w:rFonts w:eastAsia="Times New Roman"/>
        </w:rPr>
      </w:pPr>
      <w:r>
        <w:rPr>
          <w:rFonts w:ascii="黑体" w:hAnsi="黑体" w:eastAsia="黑体" w:cs="黑体"/>
          <w:b/>
          <w:color w:val="000000"/>
          <w:sz w:val="30"/>
        </w:rPr>
        <w:t xml:space="preserve"> </w:t>
      </w:r>
    </w:p>
    <w:p>
      <w:pPr>
        <w:rPr>
          <w:rFonts w:hint="eastAsia" w:ascii="方正楷体_GBK" w:hAnsi="方正楷体_GBK" w:eastAsia="方正楷体_GBK" w:cs="方正楷体_GBK"/>
          <w:b/>
          <w:color w:val="000000"/>
          <w:sz w:val="28"/>
        </w:rPr>
      </w:pPr>
      <w:r>
        <w:rPr>
          <w:rFonts w:hint="eastAsia" w:ascii="方正楷体_GBK" w:hAnsi="方正楷体_GBK" w:eastAsia="方正楷体_GBK" w:cs="方正楷体_GBK"/>
          <w:b/>
          <w:color w:val="000000"/>
          <w:sz w:val="28"/>
          <w:lang w:eastAsia="zh-CN"/>
        </w:rPr>
        <w:t>单位</w:t>
      </w:r>
      <w:r>
        <w:rPr>
          <w:rFonts w:hint="eastAsia" w:ascii="方正楷体_GBK" w:hAnsi="方正楷体_GBK" w:eastAsia="方正楷体_GBK" w:cs="方正楷体_GBK"/>
          <w:b/>
          <w:color w:val="000000"/>
          <w:sz w:val="28"/>
        </w:rPr>
        <w:t>预算公开表</w:t>
      </w:r>
    </w:p>
    <w:p>
      <w:pPr>
        <w:pStyle w:val="35"/>
        <w:tabs>
          <w:tab w:val="right" w:leader="dot" w:pos="14800"/>
        </w:tabs>
        <w:ind w:firstLine="600" w:firstLineChars="200"/>
        <w:rPr>
          <w:rFonts w:ascii="Times New Roman" w:hAnsi="Times New Roman" w:eastAsia="宋体" w:cs="Times New Roman"/>
          <w:sz w:val="30"/>
          <w:szCs w:val="30"/>
        </w:rPr>
      </w:pPr>
      <w:bookmarkStart w:id="0" w:name="_Toc25338_WPSOffice_Type1"/>
      <w:r>
        <w:rPr>
          <w:rFonts w:ascii="Times New Roman" w:hAnsi="Times New Roman" w:eastAsia="宋体" w:cs="Times New Roman"/>
          <w:sz w:val="30"/>
          <w:szCs w:val="30"/>
        </w:rPr>
        <w:fldChar w:fldCharType="begin"/>
      </w:r>
      <w:r>
        <w:rPr>
          <w:rFonts w:ascii="Times New Roman" w:hAnsi="Times New Roman" w:eastAsia="宋体" w:cs="Times New Roman"/>
          <w:sz w:val="30"/>
          <w:szCs w:val="30"/>
        </w:rPr>
        <w:instrText xml:space="preserve"> HYPERLINK \l _Toc10143_WPSOffice_Level1 </w:instrText>
      </w:r>
      <w:r>
        <w:rPr>
          <w:rFonts w:ascii="Times New Roman" w:hAnsi="Times New Roman" w:eastAsia="宋体" w:cs="Times New Roman"/>
          <w:sz w:val="30"/>
          <w:szCs w:val="30"/>
        </w:rPr>
        <w:fldChar w:fldCharType="separate"/>
      </w:r>
      <w:r>
        <w:rPr>
          <w:rFonts w:hint="eastAsia" w:ascii="Times New Roman" w:hAnsi="Times New Roman" w:eastAsia="宋体" w:cs="Times New Roman"/>
          <w:sz w:val="30"/>
          <w:szCs w:val="30"/>
        </w:rPr>
        <w:t>单位预算收支总表</w:t>
      </w:r>
      <w:r>
        <w:rPr>
          <w:rFonts w:ascii="Times New Roman" w:hAnsi="Times New Roman" w:eastAsia="宋体" w:cs="Times New Roman"/>
          <w:sz w:val="30"/>
          <w:szCs w:val="30"/>
        </w:rPr>
        <w:tab/>
      </w:r>
      <w:bookmarkStart w:id="1" w:name="_Toc10143_WPSOffice_Level1Page"/>
      <w:r>
        <w:rPr>
          <w:rFonts w:ascii="Times New Roman" w:hAnsi="Times New Roman" w:eastAsia="宋体" w:cs="Times New Roman"/>
          <w:sz w:val="30"/>
          <w:szCs w:val="30"/>
        </w:rPr>
        <w:t>2</w:t>
      </w:r>
      <w:bookmarkEnd w:id="1"/>
      <w:r>
        <w:rPr>
          <w:rFonts w:ascii="Times New Roman" w:hAnsi="Times New Roman" w:eastAsia="宋体" w:cs="Times New Roman"/>
          <w:sz w:val="30"/>
          <w:szCs w:val="30"/>
        </w:rPr>
        <w:fldChar w:fldCharType="end"/>
      </w:r>
    </w:p>
    <w:p>
      <w:pPr>
        <w:pStyle w:val="35"/>
        <w:tabs>
          <w:tab w:val="right" w:leader="dot" w:pos="14800"/>
        </w:tabs>
        <w:ind w:firstLine="600" w:firstLineChars="200"/>
        <w:rPr>
          <w:rFonts w:ascii="Times New Roman" w:hAnsi="Times New Roman" w:eastAsia="宋体" w:cs="Times New Roman"/>
          <w:sz w:val="30"/>
          <w:szCs w:val="30"/>
        </w:rPr>
      </w:pPr>
      <w:r>
        <w:rPr>
          <w:rFonts w:ascii="Times New Roman" w:hAnsi="Times New Roman" w:eastAsia="宋体" w:cs="Times New Roman"/>
          <w:sz w:val="30"/>
          <w:szCs w:val="30"/>
        </w:rPr>
        <w:fldChar w:fldCharType="begin"/>
      </w:r>
      <w:r>
        <w:rPr>
          <w:rFonts w:ascii="Times New Roman" w:hAnsi="Times New Roman" w:eastAsia="宋体" w:cs="Times New Roman"/>
          <w:sz w:val="30"/>
          <w:szCs w:val="30"/>
        </w:rPr>
        <w:instrText xml:space="preserve"> HYPERLINK \l _Toc13782_WPSOffice_Level1 </w:instrText>
      </w:r>
      <w:r>
        <w:rPr>
          <w:rFonts w:ascii="Times New Roman" w:hAnsi="Times New Roman" w:eastAsia="宋体" w:cs="Times New Roman"/>
          <w:sz w:val="30"/>
          <w:szCs w:val="30"/>
        </w:rPr>
        <w:fldChar w:fldCharType="separate"/>
      </w:r>
      <w:r>
        <w:rPr>
          <w:rFonts w:hint="eastAsia" w:ascii="Times New Roman" w:hAnsi="Times New Roman" w:eastAsia="宋体" w:cs="Times New Roman"/>
          <w:sz w:val="30"/>
          <w:szCs w:val="30"/>
        </w:rPr>
        <w:t>单位预算收入总表</w:t>
      </w:r>
      <w:r>
        <w:rPr>
          <w:rFonts w:ascii="Times New Roman" w:hAnsi="Times New Roman" w:eastAsia="宋体" w:cs="Times New Roman"/>
          <w:sz w:val="30"/>
          <w:szCs w:val="30"/>
        </w:rPr>
        <w:tab/>
      </w:r>
      <w:bookmarkStart w:id="2" w:name="_Toc13782_WPSOffice_Level1Page"/>
      <w:r>
        <w:rPr>
          <w:rFonts w:ascii="Times New Roman" w:hAnsi="Times New Roman" w:eastAsia="宋体" w:cs="Times New Roman"/>
          <w:sz w:val="30"/>
          <w:szCs w:val="30"/>
        </w:rPr>
        <w:t>4</w:t>
      </w:r>
      <w:bookmarkEnd w:id="2"/>
      <w:r>
        <w:rPr>
          <w:rFonts w:ascii="Times New Roman" w:hAnsi="Times New Roman" w:eastAsia="宋体" w:cs="Times New Roman"/>
          <w:sz w:val="30"/>
          <w:szCs w:val="30"/>
        </w:rPr>
        <w:fldChar w:fldCharType="end"/>
      </w:r>
    </w:p>
    <w:p>
      <w:pPr>
        <w:pStyle w:val="35"/>
        <w:tabs>
          <w:tab w:val="right" w:leader="dot" w:pos="14800"/>
        </w:tabs>
        <w:ind w:firstLine="600" w:firstLineChars="200"/>
        <w:rPr>
          <w:rFonts w:ascii="Times New Roman" w:hAnsi="Times New Roman" w:eastAsia="宋体" w:cs="Times New Roman"/>
          <w:sz w:val="30"/>
          <w:szCs w:val="30"/>
        </w:rPr>
      </w:pPr>
      <w:r>
        <w:rPr>
          <w:rFonts w:ascii="Times New Roman" w:hAnsi="Times New Roman" w:eastAsia="宋体" w:cs="Times New Roman"/>
          <w:sz w:val="30"/>
          <w:szCs w:val="30"/>
        </w:rPr>
        <w:fldChar w:fldCharType="begin"/>
      </w:r>
      <w:r>
        <w:rPr>
          <w:rFonts w:ascii="Times New Roman" w:hAnsi="Times New Roman" w:eastAsia="宋体" w:cs="Times New Roman"/>
          <w:sz w:val="30"/>
          <w:szCs w:val="30"/>
        </w:rPr>
        <w:instrText xml:space="preserve"> HYPERLINK \l _Toc7467_WPSOffice_Level1 </w:instrText>
      </w:r>
      <w:r>
        <w:rPr>
          <w:rFonts w:ascii="Times New Roman" w:hAnsi="Times New Roman" w:eastAsia="宋体" w:cs="Times New Roman"/>
          <w:sz w:val="30"/>
          <w:szCs w:val="30"/>
        </w:rPr>
        <w:fldChar w:fldCharType="separate"/>
      </w:r>
      <w:r>
        <w:rPr>
          <w:rFonts w:hint="eastAsia" w:ascii="Times New Roman" w:hAnsi="Times New Roman" w:eastAsia="宋体" w:cs="Times New Roman"/>
          <w:sz w:val="30"/>
          <w:szCs w:val="30"/>
        </w:rPr>
        <w:t>单位预算支出总表</w:t>
      </w:r>
      <w:r>
        <w:rPr>
          <w:rFonts w:ascii="Times New Roman" w:hAnsi="Times New Roman" w:eastAsia="宋体" w:cs="Times New Roman"/>
          <w:sz w:val="30"/>
          <w:szCs w:val="30"/>
        </w:rPr>
        <w:tab/>
      </w:r>
      <w:bookmarkStart w:id="3" w:name="_Toc7467_WPSOffice_Level1Page"/>
      <w:r>
        <w:rPr>
          <w:rFonts w:ascii="Times New Roman" w:hAnsi="Times New Roman" w:eastAsia="宋体" w:cs="Times New Roman"/>
          <w:sz w:val="30"/>
          <w:szCs w:val="30"/>
        </w:rPr>
        <w:t>6</w:t>
      </w:r>
      <w:bookmarkEnd w:id="3"/>
      <w:r>
        <w:rPr>
          <w:rFonts w:ascii="Times New Roman" w:hAnsi="Times New Roman" w:eastAsia="宋体" w:cs="Times New Roman"/>
          <w:sz w:val="30"/>
          <w:szCs w:val="30"/>
        </w:rPr>
        <w:fldChar w:fldCharType="end"/>
      </w:r>
    </w:p>
    <w:p>
      <w:pPr>
        <w:pStyle w:val="35"/>
        <w:tabs>
          <w:tab w:val="right" w:leader="dot" w:pos="14800"/>
        </w:tabs>
        <w:ind w:firstLine="600" w:firstLineChars="200"/>
        <w:rPr>
          <w:rFonts w:ascii="Times New Roman" w:hAnsi="Times New Roman" w:eastAsia="宋体" w:cs="Times New Roman"/>
          <w:sz w:val="30"/>
          <w:szCs w:val="30"/>
        </w:rPr>
      </w:pPr>
      <w:r>
        <w:rPr>
          <w:rFonts w:ascii="Times New Roman" w:hAnsi="Times New Roman" w:eastAsia="宋体" w:cs="Times New Roman"/>
          <w:sz w:val="30"/>
          <w:szCs w:val="30"/>
        </w:rPr>
        <w:fldChar w:fldCharType="begin"/>
      </w:r>
      <w:r>
        <w:rPr>
          <w:rFonts w:ascii="Times New Roman" w:hAnsi="Times New Roman" w:eastAsia="宋体" w:cs="Times New Roman"/>
          <w:sz w:val="30"/>
          <w:szCs w:val="30"/>
        </w:rPr>
        <w:instrText xml:space="preserve"> HYPERLINK \l _Toc1131_WPSOffice_Level1 </w:instrText>
      </w:r>
      <w:r>
        <w:rPr>
          <w:rFonts w:ascii="Times New Roman" w:hAnsi="Times New Roman" w:eastAsia="宋体" w:cs="Times New Roman"/>
          <w:sz w:val="30"/>
          <w:szCs w:val="30"/>
        </w:rPr>
        <w:fldChar w:fldCharType="separate"/>
      </w:r>
      <w:r>
        <w:rPr>
          <w:rFonts w:hint="eastAsia" w:ascii="Times New Roman" w:hAnsi="Times New Roman" w:eastAsia="宋体" w:cs="Times New Roman"/>
          <w:sz w:val="30"/>
          <w:szCs w:val="30"/>
        </w:rPr>
        <w:t>单位预算财政拨款收支总表</w:t>
      </w:r>
      <w:r>
        <w:rPr>
          <w:rFonts w:ascii="Times New Roman" w:hAnsi="Times New Roman" w:eastAsia="宋体" w:cs="Times New Roman"/>
          <w:sz w:val="30"/>
          <w:szCs w:val="30"/>
        </w:rPr>
        <w:tab/>
      </w:r>
      <w:bookmarkStart w:id="4" w:name="_Toc1131_WPSOffice_Level1Page"/>
      <w:r>
        <w:rPr>
          <w:rFonts w:ascii="Times New Roman" w:hAnsi="Times New Roman" w:eastAsia="宋体" w:cs="Times New Roman"/>
          <w:sz w:val="30"/>
          <w:szCs w:val="30"/>
        </w:rPr>
        <w:t>8</w:t>
      </w:r>
      <w:bookmarkEnd w:id="4"/>
      <w:r>
        <w:rPr>
          <w:rFonts w:ascii="Times New Roman" w:hAnsi="Times New Roman" w:eastAsia="宋体" w:cs="Times New Roman"/>
          <w:sz w:val="30"/>
          <w:szCs w:val="30"/>
        </w:rPr>
        <w:fldChar w:fldCharType="end"/>
      </w:r>
    </w:p>
    <w:p>
      <w:pPr>
        <w:pStyle w:val="35"/>
        <w:tabs>
          <w:tab w:val="right" w:leader="dot" w:pos="14800"/>
        </w:tabs>
        <w:ind w:firstLine="600" w:firstLineChars="200"/>
        <w:rPr>
          <w:rFonts w:ascii="Times New Roman" w:hAnsi="Times New Roman" w:eastAsia="宋体" w:cs="Times New Roman"/>
          <w:sz w:val="30"/>
          <w:szCs w:val="30"/>
        </w:rPr>
      </w:pPr>
      <w:r>
        <w:rPr>
          <w:rFonts w:ascii="Times New Roman" w:hAnsi="Times New Roman" w:eastAsia="宋体" w:cs="Times New Roman"/>
          <w:sz w:val="30"/>
          <w:szCs w:val="30"/>
        </w:rPr>
        <w:fldChar w:fldCharType="begin"/>
      </w:r>
      <w:r>
        <w:rPr>
          <w:rFonts w:ascii="Times New Roman" w:hAnsi="Times New Roman" w:eastAsia="宋体" w:cs="Times New Roman"/>
          <w:sz w:val="30"/>
          <w:szCs w:val="30"/>
        </w:rPr>
        <w:instrText xml:space="preserve"> HYPERLINK \l _Toc15712_WPSOffice_Level1 </w:instrText>
      </w:r>
      <w:r>
        <w:rPr>
          <w:rFonts w:ascii="Times New Roman" w:hAnsi="Times New Roman" w:eastAsia="宋体" w:cs="Times New Roman"/>
          <w:sz w:val="30"/>
          <w:szCs w:val="30"/>
        </w:rPr>
        <w:fldChar w:fldCharType="separate"/>
      </w:r>
      <w:r>
        <w:rPr>
          <w:rFonts w:hint="eastAsia" w:ascii="Times New Roman" w:hAnsi="Times New Roman" w:eastAsia="宋体" w:cs="Times New Roman"/>
          <w:sz w:val="30"/>
          <w:szCs w:val="30"/>
        </w:rPr>
        <w:t>单位预算一般公共预算财政拨款支出表</w:t>
      </w:r>
      <w:r>
        <w:rPr>
          <w:rFonts w:ascii="Times New Roman" w:hAnsi="Times New Roman" w:eastAsia="宋体" w:cs="Times New Roman"/>
          <w:sz w:val="30"/>
          <w:szCs w:val="30"/>
        </w:rPr>
        <w:tab/>
      </w:r>
      <w:bookmarkStart w:id="5" w:name="_Toc15712_WPSOffice_Level1Page"/>
      <w:r>
        <w:rPr>
          <w:rFonts w:ascii="Times New Roman" w:hAnsi="Times New Roman" w:eastAsia="宋体" w:cs="Times New Roman"/>
          <w:sz w:val="30"/>
          <w:szCs w:val="30"/>
        </w:rPr>
        <w:t>11</w:t>
      </w:r>
      <w:bookmarkEnd w:id="5"/>
      <w:r>
        <w:rPr>
          <w:rFonts w:ascii="Times New Roman" w:hAnsi="Times New Roman" w:eastAsia="宋体" w:cs="Times New Roman"/>
          <w:sz w:val="30"/>
          <w:szCs w:val="30"/>
        </w:rPr>
        <w:fldChar w:fldCharType="end"/>
      </w:r>
    </w:p>
    <w:p>
      <w:pPr>
        <w:pStyle w:val="35"/>
        <w:tabs>
          <w:tab w:val="right" w:leader="dot" w:pos="14800"/>
        </w:tabs>
        <w:ind w:firstLine="600" w:firstLineChars="200"/>
        <w:rPr>
          <w:rFonts w:ascii="Times New Roman" w:hAnsi="Times New Roman" w:eastAsia="宋体" w:cs="Times New Roman"/>
          <w:sz w:val="30"/>
          <w:szCs w:val="30"/>
        </w:rPr>
      </w:pPr>
      <w:r>
        <w:rPr>
          <w:rFonts w:ascii="Times New Roman" w:hAnsi="Times New Roman" w:eastAsia="宋体" w:cs="Times New Roman"/>
          <w:sz w:val="30"/>
          <w:szCs w:val="30"/>
        </w:rPr>
        <w:fldChar w:fldCharType="begin"/>
      </w:r>
      <w:r>
        <w:rPr>
          <w:rFonts w:ascii="Times New Roman" w:hAnsi="Times New Roman" w:eastAsia="宋体" w:cs="Times New Roman"/>
          <w:sz w:val="30"/>
          <w:szCs w:val="30"/>
        </w:rPr>
        <w:instrText xml:space="preserve"> HYPERLINK \l _Toc13078_WPSOffice_Level1 </w:instrText>
      </w:r>
      <w:r>
        <w:rPr>
          <w:rFonts w:ascii="Times New Roman" w:hAnsi="Times New Roman" w:eastAsia="宋体" w:cs="Times New Roman"/>
          <w:sz w:val="30"/>
          <w:szCs w:val="30"/>
        </w:rPr>
        <w:fldChar w:fldCharType="separate"/>
      </w:r>
      <w:r>
        <w:rPr>
          <w:rFonts w:hint="eastAsia" w:ascii="Times New Roman" w:hAnsi="Times New Roman" w:eastAsia="宋体" w:cs="Times New Roman"/>
          <w:sz w:val="30"/>
          <w:szCs w:val="30"/>
        </w:rPr>
        <w:t>单位预算一般公共预算财政拨款基本支出表</w:t>
      </w:r>
      <w:r>
        <w:rPr>
          <w:rFonts w:ascii="Times New Roman" w:hAnsi="Times New Roman" w:eastAsia="宋体" w:cs="Times New Roman"/>
          <w:sz w:val="30"/>
          <w:szCs w:val="30"/>
        </w:rPr>
        <w:tab/>
      </w:r>
      <w:bookmarkStart w:id="6" w:name="_Toc13078_WPSOffice_Level1Page"/>
      <w:r>
        <w:rPr>
          <w:rFonts w:ascii="Times New Roman" w:hAnsi="Times New Roman" w:eastAsia="宋体" w:cs="Times New Roman"/>
          <w:sz w:val="30"/>
          <w:szCs w:val="30"/>
        </w:rPr>
        <w:t>13</w:t>
      </w:r>
      <w:bookmarkEnd w:id="6"/>
      <w:r>
        <w:rPr>
          <w:rFonts w:ascii="Times New Roman" w:hAnsi="Times New Roman" w:eastAsia="宋体" w:cs="Times New Roman"/>
          <w:sz w:val="30"/>
          <w:szCs w:val="30"/>
        </w:rPr>
        <w:fldChar w:fldCharType="end"/>
      </w:r>
    </w:p>
    <w:p>
      <w:pPr>
        <w:pStyle w:val="35"/>
        <w:tabs>
          <w:tab w:val="right" w:leader="dot" w:pos="14800"/>
        </w:tabs>
        <w:ind w:firstLine="600" w:firstLineChars="200"/>
        <w:rPr>
          <w:rFonts w:ascii="Times New Roman" w:hAnsi="Times New Roman" w:eastAsia="宋体" w:cs="Times New Roman"/>
          <w:sz w:val="30"/>
          <w:szCs w:val="30"/>
        </w:rPr>
      </w:pPr>
      <w:r>
        <w:rPr>
          <w:rFonts w:ascii="Times New Roman" w:hAnsi="Times New Roman" w:eastAsia="宋体" w:cs="Times New Roman"/>
          <w:sz w:val="30"/>
          <w:szCs w:val="30"/>
        </w:rPr>
        <w:fldChar w:fldCharType="begin"/>
      </w:r>
      <w:r>
        <w:rPr>
          <w:rFonts w:ascii="Times New Roman" w:hAnsi="Times New Roman" w:eastAsia="宋体" w:cs="Times New Roman"/>
          <w:sz w:val="30"/>
          <w:szCs w:val="30"/>
        </w:rPr>
        <w:instrText xml:space="preserve"> HYPERLINK \l _Toc27171_WPSOffice_Level1 </w:instrText>
      </w:r>
      <w:r>
        <w:rPr>
          <w:rFonts w:ascii="Times New Roman" w:hAnsi="Times New Roman" w:eastAsia="宋体" w:cs="Times New Roman"/>
          <w:sz w:val="30"/>
          <w:szCs w:val="30"/>
        </w:rPr>
        <w:fldChar w:fldCharType="separate"/>
      </w:r>
      <w:r>
        <w:rPr>
          <w:rFonts w:hint="eastAsia" w:ascii="Times New Roman" w:hAnsi="Times New Roman" w:eastAsia="宋体" w:cs="Times New Roman"/>
          <w:sz w:val="30"/>
          <w:szCs w:val="30"/>
        </w:rPr>
        <w:t>单位预算政府基金预算财政拨款支出表</w:t>
      </w:r>
      <w:r>
        <w:rPr>
          <w:rFonts w:ascii="Times New Roman" w:hAnsi="Times New Roman" w:eastAsia="宋体" w:cs="Times New Roman"/>
          <w:sz w:val="30"/>
          <w:szCs w:val="30"/>
        </w:rPr>
        <w:tab/>
      </w:r>
      <w:bookmarkStart w:id="7" w:name="_Toc27171_WPSOffice_Level1Page"/>
      <w:r>
        <w:rPr>
          <w:rFonts w:ascii="Times New Roman" w:hAnsi="Times New Roman" w:eastAsia="宋体" w:cs="Times New Roman"/>
          <w:sz w:val="30"/>
          <w:szCs w:val="30"/>
        </w:rPr>
        <w:t>15</w:t>
      </w:r>
      <w:bookmarkEnd w:id="7"/>
      <w:r>
        <w:rPr>
          <w:rFonts w:ascii="Times New Roman" w:hAnsi="Times New Roman" w:eastAsia="宋体" w:cs="Times New Roman"/>
          <w:sz w:val="30"/>
          <w:szCs w:val="30"/>
        </w:rPr>
        <w:fldChar w:fldCharType="end"/>
      </w:r>
    </w:p>
    <w:p>
      <w:pPr>
        <w:pStyle w:val="35"/>
        <w:tabs>
          <w:tab w:val="right" w:leader="dot" w:pos="14800"/>
        </w:tabs>
        <w:ind w:firstLine="600" w:firstLineChars="200"/>
        <w:rPr>
          <w:rFonts w:ascii="Times New Roman" w:hAnsi="Times New Roman" w:eastAsia="宋体" w:cs="Times New Roman"/>
          <w:sz w:val="30"/>
          <w:szCs w:val="30"/>
        </w:rPr>
      </w:pPr>
      <w:r>
        <w:rPr>
          <w:rFonts w:ascii="Times New Roman" w:hAnsi="Times New Roman" w:eastAsia="宋体" w:cs="Times New Roman"/>
          <w:sz w:val="30"/>
          <w:szCs w:val="30"/>
        </w:rPr>
        <w:fldChar w:fldCharType="begin"/>
      </w:r>
      <w:r>
        <w:rPr>
          <w:rFonts w:ascii="Times New Roman" w:hAnsi="Times New Roman" w:eastAsia="宋体" w:cs="Times New Roman"/>
          <w:sz w:val="30"/>
          <w:szCs w:val="30"/>
        </w:rPr>
        <w:instrText xml:space="preserve"> HYPERLINK \l _Toc20126_WPSOffice_Level1 </w:instrText>
      </w:r>
      <w:r>
        <w:rPr>
          <w:rFonts w:ascii="Times New Roman" w:hAnsi="Times New Roman" w:eastAsia="宋体" w:cs="Times New Roman"/>
          <w:sz w:val="30"/>
          <w:szCs w:val="30"/>
        </w:rPr>
        <w:fldChar w:fldCharType="separate"/>
      </w:r>
      <w:r>
        <w:rPr>
          <w:rFonts w:hint="eastAsia" w:ascii="Times New Roman" w:hAnsi="Times New Roman" w:eastAsia="宋体" w:cs="Times New Roman"/>
          <w:sz w:val="30"/>
          <w:szCs w:val="30"/>
        </w:rPr>
        <w:t>单位预算国有资本经营预算财政拨款支出表</w:t>
      </w:r>
      <w:r>
        <w:rPr>
          <w:rFonts w:ascii="Times New Roman" w:hAnsi="Times New Roman" w:eastAsia="宋体" w:cs="Times New Roman"/>
          <w:sz w:val="30"/>
          <w:szCs w:val="30"/>
        </w:rPr>
        <w:tab/>
      </w:r>
      <w:bookmarkStart w:id="8" w:name="_Toc20126_WPSOffice_Level1Page"/>
      <w:r>
        <w:rPr>
          <w:rFonts w:ascii="Times New Roman" w:hAnsi="Times New Roman" w:eastAsia="宋体" w:cs="Times New Roman"/>
          <w:sz w:val="30"/>
          <w:szCs w:val="30"/>
        </w:rPr>
        <w:t>16</w:t>
      </w:r>
      <w:bookmarkEnd w:id="8"/>
      <w:r>
        <w:rPr>
          <w:rFonts w:ascii="Times New Roman" w:hAnsi="Times New Roman" w:eastAsia="宋体" w:cs="Times New Roman"/>
          <w:sz w:val="30"/>
          <w:szCs w:val="30"/>
        </w:rPr>
        <w:fldChar w:fldCharType="end"/>
      </w:r>
    </w:p>
    <w:p>
      <w:pPr>
        <w:pStyle w:val="35"/>
        <w:tabs>
          <w:tab w:val="right" w:leader="dot" w:pos="14800"/>
        </w:tabs>
        <w:ind w:firstLine="600" w:firstLineChars="200"/>
        <w:rPr>
          <w:rFonts w:ascii="Times New Roman" w:hAnsi="Times New Roman" w:eastAsia="宋体" w:cs="Times New Roman"/>
          <w:sz w:val="30"/>
          <w:szCs w:val="30"/>
        </w:rPr>
      </w:pPr>
      <w:r>
        <w:rPr>
          <w:rFonts w:ascii="Times New Roman" w:hAnsi="Times New Roman" w:eastAsia="宋体" w:cs="Times New Roman"/>
          <w:sz w:val="30"/>
          <w:szCs w:val="30"/>
        </w:rPr>
        <w:fldChar w:fldCharType="begin"/>
      </w:r>
      <w:r>
        <w:rPr>
          <w:rFonts w:ascii="Times New Roman" w:hAnsi="Times New Roman" w:eastAsia="宋体" w:cs="Times New Roman"/>
          <w:sz w:val="30"/>
          <w:szCs w:val="30"/>
        </w:rPr>
        <w:instrText xml:space="preserve"> HYPERLINK \l _Toc19890_WPSOffice_Level1 </w:instrText>
      </w:r>
      <w:r>
        <w:rPr>
          <w:rFonts w:ascii="Times New Roman" w:hAnsi="Times New Roman" w:eastAsia="宋体" w:cs="Times New Roman"/>
          <w:sz w:val="30"/>
          <w:szCs w:val="30"/>
        </w:rPr>
        <w:fldChar w:fldCharType="separate"/>
      </w:r>
      <w:r>
        <w:rPr>
          <w:rFonts w:hint="eastAsia" w:ascii="Times New Roman" w:hAnsi="Times New Roman" w:eastAsia="宋体" w:cs="Times New Roman"/>
          <w:sz w:val="30"/>
          <w:szCs w:val="30"/>
        </w:rPr>
        <w:t>单位预算财政拨款“三公”经费支出表</w:t>
      </w:r>
      <w:r>
        <w:rPr>
          <w:rFonts w:ascii="Times New Roman" w:hAnsi="Times New Roman" w:eastAsia="宋体" w:cs="Times New Roman"/>
          <w:sz w:val="30"/>
          <w:szCs w:val="30"/>
        </w:rPr>
        <w:tab/>
      </w:r>
      <w:bookmarkStart w:id="9" w:name="_Toc19890_WPSOffice_Level1Page"/>
      <w:r>
        <w:rPr>
          <w:rFonts w:ascii="Times New Roman" w:hAnsi="Times New Roman" w:eastAsia="宋体" w:cs="Times New Roman"/>
          <w:sz w:val="30"/>
          <w:szCs w:val="30"/>
        </w:rPr>
        <w:t>17</w:t>
      </w:r>
      <w:bookmarkEnd w:id="9"/>
      <w:r>
        <w:rPr>
          <w:rFonts w:ascii="Times New Roman" w:hAnsi="Times New Roman" w:eastAsia="宋体" w:cs="Times New Roman"/>
          <w:sz w:val="30"/>
          <w:szCs w:val="30"/>
        </w:rPr>
        <w:fldChar w:fldCharType="end"/>
      </w:r>
    </w:p>
    <w:p>
      <w:bookmarkStart w:id="10" w:name="_Toc2701_WPSOffice_Level1"/>
      <w:r>
        <w:rPr>
          <w:rFonts w:hint="eastAsia" w:ascii="方正楷体_GBK" w:hAnsi="方正楷体_GBK" w:eastAsia="方正楷体_GBK" w:cs="方正楷体_GBK"/>
          <w:b/>
          <w:color w:val="000000"/>
          <w:sz w:val="28"/>
          <w:lang w:eastAsia="zh-CN"/>
        </w:rPr>
        <w:t>单位预算信息公开情况说明</w:t>
      </w:r>
      <w:bookmarkEnd w:id="10"/>
    </w:p>
    <w:p>
      <w:pPr>
        <w:pStyle w:val="35"/>
        <w:tabs>
          <w:tab w:val="right" w:leader="dot" w:pos="14800"/>
        </w:tabs>
        <w:ind w:firstLine="600" w:firstLineChars="200"/>
        <w:rPr>
          <w:rFonts w:ascii="Times New Roman" w:hAnsi="Times New Roman" w:eastAsia="宋体" w:cs="Times New Roman"/>
          <w:sz w:val="30"/>
          <w:szCs w:val="30"/>
        </w:rPr>
      </w:pPr>
      <w:r>
        <w:rPr>
          <w:rFonts w:ascii="Times New Roman" w:hAnsi="Times New Roman" w:eastAsia="宋体" w:cs="Times New Roman"/>
          <w:sz w:val="30"/>
          <w:szCs w:val="30"/>
        </w:rPr>
        <w:fldChar w:fldCharType="begin"/>
      </w:r>
      <w:r>
        <w:rPr>
          <w:rFonts w:ascii="Times New Roman" w:hAnsi="Times New Roman" w:eastAsia="宋体" w:cs="Times New Roman"/>
          <w:sz w:val="30"/>
          <w:szCs w:val="30"/>
        </w:rPr>
        <w:instrText xml:space="preserve"> HYPERLINK \l _Toc11928_WPSOffice_Level1 </w:instrText>
      </w:r>
      <w:r>
        <w:rPr>
          <w:rFonts w:ascii="Times New Roman" w:hAnsi="Times New Roman" w:eastAsia="宋体" w:cs="Times New Roman"/>
          <w:sz w:val="30"/>
          <w:szCs w:val="30"/>
        </w:rPr>
        <w:fldChar w:fldCharType="separate"/>
      </w:r>
      <w:r>
        <w:rPr>
          <w:rFonts w:hint="eastAsia" w:ascii="Times New Roman" w:hAnsi="Times New Roman" w:eastAsia="宋体" w:cs="Times New Roman"/>
          <w:sz w:val="30"/>
          <w:szCs w:val="30"/>
        </w:rPr>
        <w:t>一、单位职责及机构设置情况</w:t>
      </w:r>
      <w:r>
        <w:rPr>
          <w:rFonts w:ascii="Times New Roman" w:hAnsi="Times New Roman" w:eastAsia="宋体" w:cs="Times New Roman"/>
          <w:sz w:val="30"/>
          <w:szCs w:val="30"/>
        </w:rPr>
        <w:tab/>
      </w:r>
      <w:bookmarkStart w:id="11" w:name="_Toc11928_WPSOffice_Level1Page"/>
      <w:r>
        <w:rPr>
          <w:rFonts w:ascii="Times New Roman" w:hAnsi="Times New Roman" w:eastAsia="宋体" w:cs="Times New Roman"/>
          <w:sz w:val="30"/>
          <w:szCs w:val="30"/>
        </w:rPr>
        <w:t>18</w:t>
      </w:r>
      <w:bookmarkEnd w:id="11"/>
      <w:r>
        <w:rPr>
          <w:rFonts w:ascii="Times New Roman" w:hAnsi="Times New Roman" w:eastAsia="宋体" w:cs="Times New Roman"/>
          <w:sz w:val="30"/>
          <w:szCs w:val="30"/>
        </w:rPr>
        <w:fldChar w:fldCharType="end"/>
      </w:r>
    </w:p>
    <w:p>
      <w:pPr>
        <w:pStyle w:val="35"/>
        <w:tabs>
          <w:tab w:val="right" w:leader="dot" w:pos="14800"/>
        </w:tabs>
        <w:ind w:firstLine="600" w:firstLineChars="200"/>
        <w:rPr>
          <w:rFonts w:ascii="Times New Roman" w:hAnsi="Times New Roman" w:eastAsia="宋体" w:cs="Times New Roman"/>
          <w:sz w:val="30"/>
          <w:szCs w:val="30"/>
        </w:rPr>
      </w:pPr>
      <w:r>
        <w:rPr>
          <w:rFonts w:ascii="Times New Roman" w:hAnsi="Times New Roman" w:eastAsia="宋体" w:cs="Times New Roman"/>
          <w:sz w:val="30"/>
          <w:szCs w:val="30"/>
        </w:rPr>
        <w:fldChar w:fldCharType="begin"/>
      </w:r>
      <w:r>
        <w:rPr>
          <w:rFonts w:ascii="Times New Roman" w:hAnsi="Times New Roman" w:eastAsia="宋体" w:cs="Times New Roman"/>
          <w:sz w:val="30"/>
          <w:szCs w:val="30"/>
        </w:rPr>
        <w:instrText xml:space="preserve"> HYPERLINK \l _Toc1654_WPSOffice_Level1 </w:instrText>
      </w:r>
      <w:r>
        <w:rPr>
          <w:rFonts w:ascii="Times New Roman" w:hAnsi="Times New Roman" w:eastAsia="宋体" w:cs="Times New Roman"/>
          <w:sz w:val="30"/>
          <w:szCs w:val="30"/>
        </w:rPr>
        <w:fldChar w:fldCharType="separate"/>
      </w:r>
      <w:r>
        <w:rPr>
          <w:rFonts w:hint="eastAsia" w:ascii="Times New Roman" w:hAnsi="Times New Roman" w:eastAsia="宋体" w:cs="Times New Roman"/>
          <w:sz w:val="30"/>
          <w:szCs w:val="30"/>
        </w:rPr>
        <w:t>二、单位预算安排的总体情况</w:t>
      </w:r>
      <w:r>
        <w:rPr>
          <w:rFonts w:ascii="Times New Roman" w:hAnsi="Times New Roman" w:eastAsia="宋体" w:cs="Times New Roman"/>
          <w:sz w:val="30"/>
          <w:szCs w:val="30"/>
        </w:rPr>
        <w:tab/>
      </w:r>
      <w:bookmarkStart w:id="12" w:name="_Toc1654_WPSOffice_Level1Page"/>
      <w:r>
        <w:rPr>
          <w:rFonts w:ascii="Times New Roman" w:hAnsi="Times New Roman" w:eastAsia="宋体" w:cs="Times New Roman"/>
          <w:sz w:val="30"/>
          <w:szCs w:val="30"/>
        </w:rPr>
        <w:t>19</w:t>
      </w:r>
      <w:bookmarkEnd w:id="12"/>
      <w:r>
        <w:rPr>
          <w:rFonts w:ascii="Times New Roman" w:hAnsi="Times New Roman" w:eastAsia="宋体" w:cs="Times New Roman"/>
          <w:sz w:val="30"/>
          <w:szCs w:val="30"/>
        </w:rPr>
        <w:fldChar w:fldCharType="end"/>
      </w:r>
    </w:p>
    <w:p>
      <w:pPr>
        <w:pStyle w:val="35"/>
        <w:tabs>
          <w:tab w:val="right" w:leader="dot" w:pos="14800"/>
        </w:tabs>
        <w:ind w:firstLine="600" w:firstLineChars="200"/>
        <w:rPr>
          <w:rFonts w:ascii="Times New Roman" w:hAnsi="Times New Roman" w:eastAsia="宋体" w:cs="Times New Roman"/>
          <w:sz w:val="30"/>
          <w:szCs w:val="30"/>
        </w:rPr>
      </w:pPr>
      <w:r>
        <w:rPr>
          <w:rFonts w:ascii="Times New Roman" w:hAnsi="Times New Roman" w:eastAsia="宋体" w:cs="Times New Roman"/>
          <w:sz w:val="30"/>
          <w:szCs w:val="30"/>
        </w:rPr>
        <w:fldChar w:fldCharType="begin"/>
      </w:r>
      <w:r>
        <w:rPr>
          <w:rFonts w:ascii="Times New Roman" w:hAnsi="Times New Roman" w:eastAsia="宋体" w:cs="Times New Roman"/>
          <w:sz w:val="30"/>
          <w:szCs w:val="30"/>
        </w:rPr>
        <w:instrText xml:space="preserve"> HYPERLINK \l _Toc4191_WPSOffice_Level1 </w:instrText>
      </w:r>
      <w:r>
        <w:rPr>
          <w:rFonts w:ascii="Times New Roman" w:hAnsi="Times New Roman" w:eastAsia="宋体" w:cs="Times New Roman"/>
          <w:sz w:val="30"/>
          <w:szCs w:val="30"/>
        </w:rPr>
        <w:fldChar w:fldCharType="separate"/>
      </w:r>
      <w:r>
        <w:rPr>
          <w:rFonts w:hint="eastAsia" w:ascii="Times New Roman" w:hAnsi="Times New Roman" w:eastAsia="宋体" w:cs="Times New Roman"/>
          <w:sz w:val="30"/>
          <w:szCs w:val="30"/>
        </w:rPr>
        <w:t>三、机关运行经费安排情况</w:t>
      </w:r>
      <w:r>
        <w:rPr>
          <w:rFonts w:ascii="Times New Roman" w:hAnsi="Times New Roman" w:eastAsia="宋体" w:cs="Times New Roman"/>
          <w:sz w:val="30"/>
          <w:szCs w:val="30"/>
        </w:rPr>
        <w:tab/>
      </w:r>
      <w:bookmarkStart w:id="13" w:name="_Toc4191_WPSOffice_Level1Page"/>
      <w:r>
        <w:rPr>
          <w:rFonts w:ascii="Times New Roman" w:hAnsi="Times New Roman" w:eastAsia="宋体" w:cs="Times New Roman"/>
          <w:sz w:val="30"/>
          <w:szCs w:val="30"/>
        </w:rPr>
        <w:t>20</w:t>
      </w:r>
      <w:bookmarkEnd w:id="13"/>
      <w:r>
        <w:rPr>
          <w:rFonts w:ascii="Times New Roman" w:hAnsi="Times New Roman" w:eastAsia="宋体" w:cs="Times New Roman"/>
          <w:sz w:val="30"/>
          <w:szCs w:val="30"/>
        </w:rPr>
        <w:fldChar w:fldCharType="end"/>
      </w:r>
    </w:p>
    <w:p>
      <w:pPr>
        <w:pStyle w:val="35"/>
        <w:tabs>
          <w:tab w:val="right" w:leader="dot" w:pos="14800"/>
        </w:tabs>
        <w:ind w:firstLine="600" w:firstLineChars="200"/>
        <w:rPr>
          <w:rFonts w:ascii="Times New Roman" w:hAnsi="Times New Roman" w:eastAsia="宋体" w:cs="Times New Roman"/>
          <w:sz w:val="30"/>
          <w:szCs w:val="30"/>
        </w:rPr>
      </w:pPr>
      <w:r>
        <w:rPr>
          <w:rFonts w:ascii="Times New Roman" w:hAnsi="Times New Roman" w:eastAsia="宋体" w:cs="Times New Roman"/>
          <w:sz w:val="30"/>
          <w:szCs w:val="30"/>
        </w:rPr>
        <w:fldChar w:fldCharType="begin"/>
      </w:r>
      <w:r>
        <w:rPr>
          <w:rFonts w:ascii="Times New Roman" w:hAnsi="Times New Roman" w:eastAsia="宋体" w:cs="Times New Roman"/>
          <w:sz w:val="30"/>
          <w:szCs w:val="30"/>
        </w:rPr>
        <w:instrText xml:space="preserve"> HYPERLINK \l _Toc31367_WPSOffice_Level1 </w:instrText>
      </w:r>
      <w:r>
        <w:rPr>
          <w:rFonts w:ascii="Times New Roman" w:hAnsi="Times New Roman" w:eastAsia="宋体" w:cs="Times New Roman"/>
          <w:sz w:val="30"/>
          <w:szCs w:val="30"/>
        </w:rPr>
        <w:fldChar w:fldCharType="separate"/>
      </w:r>
      <w:r>
        <w:rPr>
          <w:rFonts w:hint="eastAsia" w:ascii="Times New Roman" w:hAnsi="Times New Roman" w:eastAsia="宋体" w:cs="Times New Roman"/>
          <w:sz w:val="30"/>
          <w:szCs w:val="30"/>
        </w:rPr>
        <w:t>四、财政拨款“三公”经费预算情况及增减变化原因</w:t>
      </w:r>
      <w:r>
        <w:rPr>
          <w:rFonts w:ascii="Times New Roman" w:hAnsi="Times New Roman" w:eastAsia="宋体" w:cs="Times New Roman"/>
          <w:sz w:val="30"/>
          <w:szCs w:val="30"/>
        </w:rPr>
        <w:tab/>
      </w:r>
      <w:bookmarkStart w:id="14" w:name="_Toc31367_WPSOffice_Level1Page"/>
      <w:r>
        <w:rPr>
          <w:rFonts w:ascii="Times New Roman" w:hAnsi="Times New Roman" w:eastAsia="宋体" w:cs="Times New Roman"/>
          <w:sz w:val="30"/>
          <w:szCs w:val="30"/>
        </w:rPr>
        <w:t>20</w:t>
      </w:r>
      <w:bookmarkEnd w:id="14"/>
      <w:r>
        <w:rPr>
          <w:rFonts w:ascii="Times New Roman" w:hAnsi="Times New Roman" w:eastAsia="宋体" w:cs="Times New Roman"/>
          <w:sz w:val="30"/>
          <w:szCs w:val="30"/>
        </w:rPr>
        <w:fldChar w:fldCharType="end"/>
      </w:r>
    </w:p>
    <w:p>
      <w:pPr>
        <w:pStyle w:val="35"/>
        <w:tabs>
          <w:tab w:val="right" w:leader="dot" w:pos="14800"/>
        </w:tabs>
        <w:ind w:firstLine="600" w:firstLineChars="200"/>
        <w:rPr>
          <w:rFonts w:ascii="Times New Roman" w:hAnsi="Times New Roman" w:eastAsia="宋体" w:cs="Times New Roman"/>
          <w:sz w:val="30"/>
          <w:szCs w:val="30"/>
        </w:rPr>
      </w:pPr>
      <w:r>
        <w:rPr>
          <w:rFonts w:ascii="Times New Roman" w:hAnsi="Times New Roman" w:eastAsia="宋体" w:cs="Times New Roman"/>
          <w:sz w:val="30"/>
          <w:szCs w:val="30"/>
        </w:rPr>
        <w:fldChar w:fldCharType="begin"/>
      </w:r>
      <w:r>
        <w:rPr>
          <w:rFonts w:ascii="Times New Roman" w:hAnsi="Times New Roman" w:eastAsia="宋体" w:cs="Times New Roman"/>
          <w:sz w:val="30"/>
          <w:szCs w:val="30"/>
        </w:rPr>
        <w:instrText xml:space="preserve"> HYPERLINK \l _Toc12054_WPSOffice_Level1 </w:instrText>
      </w:r>
      <w:r>
        <w:rPr>
          <w:rFonts w:ascii="Times New Roman" w:hAnsi="Times New Roman" w:eastAsia="宋体" w:cs="Times New Roman"/>
          <w:sz w:val="30"/>
          <w:szCs w:val="30"/>
        </w:rPr>
        <w:fldChar w:fldCharType="separate"/>
      </w:r>
      <w:r>
        <w:rPr>
          <w:rFonts w:hint="eastAsia" w:ascii="Times New Roman" w:hAnsi="Times New Roman" w:eastAsia="宋体" w:cs="Times New Roman"/>
          <w:sz w:val="30"/>
          <w:szCs w:val="30"/>
        </w:rPr>
        <w:t>五、预算绩效信息</w:t>
      </w:r>
      <w:r>
        <w:rPr>
          <w:rFonts w:ascii="Times New Roman" w:hAnsi="Times New Roman" w:eastAsia="宋体" w:cs="Times New Roman"/>
          <w:sz w:val="30"/>
          <w:szCs w:val="30"/>
        </w:rPr>
        <w:tab/>
      </w:r>
      <w:bookmarkStart w:id="15" w:name="_Toc12054_WPSOffice_Level1Page"/>
      <w:r>
        <w:rPr>
          <w:rFonts w:ascii="Times New Roman" w:hAnsi="Times New Roman" w:eastAsia="宋体" w:cs="Times New Roman"/>
          <w:sz w:val="30"/>
          <w:szCs w:val="30"/>
        </w:rPr>
        <w:t>20</w:t>
      </w:r>
      <w:bookmarkEnd w:id="15"/>
      <w:r>
        <w:rPr>
          <w:rFonts w:ascii="Times New Roman" w:hAnsi="Times New Roman" w:eastAsia="宋体" w:cs="Times New Roman"/>
          <w:sz w:val="30"/>
          <w:szCs w:val="30"/>
        </w:rPr>
        <w:fldChar w:fldCharType="end"/>
      </w:r>
    </w:p>
    <w:p>
      <w:pPr>
        <w:pStyle w:val="35"/>
        <w:tabs>
          <w:tab w:val="right" w:leader="dot" w:pos="14800"/>
        </w:tabs>
        <w:ind w:firstLine="600" w:firstLineChars="200"/>
        <w:rPr>
          <w:rFonts w:ascii="Times New Roman" w:hAnsi="Times New Roman" w:eastAsia="宋体" w:cs="Times New Roman"/>
          <w:sz w:val="30"/>
          <w:szCs w:val="30"/>
        </w:rPr>
      </w:pPr>
      <w:r>
        <w:rPr>
          <w:rFonts w:ascii="Times New Roman" w:hAnsi="Times New Roman" w:eastAsia="宋体" w:cs="Times New Roman"/>
          <w:sz w:val="30"/>
          <w:szCs w:val="30"/>
        </w:rPr>
        <w:fldChar w:fldCharType="begin"/>
      </w:r>
      <w:r>
        <w:rPr>
          <w:rFonts w:ascii="Times New Roman" w:hAnsi="Times New Roman" w:eastAsia="宋体" w:cs="Times New Roman"/>
          <w:sz w:val="30"/>
          <w:szCs w:val="30"/>
        </w:rPr>
        <w:instrText xml:space="preserve"> HYPERLINK \l _Toc22597_WPSOffice_Level1 </w:instrText>
      </w:r>
      <w:r>
        <w:rPr>
          <w:rFonts w:ascii="Times New Roman" w:hAnsi="Times New Roman" w:eastAsia="宋体" w:cs="Times New Roman"/>
          <w:sz w:val="30"/>
          <w:szCs w:val="30"/>
        </w:rPr>
        <w:fldChar w:fldCharType="separate"/>
      </w:r>
      <w:r>
        <w:rPr>
          <w:rFonts w:hint="eastAsia" w:ascii="Times New Roman" w:hAnsi="Times New Roman" w:eastAsia="宋体" w:cs="Times New Roman"/>
          <w:sz w:val="30"/>
          <w:szCs w:val="30"/>
        </w:rPr>
        <w:t>六、政府采购预算情况</w:t>
      </w:r>
      <w:r>
        <w:rPr>
          <w:rFonts w:ascii="Times New Roman" w:hAnsi="Times New Roman" w:eastAsia="宋体" w:cs="Times New Roman"/>
          <w:sz w:val="30"/>
          <w:szCs w:val="30"/>
        </w:rPr>
        <w:tab/>
      </w:r>
      <w:bookmarkStart w:id="16" w:name="_Toc22597_WPSOffice_Level1Page"/>
      <w:r>
        <w:rPr>
          <w:rFonts w:ascii="Times New Roman" w:hAnsi="Times New Roman" w:eastAsia="宋体" w:cs="Times New Roman"/>
          <w:sz w:val="30"/>
          <w:szCs w:val="30"/>
        </w:rPr>
        <w:t>24</w:t>
      </w:r>
      <w:bookmarkEnd w:id="16"/>
      <w:r>
        <w:rPr>
          <w:rFonts w:ascii="Times New Roman" w:hAnsi="Times New Roman" w:eastAsia="宋体" w:cs="Times New Roman"/>
          <w:sz w:val="30"/>
          <w:szCs w:val="30"/>
        </w:rPr>
        <w:fldChar w:fldCharType="end"/>
      </w:r>
    </w:p>
    <w:p>
      <w:pPr>
        <w:pStyle w:val="35"/>
        <w:tabs>
          <w:tab w:val="right" w:leader="dot" w:pos="14800"/>
        </w:tabs>
        <w:ind w:firstLine="600" w:firstLineChars="200"/>
        <w:rPr>
          <w:rFonts w:ascii="Times New Roman" w:hAnsi="Times New Roman" w:eastAsia="宋体" w:cs="Times New Roman"/>
          <w:sz w:val="30"/>
          <w:szCs w:val="30"/>
        </w:rPr>
      </w:pPr>
      <w:r>
        <w:rPr>
          <w:rFonts w:ascii="Times New Roman" w:hAnsi="Times New Roman" w:eastAsia="宋体" w:cs="Times New Roman"/>
          <w:sz w:val="30"/>
          <w:szCs w:val="30"/>
        </w:rPr>
        <w:fldChar w:fldCharType="begin"/>
      </w:r>
      <w:r>
        <w:rPr>
          <w:rFonts w:ascii="Times New Roman" w:hAnsi="Times New Roman" w:eastAsia="宋体" w:cs="Times New Roman"/>
          <w:sz w:val="30"/>
          <w:szCs w:val="30"/>
        </w:rPr>
        <w:instrText xml:space="preserve"> HYPERLINK \l _Toc13480_WPSOffice_Level1 </w:instrText>
      </w:r>
      <w:r>
        <w:rPr>
          <w:rFonts w:ascii="Times New Roman" w:hAnsi="Times New Roman" w:eastAsia="宋体" w:cs="Times New Roman"/>
          <w:sz w:val="30"/>
          <w:szCs w:val="30"/>
        </w:rPr>
        <w:fldChar w:fldCharType="separate"/>
      </w:r>
      <w:r>
        <w:rPr>
          <w:rFonts w:hint="eastAsia" w:ascii="Times New Roman" w:hAnsi="Times New Roman" w:eastAsia="宋体" w:cs="Times New Roman"/>
          <w:sz w:val="30"/>
          <w:szCs w:val="30"/>
        </w:rPr>
        <w:t>七、国有资产信息</w:t>
      </w:r>
      <w:r>
        <w:rPr>
          <w:rFonts w:ascii="Times New Roman" w:hAnsi="Times New Roman" w:eastAsia="宋体" w:cs="Times New Roman"/>
          <w:sz w:val="30"/>
          <w:szCs w:val="30"/>
        </w:rPr>
        <w:tab/>
      </w:r>
      <w:bookmarkStart w:id="17" w:name="_Toc13480_WPSOffice_Level1Page"/>
      <w:r>
        <w:rPr>
          <w:rFonts w:ascii="Times New Roman" w:hAnsi="Times New Roman" w:eastAsia="宋体" w:cs="Times New Roman"/>
          <w:sz w:val="30"/>
          <w:szCs w:val="30"/>
        </w:rPr>
        <w:t>24</w:t>
      </w:r>
      <w:bookmarkEnd w:id="17"/>
      <w:r>
        <w:rPr>
          <w:rFonts w:ascii="Times New Roman" w:hAnsi="Times New Roman" w:eastAsia="宋体" w:cs="Times New Roman"/>
          <w:sz w:val="30"/>
          <w:szCs w:val="30"/>
        </w:rPr>
        <w:fldChar w:fldCharType="end"/>
      </w:r>
    </w:p>
    <w:p>
      <w:pPr>
        <w:pStyle w:val="35"/>
        <w:tabs>
          <w:tab w:val="right" w:leader="dot" w:pos="14800"/>
        </w:tabs>
        <w:ind w:firstLine="600" w:firstLineChars="200"/>
        <w:rPr>
          <w:rFonts w:ascii="Times New Roman" w:hAnsi="Times New Roman" w:eastAsia="宋体" w:cs="Times New Roman"/>
          <w:sz w:val="30"/>
          <w:szCs w:val="30"/>
        </w:rPr>
      </w:pPr>
      <w:r>
        <w:rPr>
          <w:rFonts w:ascii="Times New Roman" w:hAnsi="Times New Roman" w:eastAsia="宋体" w:cs="Times New Roman"/>
          <w:sz w:val="30"/>
          <w:szCs w:val="30"/>
        </w:rPr>
        <w:fldChar w:fldCharType="begin"/>
      </w:r>
      <w:r>
        <w:rPr>
          <w:rFonts w:ascii="Times New Roman" w:hAnsi="Times New Roman" w:eastAsia="宋体" w:cs="Times New Roman"/>
          <w:sz w:val="30"/>
          <w:szCs w:val="30"/>
        </w:rPr>
        <w:instrText xml:space="preserve"> HYPERLINK \l _Toc32065_WPSOffice_Level1 </w:instrText>
      </w:r>
      <w:r>
        <w:rPr>
          <w:rFonts w:ascii="Times New Roman" w:hAnsi="Times New Roman" w:eastAsia="宋体" w:cs="Times New Roman"/>
          <w:sz w:val="30"/>
          <w:szCs w:val="30"/>
        </w:rPr>
        <w:fldChar w:fldCharType="separate"/>
      </w:r>
      <w:r>
        <w:rPr>
          <w:rFonts w:hint="eastAsia" w:ascii="Times New Roman" w:hAnsi="Times New Roman" w:eastAsia="宋体" w:cs="Times New Roman"/>
          <w:sz w:val="30"/>
          <w:szCs w:val="30"/>
        </w:rPr>
        <w:t>八、名词解释</w:t>
      </w:r>
      <w:r>
        <w:rPr>
          <w:rFonts w:ascii="Times New Roman" w:hAnsi="Times New Roman" w:eastAsia="宋体" w:cs="Times New Roman"/>
          <w:sz w:val="30"/>
          <w:szCs w:val="30"/>
        </w:rPr>
        <w:tab/>
      </w:r>
      <w:bookmarkStart w:id="18" w:name="_Toc32065_WPSOffice_Level1Page"/>
      <w:r>
        <w:rPr>
          <w:rFonts w:ascii="Times New Roman" w:hAnsi="Times New Roman" w:eastAsia="宋体" w:cs="Times New Roman"/>
          <w:sz w:val="30"/>
          <w:szCs w:val="30"/>
        </w:rPr>
        <w:t>25</w:t>
      </w:r>
      <w:bookmarkEnd w:id="18"/>
      <w:r>
        <w:rPr>
          <w:rFonts w:ascii="Times New Roman" w:hAnsi="Times New Roman" w:eastAsia="宋体" w:cs="Times New Roman"/>
          <w:sz w:val="30"/>
          <w:szCs w:val="30"/>
        </w:rPr>
        <w:fldChar w:fldCharType="end"/>
      </w:r>
    </w:p>
    <w:p>
      <w:pPr>
        <w:pStyle w:val="35"/>
        <w:tabs>
          <w:tab w:val="right" w:leader="dot" w:pos="14800"/>
        </w:tabs>
        <w:ind w:firstLine="600" w:firstLineChars="200"/>
        <w:rPr>
          <w:rFonts w:ascii="Times New Roman" w:hAnsi="Times New Roman" w:eastAsia="宋体" w:cs="Times New Roman"/>
          <w:sz w:val="30"/>
          <w:szCs w:val="30"/>
        </w:rPr>
      </w:pPr>
      <w:r>
        <w:rPr>
          <w:rFonts w:ascii="Times New Roman" w:hAnsi="Times New Roman" w:eastAsia="宋体" w:cs="Times New Roman"/>
          <w:sz w:val="30"/>
          <w:szCs w:val="30"/>
        </w:rPr>
        <w:fldChar w:fldCharType="begin"/>
      </w:r>
      <w:r>
        <w:rPr>
          <w:rFonts w:ascii="Times New Roman" w:hAnsi="Times New Roman" w:eastAsia="宋体" w:cs="Times New Roman"/>
          <w:sz w:val="30"/>
          <w:szCs w:val="30"/>
        </w:rPr>
        <w:instrText xml:space="preserve"> HYPERLINK \l _Toc9094_WPSOffice_Level1 </w:instrText>
      </w:r>
      <w:r>
        <w:rPr>
          <w:rFonts w:ascii="Times New Roman" w:hAnsi="Times New Roman" w:eastAsia="宋体" w:cs="Times New Roman"/>
          <w:sz w:val="30"/>
          <w:szCs w:val="30"/>
        </w:rPr>
        <w:fldChar w:fldCharType="separate"/>
      </w:r>
      <w:r>
        <w:rPr>
          <w:rFonts w:hint="eastAsia" w:ascii="Times New Roman" w:hAnsi="Times New Roman" w:eastAsia="宋体" w:cs="Times New Roman"/>
          <w:sz w:val="30"/>
          <w:szCs w:val="30"/>
        </w:rPr>
        <w:t>九、其他需要说明的事项</w:t>
      </w:r>
      <w:r>
        <w:rPr>
          <w:rFonts w:ascii="Times New Roman" w:hAnsi="Times New Roman" w:eastAsia="宋体" w:cs="Times New Roman"/>
          <w:sz w:val="30"/>
          <w:szCs w:val="30"/>
        </w:rPr>
        <w:tab/>
      </w:r>
      <w:bookmarkStart w:id="19" w:name="_Toc9094_WPSOffice_Level1Page"/>
      <w:r>
        <w:rPr>
          <w:rFonts w:ascii="Times New Roman" w:hAnsi="Times New Roman" w:eastAsia="宋体" w:cs="Times New Roman"/>
          <w:sz w:val="30"/>
          <w:szCs w:val="30"/>
        </w:rPr>
        <w:t>26</w:t>
      </w:r>
      <w:bookmarkEnd w:id="19"/>
      <w:r>
        <w:rPr>
          <w:rFonts w:ascii="Times New Roman" w:hAnsi="Times New Roman" w:eastAsia="宋体" w:cs="Times New Roman"/>
          <w:sz w:val="30"/>
          <w:szCs w:val="30"/>
        </w:rPr>
        <w:fldChar w:fldCharType="end"/>
      </w:r>
      <w:bookmarkEnd w:id="0"/>
    </w:p>
    <w:p>
      <w:pPr>
        <w:jc w:val="both"/>
        <w:rPr>
          <w:rFonts w:hint="eastAsia" w:ascii="方正小标宋_GBK" w:hAnsi="方正小标宋_GBK" w:eastAsia="方正小标宋_GBK" w:cs="方正小标宋_GBK"/>
          <w:color w:val="000000"/>
          <w:sz w:val="44"/>
        </w:rPr>
      </w:pPr>
      <w:bookmarkStart w:id="20" w:name="_Toc8813_WPSOffice_Level1"/>
      <w:bookmarkStart w:id="21" w:name="_Toc3823_WPSOffice_Level1"/>
      <w:bookmarkStart w:id="22" w:name="_Toc_4_4_0000000019"/>
    </w:p>
    <w:p>
      <w:pPr>
        <w:jc w:val="center"/>
        <w:outlineLvl w:val="3"/>
      </w:pPr>
      <w:bookmarkStart w:id="23" w:name="_Toc13263_WPSOffice_Level1"/>
      <w:r>
        <w:rPr>
          <w:rFonts w:hint="eastAsia" w:ascii="方正小标宋_GBK" w:hAnsi="方正小标宋_GBK" w:eastAsia="方正小标宋_GBK" w:cs="方正小标宋_GBK"/>
          <w:color w:val="000000"/>
          <w:sz w:val="44"/>
        </w:rPr>
        <w:t>一、政协单位中国人民政治协商会议河北省秦皇岛市山海关区委员会本级收支预算</w:t>
      </w:r>
      <w:bookmarkEnd w:id="20"/>
      <w:bookmarkEnd w:id="21"/>
      <w:bookmarkEnd w:id="22"/>
      <w:bookmarkEnd w:id="23"/>
    </w:p>
    <w:p>
      <w:pPr>
        <w:jc w:val="center"/>
        <w:outlineLvl w:val="4"/>
      </w:pPr>
      <w:bookmarkStart w:id="24" w:name="_Toc10143_WPSOffice_Level1"/>
      <w:r>
        <w:rPr>
          <w:rFonts w:hint="eastAsia" w:ascii="方正小标宋_GBK" w:hAnsi="方正小标宋_GBK" w:eastAsia="方正小标宋_GBK" w:cs="方正小标宋_GBK"/>
          <w:color w:val="000000"/>
          <w:sz w:val="36"/>
        </w:rPr>
        <w:t>单位预算收支总表</w:t>
      </w:r>
      <w:bookmarkEnd w:id="2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131001</w:t>
            </w:r>
            <w:r>
              <w:rPr>
                <w:rFonts w:hint="eastAsia"/>
              </w:rPr>
              <w:t>政协单位中国人民政治协商会议河北省秦皇岛市山海关区委员会本级</w:t>
            </w:r>
          </w:p>
        </w:tc>
        <w:tc>
          <w:tcPr>
            <w:tcW w:w="2126" w:type="dxa"/>
            <w:tcBorders>
              <w:top w:val="single" w:color="FFFFFF" w:sz="6" w:space="0"/>
              <w:left w:val="single" w:color="FFFFFF" w:sz="6" w:space="0"/>
              <w:right w:val="single" w:color="FFFFFF" w:sz="6" w:space="0"/>
            </w:tcBorders>
            <w:vAlign w:val="center"/>
          </w:tcPr>
          <w:p>
            <w:pPr>
              <w:pStyle w:val="12"/>
            </w:pPr>
            <w:r>
              <w:rPr>
                <w:rFonts w:hint="eastAsia"/>
              </w:rPr>
              <w:t>预算年度：</w:t>
            </w:r>
            <w:r>
              <w:t>2023</w:t>
            </w:r>
          </w:p>
        </w:tc>
        <w:tc>
          <w:tcPr>
            <w:tcW w:w="6661"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6661" w:type="dxa"/>
            <w:gridSpan w:val="2"/>
            <w:vAlign w:val="center"/>
          </w:tcPr>
          <w:p>
            <w:pPr>
              <w:pStyle w:val="14"/>
            </w:pPr>
            <w:r>
              <w:rPr>
                <w:rFonts w:hint="eastAsia"/>
              </w:rPr>
              <w:t>收入</w:t>
            </w:r>
          </w:p>
        </w:tc>
        <w:tc>
          <w:tcPr>
            <w:tcW w:w="6661" w:type="dxa"/>
            <w:gridSpan w:val="2"/>
            <w:vAlign w:val="center"/>
          </w:tcPr>
          <w:p>
            <w:pPr>
              <w:pStyle w:val="14"/>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rPr>
                <w:rFonts w:hint="eastAsia"/>
              </w:rPr>
              <w:t>项</w:t>
            </w:r>
            <w:r>
              <w:t xml:space="preserve">  </w:t>
            </w:r>
            <w:r>
              <w:rPr>
                <w:rFonts w:hint="eastAsia"/>
              </w:rPr>
              <w:t>目</w:t>
            </w:r>
          </w:p>
        </w:tc>
        <w:tc>
          <w:tcPr>
            <w:tcW w:w="2126" w:type="dxa"/>
            <w:vAlign w:val="center"/>
          </w:tcPr>
          <w:p>
            <w:pPr>
              <w:pStyle w:val="14"/>
            </w:pPr>
            <w:r>
              <w:rPr>
                <w:rFonts w:hint="eastAsia"/>
              </w:rPr>
              <w:t>预算数</w:t>
            </w:r>
          </w:p>
        </w:tc>
        <w:tc>
          <w:tcPr>
            <w:tcW w:w="4535" w:type="dxa"/>
            <w:vAlign w:val="center"/>
          </w:tcPr>
          <w:p>
            <w:pPr>
              <w:pStyle w:val="14"/>
            </w:pPr>
            <w:r>
              <w:rPr>
                <w:rFonts w:hint="eastAsia"/>
              </w:rPr>
              <w:t>项</w:t>
            </w:r>
            <w:r>
              <w:t xml:space="preserve">  </w:t>
            </w:r>
            <w:r>
              <w:rPr>
                <w:rFonts w:hint="eastAsia"/>
              </w:rPr>
              <w:t>目</w:t>
            </w:r>
          </w:p>
        </w:tc>
        <w:tc>
          <w:tcPr>
            <w:tcW w:w="2126" w:type="dxa"/>
            <w:vAlign w:val="center"/>
          </w:tcPr>
          <w:p>
            <w:pPr>
              <w:pStyle w:val="14"/>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rPr>
                <w:rFonts w:hint="eastAsia"/>
              </w:rPr>
              <w:t>一、一般公共预算拨款收入</w:t>
            </w:r>
          </w:p>
        </w:tc>
        <w:tc>
          <w:tcPr>
            <w:tcW w:w="2126" w:type="dxa"/>
            <w:vAlign w:val="center"/>
          </w:tcPr>
          <w:p>
            <w:pPr>
              <w:pStyle w:val="15"/>
            </w:pPr>
            <w:r>
              <w:t>442.30</w:t>
            </w:r>
          </w:p>
        </w:tc>
        <w:tc>
          <w:tcPr>
            <w:tcW w:w="4535" w:type="dxa"/>
            <w:vAlign w:val="center"/>
          </w:tcPr>
          <w:p>
            <w:pPr>
              <w:pStyle w:val="16"/>
            </w:pPr>
            <w:r>
              <w:rPr>
                <w:rFonts w:hint="eastAsia"/>
              </w:rPr>
              <w:t>一、一般公共服务支出</w:t>
            </w:r>
          </w:p>
        </w:tc>
        <w:tc>
          <w:tcPr>
            <w:tcW w:w="2126" w:type="dxa"/>
            <w:vAlign w:val="center"/>
          </w:tcPr>
          <w:p>
            <w:pPr>
              <w:pStyle w:val="15"/>
            </w:pPr>
            <w:r>
              <w:t>296.61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rPr>
                <w:rFonts w:hint="eastAsia"/>
              </w:rPr>
              <w:t>二、政府性基金预算拨款收入</w:t>
            </w:r>
          </w:p>
        </w:tc>
        <w:tc>
          <w:tcPr>
            <w:tcW w:w="2126" w:type="dxa"/>
            <w:vAlign w:val="center"/>
          </w:tcPr>
          <w:p>
            <w:pPr>
              <w:pStyle w:val="15"/>
            </w:pPr>
          </w:p>
        </w:tc>
        <w:tc>
          <w:tcPr>
            <w:tcW w:w="4535" w:type="dxa"/>
            <w:vAlign w:val="center"/>
          </w:tcPr>
          <w:p>
            <w:pPr>
              <w:pStyle w:val="16"/>
            </w:pPr>
            <w:r>
              <w:rPr>
                <w:rFonts w:hint="eastAsia"/>
              </w:rP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rPr>
                <w:rFonts w:hint="eastAsia"/>
              </w:rPr>
              <w:t>三、国有资本经营预算拨款收入</w:t>
            </w:r>
          </w:p>
        </w:tc>
        <w:tc>
          <w:tcPr>
            <w:tcW w:w="2126" w:type="dxa"/>
            <w:vAlign w:val="center"/>
          </w:tcPr>
          <w:p>
            <w:pPr>
              <w:pStyle w:val="15"/>
            </w:pPr>
          </w:p>
        </w:tc>
        <w:tc>
          <w:tcPr>
            <w:tcW w:w="4535" w:type="dxa"/>
            <w:vAlign w:val="center"/>
          </w:tcPr>
          <w:p>
            <w:pPr>
              <w:pStyle w:val="16"/>
            </w:pPr>
            <w:r>
              <w:rPr>
                <w:rFonts w:hint="eastAsia"/>
              </w:rP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rPr>
                <w:rFonts w:hint="eastAsia"/>
              </w:rPr>
              <w:t>四、财政专户管理资金收入</w:t>
            </w:r>
          </w:p>
        </w:tc>
        <w:tc>
          <w:tcPr>
            <w:tcW w:w="2126" w:type="dxa"/>
            <w:vAlign w:val="center"/>
          </w:tcPr>
          <w:p>
            <w:pPr>
              <w:pStyle w:val="15"/>
            </w:pPr>
          </w:p>
        </w:tc>
        <w:tc>
          <w:tcPr>
            <w:tcW w:w="4535" w:type="dxa"/>
            <w:vAlign w:val="center"/>
          </w:tcPr>
          <w:p>
            <w:pPr>
              <w:pStyle w:val="16"/>
            </w:pPr>
            <w:r>
              <w:rPr>
                <w:rFonts w:hint="eastAsia"/>
              </w:rP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rPr>
                <w:rFonts w:hint="eastAsia"/>
              </w:rPr>
              <w:t>五、事业收入</w:t>
            </w:r>
          </w:p>
        </w:tc>
        <w:tc>
          <w:tcPr>
            <w:tcW w:w="2126" w:type="dxa"/>
            <w:vAlign w:val="center"/>
          </w:tcPr>
          <w:p>
            <w:pPr>
              <w:pStyle w:val="15"/>
            </w:pPr>
          </w:p>
        </w:tc>
        <w:tc>
          <w:tcPr>
            <w:tcW w:w="4535" w:type="dxa"/>
            <w:vAlign w:val="center"/>
          </w:tcPr>
          <w:p>
            <w:pPr>
              <w:pStyle w:val="16"/>
            </w:pPr>
            <w:r>
              <w:rPr>
                <w:rFonts w:hint="eastAsia"/>
              </w:rP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rPr>
                <w:rFonts w:hint="eastAsia"/>
              </w:rPr>
              <w:t>六、事业单位经营收入</w:t>
            </w:r>
          </w:p>
        </w:tc>
        <w:tc>
          <w:tcPr>
            <w:tcW w:w="2126" w:type="dxa"/>
            <w:vAlign w:val="center"/>
          </w:tcPr>
          <w:p>
            <w:pPr>
              <w:pStyle w:val="15"/>
            </w:pPr>
          </w:p>
        </w:tc>
        <w:tc>
          <w:tcPr>
            <w:tcW w:w="4535" w:type="dxa"/>
            <w:vAlign w:val="center"/>
          </w:tcPr>
          <w:p>
            <w:pPr>
              <w:pStyle w:val="16"/>
            </w:pPr>
            <w:r>
              <w:rPr>
                <w:rFonts w:hint="eastAsia"/>
              </w:rP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rPr>
                <w:rFonts w:hint="eastAsia"/>
              </w:rPr>
              <w:t>七、上级补助收入</w:t>
            </w:r>
          </w:p>
        </w:tc>
        <w:tc>
          <w:tcPr>
            <w:tcW w:w="2126" w:type="dxa"/>
            <w:vAlign w:val="center"/>
          </w:tcPr>
          <w:p>
            <w:pPr>
              <w:pStyle w:val="15"/>
            </w:pPr>
          </w:p>
        </w:tc>
        <w:tc>
          <w:tcPr>
            <w:tcW w:w="4535" w:type="dxa"/>
            <w:vAlign w:val="center"/>
          </w:tcPr>
          <w:p>
            <w:pPr>
              <w:pStyle w:val="16"/>
            </w:pPr>
            <w:r>
              <w:rPr>
                <w:rFonts w:hint="eastAsia"/>
              </w:rP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rPr>
                <w:rFonts w:hint="eastAsia"/>
              </w:rPr>
              <w:t>八、附属单位上缴收入</w:t>
            </w:r>
          </w:p>
        </w:tc>
        <w:tc>
          <w:tcPr>
            <w:tcW w:w="2126" w:type="dxa"/>
            <w:vAlign w:val="center"/>
          </w:tcPr>
          <w:p>
            <w:pPr>
              <w:pStyle w:val="15"/>
            </w:pPr>
          </w:p>
        </w:tc>
        <w:tc>
          <w:tcPr>
            <w:tcW w:w="4535" w:type="dxa"/>
            <w:vAlign w:val="center"/>
          </w:tcPr>
          <w:p>
            <w:pPr>
              <w:pStyle w:val="16"/>
            </w:pPr>
            <w:r>
              <w:rPr>
                <w:rFonts w:hint="eastAsia"/>
              </w:rPr>
              <w:t>八、社会保障和就业支出</w:t>
            </w:r>
          </w:p>
        </w:tc>
        <w:tc>
          <w:tcPr>
            <w:tcW w:w="2126" w:type="dxa"/>
            <w:vAlign w:val="center"/>
          </w:tcPr>
          <w:p>
            <w:pPr>
              <w:pStyle w:val="15"/>
            </w:pPr>
            <w:r>
              <w:t>84.96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rPr>
                <w:rFonts w:hint="eastAsia"/>
              </w:rPr>
              <w:t>九、其他收入</w:t>
            </w:r>
          </w:p>
        </w:tc>
        <w:tc>
          <w:tcPr>
            <w:tcW w:w="2126" w:type="dxa"/>
            <w:vAlign w:val="center"/>
          </w:tcPr>
          <w:p>
            <w:pPr>
              <w:pStyle w:val="15"/>
            </w:pPr>
          </w:p>
        </w:tc>
        <w:tc>
          <w:tcPr>
            <w:tcW w:w="4535" w:type="dxa"/>
            <w:vAlign w:val="center"/>
          </w:tcPr>
          <w:p>
            <w:pPr>
              <w:pStyle w:val="16"/>
            </w:pPr>
            <w:r>
              <w:rPr>
                <w:rFonts w:hint="eastAsia"/>
              </w:rP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十、卫生健康支出</w:t>
            </w:r>
          </w:p>
        </w:tc>
        <w:tc>
          <w:tcPr>
            <w:tcW w:w="2126" w:type="dxa"/>
            <w:vAlign w:val="center"/>
          </w:tcPr>
          <w:p>
            <w:pPr>
              <w:pStyle w:val="15"/>
            </w:pPr>
            <w:r>
              <w:t>38.45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二十、住房保障支出</w:t>
            </w:r>
          </w:p>
        </w:tc>
        <w:tc>
          <w:tcPr>
            <w:tcW w:w="2126" w:type="dxa"/>
            <w:vAlign w:val="center"/>
          </w:tcPr>
          <w:p>
            <w:pPr>
              <w:pStyle w:val="15"/>
            </w:pPr>
            <w:r>
              <w:t>22.29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rPr>
                <w:rFonts w:hint="eastAsia"/>
              </w:rPr>
              <w:t>本年收入合计</w:t>
            </w:r>
          </w:p>
        </w:tc>
        <w:tc>
          <w:tcPr>
            <w:tcW w:w="2126" w:type="dxa"/>
            <w:vAlign w:val="center"/>
          </w:tcPr>
          <w:p>
            <w:pPr>
              <w:pStyle w:val="19"/>
            </w:pPr>
            <w:r>
              <w:t>442.30</w:t>
            </w:r>
          </w:p>
        </w:tc>
        <w:tc>
          <w:tcPr>
            <w:tcW w:w="4535" w:type="dxa"/>
            <w:vAlign w:val="center"/>
          </w:tcPr>
          <w:p>
            <w:pPr>
              <w:pStyle w:val="18"/>
            </w:pPr>
            <w:r>
              <w:rPr>
                <w:rFonts w:hint="eastAsia"/>
              </w:rPr>
              <w:t>本年支出合计</w:t>
            </w:r>
          </w:p>
        </w:tc>
        <w:tc>
          <w:tcPr>
            <w:tcW w:w="2126" w:type="dxa"/>
            <w:vAlign w:val="center"/>
          </w:tcPr>
          <w:p>
            <w:pPr>
              <w:pStyle w:val="19"/>
            </w:pPr>
            <w:r>
              <w:t>442.30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rPr>
                <w:rFonts w:hint="eastAsia"/>
              </w:rPr>
              <w:t>上年结转结余</w:t>
            </w:r>
          </w:p>
        </w:tc>
        <w:tc>
          <w:tcPr>
            <w:tcW w:w="2126" w:type="dxa"/>
            <w:vAlign w:val="center"/>
          </w:tcPr>
          <w:p>
            <w:pPr>
              <w:pStyle w:val="15"/>
            </w:pPr>
          </w:p>
        </w:tc>
        <w:tc>
          <w:tcPr>
            <w:tcW w:w="4535" w:type="dxa"/>
            <w:vAlign w:val="center"/>
          </w:tcPr>
          <w:p>
            <w:pPr>
              <w:pStyle w:val="16"/>
            </w:pPr>
            <w:r>
              <w:rPr>
                <w:rFonts w:hint="eastAsia"/>
              </w:rP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rPr>
                <w:rFonts w:hint="eastAsia"/>
              </w:rPr>
              <w:t>收入总计</w:t>
            </w:r>
          </w:p>
        </w:tc>
        <w:tc>
          <w:tcPr>
            <w:tcW w:w="2126" w:type="dxa"/>
            <w:vAlign w:val="center"/>
          </w:tcPr>
          <w:p>
            <w:pPr>
              <w:pStyle w:val="19"/>
            </w:pPr>
            <w:r>
              <w:t>442.30</w:t>
            </w:r>
          </w:p>
        </w:tc>
        <w:tc>
          <w:tcPr>
            <w:tcW w:w="4535" w:type="dxa"/>
            <w:vAlign w:val="center"/>
          </w:tcPr>
          <w:p>
            <w:pPr>
              <w:pStyle w:val="18"/>
            </w:pPr>
            <w:r>
              <w:rPr>
                <w:rFonts w:hint="eastAsia"/>
              </w:rPr>
              <w:t>支出总计</w:t>
            </w:r>
          </w:p>
        </w:tc>
        <w:tc>
          <w:tcPr>
            <w:tcW w:w="2126" w:type="dxa"/>
            <w:vAlign w:val="center"/>
          </w:tcPr>
          <w:p>
            <w:pPr>
              <w:pStyle w:val="19"/>
            </w:pPr>
            <w:r>
              <w:t>442.30</w:t>
            </w:r>
          </w:p>
        </w:tc>
      </w:tr>
    </w:tbl>
    <w:p>
      <w:pPr>
        <w:sectPr>
          <w:headerReference r:id="rId5" w:type="first"/>
          <w:footerReference r:id="rId8" w:type="first"/>
          <w:headerReference r:id="rId3" w:type="default"/>
          <w:footerReference r:id="rId6" w:type="default"/>
          <w:headerReference r:id="rId4" w:type="even"/>
          <w:footerReference r:id="rId7" w:type="even"/>
          <w:pgSz w:w="16840" w:h="11900" w:orient="landscape"/>
          <w:pgMar w:top="1361" w:right="1020" w:bottom="1134" w:left="1020" w:header="720" w:footer="720" w:gutter="0"/>
          <w:cols w:space="720" w:num="1"/>
        </w:sectPr>
      </w:pPr>
    </w:p>
    <w:p>
      <w:pPr>
        <w:jc w:val="center"/>
        <w:outlineLvl w:val="4"/>
      </w:pPr>
      <w:bookmarkStart w:id="25" w:name="_Toc13782_WPSOffice_Level1"/>
      <w:r>
        <w:rPr>
          <w:rFonts w:hint="eastAsia" w:ascii="方正小标宋_GBK" w:hAnsi="方正小标宋_GBK" w:eastAsia="方正小标宋_GBK" w:cs="方正小标宋_GBK"/>
          <w:color w:val="000000"/>
          <w:sz w:val="36"/>
        </w:rPr>
        <w:t>单位预算收入总表</w:t>
      </w:r>
      <w:bookmarkEnd w:id="2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131001</w:t>
            </w:r>
            <w:r>
              <w:rPr>
                <w:rFonts w:hint="eastAsia"/>
              </w:rPr>
              <w:t>政协单位中国人民政治协商会议河北省秦皇岛市山海关区委员会本级</w:t>
            </w:r>
          </w:p>
        </w:tc>
        <w:tc>
          <w:tcPr>
            <w:tcW w:w="3402" w:type="dxa"/>
            <w:gridSpan w:val="3"/>
            <w:tcBorders>
              <w:top w:val="single" w:color="FFFFFF" w:sz="6" w:space="0"/>
              <w:left w:val="single" w:color="FFFFFF" w:sz="6" w:space="0"/>
              <w:right w:val="single" w:color="FFFFFF" w:sz="6" w:space="0"/>
            </w:tcBorders>
            <w:vAlign w:val="center"/>
          </w:tcPr>
          <w:p>
            <w:pPr>
              <w:pStyle w:val="12"/>
            </w:pPr>
            <w:r>
              <w:rPr>
                <w:rFonts w:hint="eastAsia"/>
              </w:rPr>
              <w:t>预算年度：</w:t>
            </w:r>
            <w:r>
              <w:t>2023</w:t>
            </w:r>
          </w:p>
        </w:tc>
        <w:tc>
          <w:tcPr>
            <w:tcW w:w="5669" w:type="dxa"/>
            <w:gridSpan w:val="5"/>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rPr>
                <w:rFonts w:hint="eastAsia"/>
              </w:rPr>
              <w:t>序号</w:t>
            </w:r>
          </w:p>
        </w:tc>
        <w:tc>
          <w:tcPr>
            <w:tcW w:w="2551" w:type="dxa"/>
            <w:gridSpan w:val="2"/>
            <w:vAlign w:val="center"/>
          </w:tcPr>
          <w:p>
            <w:pPr>
              <w:pStyle w:val="14"/>
            </w:pPr>
            <w:r>
              <w:rPr>
                <w:rFonts w:hint="eastAsia"/>
              </w:rPr>
              <w:t>功能分类科目</w:t>
            </w:r>
          </w:p>
        </w:tc>
        <w:tc>
          <w:tcPr>
            <w:tcW w:w="1134" w:type="dxa"/>
            <w:vMerge w:val="restart"/>
            <w:vAlign w:val="center"/>
          </w:tcPr>
          <w:p>
            <w:pPr>
              <w:pStyle w:val="14"/>
            </w:pPr>
            <w:r>
              <w:rPr>
                <w:rFonts w:hint="eastAsia"/>
              </w:rPr>
              <w:t>合计</w:t>
            </w:r>
          </w:p>
        </w:tc>
        <w:tc>
          <w:tcPr>
            <w:tcW w:w="9071" w:type="dxa"/>
            <w:gridSpan w:val="8"/>
            <w:vAlign w:val="center"/>
          </w:tcPr>
          <w:p>
            <w:pPr>
              <w:pStyle w:val="14"/>
            </w:pPr>
            <w:r>
              <w:rPr>
                <w:rFonts w:hint="eastAsia"/>
              </w:rPr>
              <w:t>本年收入</w:t>
            </w:r>
          </w:p>
        </w:tc>
        <w:tc>
          <w:tcPr>
            <w:tcW w:w="1134" w:type="dxa"/>
            <w:vMerge w:val="restart"/>
            <w:vAlign w:val="center"/>
          </w:tcPr>
          <w:p>
            <w:pPr>
              <w:pStyle w:val="14"/>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rPr>
                <w:rFonts w:hint="eastAsia"/>
              </w:rPr>
              <w:t>科目</w:t>
            </w:r>
            <w:r>
              <w:t xml:space="preserve">    </w:t>
            </w:r>
            <w:r>
              <w:rPr>
                <w:rFonts w:hint="eastAsia"/>
              </w:rPr>
              <w:t>编码</w:t>
            </w:r>
          </w:p>
        </w:tc>
        <w:tc>
          <w:tcPr>
            <w:tcW w:w="1559" w:type="dxa"/>
            <w:vAlign w:val="center"/>
          </w:tcPr>
          <w:p>
            <w:pPr>
              <w:pStyle w:val="14"/>
            </w:pPr>
            <w:r>
              <w:rPr>
                <w:rFonts w:hint="eastAsia"/>
              </w:rPr>
              <w:t>科目名称</w:t>
            </w:r>
          </w:p>
        </w:tc>
        <w:tc>
          <w:tcPr>
            <w:tcW w:w="1134" w:type="dxa"/>
            <w:vMerge w:val="continue"/>
          </w:tcPr>
          <w:p/>
        </w:tc>
        <w:tc>
          <w:tcPr>
            <w:tcW w:w="1134" w:type="dxa"/>
            <w:vAlign w:val="center"/>
          </w:tcPr>
          <w:p>
            <w:pPr>
              <w:pStyle w:val="14"/>
            </w:pPr>
            <w:r>
              <w:rPr>
                <w:rFonts w:hint="eastAsia"/>
              </w:rPr>
              <w:t>小计</w:t>
            </w:r>
          </w:p>
        </w:tc>
        <w:tc>
          <w:tcPr>
            <w:tcW w:w="1134" w:type="dxa"/>
            <w:vAlign w:val="center"/>
          </w:tcPr>
          <w:p>
            <w:pPr>
              <w:pStyle w:val="14"/>
            </w:pPr>
            <w:r>
              <w:rPr>
                <w:rFonts w:hint="eastAsia"/>
              </w:rPr>
              <w:t>财政拨款</w:t>
            </w:r>
            <w:r>
              <w:t xml:space="preserve"> </w:t>
            </w:r>
            <w:r>
              <w:rPr>
                <w:rFonts w:hint="eastAsia"/>
              </w:rPr>
              <w:t>收入</w:t>
            </w:r>
          </w:p>
        </w:tc>
        <w:tc>
          <w:tcPr>
            <w:tcW w:w="1134" w:type="dxa"/>
            <w:vAlign w:val="center"/>
          </w:tcPr>
          <w:p>
            <w:pPr>
              <w:pStyle w:val="14"/>
            </w:pPr>
            <w:r>
              <w:rPr>
                <w:rFonts w:hint="eastAsia"/>
              </w:rPr>
              <w:t>财政专户</w:t>
            </w:r>
            <w:r>
              <w:t xml:space="preserve"> </w:t>
            </w:r>
            <w:r>
              <w:rPr>
                <w:rFonts w:hint="eastAsia"/>
              </w:rPr>
              <w:t>收入</w:t>
            </w:r>
          </w:p>
        </w:tc>
        <w:tc>
          <w:tcPr>
            <w:tcW w:w="1134" w:type="dxa"/>
            <w:vAlign w:val="center"/>
          </w:tcPr>
          <w:p>
            <w:pPr>
              <w:pStyle w:val="14"/>
            </w:pPr>
            <w:r>
              <w:rPr>
                <w:rFonts w:hint="eastAsia"/>
              </w:rPr>
              <w:t>事业收入</w:t>
            </w:r>
          </w:p>
        </w:tc>
        <w:tc>
          <w:tcPr>
            <w:tcW w:w="1134" w:type="dxa"/>
            <w:vAlign w:val="center"/>
          </w:tcPr>
          <w:p>
            <w:pPr>
              <w:pStyle w:val="14"/>
            </w:pPr>
            <w:r>
              <w:rPr>
                <w:rFonts w:hint="eastAsia"/>
              </w:rPr>
              <w:t>经营收入</w:t>
            </w:r>
          </w:p>
        </w:tc>
        <w:tc>
          <w:tcPr>
            <w:tcW w:w="1134" w:type="dxa"/>
            <w:vAlign w:val="center"/>
          </w:tcPr>
          <w:p>
            <w:pPr>
              <w:pStyle w:val="14"/>
            </w:pPr>
            <w:r>
              <w:rPr>
                <w:rFonts w:hint="eastAsia"/>
              </w:rPr>
              <w:t>上级补助收入</w:t>
            </w:r>
          </w:p>
        </w:tc>
        <w:tc>
          <w:tcPr>
            <w:tcW w:w="1134" w:type="dxa"/>
            <w:vAlign w:val="center"/>
          </w:tcPr>
          <w:p>
            <w:pPr>
              <w:pStyle w:val="14"/>
            </w:pPr>
            <w:r>
              <w:rPr>
                <w:rFonts w:hint="eastAsia"/>
              </w:rPr>
              <w:t>附属单位上缴收入</w:t>
            </w:r>
          </w:p>
        </w:tc>
        <w:tc>
          <w:tcPr>
            <w:tcW w:w="1134" w:type="dxa"/>
            <w:vAlign w:val="center"/>
          </w:tcPr>
          <w:p>
            <w:pPr>
              <w:pStyle w:val="14"/>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rPr>
                <w:rFonts w:hint="eastAsia"/>
              </w:rP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rPr>
                <w:rFonts w:hint="eastAsia"/>
              </w:rPr>
              <w:t>合计</w:t>
            </w:r>
          </w:p>
        </w:tc>
        <w:tc>
          <w:tcPr>
            <w:tcW w:w="1134" w:type="dxa"/>
            <w:vAlign w:val="center"/>
          </w:tcPr>
          <w:p>
            <w:pPr>
              <w:pStyle w:val="19"/>
            </w:pPr>
            <w:r>
              <w:t>442.30</w:t>
            </w:r>
          </w:p>
        </w:tc>
        <w:tc>
          <w:tcPr>
            <w:tcW w:w="1134" w:type="dxa"/>
            <w:vAlign w:val="center"/>
          </w:tcPr>
          <w:p>
            <w:pPr>
              <w:pStyle w:val="19"/>
            </w:pPr>
            <w:r>
              <w:t>442.30</w:t>
            </w:r>
          </w:p>
        </w:tc>
        <w:tc>
          <w:tcPr>
            <w:tcW w:w="1134" w:type="dxa"/>
            <w:vAlign w:val="center"/>
          </w:tcPr>
          <w:p>
            <w:pPr>
              <w:pStyle w:val="19"/>
            </w:pPr>
            <w:r>
              <w:t>442.30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rPr>
                <w:rFonts w:hint="eastAsia"/>
              </w:rPr>
              <w:t>一般公共服务支出</w:t>
            </w:r>
          </w:p>
        </w:tc>
        <w:tc>
          <w:tcPr>
            <w:tcW w:w="1134" w:type="dxa"/>
            <w:vAlign w:val="center"/>
          </w:tcPr>
          <w:p>
            <w:pPr>
              <w:pStyle w:val="15"/>
            </w:pPr>
            <w:r>
              <w:t>296.61</w:t>
            </w:r>
          </w:p>
        </w:tc>
        <w:tc>
          <w:tcPr>
            <w:tcW w:w="1134" w:type="dxa"/>
            <w:vAlign w:val="center"/>
          </w:tcPr>
          <w:p>
            <w:pPr>
              <w:pStyle w:val="15"/>
            </w:pPr>
            <w:r>
              <w:t>296.61</w:t>
            </w:r>
          </w:p>
        </w:tc>
        <w:tc>
          <w:tcPr>
            <w:tcW w:w="1134" w:type="dxa"/>
            <w:vAlign w:val="center"/>
          </w:tcPr>
          <w:p>
            <w:pPr>
              <w:pStyle w:val="15"/>
            </w:pPr>
            <w:r>
              <w:t>296.61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20102</w:t>
            </w:r>
          </w:p>
        </w:tc>
        <w:tc>
          <w:tcPr>
            <w:tcW w:w="1559" w:type="dxa"/>
            <w:vAlign w:val="center"/>
          </w:tcPr>
          <w:p>
            <w:pPr>
              <w:pStyle w:val="16"/>
            </w:pPr>
            <w:r>
              <w:rPr>
                <w:rFonts w:hint="eastAsia"/>
              </w:rPr>
              <w:t>政协事务</w:t>
            </w:r>
          </w:p>
        </w:tc>
        <w:tc>
          <w:tcPr>
            <w:tcW w:w="1134" w:type="dxa"/>
            <w:vAlign w:val="center"/>
          </w:tcPr>
          <w:p>
            <w:pPr>
              <w:pStyle w:val="15"/>
            </w:pPr>
            <w:r>
              <w:t>296.61</w:t>
            </w:r>
          </w:p>
        </w:tc>
        <w:tc>
          <w:tcPr>
            <w:tcW w:w="1134" w:type="dxa"/>
            <w:vAlign w:val="center"/>
          </w:tcPr>
          <w:p>
            <w:pPr>
              <w:pStyle w:val="15"/>
            </w:pPr>
            <w:r>
              <w:t>296.61</w:t>
            </w:r>
          </w:p>
        </w:tc>
        <w:tc>
          <w:tcPr>
            <w:tcW w:w="1134" w:type="dxa"/>
            <w:vAlign w:val="center"/>
          </w:tcPr>
          <w:p>
            <w:pPr>
              <w:pStyle w:val="15"/>
            </w:pPr>
            <w:r>
              <w:t>296.61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2010201</w:t>
            </w:r>
          </w:p>
        </w:tc>
        <w:tc>
          <w:tcPr>
            <w:tcW w:w="1559" w:type="dxa"/>
            <w:vAlign w:val="center"/>
          </w:tcPr>
          <w:p>
            <w:pPr>
              <w:pStyle w:val="16"/>
            </w:pPr>
            <w:r>
              <w:rPr>
                <w:rFonts w:hint="eastAsia"/>
              </w:rPr>
              <w:t>行政运行</w:t>
            </w:r>
          </w:p>
        </w:tc>
        <w:tc>
          <w:tcPr>
            <w:tcW w:w="1134" w:type="dxa"/>
            <w:vAlign w:val="center"/>
          </w:tcPr>
          <w:p>
            <w:pPr>
              <w:pStyle w:val="15"/>
            </w:pPr>
            <w:r>
              <w:t>231.61</w:t>
            </w:r>
          </w:p>
        </w:tc>
        <w:tc>
          <w:tcPr>
            <w:tcW w:w="1134" w:type="dxa"/>
            <w:vAlign w:val="center"/>
          </w:tcPr>
          <w:p>
            <w:pPr>
              <w:pStyle w:val="15"/>
            </w:pPr>
            <w:r>
              <w:t>231.61</w:t>
            </w:r>
          </w:p>
        </w:tc>
        <w:tc>
          <w:tcPr>
            <w:tcW w:w="1134" w:type="dxa"/>
            <w:vAlign w:val="center"/>
          </w:tcPr>
          <w:p>
            <w:pPr>
              <w:pStyle w:val="15"/>
            </w:pPr>
            <w:r>
              <w:t>231.61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2010204</w:t>
            </w:r>
          </w:p>
        </w:tc>
        <w:tc>
          <w:tcPr>
            <w:tcW w:w="1559" w:type="dxa"/>
            <w:vAlign w:val="center"/>
          </w:tcPr>
          <w:p>
            <w:pPr>
              <w:pStyle w:val="16"/>
            </w:pPr>
            <w:r>
              <w:rPr>
                <w:rFonts w:hint="eastAsia"/>
              </w:rPr>
              <w:t>政协会议</w:t>
            </w:r>
          </w:p>
        </w:tc>
        <w:tc>
          <w:tcPr>
            <w:tcW w:w="1134" w:type="dxa"/>
            <w:vAlign w:val="center"/>
          </w:tcPr>
          <w:p>
            <w:pPr>
              <w:pStyle w:val="15"/>
            </w:pPr>
            <w:r>
              <w:t>20.00</w:t>
            </w:r>
          </w:p>
        </w:tc>
        <w:tc>
          <w:tcPr>
            <w:tcW w:w="1134" w:type="dxa"/>
            <w:vAlign w:val="center"/>
          </w:tcPr>
          <w:p>
            <w:pPr>
              <w:pStyle w:val="15"/>
            </w:pPr>
            <w:r>
              <w:t>20.00</w:t>
            </w:r>
          </w:p>
        </w:tc>
        <w:tc>
          <w:tcPr>
            <w:tcW w:w="1134" w:type="dxa"/>
            <w:vAlign w:val="center"/>
          </w:tcPr>
          <w:p>
            <w:pPr>
              <w:pStyle w:val="15"/>
            </w:pPr>
            <w:r>
              <w:t>20.00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2010299</w:t>
            </w:r>
          </w:p>
        </w:tc>
        <w:tc>
          <w:tcPr>
            <w:tcW w:w="1559" w:type="dxa"/>
            <w:vAlign w:val="center"/>
          </w:tcPr>
          <w:p>
            <w:pPr>
              <w:pStyle w:val="16"/>
            </w:pPr>
            <w:r>
              <w:rPr>
                <w:rFonts w:hint="eastAsia"/>
              </w:rPr>
              <w:t>其他政协事务支出</w:t>
            </w:r>
          </w:p>
        </w:tc>
        <w:tc>
          <w:tcPr>
            <w:tcW w:w="1134" w:type="dxa"/>
            <w:vAlign w:val="center"/>
          </w:tcPr>
          <w:p>
            <w:pPr>
              <w:pStyle w:val="15"/>
            </w:pPr>
            <w:r>
              <w:t>45.00</w:t>
            </w:r>
          </w:p>
        </w:tc>
        <w:tc>
          <w:tcPr>
            <w:tcW w:w="1134" w:type="dxa"/>
            <w:vAlign w:val="center"/>
          </w:tcPr>
          <w:p>
            <w:pPr>
              <w:pStyle w:val="15"/>
            </w:pPr>
            <w:r>
              <w:t>45.00</w:t>
            </w:r>
          </w:p>
        </w:tc>
        <w:tc>
          <w:tcPr>
            <w:tcW w:w="1134" w:type="dxa"/>
            <w:vAlign w:val="center"/>
          </w:tcPr>
          <w:p>
            <w:pPr>
              <w:pStyle w:val="15"/>
            </w:pPr>
            <w:r>
              <w:t>45.00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w:t>
            </w:r>
          </w:p>
        </w:tc>
        <w:tc>
          <w:tcPr>
            <w:tcW w:w="1559" w:type="dxa"/>
            <w:vAlign w:val="center"/>
          </w:tcPr>
          <w:p>
            <w:pPr>
              <w:pStyle w:val="16"/>
            </w:pPr>
            <w:r>
              <w:rPr>
                <w:rFonts w:hint="eastAsia"/>
              </w:rPr>
              <w:t>社会保障和就业支出</w:t>
            </w:r>
          </w:p>
        </w:tc>
        <w:tc>
          <w:tcPr>
            <w:tcW w:w="1134" w:type="dxa"/>
            <w:vAlign w:val="center"/>
          </w:tcPr>
          <w:p>
            <w:pPr>
              <w:pStyle w:val="15"/>
            </w:pPr>
            <w:r>
              <w:t>84.96</w:t>
            </w:r>
          </w:p>
        </w:tc>
        <w:tc>
          <w:tcPr>
            <w:tcW w:w="1134" w:type="dxa"/>
            <w:vAlign w:val="center"/>
          </w:tcPr>
          <w:p>
            <w:pPr>
              <w:pStyle w:val="15"/>
            </w:pPr>
            <w:r>
              <w:t>84.96</w:t>
            </w:r>
          </w:p>
        </w:tc>
        <w:tc>
          <w:tcPr>
            <w:tcW w:w="1134" w:type="dxa"/>
            <w:vAlign w:val="center"/>
          </w:tcPr>
          <w:p>
            <w:pPr>
              <w:pStyle w:val="15"/>
            </w:pPr>
            <w:r>
              <w:t>84.96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20805</w:t>
            </w:r>
          </w:p>
        </w:tc>
        <w:tc>
          <w:tcPr>
            <w:tcW w:w="1559" w:type="dxa"/>
            <w:vAlign w:val="center"/>
          </w:tcPr>
          <w:p>
            <w:pPr>
              <w:pStyle w:val="16"/>
            </w:pPr>
            <w:r>
              <w:rPr>
                <w:rFonts w:hint="eastAsia"/>
              </w:rPr>
              <w:t>行政事业单位养老支出</w:t>
            </w:r>
          </w:p>
        </w:tc>
        <w:tc>
          <w:tcPr>
            <w:tcW w:w="1134" w:type="dxa"/>
            <w:vAlign w:val="center"/>
          </w:tcPr>
          <w:p>
            <w:pPr>
              <w:pStyle w:val="15"/>
            </w:pPr>
            <w:r>
              <w:t>83.38</w:t>
            </w:r>
          </w:p>
        </w:tc>
        <w:tc>
          <w:tcPr>
            <w:tcW w:w="1134" w:type="dxa"/>
            <w:vAlign w:val="center"/>
          </w:tcPr>
          <w:p>
            <w:pPr>
              <w:pStyle w:val="15"/>
            </w:pPr>
            <w:r>
              <w:t>83.38</w:t>
            </w:r>
          </w:p>
        </w:tc>
        <w:tc>
          <w:tcPr>
            <w:tcW w:w="1134" w:type="dxa"/>
            <w:vAlign w:val="center"/>
          </w:tcPr>
          <w:p>
            <w:pPr>
              <w:pStyle w:val="15"/>
            </w:pPr>
            <w:r>
              <w:t>83.38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2080501</w:t>
            </w:r>
          </w:p>
        </w:tc>
        <w:tc>
          <w:tcPr>
            <w:tcW w:w="1559" w:type="dxa"/>
            <w:vAlign w:val="center"/>
          </w:tcPr>
          <w:p>
            <w:pPr>
              <w:pStyle w:val="16"/>
            </w:pPr>
            <w:r>
              <w:rPr>
                <w:rFonts w:hint="eastAsia"/>
              </w:rPr>
              <w:t>行政单位离退休</w:t>
            </w:r>
          </w:p>
        </w:tc>
        <w:tc>
          <w:tcPr>
            <w:tcW w:w="1134" w:type="dxa"/>
            <w:vAlign w:val="center"/>
          </w:tcPr>
          <w:p>
            <w:pPr>
              <w:pStyle w:val="15"/>
            </w:pPr>
            <w:r>
              <w:t>54.12</w:t>
            </w:r>
          </w:p>
        </w:tc>
        <w:tc>
          <w:tcPr>
            <w:tcW w:w="1134" w:type="dxa"/>
            <w:vAlign w:val="center"/>
          </w:tcPr>
          <w:p>
            <w:pPr>
              <w:pStyle w:val="15"/>
            </w:pPr>
            <w:r>
              <w:t>54.12</w:t>
            </w:r>
          </w:p>
        </w:tc>
        <w:tc>
          <w:tcPr>
            <w:tcW w:w="1134" w:type="dxa"/>
            <w:vAlign w:val="center"/>
          </w:tcPr>
          <w:p>
            <w:pPr>
              <w:pStyle w:val="15"/>
            </w:pPr>
            <w:r>
              <w:t>54.12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2080505</w:t>
            </w:r>
          </w:p>
        </w:tc>
        <w:tc>
          <w:tcPr>
            <w:tcW w:w="1559" w:type="dxa"/>
            <w:vAlign w:val="center"/>
          </w:tcPr>
          <w:p>
            <w:pPr>
              <w:pStyle w:val="16"/>
            </w:pPr>
            <w:r>
              <w:rPr>
                <w:rFonts w:hint="eastAsia"/>
              </w:rPr>
              <w:t>机关事业单位基本养老保险缴费支出</w:t>
            </w:r>
          </w:p>
        </w:tc>
        <w:tc>
          <w:tcPr>
            <w:tcW w:w="1134" w:type="dxa"/>
            <w:vAlign w:val="center"/>
          </w:tcPr>
          <w:p>
            <w:pPr>
              <w:pStyle w:val="15"/>
            </w:pPr>
            <w:r>
              <w:t>29.26</w:t>
            </w:r>
          </w:p>
        </w:tc>
        <w:tc>
          <w:tcPr>
            <w:tcW w:w="1134" w:type="dxa"/>
            <w:vAlign w:val="center"/>
          </w:tcPr>
          <w:p>
            <w:pPr>
              <w:pStyle w:val="15"/>
            </w:pPr>
            <w:r>
              <w:t>29.26</w:t>
            </w:r>
          </w:p>
        </w:tc>
        <w:tc>
          <w:tcPr>
            <w:tcW w:w="1134" w:type="dxa"/>
            <w:vAlign w:val="center"/>
          </w:tcPr>
          <w:p>
            <w:pPr>
              <w:pStyle w:val="15"/>
            </w:pPr>
            <w:r>
              <w:t>29.26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20808</w:t>
            </w:r>
          </w:p>
        </w:tc>
        <w:tc>
          <w:tcPr>
            <w:tcW w:w="1559" w:type="dxa"/>
            <w:vAlign w:val="center"/>
          </w:tcPr>
          <w:p>
            <w:pPr>
              <w:pStyle w:val="16"/>
            </w:pPr>
            <w:r>
              <w:rPr>
                <w:rFonts w:hint="eastAsia"/>
              </w:rPr>
              <w:t>抚恤</w:t>
            </w:r>
          </w:p>
        </w:tc>
        <w:tc>
          <w:tcPr>
            <w:tcW w:w="1134" w:type="dxa"/>
            <w:vAlign w:val="center"/>
          </w:tcPr>
          <w:p>
            <w:pPr>
              <w:pStyle w:val="15"/>
            </w:pPr>
            <w:r>
              <w:t>1.58</w:t>
            </w:r>
          </w:p>
        </w:tc>
        <w:tc>
          <w:tcPr>
            <w:tcW w:w="1134" w:type="dxa"/>
            <w:vAlign w:val="center"/>
          </w:tcPr>
          <w:p>
            <w:pPr>
              <w:pStyle w:val="15"/>
            </w:pPr>
            <w:r>
              <w:t>1.58</w:t>
            </w:r>
          </w:p>
        </w:tc>
        <w:tc>
          <w:tcPr>
            <w:tcW w:w="1134" w:type="dxa"/>
            <w:vAlign w:val="center"/>
          </w:tcPr>
          <w:p>
            <w:pPr>
              <w:pStyle w:val="15"/>
            </w:pPr>
            <w:r>
              <w:t>1.58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2080899</w:t>
            </w:r>
          </w:p>
        </w:tc>
        <w:tc>
          <w:tcPr>
            <w:tcW w:w="1559" w:type="dxa"/>
            <w:vAlign w:val="center"/>
          </w:tcPr>
          <w:p>
            <w:pPr>
              <w:pStyle w:val="16"/>
            </w:pPr>
            <w:r>
              <w:rPr>
                <w:rFonts w:hint="eastAsia"/>
              </w:rPr>
              <w:t>其他优抚支出</w:t>
            </w:r>
          </w:p>
        </w:tc>
        <w:tc>
          <w:tcPr>
            <w:tcW w:w="1134" w:type="dxa"/>
            <w:vAlign w:val="center"/>
          </w:tcPr>
          <w:p>
            <w:pPr>
              <w:pStyle w:val="15"/>
            </w:pPr>
            <w:r>
              <w:t>1.58</w:t>
            </w:r>
          </w:p>
        </w:tc>
        <w:tc>
          <w:tcPr>
            <w:tcW w:w="1134" w:type="dxa"/>
            <w:vAlign w:val="center"/>
          </w:tcPr>
          <w:p>
            <w:pPr>
              <w:pStyle w:val="15"/>
            </w:pPr>
            <w:r>
              <w:t>1.58</w:t>
            </w:r>
          </w:p>
        </w:tc>
        <w:tc>
          <w:tcPr>
            <w:tcW w:w="1134" w:type="dxa"/>
            <w:vAlign w:val="center"/>
          </w:tcPr>
          <w:p>
            <w:pPr>
              <w:pStyle w:val="15"/>
            </w:pPr>
            <w:r>
              <w:t>1.58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210</w:t>
            </w:r>
          </w:p>
        </w:tc>
        <w:tc>
          <w:tcPr>
            <w:tcW w:w="1559" w:type="dxa"/>
            <w:vAlign w:val="center"/>
          </w:tcPr>
          <w:p>
            <w:pPr>
              <w:pStyle w:val="16"/>
            </w:pPr>
            <w:r>
              <w:rPr>
                <w:rFonts w:hint="eastAsia"/>
              </w:rPr>
              <w:t>卫生健康支出</w:t>
            </w:r>
          </w:p>
        </w:tc>
        <w:tc>
          <w:tcPr>
            <w:tcW w:w="1134" w:type="dxa"/>
            <w:vAlign w:val="center"/>
          </w:tcPr>
          <w:p>
            <w:pPr>
              <w:pStyle w:val="15"/>
            </w:pPr>
            <w:r>
              <w:t>38.45</w:t>
            </w:r>
          </w:p>
        </w:tc>
        <w:tc>
          <w:tcPr>
            <w:tcW w:w="1134" w:type="dxa"/>
            <w:vAlign w:val="center"/>
          </w:tcPr>
          <w:p>
            <w:pPr>
              <w:pStyle w:val="15"/>
            </w:pPr>
            <w:r>
              <w:t>38.45</w:t>
            </w:r>
          </w:p>
        </w:tc>
        <w:tc>
          <w:tcPr>
            <w:tcW w:w="1134" w:type="dxa"/>
            <w:vAlign w:val="center"/>
          </w:tcPr>
          <w:p>
            <w:pPr>
              <w:pStyle w:val="15"/>
            </w:pPr>
            <w:r>
              <w:t>38.45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21011</w:t>
            </w:r>
          </w:p>
        </w:tc>
        <w:tc>
          <w:tcPr>
            <w:tcW w:w="1559" w:type="dxa"/>
            <w:vAlign w:val="center"/>
          </w:tcPr>
          <w:p>
            <w:pPr>
              <w:pStyle w:val="16"/>
            </w:pPr>
            <w:r>
              <w:rPr>
                <w:rFonts w:hint="eastAsia"/>
              </w:rPr>
              <w:t>行政事业单位医疗</w:t>
            </w:r>
          </w:p>
        </w:tc>
        <w:tc>
          <w:tcPr>
            <w:tcW w:w="1134" w:type="dxa"/>
            <w:vAlign w:val="center"/>
          </w:tcPr>
          <w:p>
            <w:pPr>
              <w:pStyle w:val="15"/>
            </w:pPr>
            <w:r>
              <w:t>38.45</w:t>
            </w:r>
          </w:p>
        </w:tc>
        <w:tc>
          <w:tcPr>
            <w:tcW w:w="1134" w:type="dxa"/>
            <w:vAlign w:val="center"/>
          </w:tcPr>
          <w:p>
            <w:pPr>
              <w:pStyle w:val="15"/>
            </w:pPr>
            <w:r>
              <w:t>38.45</w:t>
            </w:r>
          </w:p>
        </w:tc>
        <w:tc>
          <w:tcPr>
            <w:tcW w:w="1134" w:type="dxa"/>
            <w:vAlign w:val="center"/>
          </w:tcPr>
          <w:p>
            <w:pPr>
              <w:pStyle w:val="15"/>
            </w:pPr>
            <w:r>
              <w:t>38.45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2101101</w:t>
            </w:r>
          </w:p>
        </w:tc>
        <w:tc>
          <w:tcPr>
            <w:tcW w:w="1559" w:type="dxa"/>
            <w:vAlign w:val="center"/>
          </w:tcPr>
          <w:p>
            <w:pPr>
              <w:pStyle w:val="16"/>
            </w:pPr>
            <w:r>
              <w:rPr>
                <w:rFonts w:hint="eastAsia"/>
              </w:rPr>
              <w:t>行政单位医疗</w:t>
            </w:r>
          </w:p>
        </w:tc>
        <w:tc>
          <w:tcPr>
            <w:tcW w:w="1134" w:type="dxa"/>
            <w:vAlign w:val="center"/>
          </w:tcPr>
          <w:p>
            <w:pPr>
              <w:pStyle w:val="15"/>
            </w:pPr>
            <w:r>
              <w:t>11.69</w:t>
            </w:r>
          </w:p>
        </w:tc>
        <w:tc>
          <w:tcPr>
            <w:tcW w:w="1134" w:type="dxa"/>
            <w:vAlign w:val="center"/>
          </w:tcPr>
          <w:p>
            <w:pPr>
              <w:pStyle w:val="15"/>
            </w:pPr>
            <w:r>
              <w:t>11.69</w:t>
            </w:r>
          </w:p>
        </w:tc>
        <w:tc>
          <w:tcPr>
            <w:tcW w:w="1134" w:type="dxa"/>
            <w:vAlign w:val="center"/>
          </w:tcPr>
          <w:p>
            <w:pPr>
              <w:pStyle w:val="15"/>
            </w:pPr>
            <w:r>
              <w:t>11.69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2101103</w:t>
            </w:r>
          </w:p>
        </w:tc>
        <w:tc>
          <w:tcPr>
            <w:tcW w:w="1559" w:type="dxa"/>
            <w:vAlign w:val="center"/>
          </w:tcPr>
          <w:p>
            <w:pPr>
              <w:pStyle w:val="16"/>
            </w:pPr>
            <w:r>
              <w:rPr>
                <w:rFonts w:hint="eastAsia"/>
              </w:rPr>
              <w:t>公务员医疗补助</w:t>
            </w:r>
          </w:p>
        </w:tc>
        <w:tc>
          <w:tcPr>
            <w:tcW w:w="1134" w:type="dxa"/>
            <w:vAlign w:val="center"/>
          </w:tcPr>
          <w:p>
            <w:pPr>
              <w:pStyle w:val="15"/>
            </w:pPr>
            <w:r>
              <w:t>26.76</w:t>
            </w:r>
          </w:p>
        </w:tc>
        <w:tc>
          <w:tcPr>
            <w:tcW w:w="1134" w:type="dxa"/>
            <w:vAlign w:val="center"/>
          </w:tcPr>
          <w:p>
            <w:pPr>
              <w:pStyle w:val="15"/>
            </w:pPr>
            <w:r>
              <w:t>26.76</w:t>
            </w:r>
          </w:p>
        </w:tc>
        <w:tc>
          <w:tcPr>
            <w:tcW w:w="1134" w:type="dxa"/>
            <w:vAlign w:val="center"/>
          </w:tcPr>
          <w:p>
            <w:pPr>
              <w:pStyle w:val="15"/>
            </w:pPr>
            <w:r>
              <w:t>26.76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221</w:t>
            </w:r>
          </w:p>
        </w:tc>
        <w:tc>
          <w:tcPr>
            <w:tcW w:w="1559" w:type="dxa"/>
            <w:vAlign w:val="center"/>
          </w:tcPr>
          <w:p>
            <w:pPr>
              <w:pStyle w:val="16"/>
            </w:pPr>
            <w:r>
              <w:rPr>
                <w:rFonts w:hint="eastAsia"/>
              </w:rPr>
              <w:t>住房保障支出</w:t>
            </w:r>
          </w:p>
        </w:tc>
        <w:tc>
          <w:tcPr>
            <w:tcW w:w="1134" w:type="dxa"/>
            <w:vAlign w:val="center"/>
          </w:tcPr>
          <w:p>
            <w:pPr>
              <w:pStyle w:val="15"/>
            </w:pPr>
            <w:r>
              <w:t>22.29</w:t>
            </w:r>
          </w:p>
        </w:tc>
        <w:tc>
          <w:tcPr>
            <w:tcW w:w="1134" w:type="dxa"/>
            <w:vAlign w:val="center"/>
          </w:tcPr>
          <w:p>
            <w:pPr>
              <w:pStyle w:val="15"/>
            </w:pPr>
            <w:r>
              <w:t>22.29</w:t>
            </w:r>
          </w:p>
        </w:tc>
        <w:tc>
          <w:tcPr>
            <w:tcW w:w="1134" w:type="dxa"/>
            <w:vAlign w:val="center"/>
          </w:tcPr>
          <w:p>
            <w:pPr>
              <w:pStyle w:val="15"/>
            </w:pPr>
            <w:r>
              <w:t>22.29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22102</w:t>
            </w:r>
          </w:p>
        </w:tc>
        <w:tc>
          <w:tcPr>
            <w:tcW w:w="1559" w:type="dxa"/>
            <w:vAlign w:val="center"/>
          </w:tcPr>
          <w:p>
            <w:pPr>
              <w:pStyle w:val="16"/>
            </w:pPr>
            <w:r>
              <w:rPr>
                <w:rFonts w:hint="eastAsia"/>
              </w:rPr>
              <w:t>住房改革支出</w:t>
            </w:r>
          </w:p>
        </w:tc>
        <w:tc>
          <w:tcPr>
            <w:tcW w:w="1134" w:type="dxa"/>
            <w:vAlign w:val="center"/>
          </w:tcPr>
          <w:p>
            <w:pPr>
              <w:pStyle w:val="15"/>
            </w:pPr>
            <w:r>
              <w:t>22.29</w:t>
            </w:r>
          </w:p>
        </w:tc>
        <w:tc>
          <w:tcPr>
            <w:tcW w:w="1134" w:type="dxa"/>
            <w:vAlign w:val="center"/>
          </w:tcPr>
          <w:p>
            <w:pPr>
              <w:pStyle w:val="15"/>
            </w:pPr>
            <w:r>
              <w:t>22.29</w:t>
            </w:r>
          </w:p>
        </w:tc>
        <w:tc>
          <w:tcPr>
            <w:tcW w:w="1134" w:type="dxa"/>
            <w:vAlign w:val="center"/>
          </w:tcPr>
          <w:p>
            <w:pPr>
              <w:pStyle w:val="15"/>
            </w:pPr>
            <w:r>
              <w:t>22.29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2210201</w:t>
            </w:r>
          </w:p>
        </w:tc>
        <w:tc>
          <w:tcPr>
            <w:tcW w:w="1559" w:type="dxa"/>
            <w:vAlign w:val="center"/>
          </w:tcPr>
          <w:p>
            <w:pPr>
              <w:pStyle w:val="16"/>
            </w:pPr>
            <w:r>
              <w:rPr>
                <w:rFonts w:hint="eastAsia"/>
              </w:rPr>
              <w:t>住房公积金</w:t>
            </w:r>
          </w:p>
        </w:tc>
        <w:tc>
          <w:tcPr>
            <w:tcW w:w="1134" w:type="dxa"/>
            <w:vAlign w:val="center"/>
          </w:tcPr>
          <w:p>
            <w:pPr>
              <w:pStyle w:val="15"/>
            </w:pPr>
            <w:r>
              <w:t>22.29</w:t>
            </w:r>
          </w:p>
        </w:tc>
        <w:tc>
          <w:tcPr>
            <w:tcW w:w="1134" w:type="dxa"/>
            <w:vAlign w:val="center"/>
          </w:tcPr>
          <w:p>
            <w:pPr>
              <w:pStyle w:val="15"/>
            </w:pPr>
            <w:r>
              <w:t>22.29</w:t>
            </w:r>
          </w:p>
        </w:tc>
        <w:tc>
          <w:tcPr>
            <w:tcW w:w="1134" w:type="dxa"/>
            <w:vAlign w:val="center"/>
          </w:tcPr>
          <w:p>
            <w:pPr>
              <w:pStyle w:val="15"/>
            </w:pPr>
            <w:r>
              <w:t>22.29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26" w:name="_Toc7467_WPSOffice_Level1"/>
      <w:r>
        <w:rPr>
          <w:rFonts w:hint="eastAsia" w:ascii="方正小标宋_GBK" w:hAnsi="方正小标宋_GBK" w:eastAsia="方正小标宋_GBK" w:cs="方正小标宋_GBK"/>
          <w:color w:val="000000"/>
          <w:sz w:val="36"/>
        </w:rPr>
        <w:t>单位预算支出总表</w:t>
      </w:r>
      <w:bookmarkEnd w:id="2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131001</w:t>
            </w:r>
            <w:r>
              <w:rPr>
                <w:rFonts w:hint="eastAsia"/>
              </w:rPr>
              <w:t>政协单位中国人民政治协商会议河北省秦皇岛市山海关区委员会本级</w:t>
            </w:r>
          </w:p>
        </w:tc>
        <w:tc>
          <w:tcPr>
            <w:tcW w:w="2721" w:type="dxa"/>
            <w:gridSpan w:val="2"/>
            <w:tcBorders>
              <w:top w:val="single" w:color="FFFFFF" w:sz="6" w:space="0"/>
              <w:left w:val="single" w:color="FFFFFF" w:sz="6" w:space="0"/>
              <w:right w:val="single" w:color="FFFFFF" w:sz="6" w:space="0"/>
            </w:tcBorders>
            <w:vAlign w:val="center"/>
          </w:tcPr>
          <w:p>
            <w:pPr>
              <w:pStyle w:val="12"/>
            </w:pPr>
            <w:r>
              <w:rPr>
                <w:rFonts w:hint="eastAsia"/>
              </w:rPr>
              <w:t>预算年度：</w:t>
            </w:r>
            <w:r>
              <w:t>2023</w:t>
            </w:r>
          </w:p>
        </w:tc>
        <w:tc>
          <w:tcPr>
            <w:tcW w:w="5443" w:type="dxa"/>
            <w:gridSpan w:val="4"/>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528" w:type="dxa"/>
            <w:gridSpan w:val="2"/>
            <w:vAlign w:val="center"/>
          </w:tcPr>
          <w:p>
            <w:pPr>
              <w:pStyle w:val="14"/>
            </w:pPr>
            <w:r>
              <w:rPr>
                <w:rFonts w:hint="eastAsia"/>
              </w:rPr>
              <w:t>功能分类科目</w:t>
            </w:r>
          </w:p>
        </w:tc>
        <w:tc>
          <w:tcPr>
            <w:tcW w:w="1361" w:type="dxa"/>
            <w:vMerge w:val="restart"/>
            <w:vAlign w:val="center"/>
          </w:tcPr>
          <w:p>
            <w:pPr>
              <w:pStyle w:val="14"/>
            </w:pPr>
            <w:r>
              <w:rPr>
                <w:rFonts w:hint="eastAsia"/>
              </w:rPr>
              <w:t>合计</w:t>
            </w:r>
          </w:p>
        </w:tc>
        <w:tc>
          <w:tcPr>
            <w:tcW w:w="1361" w:type="dxa"/>
            <w:vMerge w:val="restart"/>
            <w:vAlign w:val="center"/>
          </w:tcPr>
          <w:p>
            <w:pPr>
              <w:pStyle w:val="14"/>
            </w:pPr>
            <w:r>
              <w:rPr>
                <w:rFonts w:hint="eastAsia"/>
              </w:rPr>
              <w:t>基本支出</w:t>
            </w:r>
          </w:p>
        </w:tc>
        <w:tc>
          <w:tcPr>
            <w:tcW w:w="1361" w:type="dxa"/>
            <w:vMerge w:val="restart"/>
            <w:vAlign w:val="center"/>
          </w:tcPr>
          <w:p>
            <w:pPr>
              <w:pStyle w:val="14"/>
            </w:pPr>
            <w:r>
              <w:rPr>
                <w:rFonts w:hint="eastAsia"/>
              </w:rPr>
              <w:t>项目支出</w:t>
            </w:r>
          </w:p>
        </w:tc>
        <w:tc>
          <w:tcPr>
            <w:tcW w:w="1361" w:type="dxa"/>
            <w:vMerge w:val="restart"/>
            <w:vAlign w:val="center"/>
          </w:tcPr>
          <w:p>
            <w:pPr>
              <w:pStyle w:val="14"/>
            </w:pPr>
            <w:r>
              <w:rPr>
                <w:rFonts w:hint="eastAsia"/>
              </w:rPr>
              <w:t>经营支出</w:t>
            </w:r>
          </w:p>
        </w:tc>
        <w:tc>
          <w:tcPr>
            <w:tcW w:w="1361" w:type="dxa"/>
            <w:vMerge w:val="restart"/>
            <w:vAlign w:val="center"/>
          </w:tcPr>
          <w:p>
            <w:pPr>
              <w:pStyle w:val="14"/>
            </w:pPr>
            <w:r>
              <w:rPr>
                <w:rFonts w:hint="eastAsia"/>
              </w:rPr>
              <w:t>上解上级</w:t>
            </w:r>
            <w:r>
              <w:t xml:space="preserve">     </w:t>
            </w:r>
            <w:r>
              <w:rPr>
                <w:rFonts w:hint="eastAsia"/>
              </w:rPr>
              <w:t>支出</w:t>
            </w:r>
          </w:p>
        </w:tc>
        <w:tc>
          <w:tcPr>
            <w:tcW w:w="1361" w:type="dxa"/>
            <w:vMerge w:val="restart"/>
            <w:vAlign w:val="center"/>
          </w:tcPr>
          <w:p>
            <w:pPr>
              <w:pStyle w:val="14"/>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rPr>
                <w:rFonts w:hint="eastAsia"/>
              </w:rPr>
              <w:t>科目</w:t>
            </w:r>
            <w:r>
              <w:t xml:space="preserve">    </w:t>
            </w:r>
            <w:r>
              <w:rPr>
                <w:rFonts w:hint="eastAsia"/>
              </w:rPr>
              <w:t>编码</w:t>
            </w:r>
          </w:p>
        </w:tc>
        <w:tc>
          <w:tcPr>
            <w:tcW w:w="4535" w:type="dxa"/>
            <w:vAlign w:val="center"/>
          </w:tcPr>
          <w:p>
            <w:pPr>
              <w:pStyle w:val="14"/>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rPr>
                <w:rFonts w:hint="eastAsia"/>
              </w:rPr>
              <w:t>合计</w:t>
            </w:r>
          </w:p>
        </w:tc>
        <w:tc>
          <w:tcPr>
            <w:tcW w:w="1361" w:type="dxa"/>
            <w:vAlign w:val="center"/>
          </w:tcPr>
          <w:p>
            <w:pPr>
              <w:pStyle w:val="19"/>
            </w:pPr>
            <w:r>
              <w:t>442.30</w:t>
            </w:r>
          </w:p>
        </w:tc>
        <w:tc>
          <w:tcPr>
            <w:tcW w:w="1361" w:type="dxa"/>
            <w:vAlign w:val="center"/>
          </w:tcPr>
          <w:p>
            <w:pPr>
              <w:pStyle w:val="19"/>
            </w:pPr>
            <w:r>
              <w:t>376.50</w:t>
            </w:r>
          </w:p>
        </w:tc>
        <w:tc>
          <w:tcPr>
            <w:tcW w:w="1361" w:type="dxa"/>
            <w:vAlign w:val="center"/>
          </w:tcPr>
          <w:p>
            <w:pPr>
              <w:pStyle w:val="19"/>
            </w:pPr>
            <w:r>
              <w:t>65.80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5" w:type="dxa"/>
            <w:vAlign w:val="center"/>
          </w:tcPr>
          <w:p>
            <w:pPr>
              <w:pStyle w:val="16"/>
            </w:pPr>
            <w:r>
              <w:rPr>
                <w:rFonts w:hint="eastAsia"/>
              </w:rPr>
              <w:t>一般公共服务支出</w:t>
            </w:r>
          </w:p>
        </w:tc>
        <w:tc>
          <w:tcPr>
            <w:tcW w:w="1361" w:type="dxa"/>
            <w:vAlign w:val="center"/>
          </w:tcPr>
          <w:p>
            <w:pPr>
              <w:pStyle w:val="15"/>
            </w:pPr>
            <w:r>
              <w:t>296.61</w:t>
            </w:r>
          </w:p>
        </w:tc>
        <w:tc>
          <w:tcPr>
            <w:tcW w:w="1361" w:type="dxa"/>
            <w:vAlign w:val="center"/>
          </w:tcPr>
          <w:p>
            <w:pPr>
              <w:pStyle w:val="15"/>
            </w:pPr>
            <w:r>
              <w:t>230.81</w:t>
            </w:r>
          </w:p>
        </w:tc>
        <w:tc>
          <w:tcPr>
            <w:tcW w:w="1361" w:type="dxa"/>
            <w:vAlign w:val="center"/>
          </w:tcPr>
          <w:p>
            <w:pPr>
              <w:pStyle w:val="15"/>
            </w:pPr>
            <w:r>
              <w:t>65.80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20102</w:t>
            </w:r>
          </w:p>
        </w:tc>
        <w:tc>
          <w:tcPr>
            <w:tcW w:w="4535" w:type="dxa"/>
            <w:vAlign w:val="center"/>
          </w:tcPr>
          <w:p>
            <w:pPr>
              <w:pStyle w:val="16"/>
            </w:pPr>
            <w:r>
              <w:rPr>
                <w:rFonts w:hint="eastAsia"/>
              </w:rPr>
              <w:t>政协事务</w:t>
            </w:r>
          </w:p>
        </w:tc>
        <w:tc>
          <w:tcPr>
            <w:tcW w:w="1361" w:type="dxa"/>
            <w:vAlign w:val="center"/>
          </w:tcPr>
          <w:p>
            <w:pPr>
              <w:pStyle w:val="15"/>
            </w:pPr>
            <w:r>
              <w:t>296.61</w:t>
            </w:r>
          </w:p>
        </w:tc>
        <w:tc>
          <w:tcPr>
            <w:tcW w:w="1361" w:type="dxa"/>
            <w:vAlign w:val="center"/>
          </w:tcPr>
          <w:p>
            <w:pPr>
              <w:pStyle w:val="15"/>
            </w:pPr>
            <w:r>
              <w:t>230.81</w:t>
            </w:r>
          </w:p>
        </w:tc>
        <w:tc>
          <w:tcPr>
            <w:tcW w:w="1361" w:type="dxa"/>
            <w:vAlign w:val="center"/>
          </w:tcPr>
          <w:p>
            <w:pPr>
              <w:pStyle w:val="15"/>
            </w:pPr>
            <w:r>
              <w:t>65.80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2010201</w:t>
            </w:r>
          </w:p>
        </w:tc>
        <w:tc>
          <w:tcPr>
            <w:tcW w:w="4535" w:type="dxa"/>
            <w:vAlign w:val="center"/>
          </w:tcPr>
          <w:p>
            <w:pPr>
              <w:pStyle w:val="16"/>
            </w:pPr>
            <w:r>
              <w:rPr>
                <w:rFonts w:hint="eastAsia"/>
              </w:rPr>
              <w:t>行政运行</w:t>
            </w:r>
          </w:p>
        </w:tc>
        <w:tc>
          <w:tcPr>
            <w:tcW w:w="1361" w:type="dxa"/>
            <w:vAlign w:val="center"/>
          </w:tcPr>
          <w:p>
            <w:pPr>
              <w:pStyle w:val="15"/>
            </w:pPr>
            <w:r>
              <w:t>231.61</w:t>
            </w:r>
          </w:p>
        </w:tc>
        <w:tc>
          <w:tcPr>
            <w:tcW w:w="1361" w:type="dxa"/>
            <w:vAlign w:val="center"/>
          </w:tcPr>
          <w:p>
            <w:pPr>
              <w:pStyle w:val="15"/>
            </w:pPr>
            <w:r>
              <w:t>230.81</w:t>
            </w:r>
          </w:p>
        </w:tc>
        <w:tc>
          <w:tcPr>
            <w:tcW w:w="1361" w:type="dxa"/>
            <w:vAlign w:val="center"/>
          </w:tcPr>
          <w:p>
            <w:pPr>
              <w:pStyle w:val="15"/>
            </w:pPr>
            <w:r>
              <w:t>0.80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2010204</w:t>
            </w:r>
          </w:p>
        </w:tc>
        <w:tc>
          <w:tcPr>
            <w:tcW w:w="4535" w:type="dxa"/>
            <w:vAlign w:val="center"/>
          </w:tcPr>
          <w:p>
            <w:pPr>
              <w:pStyle w:val="16"/>
            </w:pPr>
            <w:r>
              <w:rPr>
                <w:rFonts w:hint="eastAsia"/>
              </w:rPr>
              <w:t>政协会议</w:t>
            </w:r>
          </w:p>
        </w:tc>
        <w:tc>
          <w:tcPr>
            <w:tcW w:w="1361" w:type="dxa"/>
            <w:vAlign w:val="center"/>
          </w:tcPr>
          <w:p>
            <w:pPr>
              <w:pStyle w:val="15"/>
            </w:pPr>
            <w:r>
              <w:t>20.00</w:t>
            </w:r>
          </w:p>
        </w:tc>
        <w:tc>
          <w:tcPr>
            <w:tcW w:w="1361" w:type="dxa"/>
            <w:vAlign w:val="center"/>
          </w:tcPr>
          <w:p>
            <w:pPr>
              <w:pStyle w:val="15"/>
            </w:pPr>
          </w:p>
        </w:tc>
        <w:tc>
          <w:tcPr>
            <w:tcW w:w="1361" w:type="dxa"/>
            <w:vAlign w:val="center"/>
          </w:tcPr>
          <w:p>
            <w:pPr>
              <w:pStyle w:val="15"/>
            </w:pPr>
            <w:r>
              <w:t>20.00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2010299</w:t>
            </w:r>
          </w:p>
        </w:tc>
        <w:tc>
          <w:tcPr>
            <w:tcW w:w="4535" w:type="dxa"/>
            <w:vAlign w:val="center"/>
          </w:tcPr>
          <w:p>
            <w:pPr>
              <w:pStyle w:val="16"/>
            </w:pPr>
            <w:r>
              <w:rPr>
                <w:rFonts w:hint="eastAsia"/>
              </w:rPr>
              <w:t>其他政协事务支出</w:t>
            </w:r>
          </w:p>
        </w:tc>
        <w:tc>
          <w:tcPr>
            <w:tcW w:w="1361" w:type="dxa"/>
            <w:vAlign w:val="center"/>
          </w:tcPr>
          <w:p>
            <w:pPr>
              <w:pStyle w:val="15"/>
            </w:pPr>
            <w:r>
              <w:t>45.00</w:t>
            </w:r>
          </w:p>
        </w:tc>
        <w:tc>
          <w:tcPr>
            <w:tcW w:w="1361" w:type="dxa"/>
            <w:vAlign w:val="center"/>
          </w:tcPr>
          <w:p>
            <w:pPr>
              <w:pStyle w:val="15"/>
            </w:pPr>
          </w:p>
        </w:tc>
        <w:tc>
          <w:tcPr>
            <w:tcW w:w="1361" w:type="dxa"/>
            <w:vAlign w:val="center"/>
          </w:tcPr>
          <w:p>
            <w:pPr>
              <w:pStyle w:val="15"/>
            </w:pPr>
            <w:r>
              <w:t>45.00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w:t>
            </w:r>
          </w:p>
        </w:tc>
        <w:tc>
          <w:tcPr>
            <w:tcW w:w="4535" w:type="dxa"/>
            <w:vAlign w:val="center"/>
          </w:tcPr>
          <w:p>
            <w:pPr>
              <w:pStyle w:val="16"/>
            </w:pPr>
            <w:r>
              <w:rPr>
                <w:rFonts w:hint="eastAsia"/>
              </w:rPr>
              <w:t>社会保障和就业支出</w:t>
            </w:r>
          </w:p>
        </w:tc>
        <w:tc>
          <w:tcPr>
            <w:tcW w:w="1361" w:type="dxa"/>
            <w:vAlign w:val="center"/>
          </w:tcPr>
          <w:p>
            <w:pPr>
              <w:pStyle w:val="15"/>
            </w:pPr>
            <w:r>
              <w:t>84.96</w:t>
            </w:r>
          </w:p>
        </w:tc>
        <w:tc>
          <w:tcPr>
            <w:tcW w:w="1361" w:type="dxa"/>
            <w:vAlign w:val="center"/>
          </w:tcPr>
          <w:p>
            <w:pPr>
              <w:pStyle w:val="15"/>
            </w:pPr>
            <w:r>
              <w:t>84.96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20805</w:t>
            </w:r>
          </w:p>
        </w:tc>
        <w:tc>
          <w:tcPr>
            <w:tcW w:w="4535" w:type="dxa"/>
            <w:vAlign w:val="center"/>
          </w:tcPr>
          <w:p>
            <w:pPr>
              <w:pStyle w:val="16"/>
            </w:pPr>
            <w:r>
              <w:rPr>
                <w:rFonts w:hint="eastAsia"/>
              </w:rPr>
              <w:t>行政事业单位养老支出</w:t>
            </w:r>
          </w:p>
        </w:tc>
        <w:tc>
          <w:tcPr>
            <w:tcW w:w="1361" w:type="dxa"/>
            <w:vAlign w:val="center"/>
          </w:tcPr>
          <w:p>
            <w:pPr>
              <w:pStyle w:val="15"/>
            </w:pPr>
            <w:r>
              <w:t>83.38</w:t>
            </w:r>
          </w:p>
        </w:tc>
        <w:tc>
          <w:tcPr>
            <w:tcW w:w="1361" w:type="dxa"/>
            <w:vAlign w:val="center"/>
          </w:tcPr>
          <w:p>
            <w:pPr>
              <w:pStyle w:val="15"/>
            </w:pPr>
            <w:r>
              <w:t>83.38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2080501</w:t>
            </w:r>
          </w:p>
        </w:tc>
        <w:tc>
          <w:tcPr>
            <w:tcW w:w="4535" w:type="dxa"/>
            <w:vAlign w:val="center"/>
          </w:tcPr>
          <w:p>
            <w:pPr>
              <w:pStyle w:val="16"/>
            </w:pPr>
            <w:r>
              <w:rPr>
                <w:rFonts w:hint="eastAsia"/>
              </w:rPr>
              <w:t>行政单位离退休</w:t>
            </w:r>
          </w:p>
        </w:tc>
        <w:tc>
          <w:tcPr>
            <w:tcW w:w="1361" w:type="dxa"/>
            <w:vAlign w:val="center"/>
          </w:tcPr>
          <w:p>
            <w:pPr>
              <w:pStyle w:val="15"/>
            </w:pPr>
            <w:r>
              <w:t>54.12</w:t>
            </w:r>
          </w:p>
        </w:tc>
        <w:tc>
          <w:tcPr>
            <w:tcW w:w="1361" w:type="dxa"/>
            <w:vAlign w:val="center"/>
          </w:tcPr>
          <w:p>
            <w:pPr>
              <w:pStyle w:val="15"/>
            </w:pPr>
            <w:r>
              <w:t>54.12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2080505</w:t>
            </w:r>
          </w:p>
        </w:tc>
        <w:tc>
          <w:tcPr>
            <w:tcW w:w="4535" w:type="dxa"/>
            <w:vAlign w:val="center"/>
          </w:tcPr>
          <w:p>
            <w:pPr>
              <w:pStyle w:val="16"/>
            </w:pPr>
            <w:r>
              <w:rPr>
                <w:rFonts w:hint="eastAsia"/>
              </w:rPr>
              <w:t>机关事业单位基本养老保险缴费支出</w:t>
            </w:r>
          </w:p>
        </w:tc>
        <w:tc>
          <w:tcPr>
            <w:tcW w:w="1361" w:type="dxa"/>
            <w:vAlign w:val="center"/>
          </w:tcPr>
          <w:p>
            <w:pPr>
              <w:pStyle w:val="15"/>
            </w:pPr>
            <w:r>
              <w:t>29.26</w:t>
            </w:r>
          </w:p>
        </w:tc>
        <w:tc>
          <w:tcPr>
            <w:tcW w:w="1361" w:type="dxa"/>
            <w:vAlign w:val="center"/>
          </w:tcPr>
          <w:p>
            <w:pPr>
              <w:pStyle w:val="15"/>
            </w:pPr>
            <w:r>
              <w:t>29.26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20808</w:t>
            </w:r>
          </w:p>
        </w:tc>
        <w:tc>
          <w:tcPr>
            <w:tcW w:w="4535" w:type="dxa"/>
            <w:vAlign w:val="center"/>
          </w:tcPr>
          <w:p>
            <w:pPr>
              <w:pStyle w:val="16"/>
            </w:pPr>
            <w:r>
              <w:rPr>
                <w:rFonts w:hint="eastAsia"/>
              </w:rPr>
              <w:t>抚恤</w:t>
            </w:r>
          </w:p>
        </w:tc>
        <w:tc>
          <w:tcPr>
            <w:tcW w:w="1361" w:type="dxa"/>
            <w:vAlign w:val="center"/>
          </w:tcPr>
          <w:p>
            <w:pPr>
              <w:pStyle w:val="15"/>
            </w:pPr>
            <w:r>
              <w:t>1.58</w:t>
            </w:r>
          </w:p>
        </w:tc>
        <w:tc>
          <w:tcPr>
            <w:tcW w:w="1361" w:type="dxa"/>
            <w:vAlign w:val="center"/>
          </w:tcPr>
          <w:p>
            <w:pPr>
              <w:pStyle w:val="15"/>
            </w:pPr>
            <w:r>
              <w:t>1.58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2080899</w:t>
            </w:r>
          </w:p>
        </w:tc>
        <w:tc>
          <w:tcPr>
            <w:tcW w:w="4535" w:type="dxa"/>
            <w:vAlign w:val="center"/>
          </w:tcPr>
          <w:p>
            <w:pPr>
              <w:pStyle w:val="16"/>
            </w:pPr>
            <w:r>
              <w:rPr>
                <w:rFonts w:hint="eastAsia"/>
              </w:rPr>
              <w:t>其他优抚支出</w:t>
            </w:r>
          </w:p>
        </w:tc>
        <w:tc>
          <w:tcPr>
            <w:tcW w:w="1361" w:type="dxa"/>
            <w:vAlign w:val="center"/>
          </w:tcPr>
          <w:p>
            <w:pPr>
              <w:pStyle w:val="15"/>
            </w:pPr>
            <w:r>
              <w:t>1.58</w:t>
            </w:r>
          </w:p>
        </w:tc>
        <w:tc>
          <w:tcPr>
            <w:tcW w:w="1361" w:type="dxa"/>
            <w:vAlign w:val="center"/>
          </w:tcPr>
          <w:p>
            <w:pPr>
              <w:pStyle w:val="15"/>
            </w:pPr>
            <w:r>
              <w:t>1.58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210</w:t>
            </w:r>
          </w:p>
        </w:tc>
        <w:tc>
          <w:tcPr>
            <w:tcW w:w="4535" w:type="dxa"/>
            <w:vAlign w:val="center"/>
          </w:tcPr>
          <w:p>
            <w:pPr>
              <w:pStyle w:val="16"/>
            </w:pPr>
            <w:r>
              <w:rPr>
                <w:rFonts w:hint="eastAsia"/>
              </w:rPr>
              <w:t>卫生健康支出</w:t>
            </w:r>
          </w:p>
        </w:tc>
        <w:tc>
          <w:tcPr>
            <w:tcW w:w="1361" w:type="dxa"/>
            <w:vAlign w:val="center"/>
          </w:tcPr>
          <w:p>
            <w:pPr>
              <w:pStyle w:val="15"/>
            </w:pPr>
            <w:r>
              <w:t>38.45</w:t>
            </w:r>
          </w:p>
        </w:tc>
        <w:tc>
          <w:tcPr>
            <w:tcW w:w="1361" w:type="dxa"/>
            <w:vAlign w:val="center"/>
          </w:tcPr>
          <w:p>
            <w:pPr>
              <w:pStyle w:val="15"/>
            </w:pPr>
            <w:r>
              <w:t>38.45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21011</w:t>
            </w:r>
          </w:p>
        </w:tc>
        <w:tc>
          <w:tcPr>
            <w:tcW w:w="4535" w:type="dxa"/>
            <w:vAlign w:val="center"/>
          </w:tcPr>
          <w:p>
            <w:pPr>
              <w:pStyle w:val="16"/>
            </w:pPr>
            <w:r>
              <w:rPr>
                <w:rFonts w:hint="eastAsia"/>
              </w:rPr>
              <w:t>行政事业单位医疗</w:t>
            </w:r>
          </w:p>
        </w:tc>
        <w:tc>
          <w:tcPr>
            <w:tcW w:w="1361" w:type="dxa"/>
            <w:vAlign w:val="center"/>
          </w:tcPr>
          <w:p>
            <w:pPr>
              <w:pStyle w:val="15"/>
            </w:pPr>
            <w:r>
              <w:t>38.45</w:t>
            </w:r>
          </w:p>
        </w:tc>
        <w:tc>
          <w:tcPr>
            <w:tcW w:w="1361" w:type="dxa"/>
            <w:vAlign w:val="center"/>
          </w:tcPr>
          <w:p>
            <w:pPr>
              <w:pStyle w:val="15"/>
            </w:pPr>
            <w:r>
              <w:t>38.45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2101101</w:t>
            </w:r>
          </w:p>
        </w:tc>
        <w:tc>
          <w:tcPr>
            <w:tcW w:w="4535" w:type="dxa"/>
            <w:vAlign w:val="center"/>
          </w:tcPr>
          <w:p>
            <w:pPr>
              <w:pStyle w:val="16"/>
            </w:pPr>
            <w:r>
              <w:rPr>
                <w:rFonts w:hint="eastAsia"/>
              </w:rPr>
              <w:t>行政单位医疗</w:t>
            </w:r>
          </w:p>
        </w:tc>
        <w:tc>
          <w:tcPr>
            <w:tcW w:w="1361" w:type="dxa"/>
            <w:vAlign w:val="center"/>
          </w:tcPr>
          <w:p>
            <w:pPr>
              <w:pStyle w:val="15"/>
            </w:pPr>
            <w:r>
              <w:t>11.69</w:t>
            </w:r>
          </w:p>
        </w:tc>
        <w:tc>
          <w:tcPr>
            <w:tcW w:w="1361" w:type="dxa"/>
            <w:vAlign w:val="center"/>
          </w:tcPr>
          <w:p>
            <w:pPr>
              <w:pStyle w:val="15"/>
            </w:pPr>
            <w:r>
              <w:t>11.69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2101103</w:t>
            </w:r>
          </w:p>
        </w:tc>
        <w:tc>
          <w:tcPr>
            <w:tcW w:w="4535" w:type="dxa"/>
            <w:vAlign w:val="center"/>
          </w:tcPr>
          <w:p>
            <w:pPr>
              <w:pStyle w:val="16"/>
            </w:pPr>
            <w:r>
              <w:rPr>
                <w:rFonts w:hint="eastAsia"/>
              </w:rPr>
              <w:t>公务员医疗补助</w:t>
            </w:r>
          </w:p>
        </w:tc>
        <w:tc>
          <w:tcPr>
            <w:tcW w:w="1361" w:type="dxa"/>
            <w:vAlign w:val="center"/>
          </w:tcPr>
          <w:p>
            <w:pPr>
              <w:pStyle w:val="15"/>
            </w:pPr>
            <w:r>
              <w:t>26.76</w:t>
            </w:r>
          </w:p>
        </w:tc>
        <w:tc>
          <w:tcPr>
            <w:tcW w:w="1361" w:type="dxa"/>
            <w:vAlign w:val="center"/>
          </w:tcPr>
          <w:p>
            <w:pPr>
              <w:pStyle w:val="15"/>
            </w:pPr>
            <w:r>
              <w:t>26.76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221</w:t>
            </w:r>
          </w:p>
        </w:tc>
        <w:tc>
          <w:tcPr>
            <w:tcW w:w="4535" w:type="dxa"/>
            <w:vAlign w:val="center"/>
          </w:tcPr>
          <w:p>
            <w:pPr>
              <w:pStyle w:val="16"/>
            </w:pPr>
            <w:r>
              <w:rPr>
                <w:rFonts w:hint="eastAsia"/>
              </w:rPr>
              <w:t>住房保障支出</w:t>
            </w:r>
          </w:p>
        </w:tc>
        <w:tc>
          <w:tcPr>
            <w:tcW w:w="1361" w:type="dxa"/>
            <w:vAlign w:val="center"/>
          </w:tcPr>
          <w:p>
            <w:pPr>
              <w:pStyle w:val="15"/>
            </w:pPr>
            <w:r>
              <w:t>22.29</w:t>
            </w:r>
          </w:p>
        </w:tc>
        <w:tc>
          <w:tcPr>
            <w:tcW w:w="1361" w:type="dxa"/>
            <w:vAlign w:val="center"/>
          </w:tcPr>
          <w:p>
            <w:pPr>
              <w:pStyle w:val="15"/>
            </w:pPr>
            <w:r>
              <w:t>22.29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22102</w:t>
            </w:r>
          </w:p>
        </w:tc>
        <w:tc>
          <w:tcPr>
            <w:tcW w:w="4535" w:type="dxa"/>
            <w:vAlign w:val="center"/>
          </w:tcPr>
          <w:p>
            <w:pPr>
              <w:pStyle w:val="16"/>
            </w:pPr>
            <w:r>
              <w:rPr>
                <w:rFonts w:hint="eastAsia"/>
              </w:rPr>
              <w:t>住房改革支出</w:t>
            </w:r>
          </w:p>
        </w:tc>
        <w:tc>
          <w:tcPr>
            <w:tcW w:w="1361" w:type="dxa"/>
            <w:vAlign w:val="center"/>
          </w:tcPr>
          <w:p>
            <w:pPr>
              <w:pStyle w:val="15"/>
            </w:pPr>
            <w:r>
              <w:t>22.29</w:t>
            </w:r>
          </w:p>
        </w:tc>
        <w:tc>
          <w:tcPr>
            <w:tcW w:w="1361" w:type="dxa"/>
            <w:vAlign w:val="center"/>
          </w:tcPr>
          <w:p>
            <w:pPr>
              <w:pStyle w:val="15"/>
            </w:pPr>
            <w:r>
              <w:t>22.29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2210201</w:t>
            </w:r>
          </w:p>
        </w:tc>
        <w:tc>
          <w:tcPr>
            <w:tcW w:w="4535" w:type="dxa"/>
            <w:vAlign w:val="center"/>
          </w:tcPr>
          <w:p>
            <w:pPr>
              <w:pStyle w:val="16"/>
            </w:pPr>
            <w:r>
              <w:rPr>
                <w:rFonts w:hint="eastAsia"/>
              </w:rPr>
              <w:t>住房公积金</w:t>
            </w:r>
          </w:p>
        </w:tc>
        <w:tc>
          <w:tcPr>
            <w:tcW w:w="1361" w:type="dxa"/>
            <w:vAlign w:val="center"/>
          </w:tcPr>
          <w:p>
            <w:pPr>
              <w:pStyle w:val="15"/>
            </w:pPr>
            <w:r>
              <w:t>22.29</w:t>
            </w:r>
          </w:p>
        </w:tc>
        <w:tc>
          <w:tcPr>
            <w:tcW w:w="1361" w:type="dxa"/>
            <w:vAlign w:val="center"/>
          </w:tcPr>
          <w:p>
            <w:pPr>
              <w:pStyle w:val="15"/>
            </w:pPr>
            <w:r>
              <w:t>22.29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27" w:name="_Toc1131_WPSOffice_Level1"/>
      <w:r>
        <w:rPr>
          <w:rFonts w:hint="eastAsia" w:ascii="方正小标宋_GBK" w:hAnsi="方正小标宋_GBK" w:eastAsia="方正小标宋_GBK" w:cs="方正小标宋_GBK"/>
          <w:color w:val="000000"/>
          <w:sz w:val="36"/>
        </w:rPr>
        <w:t>单位预算财政拨款收支总表</w:t>
      </w:r>
      <w:bookmarkEnd w:id="2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131001</w:t>
            </w:r>
            <w:r>
              <w:rPr>
                <w:rFonts w:hint="eastAsia"/>
              </w:rPr>
              <w:t>政协单位中国人民政治协商会议河北省秦皇岛市山海关区委员会本级</w:t>
            </w:r>
          </w:p>
        </w:tc>
        <w:tc>
          <w:tcPr>
            <w:tcW w:w="3402" w:type="dxa"/>
            <w:tcBorders>
              <w:top w:val="single" w:color="FFFFFF" w:sz="6" w:space="0"/>
              <w:left w:val="single" w:color="FFFFFF" w:sz="6" w:space="0"/>
              <w:right w:val="single" w:color="FFFFFF" w:sz="6" w:space="0"/>
            </w:tcBorders>
            <w:vAlign w:val="center"/>
          </w:tcPr>
          <w:p>
            <w:pPr>
              <w:pStyle w:val="12"/>
            </w:pPr>
            <w:r>
              <w:rPr>
                <w:rFonts w:hint="eastAsia"/>
              </w:rPr>
              <w:t>预算年度：</w:t>
            </w:r>
            <w:r>
              <w:t>2023</w:t>
            </w:r>
          </w:p>
        </w:tc>
        <w:tc>
          <w:tcPr>
            <w:tcW w:w="5896" w:type="dxa"/>
            <w:gridSpan w:val="4"/>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4876" w:type="dxa"/>
            <w:gridSpan w:val="2"/>
            <w:vAlign w:val="center"/>
          </w:tcPr>
          <w:p>
            <w:pPr>
              <w:pStyle w:val="14"/>
            </w:pPr>
            <w:r>
              <w:rPr>
                <w:rFonts w:hint="eastAsia"/>
              </w:rPr>
              <w:t>收入</w:t>
            </w:r>
          </w:p>
        </w:tc>
        <w:tc>
          <w:tcPr>
            <w:tcW w:w="9298" w:type="dxa"/>
            <w:gridSpan w:val="5"/>
            <w:vAlign w:val="center"/>
          </w:tcPr>
          <w:p>
            <w:pPr>
              <w:pStyle w:val="14"/>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rPr>
                <w:rFonts w:hint="eastAsia"/>
              </w:rPr>
              <w:t>项</w:t>
            </w:r>
            <w:r>
              <w:t xml:space="preserve">  </w:t>
            </w:r>
            <w:r>
              <w:rPr>
                <w:rFonts w:hint="eastAsia"/>
              </w:rPr>
              <w:t>目</w:t>
            </w:r>
          </w:p>
        </w:tc>
        <w:tc>
          <w:tcPr>
            <w:tcW w:w="1474" w:type="dxa"/>
            <w:vAlign w:val="center"/>
          </w:tcPr>
          <w:p>
            <w:pPr>
              <w:pStyle w:val="14"/>
            </w:pPr>
            <w:r>
              <w:rPr>
                <w:rFonts w:hint="eastAsia"/>
              </w:rPr>
              <w:t>金额</w:t>
            </w:r>
          </w:p>
        </w:tc>
        <w:tc>
          <w:tcPr>
            <w:tcW w:w="3402" w:type="dxa"/>
            <w:vAlign w:val="center"/>
          </w:tcPr>
          <w:p>
            <w:pPr>
              <w:pStyle w:val="14"/>
            </w:pPr>
            <w:r>
              <w:rPr>
                <w:rFonts w:hint="eastAsia"/>
              </w:rPr>
              <w:t>项</w:t>
            </w:r>
            <w:r>
              <w:t xml:space="preserve">  </w:t>
            </w:r>
            <w:r>
              <w:rPr>
                <w:rFonts w:hint="eastAsia"/>
              </w:rPr>
              <w:t>目</w:t>
            </w:r>
          </w:p>
        </w:tc>
        <w:tc>
          <w:tcPr>
            <w:tcW w:w="1474" w:type="dxa"/>
            <w:vAlign w:val="center"/>
          </w:tcPr>
          <w:p>
            <w:pPr>
              <w:pStyle w:val="14"/>
            </w:pPr>
            <w:r>
              <w:rPr>
                <w:rFonts w:hint="eastAsia"/>
              </w:rPr>
              <w:t>合计</w:t>
            </w:r>
          </w:p>
        </w:tc>
        <w:tc>
          <w:tcPr>
            <w:tcW w:w="1474" w:type="dxa"/>
            <w:vAlign w:val="center"/>
          </w:tcPr>
          <w:p>
            <w:pPr>
              <w:pStyle w:val="14"/>
            </w:pPr>
            <w:r>
              <w:rPr>
                <w:rFonts w:hint="eastAsia"/>
              </w:rPr>
              <w:t>一般公共预算财政拨款</w:t>
            </w:r>
          </w:p>
        </w:tc>
        <w:tc>
          <w:tcPr>
            <w:tcW w:w="1474" w:type="dxa"/>
            <w:vAlign w:val="center"/>
          </w:tcPr>
          <w:p>
            <w:pPr>
              <w:pStyle w:val="14"/>
            </w:pPr>
            <w:r>
              <w:rPr>
                <w:rFonts w:hint="eastAsia"/>
              </w:rPr>
              <w:t>政府性基金预算财政</w:t>
            </w:r>
            <w:r>
              <w:t xml:space="preserve">    </w:t>
            </w:r>
            <w:r>
              <w:rPr>
                <w:rFonts w:hint="eastAsia"/>
              </w:rPr>
              <w:t>拨款</w:t>
            </w:r>
          </w:p>
        </w:tc>
        <w:tc>
          <w:tcPr>
            <w:tcW w:w="1474" w:type="dxa"/>
            <w:vAlign w:val="center"/>
          </w:tcPr>
          <w:p>
            <w:pPr>
              <w:pStyle w:val="14"/>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rPr>
                <w:rFonts w:hint="eastAsia"/>
              </w:rPr>
              <w:t>一、一般公共预算拨款</w:t>
            </w:r>
          </w:p>
        </w:tc>
        <w:tc>
          <w:tcPr>
            <w:tcW w:w="1474" w:type="dxa"/>
            <w:vAlign w:val="center"/>
          </w:tcPr>
          <w:p>
            <w:pPr>
              <w:pStyle w:val="15"/>
            </w:pPr>
            <w:r>
              <w:t>442.30</w:t>
            </w:r>
          </w:p>
        </w:tc>
        <w:tc>
          <w:tcPr>
            <w:tcW w:w="3402" w:type="dxa"/>
            <w:vAlign w:val="center"/>
          </w:tcPr>
          <w:p>
            <w:pPr>
              <w:pStyle w:val="16"/>
            </w:pPr>
            <w:r>
              <w:rPr>
                <w:rFonts w:hint="eastAsia"/>
              </w:rPr>
              <w:t>一、一般公共服务支出</w:t>
            </w:r>
          </w:p>
        </w:tc>
        <w:tc>
          <w:tcPr>
            <w:tcW w:w="1474" w:type="dxa"/>
            <w:vAlign w:val="center"/>
          </w:tcPr>
          <w:p>
            <w:pPr>
              <w:pStyle w:val="15"/>
            </w:pPr>
            <w:r>
              <w:t>296.61</w:t>
            </w:r>
          </w:p>
        </w:tc>
        <w:tc>
          <w:tcPr>
            <w:tcW w:w="1474" w:type="dxa"/>
            <w:vAlign w:val="center"/>
          </w:tcPr>
          <w:p>
            <w:pPr>
              <w:pStyle w:val="15"/>
            </w:pPr>
            <w:r>
              <w:t>296.61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rPr>
                <w:rFonts w:hint="eastAsia"/>
              </w:rPr>
              <w:t>二、政府性基金预算拨款</w:t>
            </w:r>
          </w:p>
        </w:tc>
        <w:tc>
          <w:tcPr>
            <w:tcW w:w="1474" w:type="dxa"/>
            <w:vAlign w:val="center"/>
          </w:tcPr>
          <w:p>
            <w:pPr>
              <w:pStyle w:val="15"/>
            </w:pPr>
          </w:p>
        </w:tc>
        <w:tc>
          <w:tcPr>
            <w:tcW w:w="3402" w:type="dxa"/>
            <w:vAlign w:val="center"/>
          </w:tcPr>
          <w:p>
            <w:pPr>
              <w:pStyle w:val="16"/>
            </w:pPr>
            <w:r>
              <w:rPr>
                <w:rFonts w:hint="eastAsia"/>
              </w:rP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rPr>
                <w:rFonts w:hint="eastAsia"/>
              </w:rPr>
              <w:t>三、国有资本经营预算拨款</w:t>
            </w:r>
          </w:p>
        </w:tc>
        <w:tc>
          <w:tcPr>
            <w:tcW w:w="1474" w:type="dxa"/>
            <w:vAlign w:val="center"/>
          </w:tcPr>
          <w:p>
            <w:pPr>
              <w:pStyle w:val="15"/>
            </w:pPr>
          </w:p>
        </w:tc>
        <w:tc>
          <w:tcPr>
            <w:tcW w:w="3402" w:type="dxa"/>
            <w:vAlign w:val="center"/>
          </w:tcPr>
          <w:p>
            <w:pPr>
              <w:pStyle w:val="16"/>
            </w:pPr>
            <w:r>
              <w:rPr>
                <w:rFonts w:hint="eastAsia"/>
              </w:rP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八、社会保障和就业支出</w:t>
            </w:r>
          </w:p>
        </w:tc>
        <w:tc>
          <w:tcPr>
            <w:tcW w:w="1474" w:type="dxa"/>
            <w:vAlign w:val="center"/>
          </w:tcPr>
          <w:p>
            <w:pPr>
              <w:pStyle w:val="15"/>
            </w:pPr>
            <w:r>
              <w:t>84.96</w:t>
            </w:r>
          </w:p>
        </w:tc>
        <w:tc>
          <w:tcPr>
            <w:tcW w:w="1474" w:type="dxa"/>
            <w:vAlign w:val="center"/>
          </w:tcPr>
          <w:p>
            <w:pPr>
              <w:pStyle w:val="15"/>
            </w:pPr>
            <w:r>
              <w:t>84.96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十、卫生健康支出</w:t>
            </w:r>
          </w:p>
        </w:tc>
        <w:tc>
          <w:tcPr>
            <w:tcW w:w="1474" w:type="dxa"/>
            <w:vAlign w:val="center"/>
          </w:tcPr>
          <w:p>
            <w:pPr>
              <w:pStyle w:val="15"/>
            </w:pPr>
            <w:r>
              <w:t>38.45</w:t>
            </w:r>
          </w:p>
        </w:tc>
        <w:tc>
          <w:tcPr>
            <w:tcW w:w="1474" w:type="dxa"/>
            <w:vAlign w:val="center"/>
          </w:tcPr>
          <w:p>
            <w:pPr>
              <w:pStyle w:val="15"/>
            </w:pPr>
            <w:r>
              <w:t>38.45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二十、住房保障支出</w:t>
            </w:r>
          </w:p>
        </w:tc>
        <w:tc>
          <w:tcPr>
            <w:tcW w:w="1474" w:type="dxa"/>
            <w:vAlign w:val="center"/>
          </w:tcPr>
          <w:p>
            <w:pPr>
              <w:pStyle w:val="15"/>
            </w:pPr>
            <w:r>
              <w:t>22.29</w:t>
            </w:r>
          </w:p>
        </w:tc>
        <w:tc>
          <w:tcPr>
            <w:tcW w:w="1474" w:type="dxa"/>
            <w:vAlign w:val="center"/>
          </w:tcPr>
          <w:p>
            <w:pPr>
              <w:pStyle w:val="15"/>
            </w:pPr>
            <w:r>
              <w:t>22.29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rPr>
                <w:rFonts w:hint="eastAsia"/>
              </w:rPr>
              <w:t>本年收入合计</w:t>
            </w:r>
          </w:p>
        </w:tc>
        <w:tc>
          <w:tcPr>
            <w:tcW w:w="1474" w:type="dxa"/>
            <w:vAlign w:val="center"/>
          </w:tcPr>
          <w:p>
            <w:pPr>
              <w:pStyle w:val="19"/>
            </w:pPr>
            <w:r>
              <w:t>442.30</w:t>
            </w:r>
          </w:p>
        </w:tc>
        <w:tc>
          <w:tcPr>
            <w:tcW w:w="3402" w:type="dxa"/>
            <w:vAlign w:val="center"/>
          </w:tcPr>
          <w:p>
            <w:pPr>
              <w:pStyle w:val="18"/>
            </w:pPr>
            <w:r>
              <w:rPr>
                <w:rFonts w:hint="eastAsia"/>
              </w:rPr>
              <w:t>本年支出合计</w:t>
            </w:r>
          </w:p>
        </w:tc>
        <w:tc>
          <w:tcPr>
            <w:tcW w:w="1474" w:type="dxa"/>
            <w:vAlign w:val="center"/>
          </w:tcPr>
          <w:p>
            <w:pPr>
              <w:pStyle w:val="19"/>
            </w:pPr>
            <w:r>
              <w:t>442.30</w:t>
            </w:r>
          </w:p>
        </w:tc>
        <w:tc>
          <w:tcPr>
            <w:tcW w:w="1474" w:type="dxa"/>
            <w:vAlign w:val="center"/>
          </w:tcPr>
          <w:p>
            <w:pPr>
              <w:pStyle w:val="19"/>
            </w:pPr>
            <w:r>
              <w:t>442.30</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rPr>
                <w:rFonts w:hint="eastAsia"/>
              </w:rPr>
              <w:t>年初财政拨款结转和结余</w:t>
            </w:r>
          </w:p>
        </w:tc>
        <w:tc>
          <w:tcPr>
            <w:tcW w:w="1474" w:type="dxa"/>
            <w:vAlign w:val="center"/>
          </w:tcPr>
          <w:p>
            <w:pPr>
              <w:pStyle w:val="15"/>
            </w:pPr>
          </w:p>
        </w:tc>
        <w:tc>
          <w:tcPr>
            <w:tcW w:w="3402" w:type="dxa"/>
            <w:vAlign w:val="center"/>
          </w:tcPr>
          <w:p>
            <w:pPr>
              <w:pStyle w:val="16"/>
            </w:pPr>
            <w:r>
              <w:rPr>
                <w:rFonts w:hint="eastAsia"/>
              </w:rP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rPr>
                <w:rFonts w:hint="eastAsia"/>
              </w:rP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rPr>
                <w:rFonts w:hint="eastAsia"/>
              </w:rP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rPr>
                <w:rFonts w:hint="eastAsia"/>
              </w:rP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rPr>
                <w:rFonts w:hint="eastAsia"/>
              </w:rPr>
              <w:t>收入总计</w:t>
            </w:r>
          </w:p>
        </w:tc>
        <w:tc>
          <w:tcPr>
            <w:tcW w:w="1474" w:type="dxa"/>
            <w:vAlign w:val="center"/>
          </w:tcPr>
          <w:p>
            <w:pPr>
              <w:pStyle w:val="19"/>
            </w:pPr>
            <w:r>
              <w:t>442.30</w:t>
            </w:r>
          </w:p>
        </w:tc>
        <w:tc>
          <w:tcPr>
            <w:tcW w:w="3402" w:type="dxa"/>
            <w:vAlign w:val="center"/>
          </w:tcPr>
          <w:p>
            <w:pPr>
              <w:pStyle w:val="18"/>
            </w:pPr>
            <w:r>
              <w:rPr>
                <w:rFonts w:hint="eastAsia"/>
              </w:rPr>
              <w:t>支出总计</w:t>
            </w:r>
          </w:p>
        </w:tc>
        <w:tc>
          <w:tcPr>
            <w:tcW w:w="1474" w:type="dxa"/>
            <w:vAlign w:val="center"/>
          </w:tcPr>
          <w:p>
            <w:pPr>
              <w:pStyle w:val="19"/>
            </w:pPr>
            <w:r>
              <w:t>442.30</w:t>
            </w:r>
          </w:p>
        </w:tc>
        <w:tc>
          <w:tcPr>
            <w:tcW w:w="1474" w:type="dxa"/>
            <w:vAlign w:val="center"/>
          </w:tcPr>
          <w:p>
            <w:pPr>
              <w:pStyle w:val="19"/>
            </w:pPr>
            <w:r>
              <w:t>442.30</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bookmarkStart w:id="28" w:name="_Toc15712_WPSOffice_Level1"/>
      <w:r>
        <w:rPr>
          <w:rFonts w:hint="eastAsia" w:ascii="方正小标宋_GBK" w:hAnsi="方正小标宋_GBK" w:eastAsia="方正小标宋_GBK" w:cs="方正小标宋_GBK"/>
          <w:color w:val="000000"/>
          <w:sz w:val="36"/>
        </w:rPr>
        <w:t>单位预算一般公共预算财政拨款支出表</w:t>
      </w:r>
      <w:bookmarkEnd w:id="2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131001</w:t>
            </w:r>
            <w:r>
              <w:rPr>
                <w:rFonts w:hint="eastAsia"/>
              </w:rPr>
              <w:t>政协单位中国人民政治协商会议河北省秦皇岛市山海关区委员会本级</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功能分类科目</w:t>
            </w:r>
          </w:p>
        </w:tc>
        <w:tc>
          <w:tcPr>
            <w:tcW w:w="2551" w:type="dxa"/>
            <w:vMerge w:val="restart"/>
            <w:vAlign w:val="center"/>
          </w:tcPr>
          <w:p>
            <w:pPr>
              <w:pStyle w:val="14"/>
            </w:pPr>
            <w:r>
              <w:rPr>
                <w:rFonts w:hint="eastAsia"/>
              </w:rPr>
              <w:t>合计</w:t>
            </w:r>
          </w:p>
        </w:tc>
        <w:tc>
          <w:tcPr>
            <w:tcW w:w="2551" w:type="dxa"/>
            <w:vMerge w:val="restart"/>
            <w:vAlign w:val="center"/>
          </w:tcPr>
          <w:p>
            <w:pPr>
              <w:pStyle w:val="14"/>
            </w:pPr>
            <w:r>
              <w:rPr>
                <w:rFonts w:hint="eastAsia"/>
              </w:rPr>
              <w:t>基本支出</w:t>
            </w:r>
          </w:p>
        </w:tc>
        <w:tc>
          <w:tcPr>
            <w:tcW w:w="2551" w:type="dxa"/>
            <w:vMerge w:val="restart"/>
            <w:vAlign w:val="center"/>
          </w:tcPr>
          <w:p>
            <w:pPr>
              <w:pStyle w:val="14"/>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rPr>
                <w:rFonts w:hint="eastAsia"/>
              </w:rPr>
              <w:t>合计</w:t>
            </w:r>
          </w:p>
        </w:tc>
        <w:tc>
          <w:tcPr>
            <w:tcW w:w="2551" w:type="dxa"/>
            <w:vAlign w:val="center"/>
          </w:tcPr>
          <w:p>
            <w:pPr>
              <w:pStyle w:val="19"/>
            </w:pPr>
            <w:r>
              <w:t>442.30</w:t>
            </w:r>
          </w:p>
        </w:tc>
        <w:tc>
          <w:tcPr>
            <w:tcW w:w="2551" w:type="dxa"/>
            <w:vAlign w:val="center"/>
          </w:tcPr>
          <w:p>
            <w:pPr>
              <w:pStyle w:val="19"/>
            </w:pPr>
            <w:r>
              <w:t>376.50</w:t>
            </w:r>
          </w:p>
        </w:tc>
        <w:tc>
          <w:tcPr>
            <w:tcW w:w="2551" w:type="dxa"/>
            <w:vAlign w:val="center"/>
          </w:tcPr>
          <w:p>
            <w:pPr>
              <w:pStyle w:val="19"/>
            </w:pPr>
            <w:r>
              <w:t>65.80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rPr>
                <w:rFonts w:hint="eastAsia"/>
              </w:rPr>
              <w:t>一般公共服务支出</w:t>
            </w:r>
          </w:p>
        </w:tc>
        <w:tc>
          <w:tcPr>
            <w:tcW w:w="2551" w:type="dxa"/>
            <w:vAlign w:val="center"/>
          </w:tcPr>
          <w:p>
            <w:pPr>
              <w:pStyle w:val="15"/>
            </w:pPr>
            <w:r>
              <w:t>296.61</w:t>
            </w:r>
          </w:p>
        </w:tc>
        <w:tc>
          <w:tcPr>
            <w:tcW w:w="2551" w:type="dxa"/>
            <w:vAlign w:val="center"/>
          </w:tcPr>
          <w:p>
            <w:pPr>
              <w:pStyle w:val="15"/>
            </w:pPr>
            <w:r>
              <w:t>230.81</w:t>
            </w:r>
          </w:p>
        </w:tc>
        <w:tc>
          <w:tcPr>
            <w:tcW w:w="2551" w:type="dxa"/>
            <w:vAlign w:val="center"/>
          </w:tcPr>
          <w:p>
            <w:pPr>
              <w:pStyle w:val="15"/>
            </w:pPr>
            <w:r>
              <w:t>65.80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20102</w:t>
            </w:r>
          </w:p>
        </w:tc>
        <w:tc>
          <w:tcPr>
            <w:tcW w:w="4535" w:type="dxa"/>
            <w:vAlign w:val="center"/>
          </w:tcPr>
          <w:p>
            <w:pPr>
              <w:pStyle w:val="16"/>
            </w:pPr>
            <w:r>
              <w:rPr>
                <w:rFonts w:hint="eastAsia"/>
              </w:rPr>
              <w:t>政协事务</w:t>
            </w:r>
          </w:p>
        </w:tc>
        <w:tc>
          <w:tcPr>
            <w:tcW w:w="2551" w:type="dxa"/>
            <w:vAlign w:val="center"/>
          </w:tcPr>
          <w:p>
            <w:pPr>
              <w:pStyle w:val="15"/>
            </w:pPr>
            <w:r>
              <w:t>296.61</w:t>
            </w:r>
          </w:p>
        </w:tc>
        <w:tc>
          <w:tcPr>
            <w:tcW w:w="2551" w:type="dxa"/>
            <w:vAlign w:val="center"/>
          </w:tcPr>
          <w:p>
            <w:pPr>
              <w:pStyle w:val="15"/>
            </w:pPr>
            <w:r>
              <w:t>230.81</w:t>
            </w:r>
          </w:p>
        </w:tc>
        <w:tc>
          <w:tcPr>
            <w:tcW w:w="2551" w:type="dxa"/>
            <w:vAlign w:val="center"/>
          </w:tcPr>
          <w:p>
            <w:pPr>
              <w:pStyle w:val="15"/>
            </w:pPr>
            <w:r>
              <w:t>65.80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2010201</w:t>
            </w:r>
          </w:p>
        </w:tc>
        <w:tc>
          <w:tcPr>
            <w:tcW w:w="4535" w:type="dxa"/>
            <w:vAlign w:val="center"/>
          </w:tcPr>
          <w:p>
            <w:pPr>
              <w:pStyle w:val="16"/>
            </w:pPr>
            <w:r>
              <w:rPr>
                <w:rFonts w:hint="eastAsia"/>
              </w:rPr>
              <w:t>行政运行</w:t>
            </w:r>
          </w:p>
        </w:tc>
        <w:tc>
          <w:tcPr>
            <w:tcW w:w="2551" w:type="dxa"/>
            <w:vAlign w:val="center"/>
          </w:tcPr>
          <w:p>
            <w:pPr>
              <w:pStyle w:val="15"/>
            </w:pPr>
            <w:r>
              <w:t>231.61</w:t>
            </w:r>
          </w:p>
        </w:tc>
        <w:tc>
          <w:tcPr>
            <w:tcW w:w="2551" w:type="dxa"/>
            <w:vAlign w:val="center"/>
          </w:tcPr>
          <w:p>
            <w:pPr>
              <w:pStyle w:val="15"/>
            </w:pPr>
            <w:r>
              <w:t>230.81</w:t>
            </w:r>
          </w:p>
        </w:tc>
        <w:tc>
          <w:tcPr>
            <w:tcW w:w="2551"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2010204</w:t>
            </w:r>
          </w:p>
        </w:tc>
        <w:tc>
          <w:tcPr>
            <w:tcW w:w="4535" w:type="dxa"/>
            <w:vAlign w:val="center"/>
          </w:tcPr>
          <w:p>
            <w:pPr>
              <w:pStyle w:val="16"/>
            </w:pPr>
            <w:r>
              <w:rPr>
                <w:rFonts w:hint="eastAsia"/>
              </w:rPr>
              <w:t>政协会议</w:t>
            </w:r>
          </w:p>
        </w:tc>
        <w:tc>
          <w:tcPr>
            <w:tcW w:w="2551" w:type="dxa"/>
            <w:vAlign w:val="center"/>
          </w:tcPr>
          <w:p>
            <w:pPr>
              <w:pStyle w:val="15"/>
            </w:pPr>
            <w:r>
              <w:t>20.00</w:t>
            </w:r>
          </w:p>
        </w:tc>
        <w:tc>
          <w:tcPr>
            <w:tcW w:w="2551" w:type="dxa"/>
            <w:vAlign w:val="center"/>
          </w:tcPr>
          <w:p>
            <w:pPr>
              <w:pStyle w:val="15"/>
            </w:pPr>
          </w:p>
        </w:tc>
        <w:tc>
          <w:tcPr>
            <w:tcW w:w="2551"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2010299</w:t>
            </w:r>
          </w:p>
        </w:tc>
        <w:tc>
          <w:tcPr>
            <w:tcW w:w="4535" w:type="dxa"/>
            <w:vAlign w:val="center"/>
          </w:tcPr>
          <w:p>
            <w:pPr>
              <w:pStyle w:val="16"/>
            </w:pPr>
            <w:r>
              <w:rPr>
                <w:rFonts w:hint="eastAsia"/>
              </w:rPr>
              <w:t>其他政协事务支出</w:t>
            </w:r>
          </w:p>
        </w:tc>
        <w:tc>
          <w:tcPr>
            <w:tcW w:w="2551" w:type="dxa"/>
            <w:vAlign w:val="center"/>
          </w:tcPr>
          <w:p>
            <w:pPr>
              <w:pStyle w:val="15"/>
            </w:pPr>
            <w:r>
              <w:t>45.00</w:t>
            </w:r>
          </w:p>
        </w:tc>
        <w:tc>
          <w:tcPr>
            <w:tcW w:w="2551" w:type="dxa"/>
            <w:vAlign w:val="center"/>
          </w:tcPr>
          <w:p>
            <w:pPr>
              <w:pStyle w:val="15"/>
            </w:pPr>
          </w:p>
        </w:tc>
        <w:tc>
          <w:tcPr>
            <w:tcW w:w="2551" w:type="dxa"/>
            <w:vAlign w:val="center"/>
          </w:tcPr>
          <w:p>
            <w:pPr>
              <w:pStyle w:val="15"/>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w:t>
            </w:r>
          </w:p>
        </w:tc>
        <w:tc>
          <w:tcPr>
            <w:tcW w:w="4535" w:type="dxa"/>
            <w:vAlign w:val="center"/>
          </w:tcPr>
          <w:p>
            <w:pPr>
              <w:pStyle w:val="16"/>
            </w:pPr>
            <w:r>
              <w:rPr>
                <w:rFonts w:hint="eastAsia"/>
              </w:rPr>
              <w:t>社会保障和就业支出</w:t>
            </w:r>
          </w:p>
        </w:tc>
        <w:tc>
          <w:tcPr>
            <w:tcW w:w="2551" w:type="dxa"/>
            <w:vAlign w:val="center"/>
          </w:tcPr>
          <w:p>
            <w:pPr>
              <w:pStyle w:val="15"/>
            </w:pPr>
            <w:r>
              <w:t>84.96</w:t>
            </w:r>
          </w:p>
        </w:tc>
        <w:tc>
          <w:tcPr>
            <w:tcW w:w="2551" w:type="dxa"/>
            <w:vAlign w:val="center"/>
          </w:tcPr>
          <w:p>
            <w:pPr>
              <w:pStyle w:val="15"/>
            </w:pPr>
            <w:r>
              <w:t>84.96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20805</w:t>
            </w:r>
          </w:p>
        </w:tc>
        <w:tc>
          <w:tcPr>
            <w:tcW w:w="4535" w:type="dxa"/>
            <w:vAlign w:val="center"/>
          </w:tcPr>
          <w:p>
            <w:pPr>
              <w:pStyle w:val="16"/>
            </w:pPr>
            <w:r>
              <w:rPr>
                <w:rFonts w:hint="eastAsia"/>
              </w:rPr>
              <w:t>行政事业单位养老支出</w:t>
            </w:r>
          </w:p>
        </w:tc>
        <w:tc>
          <w:tcPr>
            <w:tcW w:w="2551" w:type="dxa"/>
            <w:vAlign w:val="center"/>
          </w:tcPr>
          <w:p>
            <w:pPr>
              <w:pStyle w:val="15"/>
            </w:pPr>
            <w:r>
              <w:t>83.38</w:t>
            </w:r>
          </w:p>
        </w:tc>
        <w:tc>
          <w:tcPr>
            <w:tcW w:w="2551" w:type="dxa"/>
            <w:vAlign w:val="center"/>
          </w:tcPr>
          <w:p>
            <w:pPr>
              <w:pStyle w:val="15"/>
            </w:pPr>
            <w:r>
              <w:t>83.38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2080501</w:t>
            </w:r>
          </w:p>
        </w:tc>
        <w:tc>
          <w:tcPr>
            <w:tcW w:w="4535" w:type="dxa"/>
            <w:vAlign w:val="center"/>
          </w:tcPr>
          <w:p>
            <w:pPr>
              <w:pStyle w:val="16"/>
            </w:pPr>
            <w:r>
              <w:rPr>
                <w:rFonts w:hint="eastAsia"/>
              </w:rPr>
              <w:t>行政单位离退休</w:t>
            </w:r>
          </w:p>
        </w:tc>
        <w:tc>
          <w:tcPr>
            <w:tcW w:w="2551" w:type="dxa"/>
            <w:vAlign w:val="center"/>
          </w:tcPr>
          <w:p>
            <w:pPr>
              <w:pStyle w:val="15"/>
            </w:pPr>
            <w:r>
              <w:t>54.12</w:t>
            </w:r>
          </w:p>
        </w:tc>
        <w:tc>
          <w:tcPr>
            <w:tcW w:w="2551" w:type="dxa"/>
            <w:vAlign w:val="center"/>
          </w:tcPr>
          <w:p>
            <w:pPr>
              <w:pStyle w:val="15"/>
            </w:pPr>
            <w:r>
              <w:t>54.12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2080505</w:t>
            </w:r>
          </w:p>
        </w:tc>
        <w:tc>
          <w:tcPr>
            <w:tcW w:w="4535" w:type="dxa"/>
            <w:vAlign w:val="center"/>
          </w:tcPr>
          <w:p>
            <w:pPr>
              <w:pStyle w:val="16"/>
            </w:pPr>
            <w:r>
              <w:rPr>
                <w:rFonts w:hint="eastAsia"/>
              </w:rPr>
              <w:t>机关事业单位基本养老保险缴费支出</w:t>
            </w:r>
          </w:p>
        </w:tc>
        <w:tc>
          <w:tcPr>
            <w:tcW w:w="2551" w:type="dxa"/>
            <w:vAlign w:val="center"/>
          </w:tcPr>
          <w:p>
            <w:pPr>
              <w:pStyle w:val="15"/>
            </w:pPr>
            <w:r>
              <w:t>29.26</w:t>
            </w:r>
          </w:p>
        </w:tc>
        <w:tc>
          <w:tcPr>
            <w:tcW w:w="2551" w:type="dxa"/>
            <w:vAlign w:val="center"/>
          </w:tcPr>
          <w:p>
            <w:pPr>
              <w:pStyle w:val="15"/>
            </w:pPr>
            <w:r>
              <w:t>29.26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20808</w:t>
            </w:r>
          </w:p>
        </w:tc>
        <w:tc>
          <w:tcPr>
            <w:tcW w:w="4535" w:type="dxa"/>
            <w:vAlign w:val="center"/>
          </w:tcPr>
          <w:p>
            <w:pPr>
              <w:pStyle w:val="16"/>
            </w:pPr>
            <w:r>
              <w:rPr>
                <w:rFonts w:hint="eastAsia"/>
              </w:rPr>
              <w:t>抚恤</w:t>
            </w:r>
          </w:p>
        </w:tc>
        <w:tc>
          <w:tcPr>
            <w:tcW w:w="2551" w:type="dxa"/>
            <w:vAlign w:val="center"/>
          </w:tcPr>
          <w:p>
            <w:pPr>
              <w:pStyle w:val="15"/>
            </w:pPr>
            <w:r>
              <w:t>1.58</w:t>
            </w:r>
          </w:p>
        </w:tc>
        <w:tc>
          <w:tcPr>
            <w:tcW w:w="2551" w:type="dxa"/>
            <w:vAlign w:val="center"/>
          </w:tcPr>
          <w:p>
            <w:pPr>
              <w:pStyle w:val="15"/>
            </w:pPr>
            <w:r>
              <w:t>1.58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2080899</w:t>
            </w:r>
          </w:p>
        </w:tc>
        <w:tc>
          <w:tcPr>
            <w:tcW w:w="4535" w:type="dxa"/>
            <w:vAlign w:val="center"/>
          </w:tcPr>
          <w:p>
            <w:pPr>
              <w:pStyle w:val="16"/>
            </w:pPr>
            <w:r>
              <w:rPr>
                <w:rFonts w:hint="eastAsia"/>
              </w:rPr>
              <w:t>其他优抚支出</w:t>
            </w:r>
          </w:p>
        </w:tc>
        <w:tc>
          <w:tcPr>
            <w:tcW w:w="2551" w:type="dxa"/>
            <w:vAlign w:val="center"/>
          </w:tcPr>
          <w:p>
            <w:pPr>
              <w:pStyle w:val="15"/>
            </w:pPr>
            <w:r>
              <w:t>1.58</w:t>
            </w:r>
          </w:p>
        </w:tc>
        <w:tc>
          <w:tcPr>
            <w:tcW w:w="2551" w:type="dxa"/>
            <w:vAlign w:val="center"/>
          </w:tcPr>
          <w:p>
            <w:pPr>
              <w:pStyle w:val="15"/>
            </w:pPr>
            <w:r>
              <w:t>1.58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210</w:t>
            </w:r>
          </w:p>
        </w:tc>
        <w:tc>
          <w:tcPr>
            <w:tcW w:w="4535" w:type="dxa"/>
            <w:vAlign w:val="center"/>
          </w:tcPr>
          <w:p>
            <w:pPr>
              <w:pStyle w:val="16"/>
            </w:pPr>
            <w:r>
              <w:rPr>
                <w:rFonts w:hint="eastAsia"/>
              </w:rPr>
              <w:t>卫生健康支出</w:t>
            </w:r>
          </w:p>
        </w:tc>
        <w:tc>
          <w:tcPr>
            <w:tcW w:w="2551" w:type="dxa"/>
            <w:vAlign w:val="center"/>
          </w:tcPr>
          <w:p>
            <w:pPr>
              <w:pStyle w:val="15"/>
            </w:pPr>
            <w:r>
              <w:t>38.45</w:t>
            </w:r>
          </w:p>
        </w:tc>
        <w:tc>
          <w:tcPr>
            <w:tcW w:w="2551" w:type="dxa"/>
            <w:vAlign w:val="center"/>
          </w:tcPr>
          <w:p>
            <w:pPr>
              <w:pStyle w:val="15"/>
            </w:pPr>
            <w:r>
              <w:t>38.45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21011</w:t>
            </w:r>
          </w:p>
        </w:tc>
        <w:tc>
          <w:tcPr>
            <w:tcW w:w="4535" w:type="dxa"/>
            <w:vAlign w:val="center"/>
          </w:tcPr>
          <w:p>
            <w:pPr>
              <w:pStyle w:val="16"/>
            </w:pPr>
            <w:r>
              <w:rPr>
                <w:rFonts w:hint="eastAsia"/>
              </w:rPr>
              <w:t>行政事业单位医疗</w:t>
            </w:r>
          </w:p>
        </w:tc>
        <w:tc>
          <w:tcPr>
            <w:tcW w:w="2551" w:type="dxa"/>
            <w:vAlign w:val="center"/>
          </w:tcPr>
          <w:p>
            <w:pPr>
              <w:pStyle w:val="15"/>
            </w:pPr>
            <w:r>
              <w:t>38.45</w:t>
            </w:r>
          </w:p>
        </w:tc>
        <w:tc>
          <w:tcPr>
            <w:tcW w:w="2551" w:type="dxa"/>
            <w:vAlign w:val="center"/>
          </w:tcPr>
          <w:p>
            <w:pPr>
              <w:pStyle w:val="15"/>
            </w:pPr>
            <w:r>
              <w:t>38.45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2101101</w:t>
            </w:r>
          </w:p>
        </w:tc>
        <w:tc>
          <w:tcPr>
            <w:tcW w:w="4535" w:type="dxa"/>
            <w:vAlign w:val="center"/>
          </w:tcPr>
          <w:p>
            <w:pPr>
              <w:pStyle w:val="16"/>
            </w:pPr>
            <w:r>
              <w:rPr>
                <w:rFonts w:hint="eastAsia"/>
              </w:rPr>
              <w:t>行政单位医疗</w:t>
            </w:r>
          </w:p>
        </w:tc>
        <w:tc>
          <w:tcPr>
            <w:tcW w:w="2551" w:type="dxa"/>
            <w:vAlign w:val="center"/>
          </w:tcPr>
          <w:p>
            <w:pPr>
              <w:pStyle w:val="15"/>
            </w:pPr>
            <w:r>
              <w:t>11.69</w:t>
            </w:r>
          </w:p>
        </w:tc>
        <w:tc>
          <w:tcPr>
            <w:tcW w:w="2551" w:type="dxa"/>
            <w:vAlign w:val="center"/>
          </w:tcPr>
          <w:p>
            <w:pPr>
              <w:pStyle w:val="15"/>
            </w:pPr>
            <w:r>
              <w:t>11.69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2101103</w:t>
            </w:r>
          </w:p>
        </w:tc>
        <w:tc>
          <w:tcPr>
            <w:tcW w:w="4535" w:type="dxa"/>
            <w:vAlign w:val="center"/>
          </w:tcPr>
          <w:p>
            <w:pPr>
              <w:pStyle w:val="16"/>
            </w:pPr>
            <w:r>
              <w:rPr>
                <w:rFonts w:hint="eastAsia"/>
              </w:rPr>
              <w:t>公务员医疗补助</w:t>
            </w:r>
          </w:p>
        </w:tc>
        <w:tc>
          <w:tcPr>
            <w:tcW w:w="2551" w:type="dxa"/>
            <w:vAlign w:val="center"/>
          </w:tcPr>
          <w:p>
            <w:pPr>
              <w:pStyle w:val="15"/>
            </w:pPr>
            <w:r>
              <w:t>26.76</w:t>
            </w:r>
          </w:p>
        </w:tc>
        <w:tc>
          <w:tcPr>
            <w:tcW w:w="2551" w:type="dxa"/>
            <w:vAlign w:val="center"/>
          </w:tcPr>
          <w:p>
            <w:pPr>
              <w:pStyle w:val="15"/>
            </w:pPr>
            <w:r>
              <w:t>26.76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w:t>
            </w:r>
          </w:p>
        </w:tc>
        <w:tc>
          <w:tcPr>
            <w:tcW w:w="4535" w:type="dxa"/>
            <w:vAlign w:val="center"/>
          </w:tcPr>
          <w:p>
            <w:pPr>
              <w:pStyle w:val="16"/>
            </w:pPr>
            <w:r>
              <w:rPr>
                <w:rFonts w:hint="eastAsia"/>
              </w:rPr>
              <w:t>住房保障支出</w:t>
            </w:r>
          </w:p>
        </w:tc>
        <w:tc>
          <w:tcPr>
            <w:tcW w:w="2551" w:type="dxa"/>
            <w:vAlign w:val="center"/>
          </w:tcPr>
          <w:p>
            <w:pPr>
              <w:pStyle w:val="15"/>
            </w:pPr>
            <w:r>
              <w:t>22.29</w:t>
            </w:r>
          </w:p>
        </w:tc>
        <w:tc>
          <w:tcPr>
            <w:tcW w:w="2551" w:type="dxa"/>
            <w:vAlign w:val="center"/>
          </w:tcPr>
          <w:p>
            <w:pPr>
              <w:pStyle w:val="15"/>
            </w:pPr>
            <w:r>
              <w:t>22.29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22102</w:t>
            </w:r>
          </w:p>
        </w:tc>
        <w:tc>
          <w:tcPr>
            <w:tcW w:w="4535" w:type="dxa"/>
            <w:vAlign w:val="center"/>
          </w:tcPr>
          <w:p>
            <w:pPr>
              <w:pStyle w:val="16"/>
            </w:pPr>
            <w:r>
              <w:rPr>
                <w:rFonts w:hint="eastAsia"/>
              </w:rPr>
              <w:t>住房改革支出</w:t>
            </w:r>
          </w:p>
        </w:tc>
        <w:tc>
          <w:tcPr>
            <w:tcW w:w="2551" w:type="dxa"/>
            <w:vAlign w:val="center"/>
          </w:tcPr>
          <w:p>
            <w:pPr>
              <w:pStyle w:val="15"/>
            </w:pPr>
            <w:r>
              <w:t>22.29</w:t>
            </w:r>
          </w:p>
        </w:tc>
        <w:tc>
          <w:tcPr>
            <w:tcW w:w="2551" w:type="dxa"/>
            <w:vAlign w:val="center"/>
          </w:tcPr>
          <w:p>
            <w:pPr>
              <w:pStyle w:val="15"/>
            </w:pPr>
            <w:r>
              <w:t>22.29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2210201</w:t>
            </w:r>
          </w:p>
        </w:tc>
        <w:tc>
          <w:tcPr>
            <w:tcW w:w="4535" w:type="dxa"/>
            <w:vAlign w:val="center"/>
          </w:tcPr>
          <w:p>
            <w:pPr>
              <w:pStyle w:val="16"/>
            </w:pPr>
            <w:r>
              <w:rPr>
                <w:rFonts w:hint="eastAsia"/>
              </w:rPr>
              <w:t>住房公积金</w:t>
            </w:r>
          </w:p>
        </w:tc>
        <w:tc>
          <w:tcPr>
            <w:tcW w:w="2551" w:type="dxa"/>
            <w:vAlign w:val="center"/>
          </w:tcPr>
          <w:p>
            <w:pPr>
              <w:pStyle w:val="15"/>
            </w:pPr>
            <w:r>
              <w:t>22.29</w:t>
            </w:r>
          </w:p>
        </w:tc>
        <w:tc>
          <w:tcPr>
            <w:tcW w:w="2551" w:type="dxa"/>
            <w:vAlign w:val="center"/>
          </w:tcPr>
          <w:p>
            <w:pPr>
              <w:pStyle w:val="15"/>
            </w:pPr>
            <w:r>
              <w:t>22.29</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29" w:name="_Toc13078_WPSOffice_Level1"/>
      <w:r>
        <w:rPr>
          <w:rFonts w:hint="eastAsia" w:ascii="方正小标宋_GBK" w:hAnsi="方正小标宋_GBK" w:eastAsia="方正小标宋_GBK" w:cs="方正小标宋_GBK"/>
          <w:color w:val="000000"/>
          <w:sz w:val="36"/>
        </w:rPr>
        <w:t>单位预算一般公共预算财政拨款基本支出表</w:t>
      </w:r>
      <w:bookmarkEnd w:id="2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131001</w:t>
            </w:r>
            <w:r>
              <w:rPr>
                <w:rFonts w:hint="eastAsia"/>
              </w:rPr>
              <w:t>政协单位中国人民政治协商会议河北省秦皇岛市山海关区委员会本级</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支出单位经济分类科目</w:t>
            </w:r>
          </w:p>
        </w:tc>
        <w:tc>
          <w:tcPr>
            <w:tcW w:w="7654" w:type="dxa"/>
            <w:gridSpan w:val="3"/>
            <w:vAlign w:val="center"/>
          </w:tcPr>
          <w:p>
            <w:pPr>
              <w:pStyle w:val="14"/>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Align w:val="center"/>
          </w:tcPr>
          <w:p>
            <w:pPr>
              <w:pStyle w:val="14"/>
            </w:pPr>
            <w:r>
              <w:rPr>
                <w:rFonts w:hint="eastAsia"/>
              </w:rPr>
              <w:t>合计</w:t>
            </w:r>
          </w:p>
        </w:tc>
        <w:tc>
          <w:tcPr>
            <w:tcW w:w="2551" w:type="dxa"/>
            <w:vAlign w:val="center"/>
          </w:tcPr>
          <w:p>
            <w:pPr>
              <w:pStyle w:val="14"/>
            </w:pPr>
            <w:r>
              <w:rPr>
                <w:rFonts w:hint="eastAsia"/>
              </w:rPr>
              <w:t>人员经费</w:t>
            </w:r>
          </w:p>
        </w:tc>
        <w:tc>
          <w:tcPr>
            <w:tcW w:w="2551" w:type="dxa"/>
            <w:vAlign w:val="center"/>
          </w:tcPr>
          <w:p>
            <w:pPr>
              <w:pStyle w:val="14"/>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rPr>
                <w:rFonts w:hint="eastAsia"/>
              </w:rPr>
              <w:t>合计</w:t>
            </w:r>
          </w:p>
        </w:tc>
        <w:tc>
          <w:tcPr>
            <w:tcW w:w="2551" w:type="dxa"/>
            <w:vAlign w:val="center"/>
          </w:tcPr>
          <w:p>
            <w:pPr>
              <w:pStyle w:val="19"/>
            </w:pPr>
            <w:r>
              <w:t>376.50</w:t>
            </w:r>
          </w:p>
        </w:tc>
        <w:tc>
          <w:tcPr>
            <w:tcW w:w="2551" w:type="dxa"/>
            <w:vAlign w:val="center"/>
          </w:tcPr>
          <w:p>
            <w:pPr>
              <w:pStyle w:val="19"/>
            </w:pPr>
            <w:r>
              <w:t>342.01</w:t>
            </w:r>
          </w:p>
        </w:tc>
        <w:tc>
          <w:tcPr>
            <w:tcW w:w="2551" w:type="dxa"/>
            <w:vAlign w:val="center"/>
          </w:tcPr>
          <w:p>
            <w:pPr>
              <w:pStyle w:val="19"/>
            </w:pPr>
            <w:r>
              <w:t>34.50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rPr>
                <w:rFonts w:hint="eastAsia"/>
              </w:rPr>
              <w:t>工资福利支出</w:t>
            </w:r>
          </w:p>
        </w:tc>
        <w:tc>
          <w:tcPr>
            <w:tcW w:w="2551" w:type="dxa"/>
            <w:vAlign w:val="center"/>
          </w:tcPr>
          <w:p>
            <w:pPr>
              <w:pStyle w:val="15"/>
            </w:pPr>
            <w:r>
              <w:t>290.47</w:t>
            </w:r>
          </w:p>
        </w:tc>
        <w:tc>
          <w:tcPr>
            <w:tcW w:w="2551" w:type="dxa"/>
            <w:vAlign w:val="center"/>
          </w:tcPr>
          <w:p>
            <w:pPr>
              <w:pStyle w:val="15"/>
            </w:pPr>
            <w:r>
              <w:t>290.47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rPr>
                <w:rFonts w:hint="eastAsia"/>
              </w:rPr>
              <w:t>基本工资</w:t>
            </w:r>
          </w:p>
        </w:tc>
        <w:tc>
          <w:tcPr>
            <w:tcW w:w="2551" w:type="dxa"/>
            <w:vAlign w:val="center"/>
          </w:tcPr>
          <w:p>
            <w:pPr>
              <w:pStyle w:val="15"/>
            </w:pPr>
            <w:r>
              <w:t>98.88</w:t>
            </w:r>
          </w:p>
        </w:tc>
        <w:tc>
          <w:tcPr>
            <w:tcW w:w="2551" w:type="dxa"/>
            <w:vAlign w:val="center"/>
          </w:tcPr>
          <w:p>
            <w:pPr>
              <w:pStyle w:val="15"/>
            </w:pPr>
            <w:r>
              <w:t>98.88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rPr>
                <w:rFonts w:hint="eastAsia"/>
              </w:rPr>
              <w:t>津贴补贴</w:t>
            </w:r>
          </w:p>
        </w:tc>
        <w:tc>
          <w:tcPr>
            <w:tcW w:w="2551" w:type="dxa"/>
            <w:vAlign w:val="center"/>
          </w:tcPr>
          <w:p>
            <w:pPr>
              <w:pStyle w:val="15"/>
            </w:pPr>
            <w:r>
              <w:t>73.43</w:t>
            </w:r>
          </w:p>
        </w:tc>
        <w:tc>
          <w:tcPr>
            <w:tcW w:w="2551" w:type="dxa"/>
            <w:vAlign w:val="center"/>
          </w:tcPr>
          <w:p>
            <w:pPr>
              <w:pStyle w:val="15"/>
            </w:pPr>
            <w:r>
              <w:t>73.43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rPr>
                <w:rFonts w:hint="eastAsia"/>
              </w:rPr>
              <w:t>奖金</w:t>
            </w:r>
          </w:p>
        </w:tc>
        <w:tc>
          <w:tcPr>
            <w:tcW w:w="2551" w:type="dxa"/>
            <w:vAlign w:val="center"/>
          </w:tcPr>
          <w:p>
            <w:pPr>
              <w:pStyle w:val="15"/>
            </w:pPr>
            <w:r>
              <w:t>20.23</w:t>
            </w:r>
          </w:p>
        </w:tc>
        <w:tc>
          <w:tcPr>
            <w:tcW w:w="2551" w:type="dxa"/>
            <w:vAlign w:val="center"/>
          </w:tcPr>
          <w:p>
            <w:pPr>
              <w:pStyle w:val="15"/>
            </w:pPr>
            <w:r>
              <w:t>20.23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rPr>
                <w:rFonts w:hint="eastAsia"/>
              </w:rPr>
              <w:t>绩效工资</w:t>
            </w:r>
          </w:p>
        </w:tc>
        <w:tc>
          <w:tcPr>
            <w:tcW w:w="2551" w:type="dxa"/>
            <w:vAlign w:val="center"/>
          </w:tcPr>
          <w:p>
            <w:pPr>
              <w:pStyle w:val="15"/>
            </w:pPr>
            <w:r>
              <w:t>6.98</w:t>
            </w:r>
          </w:p>
        </w:tc>
        <w:tc>
          <w:tcPr>
            <w:tcW w:w="2551" w:type="dxa"/>
            <w:vAlign w:val="center"/>
          </w:tcPr>
          <w:p>
            <w:pPr>
              <w:pStyle w:val="15"/>
            </w:pPr>
            <w:r>
              <w:t>6.98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rPr>
                <w:rFonts w:hint="eastAsia"/>
              </w:rPr>
              <w:t>机关事业单位基本养老保险缴费</w:t>
            </w:r>
          </w:p>
        </w:tc>
        <w:tc>
          <w:tcPr>
            <w:tcW w:w="2551" w:type="dxa"/>
            <w:vAlign w:val="center"/>
          </w:tcPr>
          <w:p>
            <w:pPr>
              <w:pStyle w:val="15"/>
            </w:pPr>
            <w:r>
              <w:t>29.26</w:t>
            </w:r>
          </w:p>
        </w:tc>
        <w:tc>
          <w:tcPr>
            <w:tcW w:w="2551" w:type="dxa"/>
            <w:vAlign w:val="center"/>
          </w:tcPr>
          <w:p>
            <w:pPr>
              <w:pStyle w:val="15"/>
            </w:pPr>
            <w:r>
              <w:t>29.26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rPr>
                <w:rFonts w:hint="eastAsia"/>
              </w:rPr>
              <w:t>职工基本医疗保险缴费</w:t>
            </w:r>
          </w:p>
        </w:tc>
        <w:tc>
          <w:tcPr>
            <w:tcW w:w="2551" w:type="dxa"/>
            <w:vAlign w:val="center"/>
          </w:tcPr>
          <w:p>
            <w:pPr>
              <w:pStyle w:val="15"/>
            </w:pPr>
            <w:r>
              <w:t>11.69</w:t>
            </w:r>
          </w:p>
        </w:tc>
        <w:tc>
          <w:tcPr>
            <w:tcW w:w="2551" w:type="dxa"/>
            <w:vAlign w:val="center"/>
          </w:tcPr>
          <w:p>
            <w:pPr>
              <w:pStyle w:val="15"/>
            </w:pPr>
            <w:r>
              <w:t>11.69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30111</w:t>
            </w:r>
          </w:p>
        </w:tc>
        <w:tc>
          <w:tcPr>
            <w:tcW w:w="4535" w:type="dxa"/>
            <w:vAlign w:val="center"/>
          </w:tcPr>
          <w:p>
            <w:pPr>
              <w:pStyle w:val="16"/>
            </w:pPr>
            <w:r>
              <w:rPr>
                <w:rFonts w:hint="eastAsia"/>
              </w:rPr>
              <w:t>公务员医疗补助缴费</w:t>
            </w:r>
          </w:p>
        </w:tc>
        <w:tc>
          <w:tcPr>
            <w:tcW w:w="2551" w:type="dxa"/>
            <w:vAlign w:val="center"/>
          </w:tcPr>
          <w:p>
            <w:pPr>
              <w:pStyle w:val="15"/>
            </w:pPr>
            <w:r>
              <w:t>26.76</w:t>
            </w:r>
          </w:p>
        </w:tc>
        <w:tc>
          <w:tcPr>
            <w:tcW w:w="2551" w:type="dxa"/>
            <w:vAlign w:val="center"/>
          </w:tcPr>
          <w:p>
            <w:pPr>
              <w:pStyle w:val="15"/>
            </w:pPr>
            <w:r>
              <w:t>26.76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rPr>
                <w:rFonts w:hint="eastAsia"/>
              </w:rPr>
              <w:t>其他社会保障缴费</w:t>
            </w:r>
          </w:p>
        </w:tc>
        <w:tc>
          <w:tcPr>
            <w:tcW w:w="2551" w:type="dxa"/>
            <w:vAlign w:val="center"/>
          </w:tcPr>
          <w:p>
            <w:pPr>
              <w:pStyle w:val="15"/>
            </w:pPr>
            <w:r>
              <w:t>0.96</w:t>
            </w:r>
          </w:p>
        </w:tc>
        <w:tc>
          <w:tcPr>
            <w:tcW w:w="2551" w:type="dxa"/>
            <w:vAlign w:val="center"/>
          </w:tcPr>
          <w:p>
            <w:pPr>
              <w:pStyle w:val="15"/>
            </w:pPr>
            <w:r>
              <w:t>0.96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rPr>
                <w:rFonts w:hint="eastAsia"/>
              </w:rPr>
              <w:t>住房公积金</w:t>
            </w:r>
          </w:p>
        </w:tc>
        <w:tc>
          <w:tcPr>
            <w:tcW w:w="2551" w:type="dxa"/>
            <w:vAlign w:val="center"/>
          </w:tcPr>
          <w:p>
            <w:pPr>
              <w:pStyle w:val="15"/>
            </w:pPr>
            <w:r>
              <w:t>22.29</w:t>
            </w:r>
          </w:p>
        </w:tc>
        <w:tc>
          <w:tcPr>
            <w:tcW w:w="2551" w:type="dxa"/>
            <w:vAlign w:val="center"/>
          </w:tcPr>
          <w:p>
            <w:pPr>
              <w:pStyle w:val="15"/>
            </w:pPr>
            <w:r>
              <w:t>22.29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rPr>
                <w:rFonts w:hint="eastAsia"/>
              </w:rPr>
              <w:t>商品和服务支出</w:t>
            </w:r>
          </w:p>
        </w:tc>
        <w:tc>
          <w:tcPr>
            <w:tcW w:w="2551" w:type="dxa"/>
            <w:vAlign w:val="center"/>
          </w:tcPr>
          <w:p>
            <w:pPr>
              <w:pStyle w:val="15"/>
            </w:pPr>
            <w:r>
              <w:t>34.50</w:t>
            </w:r>
          </w:p>
        </w:tc>
        <w:tc>
          <w:tcPr>
            <w:tcW w:w="2551" w:type="dxa"/>
            <w:vAlign w:val="center"/>
          </w:tcPr>
          <w:p>
            <w:pPr>
              <w:pStyle w:val="15"/>
            </w:pPr>
          </w:p>
        </w:tc>
        <w:tc>
          <w:tcPr>
            <w:tcW w:w="2551" w:type="dxa"/>
            <w:vAlign w:val="center"/>
          </w:tcPr>
          <w:p>
            <w:pPr>
              <w:pStyle w:val="15"/>
            </w:pPr>
            <w:r>
              <w:t>34.50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30202</w:t>
            </w:r>
          </w:p>
        </w:tc>
        <w:tc>
          <w:tcPr>
            <w:tcW w:w="4535" w:type="dxa"/>
            <w:vAlign w:val="center"/>
          </w:tcPr>
          <w:p>
            <w:pPr>
              <w:pStyle w:val="16"/>
            </w:pPr>
            <w:r>
              <w:rPr>
                <w:rFonts w:hint="eastAsia"/>
              </w:rPr>
              <w:t>印刷费</w:t>
            </w:r>
          </w:p>
        </w:tc>
        <w:tc>
          <w:tcPr>
            <w:tcW w:w="2551" w:type="dxa"/>
            <w:vAlign w:val="center"/>
          </w:tcPr>
          <w:p>
            <w:pPr>
              <w:pStyle w:val="15"/>
            </w:pPr>
            <w:r>
              <w:t>0.14</w:t>
            </w:r>
          </w:p>
        </w:tc>
        <w:tc>
          <w:tcPr>
            <w:tcW w:w="2551" w:type="dxa"/>
            <w:vAlign w:val="center"/>
          </w:tcPr>
          <w:p>
            <w:pPr>
              <w:pStyle w:val="15"/>
            </w:pPr>
          </w:p>
        </w:tc>
        <w:tc>
          <w:tcPr>
            <w:tcW w:w="2551" w:type="dxa"/>
            <w:vAlign w:val="center"/>
          </w:tcPr>
          <w:p>
            <w:pPr>
              <w:pStyle w:val="15"/>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30206</w:t>
            </w:r>
          </w:p>
        </w:tc>
        <w:tc>
          <w:tcPr>
            <w:tcW w:w="4535" w:type="dxa"/>
            <w:vAlign w:val="center"/>
          </w:tcPr>
          <w:p>
            <w:pPr>
              <w:pStyle w:val="16"/>
            </w:pPr>
            <w:r>
              <w:rPr>
                <w:rFonts w:hint="eastAsia"/>
              </w:rPr>
              <w:t>电费</w:t>
            </w:r>
          </w:p>
        </w:tc>
        <w:tc>
          <w:tcPr>
            <w:tcW w:w="2551" w:type="dxa"/>
            <w:vAlign w:val="center"/>
          </w:tcPr>
          <w:p>
            <w:pPr>
              <w:pStyle w:val="15"/>
            </w:pPr>
            <w:r>
              <w:t>2.62</w:t>
            </w:r>
          </w:p>
        </w:tc>
        <w:tc>
          <w:tcPr>
            <w:tcW w:w="2551" w:type="dxa"/>
            <w:vAlign w:val="center"/>
          </w:tcPr>
          <w:p>
            <w:pPr>
              <w:pStyle w:val="15"/>
            </w:pPr>
          </w:p>
        </w:tc>
        <w:tc>
          <w:tcPr>
            <w:tcW w:w="2551" w:type="dxa"/>
            <w:vAlign w:val="center"/>
          </w:tcPr>
          <w:p>
            <w:pPr>
              <w:pStyle w:val="15"/>
            </w:pPr>
            <w:r>
              <w:t>2.62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30207</w:t>
            </w:r>
          </w:p>
        </w:tc>
        <w:tc>
          <w:tcPr>
            <w:tcW w:w="4535" w:type="dxa"/>
            <w:vAlign w:val="center"/>
          </w:tcPr>
          <w:p>
            <w:pPr>
              <w:pStyle w:val="16"/>
            </w:pPr>
            <w:r>
              <w:rPr>
                <w:rFonts w:hint="eastAsia"/>
              </w:rPr>
              <w:t>邮电费</w:t>
            </w:r>
          </w:p>
        </w:tc>
        <w:tc>
          <w:tcPr>
            <w:tcW w:w="2551" w:type="dxa"/>
            <w:vAlign w:val="center"/>
          </w:tcPr>
          <w:p>
            <w:pPr>
              <w:pStyle w:val="15"/>
            </w:pPr>
            <w:r>
              <w:t>4.00</w:t>
            </w:r>
          </w:p>
        </w:tc>
        <w:tc>
          <w:tcPr>
            <w:tcW w:w="2551" w:type="dxa"/>
            <w:vAlign w:val="center"/>
          </w:tcPr>
          <w:p>
            <w:pPr>
              <w:pStyle w:val="15"/>
            </w:pPr>
          </w:p>
        </w:tc>
        <w:tc>
          <w:tcPr>
            <w:tcW w:w="2551"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30213</w:t>
            </w:r>
          </w:p>
        </w:tc>
        <w:tc>
          <w:tcPr>
            <w:tcW w:w="4535" w:type="dxa"/>
            <w:vAlign w:val="center"/>
          </w:tcPr>
          <w:p>
            <w:pPr>
              <w:pStyle w:val="16"/>
            </w:pPr>
            <w:r>
              <w:rPr>
                <w:rFonts w:hint="eastAsia"/>
              </w:rPr>
              <w:t>维修</w:t>
            </w:r>
            <w:r>
              <w:t>(</w:t>
            </w:r>
            <w:r>
              <w:rPr>
                <w:rFonts w:hint="eastAsia"/>
              </w:rPr>
              <w:t>护</w:t>
            </w:r>
            <w:r>
              <w:t>)</w:t>
            </w:r>
            <w:r>
              <w:rPr>
                <w:rFonts w:hint="eastAsia"/>
              </w:rPr>
              <w:t>费</w:t>
            </w:r>
          </w:p>
        </w:tc>
        <w:tc>
          <w:tcPr>
            <w:tcW w:w="2551" w:type="dxa"/>
            <w:vAlign w:val="center"/>
          </w:tcPr>
          <w:p>
            <w:pPr>
              <w:pStyle w:val="15"/>
            </w:pPr>
            <w:r>
              <w:t>0.44</w:t>
            </w:r>
          </w:p>
        </w:tc>
        <w:tc>
          <w:tcPr>
            <w:tcW w:w="2551" w:type="dxa"/>
            <w:vAlign w:val="center"/>
          </w:tcPr>
          <w:p>
            <w:pPr>
              <w:pStyle w:val="15"/>
            </w:pPr>
          </w:p>
        </w:tc>
        <w:tc>
          <w:tcPr>
            <w:tcW w:w="2551" w:type="dxa"/>
            <w:vAlign w:val="center"/>
          </w:tcPr>
          <w:p>
            <w:pPr>
              <w:pStyle w:val="15"/>
            </w:pPr>
            <w: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30216</w:t>
            </w:r>
          </w:p>
        </w:tc>
        <w:tc>
          <w:tcPr>
            <w:tcW w:w="4535" w:type="dxa"/>
            <w:vAlign w:val="center"/>
          </w:tcPr>
          <w:p>
            <w:pPr>
              <w:pStyle w:val="16"/>
            </w:pPr>
            <w:r>
              <w:rPr>
                <w:rFonts w:hint="eastAsia"/>
              </w:rPr>
              <w:t>培训费</w:t>
            </w:r>
          </w:p>
        </w:tc>
        <w:tc>
          <w:tcPr>
            <w:tcW w:w="2551" w:type="dxa"/>
            <w:vAlign w:val="center"/>
          </w:tcPr>
          <w:p>
            <w:pPr>
              <w:pStyle w:val="15"/>
            </w:pPr>
            <w:r>
              <w:t>0.50</w:t>
            </w:r>
          </w:p>
        </w:tc>
        <w:tc>
          <w:tcPr>
            <w:tcW w:w="2551" w:type="dxa"/>
            <w:vAlign w:val="center"/>
          </w:tcPr>
          <w:p>
            <w:pPr>
              <w:pStyle w:val="15"/>
            </w:pPr>
          </w:p>
        </w:tc>
        <w:tc>
          <w:tcPr>
            <w:tcW w:w="2551"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30217</w:t>
            </w:r>
          </w:p>
        </w:tc>
        <w:tc>
          <w:tcPr>
            <w:tcW w:w="4535" w:type="dxa"/>
            <w:vAlign w:val="center"/>
          </w:tcPr>
          <w:p>
            <w:pPr>
              <w:pStyle w:val="16"/>
            </w:pPr>
            <w:r>
              <w:rPr>
                <w:rFonts w:hint="eastAsia"/>
              </w:rPr>
              <w:t>公务接待费</w:t>
            </w:r>
          </w:p>
        </w:tc>
        <w:tc>
          <w:tcPr>
            <w:tcW w:w="2551" w:type="dxa"/>
            <w:vAlign w:val="center"/>
          </w:tcPr>
          <w:p>
            <w:pPr>
              <w:pStyle w:val="15"/>
            </w:pPr>
            <w:r>
              <w:t>0.13</w:t>
            </w:r>
          </w:p>
        </w:tc>
        <w:tc>
          <w:tcPr>
            <w:tcW w:w="2551" w:type="dxa"/>
            <w:vAlign w:val="center"/>
          </w:tcPr>
          <w:p>
            <w:pPr>
              <w:pStyle w:val="15"/>
            </w:pPr>
          </w:p>
        </w:tc>
        <w:tc>
          <w:tcPr>
            <w:tcW w:w="2551" w:type="dxa"/>
            <w:vAlign w:val="center"/>
          </w:tcPr>
          <w:p>
            <w:pPr>
              <w:pStyle w:val="15"/>
            </w:pPr>
            <w: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30228</w:t>
            </w:r>
          </w:p>
        </w:tc>
        <w:tc>
          <w:tcPr>
            <w:tcW w:w="4535" w:type="dxa"/>
            <w:vAlign w:val="center"/>
          </w:tcPr>
          <w:p>
            <w:pPr>
              <w:pStyle w:val="16"/>
            </w:pPr>
            <w:r>
              <w:rPr>
                <w:rFonts w:hint="eastAsia"/>
              </w:rPr>
              <w:t>工会经费</w:t>
            </w:r>
          </w:p>
        </w:tc>
        <w:tc>
          <w:tcPr>
            <w:tcW w:w="2551" w:type="dxa"/>
            <w:vAlign w:val="center"/>
          </w:tcPr>
          <w:p>
            <w:pPr>
              <w:pStyle w:val="15"/>
            </w:pPr>
            <w:r>
              <w:t>3.46</w:t>
            </w:r>
          </w:p>
        </w:tc>
        <w:tc>
          <w:tcPr>
            <w:tcW w:w="2551" w:type="dxa"/>
            <w:vAlign w:val="center"/>
          </w:tcPr>
          <w:p>
            <w:pPr>
              <w:pStyle w:val="15"/>
            </w:pPr>
          </w:p>
        </w:tc>
        <w:tc>
          <w:tcPr>
            <w:tcW w:w="2551" w:type="dxa"/>
            <w:vAlign w:val="center"/>
          </w:tcPr>
          <w:p>
            <w:pPr>
              <w:pStyle w:val="15"/>
            </w:pPr>
            <w:r>
              <w:t>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30229</w:t>
            </w:r>
          </w:p>
        </w:tc>
        <w:tc>
          <w:tcPr>
            <w:tcW w:w="4535" w:type="dxa"/>
            <w:vAlign w:val="center"/>
          </w:tcPr>
          <w:p>
            <w:pPr>
              <w:pStyle w:val="16"/>
            </w:pPr>
            <w:r>
              <w:rPr>
                <w:rFonts w:hint="eastAsia"/>
              </w:rPr>
              <w:t>福利费</w:t>
            </w:r>
          </w:p>
        </w:tc>
        <w:tc>
          <w:tcPr>
            <w:tcW w:w="2551" w:type="dxa"/>
            <w:vAlign w:val="center"/>
          </w:tcPr>
          <w:p>
            <w:pPr>
              <w:pStyle w:val="15"/>
            </w:pPr>
            <w:r>
              <w:t>2.47</w:t>
            </w:r>
          </w:p>
        </w:tc>
        <w:tc>
          <w:tcPr>
            <w:tcW w:w="2551" w:type="dxa"/>
            <w:vAlign w:val="center"/>
          </w:tcPr>
          <w:p>
            <w:pPr>
              <w:pStyle w:val="15"/>
            </w:pPr>
          </w:p>
        </w:tc>
        <w:tc>
          <w:tcPr>
            <w:tcW w:w="2551" w:type="dxa"/>
            <w:vAlign w:val="center"/>
          </w:tcPr>
          <w:p>
            <w:pPr>
              <w:pStyle w:val="15"/>
            </w:pPr>
            <w:r>
              <w:t>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30231</w:t>
            </w:r>
          </w:p>
        </w:tc>
        <w:tc>
          <w:tcPr>
            <w:tcW w:w="4535" w:type="dxa"/>
            <w:vAlign w:val="center"/>
          </w:tcPr>
          <w:p>
            <w:pPr>
              <w:pStyle w:val="16"/>
            </w:pPr>
            <w:r>
              <w:rPr>
                <w:rFonts w:hint="eastAsia"/>
              </w:rPr>
              <w:t>公务用车运行维护费</w:t>
            </w:r>
          </w:p>
        </w:tc>
        <w:tc>
          <w:tcPr>
            <w:tcW w:w="2551" w:type="dxa"/>
            <w:vAlign w:val="center"/>
          </w:tcPr>
          <w:p>
            <w:pPr>
              <w:pStyle w:val="15"/>
            </w:pPr>
            <w:r>
              <w:t>1.20</w:t>
            </w:r>
          </w:p>
        </w:tc>
        <w:tc>
          <w:tcPr>
            <w:tcW w:w="2551" w:type="dxa"/>
            <w:vAlign w:val="center"/>
          </w:tcPr>
          <w:p>
            <w:pPr>
              <w:pStyle w:val="15"/>
            </w:pPr>
          </w:p>
        </w:tc>
        <w:tc>
          <w:tcPr>
            <w:tcW w:w="2551"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30239</w:t>
            </w:r>
          </w:p>
        </w:tc>
        <w:tc>
          <w:tcPr>
            <w:tcW w:w="4535" w:type="dxa"/>
            <w:vAlign w:val="center"/>
          </w:tcPr>
          <w:p>
            <w:pPr>
              <w:pStyle w:val="16"/>
            </w:pPr>
            <w:r>
              <w:rPr>
                <w:rFonts w:hint="eastAsia"/>
              </w:rPr>
              <w:t>其他交通费用</w:t>
            </w:r>
          </w:p>
        </w:tc>
        <w:tc>
          <w:tcPr>
            <w:tcW w:w="2551" w:type="dxa"/>
            <w:vAlign w:val="center"/>
          </w:tcPr>
          <w:p>
            <w:pPr>
              <w:pStyle w:val="15"/>
            </w:pPr>
            <w:r>
              <w:t>14.69</w:t>
            </w:r>
          </w:p>
        </w:tc>
        <w:tc>
          <w:tcPr>
            <w:tcW w:w="2551" w:type="dxa"/>
            <w:vAlign w:val="center"/>
          </w:tcPr>
          <w:p>
            <w:pPr>
              <w:pStyle w:val="15"/>
            </w:pPr>
          </w:p>
        </w:tc>
        <w:tc>
          <w:tcPr>
            <w:tcW w:w="2551" w:type="dxa"/>
            <w:vAlign w:val="center"/>
          </w:tcPr>
          <w:p>
            <w:pPr>
              <w:pStyle w:val="15"/>
            </w:pPr>
            <w:r>
              <w:t>14.69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30299</w:t>
            </w:r>
          </w:p>
        </w:tc>
        <w:tc>
          <w:tcPr>
            <w:tcW w:w="4535" w:type="dxa"/>
            <w:vAlign w:val="center"/>
          </w:tcPr>
          <w:p>
            <w:pPr>
              <w:pStyle w:val="16"/>
            </w:pPr>
            <w:r>
              <w:rPr>
                <w:rFonts w:hint="eastAsia"/>
              </w:rPr>
              <w:t>其他商品和服务支出</w:t>
            </w:r>
          </w:p>
        </w:tc>
        <w:tc>
          <w:tcPr>
            <w:tcW w:w="2551" w:type="dxa"/>
            <w:vAlign w:val="center"/>
          </w:tcPr>
          <w:p>
            <w:pPr>
              <w:pStyle w:val="15"/>
            </w:pPr>
            <w:r>
              <w:t>4.84</w:t>
            </w:r>
          </w:p>
        </w:tc>
        <w:tc>
          <w:tcPr>
            <w:tcW w:w="2551" w:type="dxa"/>
            <w:vAlign w:val="center"/>
          </w:tcPr>
          <w:p>
            <w:pPr>
              <w:pStyle w:val="15"/>
            </w:pPr>
          </w:p>
        </w:tc>
        <w:tc>
          <w:tcPr>
            <w:tcW w:w="2551" w:type="dxa"/>
            <w:vAlign w:val="center"/>
          </w:tcPr>
          <w:p>
            <w:pPr>
              <w:pStyle w:val="15"/>
            </w:pPr>
            <w:r>
              <w:t>4.84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303</w:t>
            </w:r>
          </w:p>
        </w:tc>
        <w:tc>
          <w:tcPr>
            <w:tcW w:w="4535" w:type="dxa"/>
            <w:vAlign w:val="center"/>
          </w:tcPr>
          <w:p>
            <w:pPr>
              <w:pStyle w:val="16"/>
            </w:pPr>
            <w:r>
              <w:rPr>
                <w:rFonts w:hint="eastAsia"/>
              </w:rPr>
              <w:t>对个人和家庭的补助</w:t>
            </w:r>
          </w:p>
        </w:tc>
        <w:tc>
          <w:tcPr>
            <w:tcW w:w="2551" w:type="dxa"/>
            <w:vAlign w:val="center"/>
          </w:tcPr>
          <w:p>
            <w:pPr>
              <w:pStyle w:val="15"/>
            </w:pPr>
            <w:r>
              <w:t>51.54</w:t>
            </w:r>
          </w:p>
        </w:tc>
        <w:tc>
          <w:tcPr>
            <w:tcW w:w="2551" w:type="dxa"/>
            <w:vAlign w:val="center"/>
          </w:tcPr>
          <w:p>
            <w:pPr>
              <w:pStyle w:val="15"/>
            </w:pPr>
            <w:r>
              <w:t>51.54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30301</w:t>
            </w:r>
          </w:p>
        </w:tc>
        <w:tc>
          <w:tcPr>
            <w:tcW w:w="4535" w:type="dxa"/>
            <w:vAlign w:val="center"/>
          </w:tcPr>
          <w:p>
            <w:pPr>
              <w:pStyle w:val="16"/>
            </w:pPr>
            <w:r>
              <w:rPr>
                <w:rFonts w:hint="eastAsia"/>
              </w:rPr>
              <w:t>离休费</w:t>
            </w:r>
          </w:p>
        </w:tc>
        <w:tc>
          <w:tcPr>
            <w:tcW w:w="2551" w:type="dxa"/>
            <w:vAlign w:val="center"/>
          </w:tcPr>
          <w:p>
            <w:pPr>
              <w:pStyle w:val="15"/>
            </w:pPr>
            <w:r>
              <w:t>13.76</w:t>
            </w:r>
          </w:p>
        </w:tc>
        <w:tc>
          <w:tcPr>
            <w:tcW w:w="2551" w:type="dxa"/>
            <w:vAlign w:val="center"/>
          </w:tcPr>
          <w:p>
            <w:pPr>
              <w:pStyle w:val="15"/>
            </w:pPr>
            <w:r>
              <w:t>13.76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30302</w:t>
            </w:r>
          </w:p>
        </w:tc>
        <w:tc>
          <w:tcPr>
            <w:tcW w:w="4535" w:type="dxa"/>
            <w:vAlign w:val="center"/>
          </w:tcPr>
          <w:p>
            <w:pPr>
              <w:pStyle w:val="16"/>
            </w:pPr>
            <w:r>
              <w:rPr>
                <w:rFonts w:hint="eastAsia"/>
              </w:rPr>
              <w:t>退休费</w:t>
            </w:r>
          </w:p>
        </w:tc>
        <w:tc>
          <w:tcPr>
            <w:tcW w:w="2551" w:type="dxa"/>
            <w:vAlign w:val="center"/>
          </w:tcPr>
          <w:p>
            <w:pPr>
              <w:pStyle w:val="15"/>
            </w:pPr>
            <w:r>
              <w:t>35.92</w:t>
            </w:r>
          </w:p>
        </w:tc>
        <w:tc>
          <w:tcPr>
            <w:tcW w:w="2551" w:type="dxa"/>
            <w:vAlign w:val="center"/>
          </w:tcPr>
          <w:p>
            <w:pPr>
              <w:pStyle w:val="15"/>
            </w:pPr>
            <w:r>
              <w:t>35.92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30305</w:t>
            </w:r>
          </w:p>
        </w:tc>
        <w:tc>
          <w:tcPr>
            <w:tcW w:w="4535" w:type="dxa"/>
            <w:vAlign w:val="center"/>
          </w:tcPr>
          <w:p>
            <w:pPr>
              <w:pStyle w:val="16"/>
            </w:pPr>
            <w:r>
              <w:rPr>
                <w:rFonts w:hint="eastAsia"/>
              </w:rPr>
              <w:t>生活补助</w:t>
            </w:r>
          </w:p>
        </w:tc>
        <w:tc>
          <w:tcPr>
            <w:tcW w:w="2551" w:type="dxa"/>
            <w:vAlign w:val="center"/>
          </w:tcPr>
          <w:p>
            <w:pPr>
              <w:pStyle w:val="15"/>
            </w:pPr>
            <w:r>
              <w:t>1.58</w:t>
            </w:r>
          </w:p>
        </w:tc>
        <w:tc>
          <w:tcPr>
            <w:tcW w:w="2551" w:type="dxa"/>
            <w:vAlign w:val="center"/>
          </w:tcPr>
          <w:p>
            <w:pPr>
              <w:pStyle w:val="15"/>
            </w:pPr>
            <w:r>
              <w:t>1.58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30309</w:t>
            </w:r>
          </w:p>
        </w:tc>
        <w:tc>
          <w:tcPr>
            <w:tcW w:w="4535" w:type="dxa"/>
            <w:vAlign w:val="center"/>
          </w:tcPr>
          <w:p>
            <w:pPr>
              <w:pStyle w:val="16"/>
            </w:pPr>
            <w:r>
              <w:rPr>
                <w:rFonts w:hint="eastAsia"/>
              </w:rPr>
              <w:t>奖励金</w:t>
            </w:r>
          </w:p>
        </w:tc>
        <w:tc>
          <w:tcPr>
            <w:tcW w:w="2551" w:type="dxa"/>
            <w:vAlign w:val="center"/>
          </w:tcPr>
          <w:p>
            <w:pPr>
              <w:pStyle w:val="15"/>
            </w:pPr>
            <w:r>
              <w:t>0.02</w:t>
            </w:r>
          </w:p>
        </w:tc>
        <w:tc>
          <w:tcPr>
            <w:tcW w:w="2551" w:type="dxa"/>
            <w:vAlign w:val="center"/>
          </w:tcPr>
          <w:p>
            <w:pPr>
              <w:pStyle w:val="15"/>
            </w:pPr>
            <w:r>
              <w:t>0.02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30399</w:t>
            </w:r>
          </w:p>
        </w:tc>
        <w:tc>
          <w:tcPr>
            <w:tcW w:w="4535" w:type="dxa"/>
            <w:vAlign w:val="center"/>
          </w:tcPr>
          <w:p>
            <w:pPr>
              <w:pStyle w:val="16"/>
            </w:pPr>
            <w:r>
              <w:rPr>
                <w:rFonts w:hint="eastAsia"/>
              </w:rPr>
              <w:t>其他对个人和家庭的补助</w:t>
            </w:r>
          </w:p>
        </w:tc>
        <w:tc>
          <w:tcPr>
            <w:tcW w:w="2551" w:type="dxa"/>
            <w:vAlign w:val="center"/>
          </w:tcPr>
          <w:p>
            <w:pPr>
              <w:pStyle w:val="15"/>
            </w:pPr>
            <w:r>
              <w:t>0.25</w:t>
            </w:r>
          </w:p>
        </w:tc>
        <w:tc>
          <w:tcPr>
            <w:tcW w:w="2551" w:type="dxa"/>
            <w:vAlign w:val="center"/>
          </w:tcPr>
          <w:p>
            <w:pPr>
              <w:pStyle w:val="15"/>
            </w:pPr>
            <w:r>
              <w:t>0.25</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30" w:name="_Toc27171_WPSOffice_Level1"/>
      <w:r>
        <w:rPr>
          <w:rFonts w:hint="eastAsia" w:ascii="方正小标宋_GBK" w:hAnsi="方正小标宋_GBK" w:eastAsia="方正小标宋_GBK" w:cs="方正小标宋_GBK"/>
          <w:color w:val="000000"/>
          <w:sz w:val="36"/>
        </w:rPr>
        <w:t>单位预算政府基金预算财政拨款支出表</w:t>
      </w:r>
      <w:bookmarkEnd w:id="3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131001</w:t>
            </w:r>
            <w:r>
              <w:rPr>
                <w:rFonts w:hint="eastAsia"/>
              </w:rPr>
              <w:t>政协单位中国人民政治协商会议河北省秦皇岛市山海关区委员会本级</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功能分类科目</w:t>
            </w:r>
          </w:p>
        </w:tc>
        <w:tc>
          <w:tcPr>
            <w:tcW w:w="2551" w:type="dxa"/>
            <w:vMerge w:val="restart"/>
            <w:vAlign w:val="center"/>
          </w:tcPr>
          <w:p>
            <w:pPr>
              <w:pStyle w:val="14"/>
            </w:pPr>
            <w:r>
              <w:rPr>
                <w:rFonts w:hint="eastAsia"/>
              </w:rPr>
              <w:t>合计</w:t>
            </w:r>
          </w:p>
        </w:tc>
        <w:tc>
          <w:tcPr>
            <w:tcW w:w="2551" w:type="dxa"/>
            <w:vMerge w:val="restart"/>
            <w:vAlign w:val="center"/>
          </w:tcPr>
          <w:p>
            <w:pPr>
              <w:pStyle w:val="14"/>
            </w:pPr>
            <w:r>
              <w:rPr>
                <w:rFonts w:hint="eastAsia"/>
              </w:rPr>
              <w:t>基本支出</w:t>
            </w:r>
          </w:p>
        </w:tc>
        <w:tc>
          <w:tcPr>
            <w:tcW w:w="2551" w:type="dxa"/>
            <w:vMerge w:val="restart"/>
            <w:vAlign w:val="center"/>
          </w:tcPr>
          <w:p>
            <w:pPr>
              <w:pStyle w:val="14"/>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pPr>
      <w:bookmarkStart w:id="31" w:name="_Toc20126_WPSOffice_Level1"/>
      <w:r>
        <w:rPr>
          <w:rFonts w:hint="eastAsia" w:ascii="方正小标宋_GBK" w:hAnsi="方正小标宋_GBK" w:eastAsia="方正小标宋_GBK" w:cs="方正小标宋_GBK"/>
          <w:color w:val="000000"/>
          <w:sz w:val="36"/>
        </w:rPr>
        <w:t>单位预算国有资本经营预算财政拨款支出表</w:t>
      </w:r>
      <w:bookmarkEnd w:id="3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131001</w:t>
            </w:r>
            <w:r>
              <w:rPr>
                <w:rFonts w:hint="eastAsia"/>
              </w:rPr>
              <w:t>政协单位中国人民政治协商会议河北省秦皇岛市山海关区委员会本级</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功能分类科目</w:t>
            </w:r>
          </w:p>
        </w:tc>
        <w:tc>
          <w:tcPr>
            <w:tcW w:w="2551" w:type="dxa"/>
            <w:vMerge w:val="restart"/>
            <w:vAlign w:val="center"/>
          </w:tcPr>
          <w:p>
            <w:pPr>
              <w:pStyle w:val="14"/>
            </w:pPr>
            <w:r>
              <w:rPr>
                <w:rFonts w:hint="eastAsia"/>
              </w:rPr>
              <w:t>合计</w:t>
            </w:r>
          </w:p>
        </w:tc>
        <w:tc>
          <w:tcPr>
            <w:tcW w:w="2551" w:type="dxa"/>
            <w:vMerge w:val="restart"/>
            <w:vAlign w:val="center"/>
          </w:tcPr>
          <w:p>
            <w:pPr>
              <w:pStyle w:val="14"/>
            </w:pPr>
            <w:r>
              <w:rPr>
                <w:rFonts w:hint="eastAsia"/>
              </w:rPr>
              <w:t>基本支出</w:t>
            </w:r>
          </w:p>
        </w:tc>
        <w:tc>
          <w:tcPr>
            <w:tcW w:w="2551" w:type="dxa"/>
            <w:vMerge w:val="restart"/>
            <w:vAlign w:val="center"/>
          </w:tcPr>
          <w:p>
            <w:pPr>
              <w:pStyle w:val="14"/>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pPr>
      <w:bookmarkStart w:id="32" w:name="_Toc19890_WPSOffice_Level1"/>
      <w:r>
        <w:rPr>
          <w:rFonts w:hint="eastAsia" w:ascii="方正小标宋_GBK" w:hAnsi="方正小标宋_GBK" w:eastAsia="方正小标宋_GBK" w:cs="方正小标宋_GBK"/>
          <w:color w:val="000000"/>
          <w:sz w:val="36"/>
        </w:rPr>
        <w:t>单位预算财政拨款“三公”经费支出表</w:t>
      </w:r>
      <w:bookmarkEnd w:id="3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131001</w:t>
            </w:r>
            <w:r>
              <w:rPr>
                <w:rFonts w:hint="eastAsia"/>
              </w:rPr>
              <w:t>政协单位中国人民政治协商会议河北省秦皇岛市山海关区委员会本级</w:t>
            </w:r>
          </w:p>
        </w:tc>
        <w:tc>
          <w:tcPr>
            <w:tcW w:w="2381" w:type="dxa"/>
            <w:tcBorders>
              <w:top w:val="single" w:color="FFFFFF" w:sz="6" w:space="0"/>
              <w:left w:val="single" w:color="FFFFFF" w:sz="6" w:space="0"/>
              <w:right w:val="single" w:color="FFFFFF" w:sz="6" w:space="0"/>
            </w:tcBorders>
            <w:vAlign w:val="center"/>
          </w:tcPr>
          <w:p>
            <w:pPr>
              <w:pStyle w:val="12"/>
            </w:pPr>
            <w:r>
              <w:rPr>
                <w:rFonts w:hint="eastAsia"/>
              </w:rPr>
              <w:t>预算年度：</w:t>
            </w:r>
            <w:r>
              <w:t>2023</w:t>
            </w:r>
          </w:p>
        </w:tc>
        <w:tc>
          <w:tcPr>
            <w:tcW w:w="476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3798" w:type="dxa"/>
            <w:vMerge w:val="restart"/>
            <w:vAlign w:val="center"/>
          </w:tcPr>
          <w:p>
            <w:pPr>
              <w:pStyle w:val="14"/>
            </w:pPr>
            <w:r>
              <w:rPr>
                <w:rFonts w:hint="eastAsia"/>
              </w:rPr>
              <w:t>项</w:t>
            </w:r>
            <w:r>
              <w:t xml:space="preserve">  </w:t>
            </w:r>
            <w:r>
              <w:rPr>
                <w:rFonts w:hint="eastAsia"/>
              </w:rPr>
              <w:t>目</w:t>
            </w:r>
          </w:p>
        </w:tc>
        <w:tc>
          <w:tcPr>
            <w:tcW w:w="9524" w:type="dxa"/>
            <w:gridSpan w:val="4"/>
            <w:vAlign w:val="center"/>
          </w:tcPr>
          <w:p>
            <w:pPr>
              <w:pStyle w:val="14"/>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rPr>
                <w:rFonts w:hint="eastAsia"/>
              </w:rPr>
              <w:t>合计</w:t>
            </w:r>
          </w:p>
        </w:tc>
        <w:tc>
          <w:tcPr>
            <w:tcW w:w="2381" w:type="dxa"/>
            <w:vAlign w:val="center"/>
          </w:tcPr>
          <w:p>
            <w:pPr>
              <w:pStyle w:val="14"/>
            </w:pPr>
            <w:r>
              <w:rPr>
                <w:rFonts w:hint="eastAsia"/>
              </w:rPr>
              <w:t>一般公共预算</w:t>
            </w:r>
            <w:r>
              <w:t xml:space="preserve">              </w:t>
            </w:r>
            <w:r>
              <w:rPr>
                <w:rFonts w:hint="eastAsia"/>
              </w:rPr>
              <w:t>财政拨款</w:t>
            </w:r>
          </w:p>
        </w:tc>
        <w:tc>
          <w:tcPr>
            <w:tcW w:w="2381" w:type="dxa"/>
            <w:vAlign w:val="center"/>
          </w:tcPr>
          <w:p>
            <w:pPr>
              <w:pStyle w:val="14"/>
            </w:pPr>
            <w:r>
              <w:rPr>
                <w:rFonts w:hint="eastAsia"/>
              </w:rPr>
              <w:t>政府性基金</w:t>
            </w:r>
            <w:r>
              <w:t xml:space="preserve">                  </w:t>
            </w:r>
            <w:r>
              <w:rPr>
                <w:rFonts w:hint="eastAsia"/>
              </w:rPr>
              <w:t>预算拨款</w:t>
            </w:r>
          </w:p>
        </w:tc>
        <w:tc>
          <w:tcPr>
            <w:tcW w:w="2381" w:type="dxa"/>
            <w:vAlign w:val="center"/>
          </w:tcPr>
          <w:p>
            <w:pPr>
              <w:pStyle w:val="14"/>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rPr>
                <w:rFonts w:hint="eastAsia"/>
              </w:rP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rPr>
                <w:rFonts w:hint="eastAsia"/>
              </w:rPr>
              <w:t>“三公”经费小计</w:t>
            </w:r>
          </w:p>
        </w:tc>
        <w:tc>
          <w:tcPr>
            <w:tcW w:w="2381" w:type="dxa"/>
            <w:vAlign w:val="center"/>
          </w:tcPr>
          <w:p>
            <w:pPr>
              <w:pStyle w:val="19"/>
            </w:pPr>
            <w:r>
              <w:t>4.63</w:t>
            </w:r>
          </w:p>
        </w:tc>
        <w:tc>
          <w:tcPr>
            <w:tcW w:w="2381" w:type="dxa"/>
            <w:vAlign w:val="center"/>
          </w:tcPr>
          <w:p>
            <w:pPr>
              <w:pStyle w:val="19"/>
            </w:pPr>
            <w:r>
              <w:t>4.63</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rPr>
                <w:rFonts w:hint="eastAsia"/>
              </w:rP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rPr>
                <w:rFonts w:hint="eastAsia"/>
              </w:rPr>
              <w:t>二、公务用车购置及运维费</w:t>
            </w:r>
          </w:p>
        </w:tc>
        <w:tc>
          <w:tcPr>
            <w:tcW w:w="2381" w:type="dxa"/>
            <w:vAlign w:val="center"/>
          </w:tcPr>
          <w:p>
            <w:pPr>
              <w:pStyle w:val="15"/>
            </w:pPr>
            <w:r>
              <w:t>4.50</w:t>
            </w:r>
          </w:p>
        </w:tc>
        <w:tc>
          <w:tcPr>
            <w:tcW w:w="2381" w:type="dxa"/>
            <w:vAlign w:val="center"/>
          </w:tcPr>
          <w:p>
            <w:pPr>
              <w:pStyle w:val="15"/>
            </w:pPr>
            <w:r>
              <w:t>4.50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w:t>
            </w:r>
            <w:r>
              <w:rPr>
                <w:rFonts w:hint="eastAsia"/>
              </w:rPr>
              <w:t>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w:t>
            </w:r>
            <w:r>
              <w:rPr>
                <w:rFonts w:hint="eastAsia"/>
              </w:rPr>
              <w:t>公务用车运行维护费</w:t>
            </w:r>
          </w:p>
        </w:tc>
        <w:tc>
          <w:tcPr>
            <w:tcW w:w="2381" w:type="dxa"/>
            <w:vAlign w:val="center"/>
          </w:tcPr>
          <w:p>
            <w:pPr>
              <w:pStyle w:val="15"/>
            </w:pPr>
            <w:r>
              <w:t>4.50</w:t>
            </w:r>
          </w:p>
        </w:tc>
        <w:tc>
          <w:tcPr>
            <w:tcW w:w="2381" w:type="dxa"/>
            <w:vAlign w:val="center"/>
          </w:tcPr>
          <w:p>
            <w:pPr>
              <w:pStyle w:val="15"/>
            </w:pPr>
            <w:r>
              <w:t>4.50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rPr>
                <w:rFonts w:hint="eastAsia"/>
              </w:rPr>
              <w:t>三、公务接待费</w:t>
            </w:r>
          </w:p>
        </w:tc>
        <w:tc>
          <w:tcPr>
            <w:tcW w:w="2381" w:type="dxa"/>
            <w:vAlign w:val="center"/>
          </w:tcPr>
          <w:p>
            <w:pPr>
              <w:pStyle w:val="15"/>
            </w:pPr>
            <w:r>
              <w:t>0.13</w:t>
            </w:r>
          </w:p>
        </w:tc>
        <w:tc>
          <w:tcPr>
            <w:tcW w:w="2381" w:type="dxa"/>
            <w:vAlign w:val="center"/>
          </w:tcPr>
          <w:p>
            <w:pPr>
              <w:pStyle w:val="15"/>
            </w:pPr>
            <w:r>
              <w:t>0.13</w:t>
            </w: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rPr>
        <w:t>政协单位中国人民政治协商会议河北省秦皇岛市山海关区委员会本级</w:t>
      </w:r>
      <w:r>
        <w:rPr>
          <w:rFonts w:ascii="方正小标宋_GBK" w:hAnsi="方正小标宋_GBK" w:eastAsia="方正小标宋_GBK" w:cs="方正小标宋_GBK"/>
          <w:color w:val="000000"/>
          <w:sz w:val="44"/>
        </w:rPr>
        <w:t>2023</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按照《预算法》、《地方预决算公开操作规程》和《关于进一步推进预算公开工作的实施意见》规定，现将政协单位中国人民政治协商会议河北省秦皇岛市山海关区委员会本级</w:t>
      </w:r>
      <w:r>
        <w:rPr>
          <w:rFonts w:eastAsia="方正仿宋_GBK"/>
          <w:color w:val="000000"/>
          <w:sz w:val="28"/>
        </w:rPr>
        <w:t>2023</w:t>
      </w:r>
      <w:r>
        <w:rPr>
          <w:rFonts w:hint="eastAsia" w:eastAsia="方正仿宋_GBK"/>
          <w:color w:val="000000"/>
          <w:sz w:val="28"/>
        </w:rPr>
        <w:t>年单位预算公开如下：</w:t>
      </w:r>
    </w:p>
    <w:p>
      <w:pPr>
        <w:spacing w:before="10" w:after="10"/>
        <w:ind w:firstLine="640"/>
        <w:outlineLvl w:val="5"/>
      </w:pPr>
      <w:bookmarkStart w:id="33" w:name="_Toc11928_WPSOffice_Level1"/>
      <w:r>
        <w:rPr>
          <w:rFonts w:hint="eastAsia" w:ascii="黑体" w:hAnsi="黑体" w:eastAsia="黑体" w:cs="黑体"/>
          <w:color w:val="000000"/>
          <w:sz w:val="32"/>
        </w:rPr>
        <w:t>一、单位职责及机构设置情况</w:t>
      </w:r>
      <w:bookmarkEnd w:id="33"/>
    </w:p>
    <w:p>
      <w:pPr>
        <w:ind w:firstLine="640"/>
      </w:pPr>
      <w:r>
        <w:rPr>
          <w:rFonts w:hint="eastAsia" w:ascii="方正楷体_GBK" w:hAnsi="方正楷体_GBK" w:eastAsia="方正楷体_GBK" w:cs="方正楷体_GBK"/>
          <w:b/>
          <w:color w:val="000000"/>
          <w:sz w:val="32"/>
        </w:rPr>
        <w:t>单位职责：</w:t>
      </w:r>
    </w:p>
    <w:p>
      <w:pPr>
        <w:pStyle w:val="29"/>
      </w:pPr>
      <w:r>
        <w:rPr>
          <w:rFonts w:hint="eastAsia"/>
        </w:rPr>
        <w:t>一、政治协商专项业务</w:t>
      </w:r>
    </w:p>
    <w:p>
      <w:pPr>
        <w:pStyle w:val="29"/>
      </w:pPr>
      <w:r>
        <w:rPr>
          <w:rFonts w:hint="eastAsia"/>
        </w:rPr>
        <w:t>坚持</w:t>
      </w:r>
      <w:r>
        <w:t>“</w:t>
      </w:r>
      <w:r>
        <w:rPr>
          <w:rFonts w:hint="eastAsia"/>
        </w:rPr>
        <w:t>注重质量，讲求实效</w:t>
      </w:r>
      <w:r>
        <w:t>”</w:t>
      </w:r>
      <w:r>
        <w:rPr>
          <w:rFonts w:hint="eastAsia"/>
        </w:rPr>
        <w:t>的原则，紧紧围绕区委、区政府中心工作开展协商议政，努力在推进科学民主决策中发挥作用。积极开展多层次政治协商。充分利用全体会议、常委会议、主席会议、专委会议，认真开展政治协商。</w:t>
      </w:r>
    </w:p>
    <w:p>
      <w:pPr>
        <w:pStyle w:val="29"/>
      </w:pPr>
      <w:r>
        <w:rPr>
          <w:rFonts w:hint="eastAsia"/>
        </w:rPr>
        <w:t>二、民主监督</w:t>
      </w:r>
    </w:p>
    <w:p>
      <w:pPr>
        <w:pStyle w:val="29"/>
      </w:pPr>
      <w:r>
        <w:rPr>
          <w:rFonts w:hint="eastAsia"/>
        </w:rPr>
        <w:t>有效履行民主监督职责，发挥好协调关系、汇聚力量、建言献策、服务大局的作用。通过意见、建议、批评的方式对国家法律法规的实施、执行、党和政府的工作进行政治监督。</w:t>
      </w:r>
    </w:p>
    <w:p>
      <w:pPr>
        <w:pStyle w:val="29"/>
      </w:pPr>
      <w:r>
        <w:rPr>
          <w:rFonts w:hint="eastAsia"/>
        </w:rPr>
        <w:t>三、参政议政</w:t>
      </w:r>
    </w:p>
    <w:p>
      <w:pPr>
        <w:pStyle w:val="29"/>
      </w:pPr>
      <w:r>
        <w:rPr>
          <w:rFonts w:hint="eastAsia"/>
        </w:rPr>
        <w:t>通过调研课题就经济社会发展以及党委和政府关注的问题，提出客观、有价值、有分量、有影响的意见建议，促进决策民主化和科学化。通过界别渠道密切联系群众，反映社情民意，努力做到协调关系、化解矛盾、理顺情绪，增进社会各阶层不同利益群体的和谐和稳定。加强史料的收集，编辑高质量的文史资料。通过对全区重大问题以及人民群众普遍关心的问题，开展调查研究，反映社情民意，进行协商讨论，以调研报告、建议案或其他形式，向区委、区政府提出意见和建议。</w:t>
      </w:r>
    </w:p>
    <w:p>
      <w:pPr>
        <w:pStyle w:val="29"/>
      </w:pPr>
      <w:r>
        <w:rPr>
          <w:rFonts w:hint="eastAsia"/>
        </w:rPr>
        <w:t>四、政协事务管理</w:t>
      </w:r>
    </w:p>
    <w:p>
      <w:pPr>
        <w:pStyle w:val="29"/>
      </w:pPr>
      <w:r>
        <w:rPr>
          <w:rFonts w:hint="eastAsia"/>
        </w:rPr>
        <w:t>更加重视政协委员队伍建设，把建设</w:t>
      </w:r>
      <w:r>
        <w:t>“</w:t>
      </w:r>
      <w:r>
        <w:rPr>
          <w:rFonts w:hint="eastAsia"/>
        </w:rPr>
        <w:t>懂政协、会协商、善议政</w:t>
      </w:r>
      <w:r>
        <w:t>”</w:t>
      </w:r>
      <w:r>
        <w:rPr>
          <w:rFonts w:hint="eastAsia"/>
        </w:rPr>
        <w:t>，</w:t>
      </w:r>
      <w:r>
        <w:t>“</w:t>
      </w:r>
      <w:r>
        <w:rPr>
          <w:rFonts w:hint="eastAsia"/>
        </w:rPr>
        <w:t>守纪律、讲规矩、重品行</w:t>
      </w:r>
      <w:r>
        <w:t>”</w:t>
      </w:r>
      <w:r>
        <w:rPr>
          <w:rFonts w:hint="eastAsia"/>
        </w:rPr>
        <w:t>高素质队伍作为推进政协履职能力现代化建设的重要抓手，按照</w:t>
      </w:r>
      <w:r>
        <w:t>“</w:t>
      </w:r>
      <w:r>
        <w:rPr>
          <w:rFonts w:hint="eastAsia"/>
        </w:rPr>
        <w:t>严管厚爱</w:t>
      </w:r>
      <w:r>
        <w:t>”</w:t>
      </w:r>
      <w:r>
        <w:rPr>
          <w:rFonts w:hint="eastAsia"/>
        </w:rPr>
        <w:t>的原则带好政协委员队伍，为政协高效履职提供坚实的人才队伍保障。要进一步加强各专委会和委员活动组建设，积极探索围绕社会热点难点问题开展专题民主协商活动，努力使人民政协的工作充满生机与活力。更加重视机关自身建设，建章立制，规范管理，进一步提升服务保障能力。</w:t>
      </w: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rPr>
                <w:rFonts w:hint="eastAsia"/>
              </w:rPr>
              <w:t>单位名称</w:t>
            </w:r>
          </w:p>
        </w:tc>
        <w:tc>
          <w:tcPr>
            <w:tcW w:w="1843" w:type="dxa"/>
            <w:vAlign w:val="center"/>
          </w:tcPr>
          <w:p>
            <w:pPr>
              <w:pStyle w:val="14"/>
            </w:pPr>
            <w:r>
              <w:rPr>
                <w:rFonts w:hint="eastAsia"/>
              </w:rPr>
              <w:t>单位性质</w:t>
            </w:r>
          </w:p>
        </w:tc>
        <w:tc>
          <w:tcPr>
            <w:tcW w:w="2126" w:type="dxa"/>
            <w:vAlign w:val="center"/>
          </w:tcPr>
          <w:p>
            <w:pPr>
              <w:pStyle w:val="14"/>
            </w:pPr>
            <w:r>
              <w:rPr>
                <w:rFonts w:hint="eastAsia"/>
              </w:rPr>
              <w:t>单位规格</w:t>
            </w:r>
          </w:p>
        </w:tc>
        <w:tc>
          <w:tcPr>
            <w:tcW w:w="3827" w:type="dxa"/>
            <w:vAlign w:val="center"/>
          </w:tcPr>
          <w:p>
            <w:pPr>
              <w:pStyle w:val="14"/>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rPr>
              <w:t>政协单位中国人民政治协商会议河北省秦皇岛市山海关区委员会本级</w:t>
            </w:r>
          </w:p>
        </w:tc>
        <w:tc>
          <w:tcPr>
            <w:tcW w:w="1843" w:type="dxa"/>
            <w:vAlign w:val="center"/>
          </w:tcPr>
          <w:p>
            <w:pPr>
              <w:pStyle w:val="17"/>
            </w:pPr>
            <w:r>
              <w:rPr>
                <w:rFonts w:hint="eastAsia"/>
              </w:rPr>
              <w:t>行政</w:t>
            </w:r>
          </w:p>
        </w:tc>
        <w:tc>
          <w:tcPr>
            <w:tcW w:w="2126" w:type="dxa"/>
            <w:vAlign w:val="center"/>
          </w:tcPr>
          <w:p>
            <w:pPr>
              <w:pStyle w:val="17"/>
            </w:pPr>
            <w:r>
              <w:rPr>
                <w:rFonts w:hint="eastAsia"/>
              </w:rPr>
              <w:t>正处（县）级</w:t>
            </w:r>
          </w:p>
        </w:tc>
        <w:tc>
          <w:tcPr>
            <w:tcW w:w="3827" w:type="dxa"/>
            <w:vAlign w:val="center"/>
          </w:tcPr>
          <w:p>
            <w:pPr>
              <w:pStyle w:val="17"/>
            </w:pPr>
            <w:r>
              <w:rPr>
                <w:rFonts w:hint="eastAsia"/>
              </w:rPr>
              <w:t>财政拨款</w:t>
            </w:r>
          </w:p>
        </w:tc>
      </w:tr>
    </w:tbl>
    <w:p>
      <w:pPr>
        <w:spacing w:before="10" w:after="10"/>
        <w:ind w:firstLine="640"/>
        <w:outlineLvl w:val="5"/>
      </w:pPr>
      <w:bookmarkStart w:id="34" w:name="_Toc1654_WPSOffice_Level1"/>
      <w:r>
        <w:rPr>
          <w:rFonts w:hint="eastAsia" w:ascii="黑体" w:hAnsi="黑体" w:eastAsia="黑体" w:cs="黑体"/>
          <w:color w:val="000000"/>
          <w:sz w:val="32"/>
        </w:rPr>
        <w:t>二、单位预算安排的总体情况</w:t>
      </w:r>
      <w:bookmarkEnd w:id="34"/>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pStyle w:val="30"/>
      </w:pPr>
      <w:r>
        <w:rPr>
          <w:rFonts w:hint="eastAsia"/>
        </w:rPr>
        <w:t>按照预算管理有关规定，目前我区单位预算的编制实行综合预算制度，即全部收入和支出都反映在预算中。中国人民政治协商会议河北省秦皇岛市山海关区委员会机关及所属事业单位的收支包含在单位预算中。</w:t>
      </w:r>
    </w:p>
    <w:p>
      <w:pPr>
        <w:pStyle w:val="30"/>
      </w:pPr>
      <w:r>
        <w:t>1</w:t>
      </w:r>
      <w:r>
        <w:rPr>
          <w:rFonts w:hint="eastAsia"/>
        </w:rPr>
        <w:t>、收入说明</w:t>
      </w:r>
    </w:p>
    <w:p>
      <w:pPr>
        <w:pStyle w:val="30"/>
      </w:pPr>
      <w:r>
        <w:rPr>
          <w:rFonts w:hint="eastAsia"/>
        </w:rPr>
        <w:t>反映本单位当年全部收入。</w:t>
      </w:r>
      <w:r>
        <w:t>2023</w:t>
      </w:r>
      <w:r>
        <w:rPr>
          <w:rFonts w:hint="eastAsia"/>
        </w:rPr>
        <w:t>年预算收入为</w:t>
      </w:r>
      <w:r>
        <w:t>442.30</w:t>
      </w:r>
      <w:r>
        <w:rPr>
          <w:rFonts w:hint="eastAsia"/>
        </w:rPr>
        <w:t>万元，其中：一般公共预算收入</w:t>
      </w:r>
      <w:r>
        <w:t>442.30</w:t>
      </w:r>
      <w:r>
        <w:rPr>
          <w:rFonts w:hint="eastAsia"/>
        </w:rPr>
        <w:t>万元，基金预算收入</w:t>
      </w:r>
      <w:r>
        <w:t>0</w:t>
      </w:r>
      <w:r>
        <w:rPr>
          <w:rFonts w:hint="eastAsia"/>
        </w:rPr>
        <w:t>万元，财政专户核拨收入</w:t>
      </w:r>
      <w:r>
        <w:t>0</w:t>
      </w:r>
      <w:r>
        <w:rPr>
          <w:rFonts w:hint="eastAsia"/>
        </w:rPr>
        <w:t>万元，其他来源收入</w:t>
      </w:r>
      <w:r>
        <w:t>0</w:t>
      </w:r>
      <w:r>
        <w:rPr>
          <w:rFonts w:hint="eastAsia"/>
        </w:rPr>
        <w:t>万元。</w:t>
      </w:r>
    </w:p>
    <w:p>
      <w:pPr>
        <w:pStyle w:val="30"/>
      </w:pPr>
      <w:r>
        <w:t>2</w:t>
      </w:r>
      <w:r>
        <w:rPr>
          <w:rFonts w:hint="eastAsia"/>
        </w:rPr>
        <w:t>、支出说明</w:t>
      </w:r>
    </w:p>
    <w:p>
      <w:pPr>
        <w:pStyle w:val="30"/>
      </w:pPr>
      <w:r>
        <w:rPr>
          <w:rFonts w:hint="eastAsia"/>
        </w:rPr>
        <w:t>收支预算总表支出栏、基本支出表、项目支出表按经济分类和支出功能分类科目编制，反映中国人民政治协商会议河北省秦皇岛市山海关区委员会</w:t>
      </w:r>
      <w:r>
        <w:t>2023</w:t>
      </w:r>
      <w:r>
        <w:rPr>
          <w:rFonts w:hint="eastAsia"/>
        </w:rPr>
        <w:t>年度单位预算中支出预算的总体情况。</w:t>
      </w:r>
      <w:r>
        <w:t>2023</w:t>
      </w:r>
      <w:r>
        <w:rPr>
          <w:rFonts w:hint="eastAsia"/>
        </w:rPr>
        <w:t>年预算支出为</w:t>
      </w:r>
      <w:r>
        <w:t>442.30</w:t>
      </w:r>
      <w:r>
        <w:rPr>
          <w:rFonts w:hint="eastAsia"/>
        </w:rPr>
        <w:t>万元，其中：基本支出</w:t>
      </w:r>
      <w:r>
        <w:t>376.50</w:t>
      </w:r>
      <w:r>
        <w:rPr>
          <w:rFonts w:hint="eastAsia"/>
        </w:rPr>
        <w:t>万元，主要是人员经费</w:t>
      </w:r>
      <w:r>
        <w:t>342.01</w:t>
      </w:r>
      <w:r>
        <w:rPr>
          <w:rFonts w:hint="eastAsia"/>
        </w:rPr>
        <w:t>万元和日常公用经费</w:t>
      </w:r>
      <w:r>
        <w:t>34.50</w:t>
      </w:r>
      <w:r>
        <w:rPr>
          <w:rFonts w:hint="eastAsia"/>
        </w:rPr>
        <w:t>万元；项目支出</w:t>
      </w:r>
      <w:r>
        <w:t>65.80</w:t>
      </w:r>
      <w:r>
        <w:rPr>
          <w:rFonts w:hint="eastAsia"/>
        </w:rPr>
        <w:t>元，主要为政协会议项目安排资金</w:t>
      </w:r>
      <w:r>
        <w:t>20</w:t>
      </w:r>
      <w:r>
        <w:rPr>
          <w:rFonts w:hint="eastAsia"/>
        </w:rPr>
        <w:t>万元、车辆保险费</w:t>
      </w:r>
      <w:r>
        <w:t>0.80</w:t>
      </w:r>
      <w:r>
        <w:rPr>
          <w:rFonts w:hint="eastAsia"/>
        </w:rPr>
        <w:t>万元、综合事务管理费用</w:t>
      </w:r>
      <w:r>
        <w:t>45</w:t>
      </w:r>
      <w:r>
        <w:rPr>
          <w:rFonts w:hint="eastAsia"/>
        </w:rPr>
        <w:t>万元。</w:t>
      </w:r>
    </w:p>
    <w:p>
      <w:pPr>
        <w:pStyle w:val="30"/>
      </w:pPr>
      <w:r>
        <w:t>3</w:t>
      </w:r>
      <w:r>
        <w:rPr>
          <w:rFonts w:hint="eastAsia"/>
        </w:rPr>
        <w:t>、比上年增减情况</w:t>
      </w:r>
    </w:p>
    <w:p>
      <w:pPr>
        <w:pStyle w:val="30"/>
      </w:pPr>
      <w:r>
        <w:t>2023</w:t>
      </w:r>
      <w:r>
        <w:rPr>
          <w:rFonts w:hint="eastAsia"/>
        </w:rPr>
        <w:t>年预算支出安排</w:t>
      </w:r>
      <w:r>
        <w:t>442.30</w:t>
      </w:r>
      <w:r>
        <w:rPr>
          <w:rFonts w:hint="eastAsia"/>
        </w:rPr>
        <w:t>元，较</w:t>
      </w:r>
      <w:r>
        <w:t>2022</w:t>
      </w:r>
      <w:r>
        <w:rPr>
          <w:rFonts w:hint="eastAsia"/>
        </w:rPr>
        <w:t>年预算增加</w:t>
      </w:r>
      <w:r>
        <w:t>69.42</w:t>
      </w:r>
      <w:r>
        <w:rPr>
          <w:rFonts w:hint="eastAsia"/>
        </w:rPr>
        <w:t>万元，其中：基本支出增加</w:t>
      </w:r>
      <w:r>
        <w:t>49.42</w:t>
      </w:r>
      <w:r>
        <w:rPr>
          <w:rFonts w:hint="eastAsia"/>
        </w:rPr>
        <w:t>万元，主要为人员支出增加；项目支出增加</w:t>
      </w:r>
      <w:r>
        <w:t>20</w:t>
      </w:r>
      <w:r>
        <w:rPr>
          <w:rFonts w:hint="eastAsia"/>
        </w:rPr>
        <w:t>万元，主要为综合事务管理的增加。</w:t>
      </w:r>
    </w:p>
    <w:p>
      <w:pPr>
        <w:spacing w:before="10" w:after="10"/>
        <w:ind w:firstLine="640"/>
        <w:outlineLvl w:val="5"/>
      </w:pPr>
      <w:bookmarkStart w:id="35" w:name="_Toc4191_WPSOffice_Level1"/>
      <w:r>
        <w:rPr>
          <w:rFonts w:hint="eastAsia" w:ascii="黑体" w:hAnsi="黑体" w:eastAsia="黑体" w:cs="黑体"/>
          <w:color w:val="000000"/>
          <w:sz w:val="32"/>
        </w:rPr>
        <w:t>三、机关运行经费安排情况</w:t>
      </w:r>
      <w:bookmarkEnd w:id="35"/>
    </w:p>
    <w:p>
      <w:pPr>
        <w:pStyle w:val="31"/>
      </w:pPr>
      <w:r>
        <w:rPr>
          <w:rFonts w:hint="eastAsia"/>
        </w:rPr>
        <w:t>机关运行经费共计安排</w:t>
      </w:r>
      <w:r>
        <w:t>34.50</w:t>
      </w:r>
      <w:r>
        <w:rPr>
          <w:rFonts w:hint="eastAsia"/>
        </w:rPr>
        <w:t>元，主要用于邮电费</w:t>
      </w:r>
      <w:r>
        <w:t>4.00</w:t>
      </w:r>
      <w:r>
        <w:rPr>
          <w:rFonts w:hint="eastAsia"/>
        </w:rPr>
        <w:t>万元、差旅费</w:t>
      </w:r>
      <w:r>
        <w:t>0</w:t>
      </w:r>
      <w:r>
        <w:rPr>
          <w:rFonts w:hint="eastAsia"/>
        </w:rPr>
        <w:t>万元、会议费</w:t>
      </w:r>
      <w:r>
        <w:t>0</w:t>
      </w:r>
      <w:r>
        <w:rPr>
          <w:rFonts w:hint="eastAsia"/>
        </w:rPr>
        <w:t>万元、福利费</w:t>
      </w:r>
      <w:r>
        <w:t>0</w:t>
      </w:r>
      <w:r>
        <w:rPr>
          <w:rFonts w:hint="eastAsia"/>
        </w:rPr>
        <w:t>万元、日常维修费</w:t>
      </w:r>
      <w:r>
        <w:t>0.29</w:t>
      </w:r>
      <w:r>
        <w:rPr>
          <w:rFonts w:hint="eastAsia"/>
        </w:rPr>
        <w:t>万元、专用材料及一般设备购置费</w:t>
      </w:r>
      <w:r>
        <w:t>0</w:t>
      </w:r>
      <w:r>
        <w:rPr>
          <w:rFonts w:hint="eastAsia"/>
        </w:rPr>
        <w:t>万元、办公用房水电费</w:t>
      </w:r>
      <w:r>
        <w:t>0</w:t>
      </w:r>
      <w:r>
        <w:rPr>
          <w:rFonts w:hint="eastAsia"/>
        </w:rPr>
        <w:t>万元、办公用房取暖费</w:t>
      </w:r>
      <w:r>
        <w:t>0</w:t>
      </w:r>
      <w:r>
        <w:rPr>
          <w:rFonts w:hint="eastAsia"/>
        </w:rPr>
        <w:t>万元、办公用房物业管理费</w:t>
      </w:r>
      <w:r>
        <w:t>0</w:t>
      </w:r>
      <w:r>
        <w:rPr>
          <w:rFonts w:hint="eastAsia"/>
        </w:rPr>
        <w:t>万元、公务用车运行维护费以及其他费用</w:t>
      </w:r>
      <w:r>
        <w:t>30.21</w:t>
      </w:r>
      <w:r>
        <w:rPr>
          <w:rFonts w:hint="eastAsia"/>
        </w:rPr>
        <w:t>万元等日常运行支出。</w:t>
      </w:r>
    </w:p>
    <w:p>
      <w:pPr>
        <w:spacing w:before="10" w:after="10"/>
        <w:ind w:firstLine="640"/>
        <w:outlineLvl w:val="5"/>
      </w:pPr>
      <w:bookmarkStart w:id="36" w:name="_Toc31367_WPSOffice_Level1"/>
      <w:r>
        <w:rPr>
          <w:rFonts w:hint="eastAsia" w:ascii="黑体" w:hAnsi="黑体" w:eastAsia="黑体" w:cs="黑体"/>
          <w:color w:val="000000"/>
          <w:sz w:val="32"/>
        </w:rPr>
        <w:t>四、财政拨款“三公”经费预算情况及增减变化原因</w:t>
      </w:r>
      <w:bookmarkEnd w:id="36"/>
    </w:p>
    <w:p>
      <w:pPr>
        <w:pStyle w:val="32"/>
      </w:pPr>
      <w:r>
        <w:t>2023</w:t>
      </w:r>
      <w:r>
        <w:rPr>
          <w:rFonts w:hint="eastAsia"/>
        </w:rPr>
        <w:t>年，我单位财政拨款</w:t>
      </w:r>
      <w:r>
        <w:t>“</w:t>
      </w:r>
      <w:r>
        <w:rPr>
          <w:rFonts w:hint="eastAsia"/>
        </w:rPr>
        <w:t>三公</w:t>
      </w:r>
      <w:r>
        <w:t>”</w:t>
      </w:r>
      <w:r>
        <w:rPr>
          <w:rFonts w:hint="eastAsia"/>
        </w:rPr>
        <w:t>经费预算安排</w:t>
      </w:r>
      <w:r>
        <w:t>4.63</w:t>
      </w:r>
      <w:r>
        <w:rPr>
          <w:rFonts w:hint="eastAsia"/>
        </w:rPr>
        <w:t>万元，比上年减少</w:t>
      </w:r>
      <w:r>
        <w:t>0.19</w:t>
      </w:r>
      <w:r>
        <w:rPr>
          <w:rFonts w:hint="eastAsia"/>
        </w:rPr>
        <w:t>万元，。其中：因公出国（境）费</w:t>
      </w:r>
      <w:r>
        <w:t>0</w:t>
      </w:r>
      <w:r>
        <w:rPr>
          <w:rFonts w:hint="eastAsia"/>
        </w:rPr>
        <w:t>元，与上年持平，无增减变化；公务用车购置费</w:t>
      </w:r>
      <w:r>
        <w:t>0</w:t>
      </w:r>
      <w:r>
        <w:rPr>
          <w:rFonts w:hint="eastAsia"/>
        </w:rPr>
        <w:t>元，与上年持平，无增减变化；公务用车运行维护费</w:t>
      </w:r>
      <w:r>
        <w:t>4.5</w:t>
      </w:r>
      <w:r>
        <w:rPr>
          <w:rFonts w:hint="eastAsia"/>
        </w:rPr>
        <w:t>万元，与上年持平，无增减变化；公务接待费</w:t>
      </w:r>
      <w:r>
        <w:t>0.13</w:t>
      </w:r>
      <w:r>
        <w:rPr>
          <w:rFonts w:hint="eastAsia"/>
        </w:rPr>
        <w:t>万元，与比上年减少</w:t>
      </w:r>
      <w:r>
        <w:t>0.19</w:t>
      </w:r>
      <w:r>
        <w:rPr>
          <w:rFonts w:hint="eastAsia"/>
        </w:rPr>
        <w:t>万元。</w:t>
      </w:r>
    </w:p>
    <w:p>
      <w:pPr>
        <w:numPr>
          <w:ilvl w:val="0"/>
          <w:numId w:val="1"/>
        </w:numPr>
        <w:spacing w:before="10" w:after="10"/>
        <w:ind w:firstLine="640"/>
        <w:outlineLvl w:val="5"/>
        <w:rPr>
          <w:rFonts w:hint="eastAsia" w:ascii="黑体" w:hAnsi="黑体" w:eastAsia="黑体" w:cs="黑体"/>
          <w:color w:val="000000"/>
          <w:sz w:val="32"/>
        </w:rPr>
      </w:pPr>
      <w:bookmarkStart w:id="37" w:name="_Toc12054_WPSOffice_Level1"/>
      <w:r>
        <w:rPr>
          <w:rFonts w:hint="eastAsia" w:ascii="黑体" w:hAnsi="黑体" w:eastAsia="黑体" w:cs="黑体"/>
          <w:color w:val="000000"/>
          <w:sz w:val="32"/>
        </w:rPr>
        <w:t>预算绩效信息</w:t>
      </w:r>
      <w:bookmarkEnd w:id="37"/>
    </w:p>
    <w:p>
      <w:pPr>
        <w:ind w:firstLine="640"/>
      </w:pPr>
      <w:r>
        <w:rPr>
          <w:rFonts w:hint="eastAsia" w:ascii="方正楷体_GBK" w:hAnsi="方正楷体_GBK" w:eastAsia="方正楷体_GBK" w:cs="方正楷体_GBK"/>
          <w:b/>
          <w:color w:val="000000"/>
          <w:sz w:val="32"/>
        </w:rPr>
        <w:t>第一部分</w:t>
      </w: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rPr>
        <w:t>部门整体绩效目标</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outlineLvl w:val="1"/>
        <w:rPr>
          <w:rFonts w:hint="eastAsia" w:ascii="黑体" w:hAnsi="黑体" w:eastAsia="黑体" w:cs="黑体"/>
          <w:sz w:val="32"/>
          <w:szCs w:val="32"/>
        </w:rPr>
      </w:pPr>
      <w:bookmarkStart w:id="38" w:name="_Toc11154"/>
      <w:r>
        <w:rPr>
          <w:rFonts w:hint="eastAsia" w:ascii="黑体" w:hAnsi="黑体" w:eastAsia="黑体" w:cs="黑体"/>
          <w:color w:val="000000"/>
          <w:sz w:val="32"/>
          <w:szCs w:val="32"/>
        </w:rPr>
        <w:t>一、总体绩效目标</w:t>
      </w:r>
      <w:bookmarkEnd w:id="3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坚持以习近平新时代中国特色社会主义思想为指导，全面学习、全面把握、全面落实中共二十大精神，认真</w:t>
      </w:r>
      <w:r>
        <w:rPr>
          <w:rFonts w:hint="eastAsia" w:ascii="仿宋_GB2312" w:hAnsi="仿宋_GB2312" w:eastAsia="仿宋_GB2312" w:cs="仿宋_GB2312"/>
          <w:sz w:val="32"/>
          <w:szCs w:val="32"/>
          <w:lang w:eastAsia="zh-CN"/>
        </w:rPr>
        <w:t>贯彻</w:t>
      </w:r>
      <w:r>
        <w:rPr>
          <w:rFonts w:hint="eastAsia" w:ascii="仿宋_GB2312" w:hAnsi="仿宋_GB2312" w:eastAsia="仿宋_GB2312" w:cs="仿宋_GB2312"/>
          <w:sz w:val="32"/>
          <w:szCs w:val="32"/>
        </w:rPr>
        <w:t>落实省委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区委全会会议精神，深刻领悟“两个确立”的决定性意义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增强“四个意识”</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坚定“四个自信”</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做到“两个维护”,紧紧围绕“三年打基础，脱困境；两年求突破，增实力”的工作目标，</w:t>
      </w:r>
      <w:r>
        <w:rPr>
          <w:rFonts w:hint="eastAsia" w:ascii="仿宋_GB2312" w:hAnsi="仿宋_GB2312" w:eastAsia="仿宋_GB2312" w:cs="仿宋_GB2312"/>
          <w:sz w:val="32"/>
          <w:szCs w:val="32"/>
          <w:lang w:eastAsia="zh-CN"/>
        </w:rPr>
        <w:t>助力</w:t>
      </w:r>
      <w:r>
        <w:rPr>
          <w:rFonts w:hint="eastAsia" w:ascii="仿宋_GB2312" w:hAnsi="仿宋_GB2312" w:eastAsia="仿宋_GB2312" w:cs="仿宋_GB2312"/>
          <w:sz w:val="32"/>
          <w:szCs w:val="32"/>
        </w:rPr>
        <w:t>打造“一地三区四城”中国式现代化山海关场景</w:t>
      </w:r>
      <w:r>
        <w:rPr>
          <w:rFonts w:hint="eastAsia" w:ascii="仿宋_GB2312" w:hAnsi="仿宋_GB2312" w:eastAsia="仿宋_GB2312" w:cs="仿宋_GB2312"/>
          <w:sz w:val="32"/>
          <w:szCs w:val="32"/>
          <w:lang w:eastAsia="zh-CN"/>
        </w:rPr>
        <w:t>的发展目标，站位全区，</w:t>
      </w:r>
      <w:r>
        <w:rPr>
          <w:rFonts w:hint="eastAsia" w:ascii="仿宋_GB2312" w:hAnsi="仿宋_GB2312" w:eastAsia="仿宋_GB2312" w:cs="仿宋_GB2312"/>
          <w:sz w:val="32"/>
          <w:szCs w:val="32"/>
        </w:rPr>
        <w:t>服务大局</w:t>
      </w:r>
      <w:r>
        <w:rPr>
          <w:rFonts w:hint="eastAsia" w:ascii="仿宋_GB2312" w:hAnsi="仿宋_GB2312" w:eastAsia="仿宋_GB2312" w:cs="仿宋_GB2312"/>
          <w:sz w:val="32"/>
          <w:szCs w:val="32"/>
          <w:lang w:eastAsia="zh-CN"/>
        </w:rPr>
        <w:t>，紧盯</w:t>
      </w:r>
      <w:r>
        <w:rPr>
          <w:rFonts w:hint="eastAsia" w:ascii="仿宋_GB2312" w:hAnsi="仿宋_GB2312" w:eastAsia="仿宋_GB2312" w:cs="仿宋_GB2312"/>
          <w:sz w:val="32"/>
          <w:szCs w:val="32"/>
        </w:rPr>
        <w:t>项目建设、</w:t>
      </w:r>
      <w:r>
        <w:rPr>
          <w:rFonts w:hint="eastAsia" w:ascii="仿宋_GB2312" w:hAnsi="仿宋_GB2312" w:eastAsia="仿宋_GB2312" w:cs="仿宋_GB2312"/>
          <w:sz w:val="32"/>
          <w:szCs w:val="32"/>
          <w:lang w:eastAsia="zh-CN"/>
        </w:rPr>
        <w:t>生态环境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城市建设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民生保障、</w:t>
      </w:r>
      <w:r>
        <w:rPr>
          <w:rFonts w:hint="eastAsia" w:ascii="仿宋_GB2312" w:hAnsi="仿宋_GB2312" w:eastAsia="仿宋_GB2312" w:cs="仿宋_GB2312"/>
          <w:sz w:val="32"/>
          <w:szCs w:val="32"/>
        </w:rPr>
        <w:t>安全稳定</w:t>
      </w:r>
      <w:r>
        <w:rPr>
          <w:rFonts w:hint="eastAsia" w:ascii="仿宋_GB2312" w:hAnsi="仿宋_GB2312" w:eastAsia="仿宋_GB2312" w:cs="仿宋_GB2312"/>
          <w:sz w:val="32"/>
          <w:szCs w:val="32"/>
          <w:lang w:eastAsia="zh-CN"/>
        </w:rPr>
        <w:t>等重点任务，</w:t>
      </w:r>
      <w:r>
        <w:rPr>
          <w:rFonts w:hint="eastAsia" w:ascii="仿宋_GB2312" w:hAnsi="仿宋_GB2312" w:eastAsia="仿宋_GB2312" w:cs="仿宋_GB2312"/>
          <w:sz w:val="32"/>
          <w:szCs w:val="32"/>
        </w:rPr>
        <w:t>深入</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协商议政</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lang w:val="en-US" w:eastAsia="zh-CN"/>
        </w:rPr>
        <w:t>围绕动能转换</w:t>
      </w:r>
      <w:r>
        <w:rPr>
          <w:rFonts w:hint="eastAsia" w:ascii="仿宋_GB2312" w:hAnsi="仿宋_GB2312" w:eastAsia="仿宋_GB2312" w:cs="仿宋_GB2312"/>
          <w:sz w:val="32"/>
          <w:szCs w:val="32"/>
          <w:lang w:val="en-US" w:eastAsia="uk-UA"/>
        </w:rPr>
        <w:t>、转型升级、营商环境等事关长远发展的重大课题开展专题协商，</w:t>
      </w:r>
      <w:r>
        <w:rPr>
          <w:rFonts w:hint="eastAsia" w:ascii="仿宋_GB2312" w:hAnsi="仿宋_GB2312" w:eastAsia="仿宋_GB2312" w:cs="仿宋_GB2312"/>
          <w:sz w:val="32"/>
          <w:szCs w:val="32"/>
        </w:rPr>
        <w:t>谋划做好凝聚共识、凝聚力量、凝聚信心、凝聚正能量等工作，在更好发挥专门协商机构作用上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求创新、求突破、求成果，为助力</w:t>
      </w:r>
      <w:r>
        <w:rPr>
          <w:rFonts w:hint="eastAsia" w:ascii="仿宋_GB2312" w:hAnsi="仿宋_GB2312" w:eastAsia="仿宋_GB2312" w:cs="仿宋_GB2312"/>
          <w:sz w:val="32"/>
          <w:szCs w:val="32"/>
          <w:lang w:eastAsia="zh-CN"/>
        </w:rPr>
        <w:t>山海关区经济社会高质量发展</w:t>
      </w:r>
      <w:r>
        <w:rPr>
          <w:rFonts w:hint="eastAsia" w:ascii="仿宋_GB2312" w:hAnsi="仿宋_GB2312" w:eastAsia="仿宋_GB2312" w:cs="仿宋_GB2312"/>
          <w:sz w:val="32"/>
          <w:szCs w:val="32"/>
        </w:rPr>
        <w:t>履职尽责、奋发进取、担当作为。</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outlineLvl w:val="1"/>
        <w:rPr>
          <w:rFonts w:hint="eastAsia" w:ascii="黑体" w:hAnsi="黑体" w:eastAsia="黑体" w:cs="黑体"/>
          <w:color w:val="000000"/>
          <w:sz w:val="32"/>
          <w:szCs w:val="32"/>
        </w:rPr>
      </w:pPr>
      <w:bookmarkStart w:id="39" w:name="_Toc513"/>
      <w:r>
        <w:rPr>
          <w:rFonts w:hint="eastAsia" w:ascii="黑体" w:hAnsi="黑体" w:eastAsia="黑体" w:cs="黑体"/>
          <w:color w:val="000000"/>
          <w:sz w:val="32"/>
          <w:szCs w:val="32"/>
        </w:rPr>
        <w:t>二、分项绩效目标</w:t>
      </w:r>
      <w:bookmarkEnd w:id="3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（一）绩效目标：</w:t>
      </w:r>
      <w:r>
        <w:rPr>
          <w:rFonts w:hint="eastAsia" w:ascii="仿宋_GB2312" w:hAnsi="仿宋_GB2312" w:eastAsia="仿宋_GB2312" w:cs="仿宋_GB2312"/>
          <w:sz w:val="32"/>
          <w:szCs w:val="32"/>
        </w:rPr>
        <w:t>学习贯彻二十大精神广泛凝聚政治共识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以政协党组理论中心组扩大学习、常委会议第一议题学习宣讲活动为主要形式，学习贯彻中共二十大精神。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认真贯彻新时代党的建设总要求，切实发挥政协党组把方向、管大局、保落实的领导作用。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引导政协组织、政协委员、社会各界人士，不断增强政治判断力、政治领悟力、政治执行力。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绩效目标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助力推动中国式现代化</w:t>
      </w:r>
      <w:r>
        <w:rPr>
          <w:rFonts w:hint="eastAsia" w:ascii="仿宋_GB2312" w:hAnsi="仿宋_GB2312" w:eastAsia="仿宋_GB2312" w:cs="仿宋_GB2312"/>
          <w:sz w:val="32"/>
          <w:szCs w:val="32"/>
          <w:lang w:eastAsia="zh-CN"/>
        </w:rPr>
        <w:t>山海关</w:t>
      </w:r>
      <w:r>
        <w:rPr>
          <w:rFonts w:hint="eastAsia" w:ascii="仿宋_GB2312" w:hAnsi="仿宋_GB2312" w:eastAsia="仿宋_GB2312" w:cs="仿宋_GB2312"/>
          <w:sz w:val="32"/>
          <w:szCs w:val="32"/>
        </w:rPr>
        <w:t>场景建设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发挥政协专门协商机构作用。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组织开展主席会议、常委会议</w:t>
      </w:r>
      <w:r>
        <w:rPr>
          <w:rFonts w:hint="eastAsia" w:ascii="仿宋_GB2312" w:hAnsi="仿宋_GB2312" w:eastAsia="仿宋_GB2312" w:cs="仿宋_GB2312"/>
          <w:sz w:val="32"/>
          <w:szCs w:val="32"/>
          <w:lang w:eastAsia="zh-CN"/>
        </w:rPr>
        <w:t>、专委会议</w:t>
      </w:r>
      <w:r>
        <w:rPr>
          <w:rFonts w:hint="eastAsia" w:ascii="仿宋_GB2312" w:hAnsi="仿宋_GB2312" w:eastAsia="仿宋_GB2312" w:cs="仿宋_GB2312"/>
          <w:sz w:val="32"/>
          <w:szCs w:val="32"/>
        </w:rPr>
        <w:t>专题协商议政。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保障政协全会顺利召开。做好会议筹备、文件撰写打印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委员活动通知、提案征集审查等相关工作。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绩效目标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助力推进民生保障与改善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坚持把反映社情民意作为听民声、传民意、聚民智的重要载体，开展重点调研活动，协助党委和政府破解民生难题、增进人民福扯。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绩效指标2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围绕重点民生实事</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等开展视察监督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w:t>
      </w:r>
      <w:r>
        <w:rPr>
          <w:rFonts w:hint="eastAsia" w:ascii="仿宋_GB2312" w:hAnsi="仿宋_GB2312" w:eastAsia="仿宋_GB2312" w:cs="仿宋_GB2312"/>
          <w:sz w:val="32"/>
          <w:szCs w:val="32"/>
          <w:lang w:eastAsia="zh-CN"/>
        </w:rPr>
        <w:t>指标</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：选取</w:t>
      </w:r>
      <w:r>
        <w:rPr>
          <w:rFonts w:hint="eastAsia" w:ascii="仿宋_GB2312" w:hAnsi="仿宋_GB2312" w:eastAsia="仿宋_GB2312" w:cs="仿宋_GB2312"/>
          <w:sz w:val="32"/>
          <w:szCs w:val="32"/>
        </w:rPr>
        <w:t>重点提案进行跟踪督办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深入推进提案办理协商。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绩效目标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加强政协自身建设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加强政协党组、机关党组、机关党支部建设。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绩效指标2</w:t>
      </w:r>
      <w:r>
        <w:rPr>
          <w:rFonts w:hint="eastAsia" w:ascii="仿宋_GB2312" w:hAnsi="仿宋_GB2312" w:eastAsia="仿宋_GB2312" w:cs="仿宋_GB2312"/>
          <w:sz w:val="32"/>
          <w:szCs w:val="32"/>
          <w:lang w:eastAsia="zh-CN"/>
        </w:rPr>
        <w:t>：加强各专委会和</w:t>
      </w:r>
      <w:r>
        <w:rPr>
          <w:rFonts w:hint="eastAsia" w:ascii="仿宋_GB2312" w:hAnsi="仿宋_GB2312" w:eastAsia="仿宋_GB2312" w:cs="仿宋_GB2312"/>
          <w:sz w:val="32"/>
          <w:szCs w:val="32"/>
        </w:rPr>
        <w:t>委员工作室建设。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sz w:val="32"/>
          <w:szCs w:val="32"/>
          <w:lang w:val="en-US" w:eastAsia="uk-UA" w:bidi="ar-SA"/>
        </w:rPr>
        <w:t>把建设“懂政协、会协商、善议政”“守纪律、讲规矩、重品行”作为推进政协履职能力现代化建设的重要抓手，加强政协委员培训工作，</w:t>
      </w:r>
      <w:r>
        <w:rPr>
          <w:rFonts w:hint="eastAsia" w:ascii="仿宋_GB2312" w:hAnsi="仿宋_GB2312" w:eastAsia="仿宋_GB2312" w:cs="仿宋_GB2312"/>
          <w:sz w:val="32"/>
          <w:szCs w:val="32"/>
        </w:rPr>
        <w:t>提升委员履职能力。</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outlineLvl w:val="1"/>
        <w:rPr>
          <w:rFonts w:hint="eastAsia" w:ascii="黑体" w:hAnsi="黑体" w:eastAsia="黑体" w:cs="黑体"/>
          <w:color w:val="000000"/>
          <w:sz w:val="32"/>
          <w:szCs w:val="32"/>
        </w:rPr>
      </w:pPr>
      <w:bookmarkStart w:id="40" w:name="_Toc19216"/>
      <w:r>
        <w:rPr>
          <w:rFonts w:hint="eastAsia" w:ascii="黑体" w:hAnsi="黑体" w:eastAsia="黑体" w:cs="黑体"/>
          <w:color w:val="000000"/>
          <w:sz w:val="32"/>
          <w:szCs w:val="32"/>
        </w:rPr>
        <w:t>三、工作保障措施</w:t>
      </w:r>
      <w:bookmarkEnd w:id="4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完善制度建设。完善各项会议制度，规范会议程序，提高会议质量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提高协商水平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完善民主监督机制，畅通民主监督渠道，建立健全知情、沟通制度，将民主监督寓于提案、视察、参与工作检查等活动中，提高民主监督质量和成效。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加强支出管理。全面加强支出管理，对项目经费支出加强监督管理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对每个项目及时跟进，确保项目经费按照预算进度使用，及时获取项目资金确保支出进度达标。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加强绩效运行监控。按照部门预算的要求，认真编制预算，对支出实行分类管理，有支出标准、有制度依据，严格按照绩效目标的要求，监控项目经费的使用，确保项目经费使用达到指标要求。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做好绩效自评。及时做好绩效自评工作，对评价中发现问题及时整改，调整优化支出结构，提高项目资金的使用效率。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规范财务资产管理。完善财务管理制度，严格审批程序，加强固定资产登记、使用和报废处置管理，做到支出合理，物尽其用。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加强内部监督。加强内部监管制度建设，严格控制项目支出，认真开展资产清查和核实工作，同时积极配合有关单位的审计工作，确保绩效目标如期保质完成。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宣传培训调研等。加强学习培训，提高机关工作人员综合业务素质和服务保障能力，夯实政协整体工作水平:加强调研，提出优化财政资金配置、提高资金使用效益的意见:加大宣传力度，强化预算绩效管理意识促进预算绩效管理水平进一步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numPr>
          <w:ilvl w:val="0"/>
          <w:numId w:val="2"/>
        </w:numPr>
        <w:ind w:firstLine="640"/>
        <w:rPr>
          <w:rFonts w:hint="eastAsia"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rPr>
        <w:t>专项资金绩效目标</w:t>
      </w:r>
    </w:p>
    <w:p>
      <w:pPr>
        <w:numPr>
          <w:ilvl w:val="0"/>
          <w:numId w:val="0"/>
        </w:numPr>
        <w:rPr>
          <w:rFonts w:hint="eastAsia" w:ascii="方正楷体_GBK" w:hAnsi="方正楷体_GBK" w:eastAsia="方正楷体_GBK" w:cs="方正楷体_GBK"/>
          <w:b/>
          <w:color w:val="000000"/>
          <w:sz w:val="32"/>
        </w:rPr>
      </w:pPr>
    </w:p>
    <w:p>
      <w:pPr>
        <w:numPr>
          <w:ilvl w:val="0"/>
          <w:numId w:val="0"/>
        </w:numPr>
        <w:rPr>
          <w:rFonts w:hint="eastAsia" w:ascii="方正楷体_GBK" w:hAnsi="方正楷体_GBK" w:eastAsia="方正楷体_GBK" w:cs="方正楷体_GBK"/>
          <w:b/>
          <w:color w:val="000000"/>
          <w:sz w:val="32"/>
          <w:lang w:val="en-US" w:eastAsia="zh-CN"/>
        </w:rPr>
        <w:sectPr>
          <w:pgSz w:w="16840" w:h="11900" w:orient="landscape"/>
          <w:pgMar w:top="1361" w:right="1020" w:bottom="1361" w:left="1020" w:header="720" w:footer="720" w:gutter="0"/>
          <w:cols w:space="720" w:num="1"/>
        </w:sectPr>
      </w:pPr>
      <w:r>
        <w:rPr>
          <w:rFonts w:hint="eastAsia" w:ascii="方正楷体_GBK" w:hAnsi="方正楷体_GBK" w:eastAsia="方正楷体_GBK" w:cs="方正楷体_GBK"/>
          <w:b/>
          <w:color w:val="000000"/>
          <w:sz w:val="32"/>
          <w:lang w:val="en-US" w:eastAsia="zh-CN"/>
        </w:rPr>
        <w:t>无。</w:t>
      </w:r>
    </w:p>
    <w:p>
      <w:pPr>
        <w:numPr>
          <w:ilvl w:val="0"/>
          <w:numId w:val="2"/>
        </w:numPr>
        <w:ind w:left="0" w:leftChars="0" w:firstLine="640" w:firstLineChars="0"/>
        <w:rPr>
          <w:rFonts w:hint="eastAsia"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rPr>
        <w:t>预算项目绩效目标</w:t>
      </w:r>
    </w:p>
    <w:p>
      <w:pPr>
        <w:numPr>
          <w:ilvl w:val="0"/>
          <w:numId w:val="0"/>
        </w:numPr>
        <w:spacing w:before="10" w:after="10"/>
        <w:outlineLvl w:val="5"/>
        <w:rPr>
          <w:rFonts w:hint="eastAsia" w:ascii="黑体" w:hAnsi="黑体" w:eastAsia="黑体" w:cs="黑体"/>
          <w:color w:val="000000"/>
          <w:sz w:val="32"/>
        </w:rPr>
      </w:pPr>
      <w:bookmarkStart w:id="54" w:name="_GoBack"/>
      <w:bookmarkEnd w:id="54"/>
    </w:p>
    <w:p>
      <w:pPr>
        <w:spacing w:before="0" w:after="0"/>
        <w:ind w:firstLine="560"/>
        <w:jc w:val="left"/>
        <w:outlineLvl w:val="3"/>
      </w:pPr>
      <w:bookmarkStart w:id="41" w:name="_Toc_4_4_0000000004"/>
      <w:r>
        <w:rPr>
          <w:rFonts w:ascii="方正仿宋_GBK" w:hAnsi="方正仿宋_GBK" w:eastAsia="方正仿宋_GBK" w:cs="方正仿宋_GBK"/>
          <w:color w:val="000000"/>
          <w:sz w:val="28"/>
        </w:rPr>
        <w:t>1. 车辆保险费绩效目标表</w:t>
      </w:r>
      <w:bookmarkEnd w:id="4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131001政协部门中国人民政治协商会议河北省秦皇岛市山海关区委员会本级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13030323P003970100395</w:t>
            </w:r>
          </w:p>
        </w:tc>
        <w:tc>
          <w:tcPr>
            <w:tcW w:w="1587" w:type="dxa"/>
            <w:vAlign w:val="center"/>
          </w:tcPr>
          <w:p>
            <w:pPr>
              <w:pStyle w:val="14"/>
            </w:pPr>
            <w:r>
              <w:t>项目名称</w:t>
            </w:r>
          </w:p>
        </w:tc>
        <w:tc>
          <w:tcPr>
            <w:tcW w:w="4422" w:type="dxa"/>
            <w:gridSpan w:val="3"/>
            <w:vAlign w:val="center"/>
          </w:tcPr>
          <w:p>
            <w:pPr>
              <w:pStyle w:val="16"/>
            </w:pPr>
            <w:r>
              <w:t xml:space="preserve"> 车辆保险费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0.80</w:t>
            </w:r>
          </w:p>
        </w:tc>
        <w:tc>
          <w:tcPr>
            <w:tcW w:w="1587" w:type="dxa"/>
            <w:vAlign w:val="center"/>
          </w:tcPr>
          <w:p>
            <w:pPr>
              <w:pStyle w:val="14"/>
            </w:pPr>
            <w:r>
              <w:t>其中：财政    资金</w:t>
            </w:r>
          </w:p>
        </w:tc>
        <w:tc>
          <w:tcPr>
            <w:tcW w:w="1304" w:type="dxa"/>
            <w:vAlign w:val="center"/>
          </w:tcPr>
          <w:p>
            <w:pPr>
              <w:pStyle w:val="16"/>
            </w:pPr>
            <w:r>
              <w:t>0.80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rFonts w:hint="eastAsia"/>
                <w:lang w:val="en-US" w:eastAsia="zh-CN"/>
              </w:rPr>
              <w:t>缴纳公车保险。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rPr>
                <w:rFonts w:hint="default" w:eastAsia="方正书宋_GBK"/>
                <w:lang w:val="en-US" w:eastAsia="zh-CN"/>
              </w:rPr>
            </w:pPr>
            <w:r>
              <w:rPr>
                <w:rFonts w:hint="eastAsia"/>
                <w:lang w:val="en-US" w:eastAsia="zh-CN"/>
              </w:rPr>
              <w:t>0%</w:t>
            </w:r>
          </w:p>
        </w:tc>
        <w:tc>
          <w:tcPr>
            <w:tcW w:w="1587" w:type="dxa"/>
            <w:vAlign w:val="center"/>
          </w:tcPr>
          <w:p>
            <w:pPr>
              <w:pStyle w:val="17"/>
              <w:rPr>
                <w:rFonts w:hint="default" w:eastAsia="方正书宋_GBK"/>
                <w:lang w:val="en-US" w:eastAsia="zh-CN"/>
              </w:rPr>
            </w:pPr>
            <w:r>
              <w:rPr>
                <w:rFonts w:hint="eastAsia"/>
                <w:lang w:val="en-US" w:eastAsia="zh-CN"/>
              </w:rPr>
              <w:t>0%</w:t>
            </w:r>
          </w:p>
        </w:tc>
        <w:tc>
          <w:tcPr>
            <w:tcW w:w="1304" w:type="dxa"/>
            <w:vAlign w:val="center"/>
          </w:tcPr>
          <w:p>
            <w:pPr>
              <w:pStyle w:val="17"/>
              <w:rPr>
                <w:rFonts w:hint="default" w:eastAsia="方正书宋_GBK"/>
                <w:lang w:val="en-US" w:eastAsia="zh-CN"/>
              </w:rPr>
            </w:pPr>
            <w:r>
              <w:rPr>
                <w:rFonts w:hint="eastAsia"/>
                <w:lang w:val="en-US" w:eastAsia="zh-CN"/>
              </w:rPr>
              <w:t>0%</w:t>
            </w:r>
          </w:p>
        </w:tc>
        <w:tc>
          <w:tcPr>
            <w:tcW w:w="3118" w:type="dxa"/>
            <w:gridSpan w:val="2"/>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rPr>
                <w:rFonts w:hint="eastAsia" w:eastAsia="方正书宋_GBK"/>
                <w:lang w:val="en-US" w:eastAsia="zh-CN"/>
              </w:rPr>
            </w:pPr>
            <w:r>
              <w:rPr>
                <w:color w:val="FF0000"/>
              </w:rPr>
              <w:t xml:space="preserve"> </w:t>
            </w:r>
            <w:r>
              <w:rPr>
                <w:rFonts w:hint="eastAsia"/>
                <w:lang w:val="en-US" w:eastAsia="zh-CN"/>
              </w:rPr>
              <w:t>按期缴纳保险，为人车安全提供保障。</w:t>
            </w:r>
            <w:r>
              <w:rPr>
                <w:rFonts w:hint="eastAsia"/>
                <w:color w:val="FF0000"/>
                <w:lang w:val="en-US" w:eastAsia="zh-CN"/>
              </w:rPr>
              <w:t xml:space="preserve"> </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327" w:type="dxa"/>
            <w:vAlign w:val="center"/>
          </w:tcPr>
          <w:p>
            <w:pPr>
              <w:pStyle w:val="16"/>
            </w:pPr>
            <w:r>
              <w:t>数量指标</w:t>
            </w:r>
          </w:p>
        </w:tc>
        <w:tc>
          <w:tcPr>
            <w:tcW w:w="1327" w:type="dxa"/>
            <w:vAlign w:val="center"/>
          </w:tcPr>
          <w:p>
            <w:pPr>
              <w:pStyle w:val="16"/>
            </w:pPr>
            <w:r>
              <w:rPr>
                <w:rFonts w:hint="eastAsia"/>
                <w:lang w:val="en-US" w:eastAsia="zh-CN"/>
              </w:rPr>
              <w:t>缴纳保险车辆</w:t>
            </w:r>
            <w:r>
              <w:t>数量</w:t>
            </w:r>
          </w:p>
        </w:tc>
        <w:tc>
          <w:tcPr>
            <w:tcW w:w="2654" w:type="dxa"/>
            <w:vAlign w:val="center"/>
          </w:tcPr>
          <w:p>
            <w:pPr>
              <w:pStyle w:val="16"/>
              <w:rPr>
                <w:rFonts w:hint="default" w:eastAsia="方正书宋_GBK"/>
                <w:lang w:val="en-US" w:eastAsia="zh-CN"/>
              </w:rPr>
            </w:pPr>
            <w:r>
              <w:rPr>
                <w:rFonts w:hint="eastAsia"/>
                <w:lang w:val="en-US" w:eastAsia="zh-CN"/>
              </w:rPr>
              <w:t>缴纳</w:t>
            </w:r>
            <w:r>
              <w:t>车辆</w:t>
            </w:r>
            <w:r>
              <w:rPr>
                <w:rFonts w:hint="eastAsia"/>
                <w:lang w:val="en-US" w:eastAsia="zh-CN"/>
              </w:rPr>
              <w:t>保险车辆数</w:t>
            </w:r>
          </w:p>
        </w:tc>
        <w:tc>
          <w:tcPr>
            <w:tcW w:w="1327" w:type="dxa"/>
            <w:vAlign w:val="center"/>
          </w:tcPr>
          <w:p>
            <w:pPr>
              <w:pStyle w:val="16"/>
              <w:rPr>
                <w:rFonts w:hint="default" w:eastAsia="方正书宋_GBK"/>
                <w:lang w:val="en-US" w:eastAsia="zh-CN"/>
              </w:rPr>
            </w:pPr>
            <w:r>
              <w:rPr>
                <w:rFonts w:hint="eastAsia"/>
                <w:lang w:val="en-US" w:eastAsia="zh-CN"/>
              </w:rPr>
              <w:t>2辆</w:t>
            </w:r>
          </w:p>
        </w:tc>
        <w:tc>
          <w:tcPr>
            <w:tcW w:w="1327" w:type="dxa"/>
            <w:vAlign w:val="center"/>
          </w:tcPr>
          <w:p>
            <w:pPr>
              <w:pStyle w:val="16"/>
              <w:rPr>
                <w:rFonts w:hint="eastAsia" w:eastAsia="方正书宋_GBK"/>
                <w:lang w:eastAsia="zh-CN"/>
              </w:rPr>
            </w:pPr>
            <w:r>
              <w:rPr>
                <w:rFonts w:hint="eastAsia"/>
                <w:lang w:val="en-US" w:eastAsia="zh-CN"/>
              </w:rPr>
              <w:t>单位实有</w:t>
            </w:r>
            <w:r>
              <w:t>车辆</w:t>
            </w:r>
            <w:r>
              <w:rPr>
                <w:rFonts w:hint="eastAsia"/>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质量指标</w:t>
            </w:r>
          </w:p>
        </w:tc>
        <w:tc>
          <w:tcPr>
            <w:tcW w:w="1327" w:type="dxa"/>
            <w:vAlign w:val="center"/>
          </w:tcPr>
          <w:p>
            <w:pPr>
              <w:pStyle w:val="16"/>
            </w:pPr>
            <w:r>
              <w:rPr>
                <w:rFonts w:hint="eastAsia"/>
                <w:lang w:val="en-US" w:eastAsia="zh-CN"/>
              </w:rPr>
              <w:t>车辆正常运行率</w:t>
            </w:r>
          </w:p>
        </w:tc>
        <w:tc>
          <w:tcPr>
            <w:tcW w:w="2654" w:type="dxa"/>
            <w:vAlign w:val="center"/>
          </w:tcPr>
          <w:p>
            <w:pPr>
              <w:pStyle w:val="16"/>
              <w:jc w:val="center"/>
              <w:rPr>
                <w:rFonts w:hint="default" w:eastAsia="方正书宋_GBK"/>
                <w:lang w:val="en-US" w:eastAsia="zh-CN"/>
              </w:rPr>
            </w:pPr>
            <w:r>
              <w:rPr>
                <w:rFonts w:hint="eastAsia"/>
                <w:lang w:val="en-US" w:eastAsia="zh-CN"/>
              </w:rPr>
              <w:t>车辆正常运行天数占全部运行天数比率</w:t>
            </w:r>
          </w:p>
        </w:tc>
        <w:tc>
          <w:tcPr>
            <w:tcW w:w="1327" w:type="dxa"/>
            <w:vAlign w:val="center"/>
          </w:tcPr>
          <w:p>
            <w:pPr>
              <w:pStyle w:val="16"/>
              <w:rPr>
                <w:rFonts w:hint="default" w:eastAsia="方正书宋_GBK"/>
                <w:lang w:val="en-US" w:eastAsia="zh-CN"/>
              </w:rPr>
            </w:pPr>
            <w:r>
              <w:t>≥</w:t>
            </w:r>
            <w:r>
              <w:rPr>
                <w:rFonts w:hint="eastAsia"/>
                <w:lang w:val="en-US" w:eastAsia="zh-CN"/>
              </w:rPr>
              <w:t>95%</w:t>
            </w:r>
          </w:p>
        </w:tc>
        <w:tc>
          <w:tcPr>
            <w:tcW w:w="1327" w:type="dxa"/>
            <w:vAlign w:val="center"/>
          </w:tcPr>
          <w:p>
            <w:pPr>
              <w:pStyle w:val="16"/>
              <w:rPr>
                <w:rFonts w:hint="default" w:eastAsia="方正书宋_GBK"/>
                <w:lang w:val="en-US" w:eastAsia="zh-CN"/>
              </w:rPr>
            </w:pPr>
            <w:r>
              <w:rPr>
                <w:rFonts w:hint="eastAsia"/>
                <w:lang w:val="en-US" w:eastAsia="zh-CN"/>
              </w:rPr>
              <w:t>车辆正常运行情况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时效指标</w:t>
            </w:r>
          </w:p>
        </w:tc>
        <w:tc>
          <w:tcPr>
            <w:tcW w:w="1327" w:type="dxa"/>
            <w:vAlign w:val="center"/>
          </w:tcPr>
          <w:p>
            <w:pPr>
              <w:pStyle w:val="16"/>
              <w:rPr>
                <w:rFonts w:hint="default" w:eastAsia="方正书宋_GBK"/>
                <w:lang w:val="en-US" w:eastAsia="zh-CN"/>
              </w:rPr>
            </w:pPr>
            <w:r>
              <w:rPr>
                <w:rFonts w:hint="eastAsia"/>
                <w:lang w:val="en-US" w:eastAsia="zh-CN"/>
              </w:rPr>
              <w:t>按期缴纳保险</w:t>
            </w:r>
          </w:p>
        </w:tc>
        <w:tc>
          <w:tcPr>
            <w:tcW w:w="2654" w:type="dxa"/>
            <w:vAlign w:val="center"/>
          </w:tcPr>
          <w:p>
            <w:pPr>
              <w:pStyle w:val="16"/>
              <w:rPr>
                <w:rFonts w:hint="default" w:eastAsia="方正书宋_GBK"/>
                <w:lang w:val="en-US" w:eastAsia="zh-CN"/>
              </w:rPr>
            </w:pPr>
            <w:r>
              <w:rPr>
                <w:rFonts w:hint="eastAsia"/>
                <w:lang w:val="en-US" w:eastAsia="zh-CN"/>
              </w:rPr>
              <w:t>保费到期前及时缴纳车保险</w:t>
            </w:r>
          </w:p>
        </w:tc>
        <w:tc>
          <w:tcPr>
            <w:tcW w:w="1327" w:type="dxa"/>
            <w:vAlign w:val="center"/>
          </w:tcPr>
          <w:p>
            <w:pPr>
              <w:pStyle w:val="16"/>
              <w:rPr>
                <w:rFonts w:hint="eastAsia" w:eastAsia="方正书宋_GBK"/>
                <w:lang w:eastAsia="zh-CN"/>
              </w:rPr>
            </w:pPr>
            <w:r>
              <w:rPr>
                <w:rFonts w:hint="eastAsia"/>
                <w:lang w:val="en-US" w:eastAsia="zh-CN"/>
              </w:rPr>
              <w:t>及时</w:t>
            </w:r>
          </w:p>
        </w:tc>
        <w:tc>
          <w:tcPr>
            <w:tcW w:w="1327" w:type="dxa"/>
            <w:vAlign w:val="center"/>
          </w:tcPr>
          <w:p>
            <w:pPr>
              <w:pStyle w:val="16"/>
              <w:rPr>
                <w:rFonts w:hint="default" w:eastAsia="方正书宋_GBK"/>
                <w:lang w:val="en-US" w:eastAsia="zh-CN"/>
              </w:rPr>
            </w:pPr>
            <w:r>
              <w:rPr>
                <w:rFonts w:hint="eastAsia"/>
                <w:lang w:val="en-US" w:eastAsia="zh-CN"/>
              </w:rPr>
              <w:t>根据保险合同日期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6"/>
            </w:pPr>
            <w:r>
              <w:t>成本指标</w:t>
            </w:r>
          </w:p>
        </w:tc>
        <w:tc>
          <w:tcPr>
            <w:tcW w:w="1327" w:type="dxa"/>
            <w:vAlign w:val="center"/>
          </w:tcPr>
          <w:p>
            <w:pPr>
              <w:pStyle w:val="16"/>
              <w:rPr>
                <w:rFonts w:hint="default" w:eastAsia="方正书宋_GBK"/>
                <w:lang w:val="en-US" w:eastAsia="zh-CN"/>
              </w:rPr>
            </w:pPr>
            <w:r>
              <w:rPr>
                <w:rFonts w:hint="eastAsia"/>
                <w:lang w:val="en-US" w:eastAsia="zh-CN"/>
              </w:rPr>
              <w:t>保险费用</w:t>
            </w:r>
          </w:p>
        </w:tc>
        <w:tc>
          <w:tcPr>
            <w:tcW w:w="2654" w:type="dxa"/>
            <w:vAlign w:val="center"/>
          </w:tcPr>
          <w:p>
            <w:pPr>
              <w:pStyle w:val="16"/>
            </w:pPr>
            <w:r>
              <w:t>按</w:t>
            </w:r>
            <w:r>
              <w:rPr>
                <w:rFonts w:hint="eastAsia"/>
                <w:lang w:val="en-US" w:eastAsia="zh-CN"/>
              </w:rPr>
              <w:t>当年保险费用预算</w:t>
            </w:r>
            <w:r>
              <w:t>控制</w:t>
            </w:r>
          </w:p>
        </w:tc>
        <w:tc>
          <w:tcPr>
            <w:tcW w:w="1327" w:type="dxa"/>
            <w:vAlign w:val="center"/>
          </w:tcPr>
          <w:p>
            <w:pPr>
              <w:pStyle w:val="16"/>
              <w:rPr>
                <w:rFonts w:hint="default" w:eastAsia="方正书宋_GBK"/>
                <w:lang w:val="en-US" w:eastAsia="zh-CN"/>
              </w:rPr>
            </w:pPr>
            <w:r>
              <w:rPr>
                <w:rFonts w:hint="eastAsia"/>
                <w:lang w:val="en-US" w:eastAsia="zh-CN"/>
              </w:rPr>
              <w:t xml:space="preserve"> 100%</w:t>
            </w:r>
          </w:p>
        </w:tc>
        <w:tc>
          <w:tcPr>
            <w:tcW w:w="1327" w:type="dxa"/>
            <w:vAlign w:val="center"/>
          </w:tcPr>
          <w:p>
            <w:pPr>
              <w:pStyle w:val="16"/>
            </w:pPr>
            <w:r>
              <w:rPr>
                <w:rFonts w:hint="eastAsia"/>
                <w:lang w:val="en-US" w:eastAsia="zh-CN"/>
              </w:rPr>
              <w:t>实际保险缴费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r>
              <w:rPr>
                <w:rFonts w:ascii="方正书宋_GBK" w:hAnsi="方正书宋_GBK" w:eastAsia="方正书宋_GBK" w:cs="方正书宋_GBK"/>
                <w:sz w:val="21"/>
                <w:szCs w:val="24"/>
                <w:lang w:val="en-US" w:eastAsia="uk-UA" w:bidi="ar-SA"/>
              </w:rPr>
              <w:t>效益指标</w:t>
            </w:r>
          </w:p>
        </w:tc>
        <w:tc>
          <w:tcPr>
            <w:tcW w:w="1327" w:type="dxa"/>
            <w:vAlign w:val="center"/>
          </w:tcPr>
          <w:p>
            <w:pPr>
              <w:pStyle w:val="16"/>
              <w:rPr>
                <w:color w:val="auto"/>
              </w:rPr>
            </w:pPr>
            <w:r>
              <w:rPr>
                <w:color w:val="auto"/>
              </w:rPr>
              <w:t>社会效益指标</w:t>
            </w:r>
          </w:p>
        </w:tc>
        <w:tc>
          <w:tcPr>
            <w:tcW w:w="1327" w:type="dxa"/>
            <w:vAlign w:val="center"/>
          </w:tcPr>
          <w:p>
            <w:pPr>
              <w:pStyle w:val="16"/>
              <w:rPr>
                <w:color w:val="auto"/>
              </w:rPr>
            </w:pPr>
            <w:r>
              <w:rPr>
                <w:rFonts w:hint="eastAsia"/>
                <w:color w:val="auto"/>
                <w:lang w:val="en-US" w:eastAsia="zh-CN"/>
              </w:rPr>
              <w:t>业务能力保障</w:t>
            </w:r>
          </w:p>
        </w:tc>
        <w:tc>
          <w:tcPr>
            <w:tcW w:w="2654" w:type="dxa"/>
            <w:vAlign w:val="center"/>
          </w:tcPr>
          <w:p>
            <w:pPr>
              <w:pStyle w:val="16"/>
              <w:rPr>
                <w:rFonts w:hint="default" w:eastAsia="方正书宋_GBK"/>
                <w:color w:val="auto"/>
                <w:lang w:val="en-US" w:eastAsia="zh-CN"/>
              </w:rPr>
            </w:pPr>
            <w:r>
              <w:rPr>
                <w:color w:val="auto"/>
              </w:rPr>
              <w:t>保障</w:t>
            </w:r>
            <w:r>
              <w:rPr>
                <w:rFonts w:hint="eastAsia"/>
                <w:color w:val="auto"/>
                <w:lang w:val="en-US" w:eastAsia="zh-CN"/>
              </w:rPr>
              <w:t>相关业务、工作等开展情况</w:t>
            </w:r>
          </w:p>
        </w:tc>
        <w:tc>
          <w:tcPr>
            <w:tcW w:w="1327" w:type="dxa"/>
            <w:vAlign w:val="center"/>
          </w:tcPr>
          <w:p>
            <w:pPr>
              <w:pStyle w:val="16"/>
              <w:rPr>
                <w:rFonts w:hint="default" w:eastAsia="方正书宋_GBK"/>
                <w:color w:val="auto"/>
                <w:lang w:val="en-US" w:eastAsia="zh-CN"/>
              </w:rPr>
            </w:pPr>
            <w:r>
              <w:rPr>
                <w:rFonts w:hint="eastAsia"/>
                <w:color w:val="auto"/>
                <w:lang w:val="en-US" w:eastAsia="zh-CN"/>
              </w:rPr>
              <w:t>工作正常开展</w:t>
            </w:r>
          </w:p>
        </w:tc>
        <w:tc>
          <w:tcPr>
            <w:tcW w:w="1327" w:type="dxa"/>
            <w:vAlign w:val="center"/>
          </w:tcPr>
          <w:p>
            <w:pPr>
              <w:pStyle w:val="16"/>
              <w:rPr>
                <w:rFonts w:hint="default"/>
                <w:color w:val="auto"/>
                <w:lang w:val="en-US"/>
              </w:rPr>
            </w:pPr>
            <w:r>
              <w:rPr>
                <w:color w:val="auto"/>
              </w:rPr>
              <w:t>车辆</w:t>
            </w:r>
            <w:r>
              <w:rPr>
                <w:rFonts w:hint="eastAsia"/>
                <w:color w:val="auto"/>
                <w:lang w:val="en-US" w:eastAsia="zh-CN"/>
              </w:rPr>
              <w:t>实际运行情况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pPr>
            <w:r>
              <w:t>服务对象满意度指标</w:t>
            </w:r>
          </w:p>
        </w:tc>
        <w:tc>
          <w:tcPr>
            <w:tcW w:w="2654" w:type="dxa"/>
            <w:vAlign w:val="center"/>
          </w:tcPr>
          <w:p>
            <w:pPr>
              <w:pStyle w:val="16"/>
              <w:rPr>
                <w:rFonts w:hint="default" w:eastAsia="方正书宋_GBK"/>
                <w:lang w:val="en-US" w:eastAsia="zh-CN"/>
              </w:rPr>
            </w:pPr>
            <w:r>
              <w:rPr>
                <w:rFonts w:hint="eastAsia"/>
                <w:lang w:val="en-US" w:eastAsia="zh-CN"/>
              </w:rPr>
              <w:t>调查人员中满意人员占调查人员的比例</w:t>
            </w:r>
          </w:p>
        </w:tc>
        <w:tc>
          <w:tcPr>
            <w:tcW w:w="1327" w:type="dxa"/>
            <w:vAlign w:val="center"/>
          </w:tcPr>
          <w:p>
            <w:pPr>
              <w:pStyle w:val="16"/>
            </w:pPr>
            <w:r>
              <w:t>≥</w:t>
            </w:r>
            <w:r>
              <w:rPr>
                <w:rFonts w:hint="eastAsia"/>
                <w:lang w:val="en-US" w:eastAsia="zh-CN"/>
              </w:rPr>
              <w:t>90</w:t>
            </w:r>
            <w:r>
              <w:t xml:space="preserve">% </w:t>
            </w:r>
          </w:p>
        </w:tc>
        <w:tc>
          <w:tcPr>
            <w:tcW w:w="1327" w:type="dxa"/>
            <w:vAlign w:val="center"/>
          </w:tcPr>
          <w:p>
            <w:pPr>
              <w:pStyle w:val="16"/>
              <w:rPr>
                <w:rFonts w:hint="default" w:eastAsia="方正书宋_GBK"/>
                <w:lang w:val="en-US" w:eastAsia="zh-CN"/>
              </w:rPr>
            </w:pPr>
            <w:r>
              <w:rPr>
                <w:rFonts w:hint="eastAsia"/>
                <w:lang w:val="en-US" w:eastAsia="zh-CN"/>
              </w:rP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05"/>
      <w:r>
        <w:rPr>
          <w:rFonts w:ascii="方正仿宋_GBK" w:hAnsi="方正仿宋_GBK" w:eastAsia="方正仿宋_GBK" w:cs="方正仿宋_GBK"/>
          <w:color w:val="000000"/>
          <w:sz w:val="28"/>
        </w:rPr>
        <w:t>2.综合事务管理绩效目标表</w:t>
      </w:r>
      <w:bookmarkEnd w:id="4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131001政协部门中国人民政治协商会议河北省秦皇岛市山海关区委员会本级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13030323P00396710003C</w:t>
            </w:r>
          </w:p>
        </w:tc>
        <w:tc>
          <w:tcPr>
            <w:tcW w:w="1587" w:type="dxa"/>
            <w:vAlign w:val="center"/>
          </w:tcPr>
          <w:p>
            <w:pPr>
              <w:pStyle w:val="14"/>
            </w:pPr>
            <w:r>
              <w:t>项目名称</w:t>
            </w:r>
          </w:p>
        </w:tc>
        <w:tc>
          <w:tcPr>
            <w:tcW w:w="4422" w:type="dxa"/>
            <w:gridSpan w:val="3"/>
            <w:vAlign w:val="center"/>
          </w:tcPr>
          <w:p>
            <w:pPr>
              <w:pStyle w:val="16"/>
            </w:pPr>
            <w:r>
              <w:t>综合事务管理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45.00</w:t>
            </w:r>
          </w:p>
        </w:tc>
        <w:tc>
          <w:tcPr>
            <w:tcW w:w="1587" w:type="dxa"/>
            <w:vAlign w:val="center"/>
          </w:tcPr>
          <w:p>
            <w:pPr>
              <w:pStyle w:val="14"/>
            </w:pPr>
            <w:r>
              <w:t>其中：财政    资金</w:t>
            </w:r>
          </w:p>
        </w:tc>
        <w:tc>
          <w:tcPr>
            <w:tcW w:w="1304" w:type="dxa"/>
            <w:vAlign w:val="center"/>
          </w:tcPr>
          <w:p>
            <w:pPr>
              <w:pStyle w:val="16"/>
            </w:pPr>
            <w:r>
              <w:t>45.00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rPr>
                <w:color w:val="auto"/>
              </w:rPr>
              <w:t>保障</w:t>
            </w:r>
            <w:r>
              <w:rPr>
                <w:rFonts w:hint="eastAsia"/>
                <w:color w:val="auto"/>
                <w:lang w:val="en-US" w:eastAsia="zh-CN"/>
              </w:rPr>
              <w:t>政协</w:t>
            </w:r>
            <w:r>
              <w:rPr>
                <w:color w:val="auto"/>
              </w:rPr>
              <w:t>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rPr>
                <w:rFonts w:hint="default" w:eastAsia="方正书宋_GBK"/>
                <w:lang w:val="en-US" w:eastAsia="zh-CN"/>
              </w:rPr>
            </w:pPr>
            <w:r>
              <w:rPr>
                <w:rFonts w:hint="eastAsia"/>
                <w:lang w:val="en-US" w:eastAsia="zh-CN"/>
              </w:rPr>
              <w:t>25%</w:t>
            </w:r>
          </w:p>
        </w:tc>
        <w:tc>
          <w:tcPr>
            <w:tcW w:w="1587" w:type="dxa"/>
            <w:vAlign w:val="center"/>
          </w:tcPr>
          <w:p>
            <w:pPr>
              <w:pStyle w:val="17"/>
              <w:rPr>
                <w:rFonts w:hint="default" w:eastAsia="方正书宋_GBK"/>
                <w:lang w:val="en-US" w:eastAsia="zh-CN"/>
              </w:rPr>
            </w:pPr>
            <w:r>
              <w:rPr>
                <w:rFonts w:hint="eastAsia"/>
                <w:lang w:val="en-US" w:eastAsia="zh-CN"/>
              </w:rPr>
              <w:t>50%</w:t>
            </w:r>
          </w:p>
        </w:tc>
        <w:tc>
          <w:tcPr>
            <w:tcW w:w="1304" w:type="dxa"/>
            <w:vAlign w:val="center"/>
          </w:tcPr>
          <w:p>
            <w:pPr>
              <w:pStyle w:val="17"/>
              <w:rPr>
                <w:rFonts w:hint="default" w:eastAsia="方正书宋_GBK"/>
                <w:lang w:val="en-US" w:eastAsia="zh-CN"/>
              </w:rPr>
            </w:pPr>
            <w:r>
              <w:rPr>
                <w:rFonts w:hint="eastAsia"/>
                <w:lang w:val="en-US" w:eastAsia="zh-CN"/>
              </w:rPr>
              <w:t>75%</w:t>
            </w:r>
          </w:p>
        </w:tc>
        <w:tc>
          <w:tcPr>
            <w:tcW w:w="3118" w:type="dxa"/>
            <w:gridSpan w:val="2"/>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rPr>
                <w:rFonts w:hint="default" w:eastAsia="方正书宋_GBK"/>
                <w:lang w:val="en-US" w:eastAsia="zh-CN"/>
              </w:rPr>
            </w:pPr>
            <w:r>
              <w:rPr>
                <w:rFonts w:hint="eastAsia"/>
                <w:color w:val="auto"/>
                <w:lang w:val="en-US" w:eastAsia="zh-CN"/>
              </w:rPr>
              <w:t>保障政协日常办公及委员活动，充分发挥政协委员作用。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327" w:type="dxa"/>
            <w:vAlign w:val="center"/>
          </w:tcPr>
          <w:p>
            <w:pPr>
              <w:pStyle w:val="14"/>
            </w:pPr>
            <w:r>
              <w:t>二级指标</w:t>
            </w:r>
          </w:p>
        </w:tc>
        <w:tc>
          <w:tcPr>
            <w:tcW w:w="1327"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jc w:val="center"/>
            </w:pPr>
            <w:r>
              <w:t>产出指标</w:t>
            </w:r>
          </w:p>
        </w:tc>
        <w:tc>
          <w:tcPr>
            <w:tcW w:w="1327" w:type="dxa"/>
            <w:vAlign w:val="center"/>
          </w:tcPr>
          <w:p>
            <w:pPr>
              <w:pStyle w:val="16"/>
            </w:pPr>
            <w:r>
              <w:t>数量指标</w:t>
            </w:r>
          </w:p>
        </w:tc>
        <w:tc>
          <w:tcPr>
            <w:tcW w:w="1327" w:type="dxa"/>
            <w:vAlign w:val="center"/>
          </w:tcPr>
          <w:p>
            <w:pPr>
              <w:pStyle w:val="16"/>
              <w:rPr>
                <w:rFonts w:hint="eastAsia" w:eastAsia="方正书宋_GBK"/>
                <w:lang w:val="en-US" w:eastAsia="zh-CN"/>
              </w:rPr>
            </w:pPr>
            <w:r>
              <w:rPr>
                <w:rFonts w:hint="eastAsia"/>
                <w:lang w:val="en-US" w:eastAsia="zh-CN"/>
              </w:rPr>
              <w:t>活动开展次数</w:t>
            </w:r>
          </w:p>
        </w:tc>
        <w:tc>
          <w:tcPr>
            <w:tcW w:w="2654" w:type="dxa"/>
            <w:vAlign w:val="center"/>
          </w:tcPr>
          <w:p>
            <w:pPr>
              <w:pStyle w:val="16"/>
              <w:rPr>
                <w:rFonts w:hint="default" w:eastAsia="方正书宋_GBK"/>
                <w:lang w:val="en-US" w:eastAsia="zh-CN"/>
              </w:rPr>
            </w:pPr>
            <w:r>
              <w:rPr>
                <w:rFonts w:hint="eastAsia"/>
                <w:lang w:val="en-US" w:eastAsia="zh-CN"/>
              </w:rPr>
              <w:t>开展委员调研视察督办活动次数</w:t>
            </w:r>
          </w:p>
        </w:tc>
        <w:tc>
          <w:tcPr>
            <w:tcW w:w="1327" w:type="dxa"/>
            <w:vAlign w:val="center"/>
          </w:tcPr>
          <w:p>
            <w:pPr>
              <w:pStyle w:val="16"/>
              <w:rPr>
                <w:rFonts w:hint="eastAsia" w:eastAsia="方正书宋_GBK"/>
                <w:lang w:val="en-US" w:eastAsia="zh-CN"/>
              </w:rPr>
            </w:pPr>
            <w:r>
              <w:t>≥</w:t>
            </w:r>
            <w:r>
              <w:rPr>
                <w:rFonts w:hint="eastAsia"/>
                <w:lang w:val="en-US" w:eastAsia="zh-CN"/>
              </w:rPr>
              <w:t>1</w:t>
            </w:r>
            <w:r>
              <w:t>0</w:t>
            </w:r>
            <w:r>
              <w:rPr>
                <w:rFonts w:hint="eastAsia"/>
                <w:lang w:val="en-US" w:eastAsia="zh-CN"/>
              </w:rPr>
              <w:t>次</w:t>
            </w:r>
          </w:p>
        </w:tc>
        <w:tc>
          <w:tcPr>
            <w:tcW w:w="1327" w:type="dxa"/>
            <w:vAlign w:val="center"/>
          </w:tcPr>
          <w:p>
            <w:pPr>
              <w:pStyle w:val="16"/>
              <w:rPr>
                <w:rFonts w:hint="default" w:eastAsia="方正书宋_GBK"/>
                <w:lang w:val="en-US" w:eastAsia="zh-CN"/>
              </w:rPr>
            </w:pPr>
            <w:r>
              <w:rPr>
                <w:rFonts w:hint="eastAsia"/>
                <w:lang w:val="en-US" w:eastAsia="zh-CN"/>
              </w:rPr>
              <w:t>2023年年初工作谋划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top"/>
          </w:tcPr>
          <w:p>
            <w:pPr>
              <w:jc w:val="left"/>
            </w:pPr>
          </w:p>
        </w:tc>
        <w:tc>
          <w:tcPr>
            <w:tcW w:w="1327" w:type="dxa"/>
            <w:vAlign w:val="center"/>
          </w:tcPr>
          <w:p>
            <w:pP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数量指标</w:t>
            </w:r>
          </w:p>
        </w:tc>
        <w:tc>
          <w:tcPr>
            <w:tcW w:w="1327" w:type="dxa"/>
            <w:vAlign w:val="center"/>
          </w:tcPr>
          <w:p>
            <w:pPr>
              <w:pStyle w:val="16"/>
              <w:rPr>
                <w:rFonts w:hint="default" w:eastAsia="方正书宋_GBK"/>
                <w:lang w:val="en-US" w:eastAsia="zh-CN"/>
              </w:rPr>
            </w:pPr>
            <w:r>
              <w:rPr>
                <w:rFonts w:hint="eastAsia"/>
                <w:lang w:val="en-US" w:eastAsia="zh-CN"/>
              </w:rPr>
              <w:t>经费保障科室数</w:t>
            </w:r>
          </w:p>
        </w:tc>
        <w:tc>
          <w:tcPr>
            <w:tcW w:w="2654"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经费保障科室数</w:t>
            </w:r>
          </w:p>
        </w:tc>
        <w:tc>
          <w:tcPr>
            <w:tcW w:w="1327" w:type="dxa"/>
            <w:vAlign w:val="center"/>
          </w:tcPr>
          <w:p>
            <w:pPr>
              <w:pStyle w:val="16"/>
              <w:rPr>
                <w:rFonts w:hint="default" w:eastAsia="方正书宋_GBK"/>
                <w:lang w:val="en-US" w:eastAsia="zh-CN"/>
              </w:rPr>
            </w:pPr>
            <w:r>
              <w:rPr>
                <w:rFonts w:hint="eastAsia"/>
                <w:lang w:val="en-US" w:eastAsia="zh-CN"/>
              </w:rPr>
              <w:t>4个</w:t>
            </w:r>
          </w:p>
        </w:tc>
        <w:tc>
          <w:tcPr>
            <w:tcW w:w="1327"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2023年年初工作谋划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top"/>
          </w:tcPr>
          <w:p>
            <w:pPr>
              <w:jc w:val="left"/>
            </w:pPr>
          </w:p>
        </w:tc>
        <w:tc>
          <w:tcPr>
            <w:tcW w:w="1327" w:type="dxa"/>
            <w:vAlign w:val="center"/>
          </w:tcPr>
          <w:p>
            <w:r>
              <w:rPr>
                <w:rFonts w:hint="eastAsia" w:ascii="方正书宋_GBK" w:hAnsi="方正书宋_GBK" w:eastAsia="方正书宋_GBK" w:cs="方正书宋_GBK"/>
                <w:sz w:val="21"/>
                <w:szCs w:val="24"/>
                <w:lang w:val="en-US" w:eastAsia="zh-CN" w:bidi="ar-SA"/>
              </w:rPr>
              <w:t>数量指标</w:t>
            </w:r>
          </w:p>
        </w:tc>
        <w:tc>
          <w:tcPr>
            <w:tcW w:w="1327" w:type="dxa"/>
            <w:vAlign w:val="center"/>
          </w:tcPr>
          <w:p>
            <w:pPr>
              <w:pStyle w:val="16"/>
              <w:rPr>
                <w:rFonts w:hint="eastAsia" w:eastAsia="方正书宋_GBK"/>
                <w:lang w:val="en-US" w:eastAsia="zh-CN"/>
              </w:rPr>
            </w:pPr>
            <w:r>
              <w:rPr>
                <w:rFonts w:hint="eastAsia"/>
                <w:lang w:val="en-US" w:eastAsia="zh-CN"/>
              </w:rPr>
              <w:t>撰写报告提出建议</w:t>
            </w:r>
          </w:p>
        </w:tc>
        <w:tc>
          <w:tcPr>
            <w:tcW w:w="2654" w:type="dxa"/>
            <w:vAlign w:val="center"/>
          </w:tcPr>
          <w:p>
            <w:pPr>
              <w:pStyle w:val="16"/>
            </w:pPr>
            <w:r>
              <w:rPr>
                <w:rFonts w:hint="eastAsia"/>
                <w:lang w:val="en-US" w:eastAsia="zh-CN"/>
              </w:rPr>
              <w:t>撰写报告提出建议</w:t>
            </w:r>
          </w:p>
        </w:tc>
        <w:tc>
          <w:tcPr>
            <w:tcW w:w="1327" w:type="dxa"/>
            <w:vAlign w:val="center"/>
          </w:tcPr>
          <w:p>
            <w:pPr>
              <w:pStyle w:val="16"/>
              <w:rPr>
                <w:rFonts w:hint="eastAsia" w:eastAsia="方正书宋_GBK"/>
                <w:lang w:val="en-US" w:eastAsia="zh-CN"/>
              </w:rPr>
            </w:pPr>
            <w:r>
              <w:t>≥</w:t>
            </w:r>
            <w:r>
              <w:rPr>
                <w:rFonts w:hint="eastAsia"/>
                <w:lang w:val="en-US" w:eastAsia="zh-CN"/>
              </w:rPr>
              <w:t>1</w:t>
            </w:r>
            <w:r>
              <w:t>0</w:t>
            </w:r>
            <w:r>
              <w:rPr>
                <w:rFonts w:hint="eastAsia"/>
                <w:lang w:val="en-US" w:eastAsia="zh-CN"/>
              </w:rPr>
              <w:t>篇</w:t>
            </w:r>
          </w:p>
        </w:tc>
        <w:tc>
          <w:tcPr>
            <w:tcW w:w="1327"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2023年年初工作谋划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top"/>
          </w:tcPr>
          <w:p>
            <w:pPr>
              <w:jc w:val="left"/>
            </w:pPr>
          </w:p>
        </w:tc>
        <w:tc>
          <w:tcPr>
            <w:tcW w:w="1327" w:type="dxa"/>
            <w:vAlign w:val="center"/>
          </w:tcPr>
          <w:p>
            <w:pPr>
              <w:pStyle w:val="16"/>
            </w:pPr>
            <w:r>
              <w:rPr>
                <w:rFonts w:hint="eastAsia"/>
                <w:lang w:val="en-US" w:eastAsia="zh-CN"/>
              </w:rPr>
              <w:t>质量</w:t>
            </w:r>
            <w:r>
              <w:t>指标</w:t>
            </w:r>
          </w:p>
        </w:tc>
        <w:tc>
          <w:tcPr>
            <w:tcW w:w="1327" w:type="dxa"/>
            <w:vAlign w:val="center"/>
          </w:tcPr>
          <w:p>
            <w:pPr>
              <w:pStyle w:val="16"/>
              <w:rPr>
                <w:rFonts w:hint="default" w:eastAsia="方正书宋_GBK"/>
                <w:lang w:val="en-US" w:eastAsia="zh-CN"/>
              </w:rPr>
            </w:pPr>
            <w:r>
              <w:rPr>
                <w:rFonts w:hint="eastAsia"/>
                <w:lang w:val="en-US" w:eastAsia="zh-CN"/>
              </w:rPr>
              <w:t>各委室工作正常运转率</w:t>
            </w:r>
          </w:p>
        </w:tc>
        <w:tc>
          <w:tcPr>
            <w:tcW w:w="2654" w:type="dxa"/>
            <w:vAlign w:val="center"/>
          </w:tcPr>
          <w:p>
            <w:pPr>
              <w:pStyle w:val="16"/>
              <w:rPr>
                <w:rFonts w:hint="default"/>
                <w:lang w:val="en-US"/>
              </w:rPr>
            </w:pPr>
            <w:r>
              <w:rPr>
                <w:rFonts w:hint="eastAsia"/>
                <w:lang w:val="en-US" w:eastAsia="zh-CN"/>
              </w:rPr>
              <w:t>各委室工作保障情况</w:t>
            </w:r>
          </w:p>
        </w:tc>
        <w:tc>
          <w:tcPr>
            <w:tcW w:w="1327" w:type="dxa"/>
            <w:vAlign w:val="center"/>
          </w:tcPr>
          <w:p>
            <w:pPr>
              <w:pStyle w:val="16"/>
              <w:rPr>
                <w:rFonts w:hint="default" w:eastAsia="方正书宋_GBK"/>
                <w:lang w:val="en-US" w:eastAsia="zh-CN"/>
              </w:rPr>
            </w:pPr>
            <w:r>
              <w:rPr>
                <w:rFonts w:hint="eastAsia"/>
                <w:lang w:val="en-US" w:eastAsia="zh-CN"/>
              </w:rPr>
              <w:t>100%</w:t>
            </w:r>
          </w:p>
        </w:tc>
        <w:tc>
          <w:tcPr>
            <w:tcW w:w="1327" w:type="dxa"/>
            <w:vAlign w:val="center"/>
          </w:tcPr>
          <w:p>
            <w:pPr>
              <w:pStyle w:val="16"/>
              <w:ind w:firstLine="0" w:firstLineChars="0"/>
            </w:pPr>
            <w:r>
              <w:rPr>
                <w:rFonts w:hint="eastAsia"/>
                <w:lang w:val="en-US" w:eastAsia="zh-CN"/>
              </w:rPr>
              <w:t>2023年年初工作谋划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5" w:hRule="atLeast"/>
          <w:jc w:val="center"/>
        </w:trPr>
        <w:tc>
          <w:tcPr>
            <w:tcW w:w="1327" w:type="dxa"/>
            <w:vMerge w:val="continue"/>
            <w:vAlign w:val="top"/>
          </w:tcPr>
          <w:p>
            <w:pPr>
              <w:pStyle w:val="17"/>
              <w:jc w:val="left"/>
            </w:pPr>
          </w:p>
        </w:tc>
        <w:tc>
          <w:tcPr>
            <w:tcW w:w="1327" w:type="dxa"/>
            <w:vAlign w:val="center"/>
          </w:tcPr>
          <w:p>
            <w:pPr>
              <w:pStyle w:val="16"/>
              <w:rPr>
                <w:rFonts w:hint="eastAsia"/>
                <w:lang w:val="en-US" w:eastAsia="zh-CN"/>
              </w:rPr>
            </w:pPr>
            <w:r>
              <w:rPr>
                <w:rFonts w:hint="eastAsia"/>
                <w:lang w:val="en-US" w:eastAsia="zh-CN"/>
              </w:rPr>
              <w:t>质量</w:t>
            </w:r>
            <w:r>
              <w:t>指标</w:t>
            </w:r>
          </w:p>
        </w:tc>
        <w:tc>
          <w:tcPr>
            <w:tcW w:w="1327" w:type="dxa"/>
            <w:vAlign w:val="center"/>
          </w:tcPr>
          <w:p>
            <w:pPr>
              <w:pStyle w:val="16"/>
              <w:rPr>
                <w:rFonts w:hint="default" w:eastAsia="方正书宋_GBK"/>
                <w:lang w:val="en-US" w:eastAsia="zh-CN"/>
              </w:rPr>
            </w:pPr>
            <w:r>
              <w:rPr>
                <w:rFonts w:hint="eastAsia"/>
                <w:lang w:val="en-US" w:eastAsia="zh-CN"/>
              </w:rPr>
              <w:t>提案督办完成率</w:t>
            </w:r>
          </w:p>
        </w:tc>
        <w:tc>
          <w:tcPr>
            <w:tcW w:w="2654"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提案督办完成率</w:t>
            </w:r>
          </w:p>
        </w:tc>
        <w:tc>
          <w:tcPr>
            <w:tcW w:w="1327" w:type="dxa"/>
            <w:vAlign w:val="center"/>
          </w:tcPr>
          <w:p>
            <w:pPr>
              <w:pStyle w:val="16"/>
              <w:ind w:firstLine="0" w:firstLineChars="0"/>
              <w:rPr>
                <w:rFonts w:hint="default" w:eastAsia="方正书宋_GBK"/>
                <w:lang w:val="en-US" w:eastAsia="zh-CN"/>
              </w:rPr>
            </w:pPr>
            <w:r>
              <w:t>≥</w:t>
            </w:r>
            <w:r>
              <w:rPr>
                <w:rFonts w:hint="eastAsia"/>
                <w:lang w:val="en-US" w:eastAsia="zh-CN"/>
              </w:rPr>
              <w:t>95%</w:t>
            </w:r>
          </w:p>
        </w:tc>
        <w:tc>
          <w:tcPr>
            <w:tcW w:w="1327"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2023年年初工作谋划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top"/>
          </w:tcPr>
          <w:p>
            <w:pPr>
              <w:pStyle w:val="17"/>
              <w:jc w:val="left"/>
            </w:pPr>
          </w:p>
        </w:tc>
        <w:tc>
          <w:tcPr>
            <w:tcW w:w="1327" w:type="dxa"/>
            <w:vAlign w:val="center"/>
          </w:tcPr>
          <w:p>
            <w:pPr>
              <w:pStyle w:val="16"/>
            </w:pPr>
            <w:r>
              <w:rPr>
                <w:rFonts w:hint="eastAsia"/>
                <w:lang w:val="en-US" w:eastAsia="zh-CN"/>
              </w:rPr>
              <w:t>时效</w:t>
            </w:r>
            <w:r>
              <w:t>指标</w:t>
            </w:r>
          </w:p>
        </w:tc>
        <w:tc>
          <w:tcPr>
            <w:tcW w:w="1327" w:type="dxa"/>
            <w:vAlign w:val="center"/>
          </w:tcPr>
          <w:p>
            <w:pPr>
              <w:pStyle w:val="16"/>
              <w:rPr>
                <w:rFonts w:hint="eastAsia" w:eastAsia="方正书宋_GBK"/>
                <w:color w:val="FF0000"/>
                <w:lang w:val="en-US" w:eastAsia="zh-CN"/>
              </w:rPr>
            </w:pPr>
            <w:r>
              <w:t>综合事务工作完成及时率</w:t>
            </w:r>
          </w:p>
        </w:tc>
        <w:tc>
          <w:tcPr>
            <w:tcW w:w="2654" w:type="dxa"/>
            <w:vAlign w:val="center"/>
          </w:tcPr>
          <w:p>
            <w:pPr>
              <w:pStyle w:val="16"/>
              <w:rPr>
                <w:rFonts w:hint="default" w:eastAsia="方正书宋_GBK"/>
                <w:color w:val="FF0000"/>
                <w:lang w:val="en-US" w:eastAsia="zh-CN"/>
              </w:rPr>
            </w:pPr>
            <w:r>
              <w:rPr>
                <w:rFonts w:hint="eastAsia"/>
                <w:lang w:val="en-US" w:eastAsia="zh-CN"/>
              </w:rPr>
              <w:t>按照年初工作谋划，各项</w:t>
            </w:r>
            <w:r>
              <w:t>工作完成及时率</w:t>
            </w:r>
          </w:p>
        </w:tc>
        <w:tc>
          <w:tcPr>
            <w:tcW w:w="1327" w:type="dxa"/>
            <w:vAlign w:val="center"/>
          </w:tcPr>
          <w:p>
            <w:pPr>
              <w:pStyle w:val="16"/>
              <w:rPr>
                <w:color w:val="FF0000"/>
              </w:rPr>
            </w:pPr>
            <w:r>
              <w:rPr>
                <w:rFonts w:hint="eastAsia"/>
                <w:color w:val="auto"/>
                <w:lang w:val="en-US" w:eastAsia="zh-CN"/>
              </w:rPr>
              <w:t>100%</w:t>
            </w:r>
          </w:p>
        </w:tc>
        <w:tc>
          <w:tcPr>
            <w:tcW w:w="1327"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2023年年初工作谋划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top"/>
          </w:tcPr>
          <w:p>
            <w:pPr>
              <w:pStyle w:val="17"/>
              <w:jc w:val="left"/>
            </w:pPr>
          </w:p>
        </w:tc>
        <w:tc>
          <w:tcPr>
            <w:tcW w:w="1327" w:type="dxa"/>
            <w:vAlign w:val="center"/>
          </w:tcPr>
          <w:p>
            <w:pPr>
              <w:pStyle w:val="16"/>
              <w:rPr>
                <w:rFonts w:hint="eastAsia" w:eastAsia="方正书宋_GBK"/>
                <w:lang w:val="en-US" w:eastAsia="zh-CN"/>
              </w:rPr>
            </w:pPr>
            <w:r>
              <w:rPr>
                <w:rFonts w:hint="eastAsia"/>
                <w:lang w:val="en-US" w:eastAsia="zh-CN"/>
              </w:rPr>
              <w:t>成本指标</w:t>
            </w:r>
          </w:p>
        </w:tc>
        <w:tc>
          <w:tcPr>
            <w:tcW w:w="1327" w:type="dxa"/>
            <w:vAlign w:val="center"/>
          </w:tcPr>
          <w:p>
            <w:pPr>
              <w:pStyle w:val="16"/>
              <w:rPr>
                <w:rFonts w:hint="eastAsia" w:eastAsia="方正书宋_GBK"/>
                <w:lang w:val="en-US" w:eastAsia="zh-CN"/>
              </w:rPr>
            </w:pPr>
            <w:r>
              <w:rPr>
                <w:rFonts w:hint="eastAsia"/>
                <w:lang w:val="en-US" w:eastAsia="zh-CN"/>
              </w:rPr>
              <w:t>成本控制数</w:t>
            </w:r>
          </w:p>
        </w:tc>
        <w:tc>
          <w:tcPr>
            <w:tcW w:w="2654" w:type="dxa"/>
            <w:vAlign w:val="center"/>
          </w:tcPr>
          <w:p>
            <w:pPr>
              <w:pStyle w:val="16"/>
              <w:rPr>
                <w:rFonts w:hint="default" w:eastAsia="方正书宋_GBK"/>
                <w:lang w:val="en-US" w:eastAsia="zh-CN"/>
              </w:rPr>
            </w:pPr>
            <w:r>
              <w:rPr>
                <w:rFonts w:hint="eastAsia"/>
                <w:lang w:val="en-US" w:eastAsia="zh-CN"/>
              </w:rPr>
              <w:t>总支出成本控制在预算以内</w:t>
            </w:r>
          </w:p>
        </w:tc>
        <w:tc>
          <w:tcPr>
            <w:tcW w:w="1327" w:type="dxa"/>
            <w:vAlign w:val="center"/>
          </w:tcPr>
          <w:p>
            <w:pPr>
              <w:pStyle w:val="16"/>
              <w:rPr>
                <w:rFonts w:hint="default" w:eastAsia="方正书宋_GBK"/>
                <w:lang w:val="en-US" w:eastAsia="zh-CN"/>
              </w:rPr>
            </w:pPr>
            <w:r>
              <w:rPr>
                <w:rFonts w:hint="default" w:ascii="Arial" w:hAnsi="Arial" w:cs="Arial"/>
                <w:color w:val="auto"/>
              </w:rPr>
              <w:t>≤</w:t>
            </w:r>
            <w:r>
              <w:rPr>
                <w:rFonts w:hint="eastAsia"/>
                <w:color w:val="auto"/>
                <w:lang w:val="en-US" w:eastAsia="zh-CN"/>
              </w:rPr>
              <w:t>45万元</w:t>
            </w:r>
          </w:p>
        </w:tc>
        <w:tc>
          <w:tcPr>
            <w:tcW w:w="1327" w:type="dxa"/>
            <w:vAlign w:val="center"/>
          </w:tcPr>
          <w:p>
            <w:pPr>
              <w:pStyle w:val="16"/>
              <w:rPr>
                <w:rFonts w:hint="eastAsia" w:eastAsia="方正书宋_GBK"/>
                <w:lang w:val="en-US" w:eastAsia="zh-CN"/>
              </w:rPr>
            </w:pPr>
            <w:r>
              <w:rPr>
                <w:rFonts w:hint="eastAsia"/>
                <w:lang w:val="en-US"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效益指标</w:t>
            </w:r>
          </w:p>
        </w:tc>
        <w:tc>
          <w:tcPr>
            <w:tcW w:w="1327" w:type="dxa"/>
            <w:vAlign w:val="center"/>
          </w:tcPr>
          <w:p>
            <w:pPr>
              <w:pStyle w:val="16"/>
            </w:pPr>
            <w:r>
              <w:rPr>
                <w:rFonts w:hint="eastAsia"/>
                <w:lang w:val="en-US" w:eastAsia="zh-CN"/>
              </w:rPr>
              <w:t>社会</w:t>
            </w:r>
            <w:r>
              <w:t>效益指标</w:t>
            </w:r>
          </w:p>
        </w:tc>
        <w:tc>
          <w:tcPr>
            <w:tcW w:w="1327" w:type="dxa"/>
            <w:vAlign w:val="center"/>
          </w:tcPr>
          <w:p>
            <w:pPr>
              <w:pStyle w:val="16"/>
              <w:rPr>
                <w:rFonts w:hint="eastAsia" w:eastAsia="方正书宋_GBK"/>
                <w:color w:val="auto"/>
                <w:lang w:val="en-US" w:eastAsia="zh-CN"/>
              </w:rPr>
            </w:pPr>
            <w:r>
              <w:rPr>
                <w:rFonts w:hint="eastAsia"/>
                <w:color w:val="auto"/>
              </w:rPr>
              <w:t>参政议政能力提升</w:t>
            </w:r>
          </w:p>
        </w:tc>
        <w:tc>
          <w:tcPr>
            <w:tcW w:w="2654" w:type="dxa"/>
            <w:vAlign w:val="center"/>
          </w:tcPr>
          <w:p>
            <w:pPr>
              <w:pStyle w:val="16"/>
              <w:rPr>
                <w:rFonts w:hint="default" w:eastAsia="方正书宋_GBK"/>
                <w:color w:val="auto"/>
                <w:lang w:val="en-US" w:eastAsia="zh-CN"/>
              </w:rPr>
            </w:pPr>
            <w:r>
              <w:rPr>
                <w:rFonts w:hint="eastAsia"/>
                <w:color w:val="auto"/>
              </w:rPr>
              <w:t>发挥并提升政协委员参政议政能力</w:t>
            </w:r>
          </w:p>
        </w:tc>
        <w:tc>
          <w:tcPr>
            <w:tcW w:w="1327" w:type="dxa"/>
            <w:vAlign w:val="center"/>
          </w:tcPr>
          <w:p>
            <w:pPr>
              <w:pStyle w:val="16"/>
              <w:rPr>
                <w:rFonts w:hint="eastAsia" w:eastAsia="方正书宋_GBK"/>
                <w:lang w:val="en-US" w:eastAsia="zh-CN"/>
              </w:rPr>
            </w:pPr>
            <w:r>
              <w:rPr>
                <w:rFonts w:hint="eastAsia"/>
                <w:lang w:val="en-US" w:eastAsia="zh-CN"/>
              </w:rPr>
              <w:t>有所提高</w:t>
            </w:r>
          </w:p>
        </w:tc>
        <w:tc>
          <w:tcPr>
            <w:tcW w:w="1327" w:type="dxa"/>
            <w:vAlign w:val="center"/>
          </w:tcPr>
          <w:p>
            <w:pPr>
              <w:pStyle w:val="16"/>
              <w:ind w:firstLine="0" w:firstLineChars="0"/>
            </w:pPr>
            <w:r>
              <w:rPr>
                <w:rFonts w:hint="eastAsia"/>
                <w:lang w:val="en-US" w:eastAsia="zh-CN"/>
              </w:rPr>
              <w:t>2023年年初工作谋划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327" w:type="dxa"/>
            <w:vAlign w:val="center"/>
          </w:tcPr>
          <w:p>
            <w:pPr>
              <w:pStyle w:val="16"/>
            </w:pPr>
            <w:r>
              <w:t>服务对象满意度指标</w:t>
            </w:r>
          </w:p>
        </w:tc>
        <w:tc>
          <w:tcPr>
            <w:tcW w:w="1327" w:type="dxa"/>
            <w:vAlign w:val="center"/>
          </w:tcPr>
          <w:p>
            <w:pPr>
              <w:pStyle w:val="16"/>
              <w:rPr>
                <w:rFonts w:hint="default" w:eastAsia="方正书宋_GBK"/>
                <w:lang w:val="en-US" w:eastAsia="zh-CN"/>
              </w:rPr>
            </w:pPr>
            <w:r>
              <w:rPr>
                <w:rFonts w:hint="eastAsia"/>
                <w:lang w:val="en-US" w:eastAsia="zh-CN"/>
              </w:rPr>
              <w:t>各委室工作人员满意度</w:t>
            </w:r>
          </w:p>
        </w:tc>
        <w:tc>
          <w:tcPr>
            <w:tcW w:w="2654" w:type="dxa"/>
            <w:vAlign w:val="center"/>
          </w:tcPr>
          <w:p>
            <w:pPr>
              <w:pStyle w:val="16"/>
              <w:rPr>
                <w:rFonts w:hint="default" w:eastAsia="方正书宋_GBK"/>
                <w:lang w:val="en-US" w:eastAsia="zh-CN"/>
              </w:rPr>
            </w:pPr>
            <w:r>
              <w:rPr>
                <w:rFonts w:hint="eastAsia"/>
                <w:lang w:val="en-US" w:eastAsia="zh-CN"/>
              </w:rPr>
              <w:t>调查人员中满意人员占调查人员的比例</w:t>
            </w:r>
          </w:p>
        </w:tc>
        <w:tc>
          <w:tcPr>
            <w:tcW w:w="1327" w:type="dxa"/>
            <w:vAlign w:val="center"/>
          </w:tcPr>
          <w:p>
            <w:pPr>
              <w:pStyle w:val="16"/>
              <w:rPr>
                <w:rFonts w:hint="default" w:eastAsia="方正书宋_GBK"/>
                <w:lang w:val="en-US" w:eastAsia="zh-CN"/>
              </w:rPr>
            </w:pPr>
            <w:r>
              <w:t>≥9</w:t>
            </w:r>
            <w:r>
              <w:rPr>
                <w:rFonts w:hint="eastAsia"/>
                <w:lang w:val="en-US" w:eastAsia="zh-CN"/>
              </w:rPr>
              <w:t>5%</w:t>
            </w:r>
          </w:p>
        </w:tc>
        <w:tc>
          <w:tcPr>
            <w:tcW w:w="1327" w:type="dxa"/>
            <w:vAlign w:val="center"/>
          </w:tcPr>
          <w:p>
            <w:pPr>
              <w:pStyle w:val="16"/>
              <w:rPr>
                <w:rFonts w:hint="eastAsia" w:eastAsia="方正书宋_GBK"/>
                <w:lang w:val="en-US" w:eastAsia="zh-CN"/>
              </w:rPr>
            </w:pPr>
            <w:r>
              <w:rPr>
                <w:rFonts w:hint="eastAsia"/>
                <w:lang w:val="en-US" w:eastAsia="zh-CN"/>
              </w:rP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06"/>
      <w:r>
        <w:rPr>
          <w:rFonts w:ascii="方正仿宋_GBK" w:hAnsi="方正仿宋_GBK" w:eastAsia="方正仿宋_GBK" w:cs="方正仿宋_GBK"/>
          <w:color w:val="000000"/>
          <w:sz w:val="28"/>
        </w:rPr>
        <w:t>3.政协会议绩效目标表</w:t>
      </w:r>
      <w:bookmarkEnd w:id="4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131001政协部门中国人民政治协商会议河北省秦皇岛市山海关区委员会本级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13030323P00397210002K</w:t>
            </w:r>
          </w:p>
        </w:tc>
        <w:tc>
          <w:tcPr>
            <w:tcW w:w="1587" w:type="dxa"/>
            <w:vAlign w:val="center"/>
          </w:tcPr>
          <w:p>
            <w:pPr>
              <w:pStyle w:val="14"/>
            </w:pPr>
            <w:r>
              <w:t>项目名称</w:t>
            </w:r>
          </w:p>
        </w:tc>
        <w:tc>
          <w:tcPr>
            <w:tcW w:w="4422" w:type="dxa"/>
            <w:gridSpan w:val="3"/>
            <w:vAlign w:val="center"/>
          </w:tcPr>
          <w:p>
            <w:pPr>
              <w:pStyle w:val="16"/>
            </w:pPr>
            <w:r>
              <w:t>政协会议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20.00</w:t>
            </w:r>
          </w:p>
        </w:tc>
        <w:tc>
          <w:tcPr>
            <w:tcW w:w="1587" w:type="dxa"/>
            <w:vAlign w:val="center"/>
          </w:tcPr>
          <w:p>
            <w:pPr>
              <w:pStyle w:val="14"/>
            </w:pPr>
            <w:r>
              <w:t>其中：财政    资金</w:t>
            </w:r>
          </w:p>
        </w:tc>
        <w:tc>
          <w:tcPr>
            <w:tcW w:w="1304" w:type="dxa"/>
            <w:vAlign w:val="center"/>
          </w:tcPr>
          <w:p>
            <w:pPr>
              <w:pStyle w:val="16"/>
            </w:pPr>
            <w:r>
              <w:t>20.00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rPr>
                <w:rFonts w:hint="default" w:eastAsia="方正书宋_GBK"/>
                <w:lang w:val="en-US" w:eastAsia="zh-CN"/>
              </w:rPr>
            </w:pPr>
            <w:r>
              <w:rPr>
                <w:rFonts w:hint="eastAsia"/>
                <w:color w:val="auto"/>
                <w:lang w:val="en-US" w:eastAsia="zh-CN"/>
              </w:rPr>
              <w:t>保障政协会议顺利召开。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rPr>
                <w:rFonts w:hint="default" w:eastAsia="方正书宋_GBK"/>
                <w:lang w:val="en-US" w:eastAsia="zh-CN"/>
              </w:rPr>
            </w:pPr>
            <w:r>
              <w:rPr>
                <w:rFonts w:hint="eastAsia"/>
                <w:lang w:val="en-US" w:eastAsia="zh-CN"/>
              </w:rPr>
              <w:t>50%</w:t>
            </w:r>
          </w:p>
        </w:tc>
        <w:tc>
          <w:tcPr>
            <w:tcW w:w="1587" w:type="dxa"/>
            <w:vAlign w:val="center"/>
          </w:tcPr>
          <w:p>
            <w:pPr>
              <w:pStyle w:val="17"/>
              <w:rPr>
                <w:rFonts w:hint="default" w:eastAsia="方正书宋_GBK"/>
                <w:lang w:val="en-US" w:eastAsia="zh-CN"/>
              </w:rPr>
            </w:pPr>
            <w:r>
              <w:rPr>
                <w:rFonts w:hint="eastAsia"/>
                <w:lang w:val="en-US" w:eastAsia="zh-CN"/>
              </w:rPr>
              <w:t>60%</w:t>
            </w:r>
          </w:p>
        </w:tc>
        <w:tc>
          <w:tcPr>
            <w:tcW w:w="1304" w:type="dxa"/>
            <w:vAlign w:val="center"/>
          </w:tcPr>
          <w:p>
            <w:pPr>
              <w:pStyle w:val="17"/>
              <w:rPr>
                <w:rFonts w:hint="default" w:eastAsia="方正书宋_GBK"/>
                <w:lang w:val="en-US" w:eastAsia="zh-CN"/>
              </w:rPr>
            </w:pPr>
            <w:r>
              <w:rPr>
                <w:rFonts w:hint="eastAsia"/>
                <w:lang w:val="en-US" w:eastAsia="zh-CN"/>
              </w:rPr>
              <w:t>80%</w:t>
            </w:r>
          </w:p>
        </w:tc>
        <w:tc>
          <w:tcPr>
            <w:tcW w:w="3118" w:type="dxa"/>
            <w:gridSpan w:val="2"/>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keepNext w:val="0"/>
              <w:keepLines w:val="0"/>
              <w:widowControl/>
              <w:numPr>
                <w:ilvl w:val="0"/>
                <w:numId w:val="3"/>
              </w:numPr>
              <w:suppressLineNumbers w:val="0"/>
              <w:jc w:val="left"/>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通过组织召开会议，完成会议各项章程，达到强化思想引领，广泛凝聚共识的作用。</w:t>
            </w:r>
          </w:p>
          <w:p>
            <w:pPr>
              <w:keepNext w:val="0"/>
              <w:keepLines w:val="0"/>
              <w:widowControl/>
              <w:numPr>
                <w:ilvl w:val="0"/>
                <w:numId w:val="3"/>
              </w:numPr>
              <w:suppressLineNumbers w:val="0"/>
              <w:jc w:val="left"/>
              <w:rPr>
                <w:rFonts w:hint="default" w:eastAsia="方正书宋_GBK"/>
                <w:lang w:val="en-US" w:eastAsia="zh-CN"/>
              </w:rPr>
            </w:pPr>
            <w:r>
              <w:rPr>
                <w:rFonts w:ascii="方正书宋_GBK" w:hAnsi="方正书宋_GBK" w:eastAsia="方正书宋_GBK" w:cs="方正书宋_GBK"/>
                <w:sz w:val="21"/>
                <w:szCs w:val="24"/>
                <w:lang w:val="en-US" w:eastAsia="zh-CN" w:bidi="ar-SA"/>
              </w:rPr>
              <w:t>提出客观、有价值、有分量、有影响的意见建议，促进决策民主化科学化。</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252"/>
        <w:gridCol w:w="1402"/>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4"/>
            </w:pPr>
            <w:r>
              <w:t>一级指标</w:t>
            </w:r>
          </w:p>
        </w:tc>
        <w:tc>
          <w:tcPr>
            <w:tcW w:w="1252" w:type="dxa"/>
            <w:vAlign w:val="center"/>
          </w:tcPr>
          <w:p>
            <w:pPr>
              <w:pStyle w:val="14"/>
            </w:pPr>
            <w:r>
              <w:t>二级指标</w:t>
            </w:r>
          </w:p>
        </w:tc>
        <w:tc>
          <w:tcPr>
            <w:tcW w:w="1402" w:type="dxa"/>
            <w:vAlign w:val="center"/>
          </w:tcPr>
          <w:p>
            <w:pPr>
              <w:pStyle w:val="14"/>
            </w:pPr>
            <w:r>
              <w:t>三级指标</w:t>
            </w:r>
          </w:p>
        </w:tc>
        <w:tc>
          <w:tcPr>
            <w:tcW w:w="2654" w:type="dxa"/>
            <w:vAlign w:val="center"/>
          </w:tcPr>
          <w:p>
            <w:pPr>
              <w:pStyle w:val="14"/>
            </w:pPr>
            <w:r>
              <w:t>绩效指标描述</w:t>
            </w:r>
          </w:p>
        </w:tc>
        <w:tc>
          <w:tcPr>
            <w:tcW w:w="1327" w:type="dxa"/>
            <w:vAlign w:val="center"/>
          </w:tcPr>
          <w:p>
            <w:pPr>
              <w:pStyle w:val="14"/>
            </w:pPr>
            <w:r>
              <w:t>指标值</w:t>
            </w:r>
          </w:p>
        </w:tc>
        <w:tc>
          <w:tcPr>
            <w:tcW w:w="1327"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7"/>
            </w:pPr>
            <w:r>
              <w:t>产出指标</w:t>
            </w:r>
          </w:p>
        </w:tc>
        <w:tc>
          <w:tcPr>
            <w:tcW w:w="1252" w:type="dxa"/>
            <w:vAlign w:val="center"/>
          </w:tcPr>
          <w:p>
            <w:pPr>
              <w:pStyle w:val="16"/>
            </w:pPr>
            <w:r>
              <w:t>数量指标</w:t>
            </w:r>
          </w:p>
        </w:tc>
        <w:tc>
          <w:tcPr>
            <w:tcW w:w="1402" w:type="dxa"/>
            <w:vAlign w:val="center"/>
          </w:tcPr>
          <w:p>
            <w:pPr>
              <w:pStyle w:val="16"/>
              <w:rPr>
                <w:rFonts w:hint="eastAsia" w:eastAsia="方正书宋_GBK"/>
                <w:lang w:val="en-US" w:eastAsia="zh-CN"/>
              </w:rPr>
            </w:pPr>
            <w:r>
              <w:rPr>
                <w:rFonts w:hint="eastAsia"/>
                <w:lang w:val="en-US" w:eastAsia="zh-CN"/>
              </w:rPr>
              <w:t>委员参会率</w:t>
            </w:r>
          </w:p>
        </w:tc>
        <w:tc>
          <w:tcPr>
            <w:tcW w:w="2654" w:type="dxa"/>
            <w:vAlign w:val="center"/>
          </w:tcPr>
          <w:p>
            <w:pPr>
              <w:pStyle w:val="16"/>
              <w:rPr>
                <w:rFonts w:hint="default" w:eastAsia="方正书宋_GBK"/>
                <w:lang w:val="en-US" w:eastAsia="zh-CN"/>
              </w:rPr>
            </w:pPr>
            <w:r>
              <w:rPr>
                <w:rFonts w:hint="eastAsia"/>
                <w:lang w:val="en-US" w:eastAsia="zh-CN"/>
              </w:rPr>
              <w:t>参会委员占全部委员的比例</w:t>
            </w:r>
          </w:p>
        </w:tc>
        <w:tc>
          <w:tcPr>
            <w:tcW w:w="1327" w:type="dxa"/>
            <w:vAlign w:val="center"/>
          </w:tcPr>
          <w:p>
            <w:pPr>
              <w:pStyle w:val="16"/>
              <w:rPr>
                <w:rFonts w:hint="default" w:eastAsia="方正书宋_GBK"/>
                <w:lang w:val="en-US" w:eastAsia="zh-CN"/>
              </w:rPr>
            </w:pPr>
            <w:r>
              <w:t>≥9</w:t>
            </w:r>
            <w:r>
              <w:rPr>
                <w:rFonts w:hint="eastAsia"/>
                <w:lang w:val="en-US" w:eastAsia="zh-CN"/>
              </w:rPr>
              <w:t>0%</w:t>
            </w:r>
          </w:p>
        </w:tc>
        <w:tc>
          <w:tcPr>
            <w:tcW w:w="1327" w:type="dxa"/>
            <w:vAlign w:val="center"/>
          </w:tcPr>
          <w:p>
            <w:pPr>
              <w:pStyle w:val="16"/>
              <w:rPr>
                <w:rFonts w:hint="default" w:eastAsia="方正书宋_GBK"/>
                <w:lang w:val="en-US" w:eastAsia="zh-CN"/>
              </w:rPr>
            </w:pPr>
            <w:r>
              <w:rPr>
                <w:rFonts w:hint="eastAsia"/>
                <w:lang w:val="en-US" w:eastAsia="zh-CN"/>
              </w:rPr>
              <w:t>2023年年初工作谋划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52" w:type="dxa"/>
            <w:vAlign w:val="center"/>
          </w:tcPr>
          <w:p>
            <w:pPr>
              <w:pStyle w:val="16"/>
            </w:pPr>
            <w:r>
              <w:t>数量指标</w:t>
            </w:r>
          </w:p>
        </w:tc>
        <w:tc>
          <w:tcPr>
            <w:tcW w:w="1402" w:type="dxa"/>
            <w:vAlign w:val="center"/>
          </w:tcPr>
          <w:p>
            <w:pPr>
              <w:pStyle w:val="16"/>
              <w:rPr>
                <w:rFonts w:hint="eastAsia" w:eastAsia="方正书宋_GBK"/>
                <w:lang w:val="en-US" w:eastAsia="zh-CN"/>
              </w:rPr>
            </w:pPr>
            <w:r>
              <w:rPr>
                <w:rFonts w:hint="eastAsia"/>
                <w:lang w:val="en-US" w:eastAsia="zh-CN"/>
              </w:rPr>
              <w:t>召开会议次数</w:t>
            </w:r>
          </w:p>
        </w:tc>
        <w:tc>
          <w:tcPr>
            <w:tcW w:w="2654" w:type="dxa"/>
            <w:vAlign w:val="center"/>
          </w:tcPr>
          <w:p>
            <w:pPr>
              <w:pStyle w:val="16"/>
              <w:rPr>
                <w:rFonts w:hint="default" w:eastAsia="方正书宋_GBK"/>
                <w:lang w:val="en-US" w:eastAsia="zh-CN"/>
              </w:rPr>
            </w:pPr>
            <w:r>
              <w:rPr>
                <w:rFonts w:hint="eastAsia"/>
                <w:lang w:val="en-US" w:eastAsia="zh-CN"/>
              </w:rPr>
              <w:t>协商议政类会议次数</w:t>
            </w:r>
          </w:p>
        </w:tc>
        <w:tc>
          <w:tcPr>
            <w:tcW w:w="1327" w:type="dxa"/>
            <w:vAlign w:val="center"/>
          </w:tcPr>
          <w:p>
            <w:pPr>
              <w:pStyle w:val="16"/>
              <w:rPr>
                <w:rFonts w:hint="default" w:eastAsia="方正书宋_GBK"/>
                <w:lang w:val="en-US" w:eastAsia="zh-CN"/>
              </w:rPr>
            </w:pPr>
            <w:r>
              <w:t>≥</w:t>
            </w:r>
            <w:r>
              <w:rPr>
                <w:rFonts w:hint="eastAsia"/>
                <w:lang w:val="en-US" w:eastAsia="zh-CN"/>
              </w:rPr>
              <w:t>10次</w:t>
            </w:r>
          </w:p>
        </w:tc>
        <w:tc>
          <w:tcPr>
            <w:tcW w:w="1327" w:type="dxa"/>
            <w:vAlign w:val="center"/>
          </w:tcPr>
          <w:p>
            <w:pPr>
              <w:pStyle w:val="16"/>
            </w:pPr>
            <w:r>
              <w:rPr>
                <w:rFonts w:hint="eastAsia"/>
                <w:lang w:val="en-US" w:eastAsia="zh-CN"/>
              </w:rPr>
              <w:t>2023年年初工作谋划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52" w:type="dxa"/>
            <w:vAlign w:val="center"/>
          </w:tcPr>
          <w:p>
            <w:pPr>
              <w:pStyle w:val="16"/>
            </w:pPr>
            <w:r>
              <w:rPr>
                <w:rFonts w:hint="eastAsia"/>
                <w:lang w:val="en-US" w:eastAsia="zh-CN"/>
              </w:rPr>
              <w:t>质量</w:t>
            </w:r>
            <w:r>
              <w:t>指标</w:t>
            </w:r>
          </w:p>
        </w:tc>
        <w:tc>
          <w:tcPr>
            <w:tcW w:w="1402" w:type="dxa"/>
            <w:vAlign w:val="center"/>
          </w:tcPr>
          <w:p>
            <w:pPr>
              <w:pStyle w:val="16"/>
              <w:rPr>
                <w:rFonts w:hint="default" w:eastAsia="方正书宋_GBK"/>
                <w:lang w:val="en-US" w:eastAsia="zh-CN"/>
              </w:rPr>
            </w:pPr>
            <w:r>
              <w:rPr>
                <w:rFonts w:hint="eastAsia"/>
                <w:lang w:val="en-US" w:eastAsia="zh-CN"/>
              </w:rPr>
              <w:t>会议圆满完成率</w:t>
            </w:r>
          </w:p>
        </w:tc>
        <w:tc>
          <w:tcPr>
            <w:tcW w:w="2654" w:type="dxa"/>
            <w:vAlign w:val="center"/>
          </w:tcPr>
          <w:p>
            <w:pPr>
              <w:pStyle w:val="16"/>
              <w:rPr>
                <w:rFonts w:hint="default" w:eastAsia="方正书宋_GBK"/>
                <w:lang w:val="en-US" w:eastAsia="zh-CN"/>
              </w:rPr>
            </w:pPr>
            <w:r>
              <w:rPr>
                <w:rFonts w:hint="eastAsia"/>
                <w:lang w:val="en-US" w:eastAsia="zh-CN"/>
              </w:rPr>
              <w:t>圆满完成会议的次数占总召开次数的比例</w:t>
            </w:r>
          </w:p>
        </w:tc>
        <w:tc>
          <w:tcPr>
            <w:tcW w:w="1327" w:type="dxa"/>
            <w:vAlign w:val="center"/>
          </w:tcPr>
          <w:p>
            <w:pPr>
              <w:rPr>
                <w:rFonts w:hint="default" w:eastAsia="宋体"/>
                <w:lang w:val="en-US" w:eastAsia="zh-CN"/>
              </w:rPr>
            </w:pPr>
            <w:r>
              <w:rPr>
                <w:rFonts w:hint="eastAsia" w:eastAsia="宋体"/>
                <w:lang w:val="en-US" w:eastAsia="zh-CN"/>
              </w:rPr>
              <w:t>100%</w:t>
            </w:r>
          </w:p>
        </w:tc>
        <w:tc>
          <w:tcPr>
            <w:tcW w:w="1327" w:type="dxa"/>
            <w:vAlign w:val="center"/>
          </w:tcPr>
          <w:p>
            <w:r>
              <w:rPr>
                <w:rFonts w:hint="eastAsia"/>
                <w:lang w:val="en-US" w:eastAsia="zh-CN"/>
              </w:rPr>
              <w:t>2023年年初工作谋划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52" w:type="dxa"/>
            <w:vAlign w:val="center"/>
          </w:tcPr>
          <w:p>
            <w:pPr>
              <w:pStyle w:val="16"/>
              <w:ind w:firstLine="0" w:firstLineChars="0"/>
            </w:pPr>
            <w:r>
              <w:rPr>
                <w:rFonts w:hint="eastAsia"/>
                <w:lang w:val="en-US" w:eastAsia="zh-CN"/>
              </w:rPr>
              <w:t>质量</w:t>
            </w:r>
            <w:r>
              <w:t>指标</w:t>
            </w:r>
          </w:p>
        </w:tc>
        <w:tc>
          <w:tcPr>
            <w:tcW w:w="1402" w:type="dxa"/>
            <w:vAlign w:val="center"/>
          </w:tcPr>
          <w:p>
            <w:pPr>
              <w:pStyle w:val="16"/>
              <w:rPr>
                <w:rFonts w:hint="default" w:eastAsia="方正书宋_GBK"/>
                <w:lang w:val="en-US" w:eastAsia="zh-CN"/>
              </w:rPr>
            </w:pPr>
            <w:r>
              <w:rPr>
                <w:rFonts w:hint="eastAsia"/>
                <w:lang w:val="en-US" w:eastAsia="zh-CN"/>
              </w:rPr>
              <w:t>会议筹备完成率</w:t>
            </w:r>
          </w:p>
        </w:tc>
        <w:tc>
          <w:tcPr>
            <w:tcW w:w="2654" w:type="dxa"/>
            <w:vAlign w:val="center"/>
          </w:tcPr>
          <w:p>
            <w:pPr>
              <w:pStyle w:val="16"/>
              <w:rPr>
                <w:rFonts w:hint="default" w:eastAsia="方正书宋_GBK"/>
                <w:lang w:val="en-US" w:eastAsia="zh-CN"/>
              </w:rPr>
            </w:pPr>
            <w:r>
              <w:rPr>
                <w:rFonts w:hint="eastAsia"/>
                <w:lang w:val="en-US" w:eastAsia="zh-CN"/>
              </w:rPr>
              <w:t>会议筹备工作完成率</w:t>
            </w:r>
          </w:p>
        </w:tc>
        <w:tc>
          <w:tcPr>
            <w:tcW w:w="1327" w:type="dxa"/>
            <w:vAlign w:val="center"/>
          </w:tcPr>
          <w:p>
            <w:pPr>
              <w:pStyle w:val="16"/>
              <w:rPr>
                <w:rFonts w:hint="default" w:eastAsia="方正书宋_GBK"/>
                <w:lang w:val="en-US" w:eastAsia="zh-CN"/>
              </w:rPr>
            </w:pPr>
            <w:r>
              <w:rPr>
                <w:rFonts w:hint="eastAsia"/>
                <w:lang w:val="en-US" w:eastAsia="zh-CN"/>
              </w:rPr>
              <w:t>100%</w:t>
            </w:r>
          </w:p>
        </w:tc>
        <w:tc>
          <w:tcPr>
            <w:tcW w:w="1327" w:type="dxa"/>
            <w:vAlign w:val="center"/>
          </w:tcPr>
          <w:p>
            <w:pPr>
              <w:pStyle w:val="16"/>
              <w:rPr>
                <w:rFonts w:hint="eastAsia" w:eastAsia="方正书宋_GBK"/>
                <w:lang w:val="en-US" w:eastAsia="zh-CN"/>
              </w:rPr>
            </w:pPr>
            <w:r>
              <w:rPr>
                <w:rFonts w:hint="eastAsia"/>
                <w:lang w:val="en-US" w:eastAsia="zh-CN"/>
              </w:rPr>
              <w:t>会议要求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7"/>
            </w:pPr>
          </w:p>
        </w:tc>
        <w:tc>
          <w:tcPr>
            <w:tcW w:w="1252" w:type="dxa"/>
            <w:vAlign w:val="center"/>
          </w:tcPr>
          <w:p>
            <w:pPr>
              <w:pStyle w:val="16"/>
            </w:pPr>
            <w:r>
              <w:t>时效指标</w:t>
            </w:r>
          </w:p>
        </w:tc>
        <w:tc>
          <w:tcPr>
            <w:tcW w:w="1402" w:type="dxa"/>
            <w:vAlign w:val="center"/>
          </w:tcPr>
          <w:p>
            <w:pPr>
              <w:pStyle w:val="16"/>
              <w:rPr>
                <w:rFonts w:hint="default" w:eastAsia="方正书宋_GBK"/>
                <w:color w:val="auto"/>
                <w:lang w:val="en-US" w:eastAsia="zh-CN"/>
              </w:rPr>
            </w:pPr>
            <w:r>
              <w:rPr>
                <w:rFonts w:hint="eastAsia"/>
                <w:color w:val="auto"/>
                <w:lang w:val="en-US" w:eastAsia="zh-CN"/>
              </w:rPr>
              <w:t>会议按期召开及时率</w:t>
            </w:r>
          </w:p>
        </w:tc>
        <w:tc>
          <w:tcPr>
            <w:tcW w:w="2654" w:type="dxa"/>
            <w:vAlign w:val="center"/>
          </w:tcPr>
          <w:p>
            <w:pPr>
              <w:pStyle w:val="16"/>
              <w:rPr>
                <w:rFonts w:hint="default" w:eastAsia="方正书宋_GBK"/>
                <w:color w:val="auto"/>
                <w:lang w:val="en-US" w:eastAsia="zh-CN"/>
              </w:rPr>
            </w:pPr>
            <w:r>
              <w:rPr>
                <w:rFonts w:hint="eastAsia"/>
                <w:color w:val="auto"/>
                <w:lang w:val="en-US" w:eastAsia="zh-CN"/>
              </w:rPr>
              <w:t>十届三次会议按期召开</w:t>
            </w:r>
          </w:p>
        </w:tc>
        <w:tc>
          <w:tcPr>
            <w:tcW w:w="1327" w:type="dxa"/>
            <w:vAlign w:val="center"/>
          </w:tcPr>
          <w:p>
            <w:pPr>
              <w:pStyle w:val="16"/>
              <w:rPr>
                <w:rFonts w:hint="default" w:eastAsia="方正书宋_GBK"/>
                <w:lang w:val="en-US" w:eastAsia="zh-CN"/>
              </w:rPr>
            </w:pPr>
            <w:r>
              <w:rPr>
                <w:rFonts w:hint="eastAsia"/>
                <w:lang w:val="en-US" w:eastAsia="zh-CN"/>
              </w:rPr>
              <w:t>按会议计划召开</w:t>
            </w:r>
          </w:p>
        </w:tc>
        <w:tc>
          <w:tcPr>
            <w:tcW w:w="1327" w:type="dxa"/>
            <w:vAlign w:val="center"/>
          </w:tcPr>
          <w:p>
            <w:pPr>
              <w:rPr>
                <w:rFonts w:ascii="Times New Roman" w:hAnsi="Times New Roman" w:eastAsia="Times New Roman"/>
                <w:sz w:val="24"/>
                <w:szCs w:val="24"/>
                <w:lang w:val="en-US" w:eastAsia="uk-UA" w:bidi="ar-SA"/>
              </w:rPr>
            </w:pPr>
            <w:r>
              <w:rPr>
                <w:rFonts w:hint="eastAsia"/>
                <w:lang w:val="en-US" w:eastAsia="zh-CN"/>
              </w:rPr>
              <w:t>2023年年初工作谋划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pStyle w:val="17"/>
            </w:pPr>
          </w:p>
        </w:tc>
        <w:tc>
          <w:tcPr>
            <w:tcW w:w="1252" w:type="dxa"/>
            <w:vAlign w:val="center"/>
          </w:tcPr>
          <w:p>
            <w:pPr>
              <w:pStyle w:val="16"/>
              <w:rPr>
                <w:rFonts w:hint="eastAsia" w:eastAsia="方正书宋_GBK"/>
                <w:lang w:val="en-US" w:eastAsia="zh-CN"/>
              </w:rPr>
            </w:pPr>
            <w:r>
              <w:rPr>
                <w:rFonts w:hint="eastAsia"/>
                <w:lang w:val="en-US" w:eastAsia="zh-CN"/>
              </w:rPr>
              <w:t>成本指标</w:t>
            </w:r>
          </w:p>
        </w:tc>
        <w:tc>
          <w:tcPr>
            <w:tcW w:w="1402" w:type="dxa"/>
            <w:vAlign w:val="center"/>
          </w:tcPr>
          <w:p>
            <w:pPr>
              <w:pStyle w:val="16"/>
              <w:rPr>
                <w:rFonts w:hint="eastAsia" w:eastAsia="方正书宋_GBK"/>
                <w:lang w:val="en-US" w:eastAsia="zh-CN"/>
              </w:rPr>
            </w:pPr>
            <w:r>
              <w:rPr>
                <w:rFonts w:hint="eastAsia"/>
                <w:lang w:val="en-US" w:eastAsia="zh-CN"/>
              </w:rPr>
              <w:t>成本控制数</w:t>
            </w:r>
          </w:p>
        </w:tc>
        <w:tc>
          <w:tcPr>
            <w:tcW w:w="2654" w:type="dxa"/>
            <w:vAlign w:val="center"/>
          </w:tcPr>
          <w:p>
            <w:pPr>
              <w:pStyle w:val="16"/>
              <w:rPr>
                <w:rFonts w:hint="default" w:eastAsia="方正书宋_GBK"/>
                <w:lang w:val="en-US" w:eastAsia="zh-CN"/>
              </w:rPr>
            </w:pPr>
            <w:r>
              <w:rPr>
                <w:rFonts w:hint="eastAsia"/>
                <w:lang w:val="en-US" w:eastAsia="zh-CN"/>
              </w:rPr>
              <w:t>总会以成本控制在预算以内</w:t>
            </w:r>
          </w:p>
        </w:tc>
        <w:tc>
          <w:tcPr>
            <w:tcW w:w="1327" w:type="dxa"/>
            <w:vAlign w:val="center"/>
          </w:tcPr>
          <w:p>
            <w:pPr>
              <w:pStyle w:val="16"/>
              <w:rPr>
                <w:rFonts w:hint="default" w:eastAsia="方正书宋_GBK"/>
                <w:lang w:val="en-US" w:eastAsia="zh-CN"/>
              </w:rPr>
            </w:pPr>
            <w:r>
              <w:rPr>
                <w:rFonts w:hint="default" w:ascii="Arial" w:hAnsi="Arial" w:cs="Arial"/>
              </w:rPr>
              <w:t>≤</w:t>
            </w:r>
            <w:r>
              <w:rPr>
                <w:rFonts w:hint="eastAsia"/>
                <w:lang w:val="en-US" w:eastAsia="zh-CN"/>
              </w:rPr>
              <w:t>20万元</w:t>
            </w:r>
          </w:p>
        </w:tc>
        <w:tc>
          <w:tcPr>
            <w:tcW w:w="1327" w:type="dxa"/>
            <w:vAlign w:val="center"/>
          </w:tcPr>
          <w:p>
            <w:pPr>
              <w:pStyle w:val="16"/>
              <w:rPr>
                <w:rFonts w:hint="eastAsia" w:eastAsia="方正书宋_GBK"/>
                <w:lang w:val="en-US" w:eastAsia="zh-CN"/>
              </w:rPr>
            </w:pPr>
            <w:r>
              <w:rPr>
                <w:rFonts w:hint="eastAsia"/>
                <w:lang w:val="en-US" w:eastAsia="zh-C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效益指标</w:t>
            </w:r>
          </w:p>
        </w:tc>
        <w:tc>
          <w:tcPr>
            <w:tcW w:w="1252" w:type="dxa"/>
            <w:vAlign w:val="center"/>
          </w:tcPr>
          <w:p>
            <w:pPr>
              <w:pStyle w:val="16"/>
            </w:pPr>
            <w:r>
              <w:t>社会效益指标</w:t>
            </w:r>
          </w:p>
        </w:tc>
        <w:tc>
          <w:tcPr>
            <w:tcW w:w="1402" w:type="dxa"/>
            <w:vAlign w:val="center"/>
          </w:tcPr>
          <w:p>
            <w:pPr>
              <w:pStyle w:val="16"/>
              <w:rPr>
                <w:rFonts w:hint="default" w:eastAsia="方正书宋_GBK"/>
                <w:color w:val="auto"/>
                <w:lang w:val="en-US" w:eastAsia="zh-CN"/>
              </w:rPr>
            </w:pPr>
            <w:r>
              <w:rPr>
                <w:rFonts w:hint="eastAsia"/>
                <w:color w:val="auto"/>
              </w:rPr>
              <w:t>意见建议采纳率</w:t>
            </w:r>
          </w:p>
        </w:tc>
        <w:tc>
          <w:tcPr>
            <w:tcW w:w="2654" w:type="dxa"/>
            <w:vAlign w:val="center"/>
          </w:tcPr>
          <w:p>
            <w:pPr>
              <w:pStyle w:val="16"/>
              <w:rPr>
                <w:rFonts w:hint="default" w:eastAsia="方正书宋_GBK"/>
                <w:color w:val="auto"/>
                <w:lang w:val="en-US" w:eastAsia="zh-CN"/>
              </w:rPr>
            </w:pPr>
            <w:r>
              <w:rPr>
                <w:rFonts w:hint="eastAsia"/>
                <w:color w:val="auto"/>
              </w:rPr>
              <w:t>向区委、政府提出意见建议的采纳情况</w:t>
            </w:r>
          </w:p>
        </w:tc>
        <w:tc>
          <w:tcPr>
            <w:tcW w:w="1327" w:type="dxa"/>
            <w:vAlign w:val="center"/>
          </w:tcPr>
          <w:p>
            <w:pPr>
              <w:pStyle w:val="16"/>
              <w:rPr>
                <w:rFonts w:hint="eastAsia" w:eastAsia="方正书宋_GBK"/>
                <w:lang w:val="en-US" w:eastAsia="zh-CN"/>
              </w:rPr>
            </w:pPr>
            <w:r>
              <w:rPr>
                <w:rFonts w:hint="eastAsia"/>
                <w:lang w:val="en-US" w:eastAsia="zh-CN"/>
              </w:rPr>
              <w:t>有所提高</w:t>
            </w:r>
          </w:p>
        </w:tc>
        <w:tc>
          <w:tcPr>
            <w:tcW w:w="1327" w:type="dxa"/>
            <w:vAlign w:val="center"/>
          </w:tcPr>
          <w:p>
            <w:r>
              <w:rPr>
                <w:rFonts w:hint="eastAsia"/>
                <w:lang w:val="en-US" w:eastAsia="zh-CN"/>
              </w:rPr>
              <w:t>2023年年初工作谋划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7"/>
            </w:pPr>
            <w:r>
              <w:t>满意度指标</w:t>
            </w:r>
          </w:p>
        </w:tc>
        <w:tc>
          <w:tcPr>
            <w:tcW w:w="1252" w:type="dxa"/>
            <w:vAlign w:val="center"/>
          </w:tcPr>
          <w:p>
            <w:pPr>
              <w:pStyle w:val="16"/>
            </w:pPr>
            <w:r>
              <w:t>服务对象满意度指标</w:t>
            </w:r>
          </w:p>
        </w:tc>
        <w:tc>
          <w:tcPr>
            <w:tcW w:w="1402" w:type="dxa"/>
            <w:vAlign w:val="center"/>
          </w:tcPr>
          <w:p>
            <w:pPr>
              <w:pStyle w:val="16"/>
              <w:rPr>
                <w:rFonts w:hint="eastAsia" w:eastAsia="方正书宋_GBK"/>
                <w:lang w:val="en-US" w:eastAsia="zh-CN"/>
              </w:rPr>
            </w:pPr>
            <w:r>
              <w:rPr>
                <w:rFonts w:hint="eastAsia"/>
                <w:lang w:val="en-US" w:eastAsia="zh-CN"/>
              </w:rPr>
              <w:t>参会委员满意度</w:t>
            </w:r>
          </w:p>
        </w:tc>
        <w:tc>
          <w:tcPr>
            <w:tcW w:w="2654" w:type="dxa"/>
            <w:vAlign w:val="center"/>
          </w:tcPr>
          <w:p>
            <w:pPr>
              <w:pStyle w:val="16"/>
              <w:rPr>
                <w:rFonts w:hint="default" w:eastAsia="方正书宋_GBK"/>
                <w:lang w:val="en-US" w:eastAsia="zh-CN"/>
              </w:rPr>
            </w:pPr>
            <w:r>
              <w:t>群</w:t>
            </w:r>
            <w:r>
              <w:rPr>
                <w:rFonts w:hint="eastAsia"/>
                <w:lang w:val="en-US" w:eastAsia="zh-CN"/>
              </w:rPr>
              <w:t>调查人员中满意人员占调查人员的比例</w:t>
            </w:r>
          </w:p>
        </w:tc>
        <w:tc>
          <w:tcPr>
            <w:tcW w:w="1327" w:type="dxa"/>
            <w:vAlign w:val="center"/>
          </w:tcPr>
          <w:p>
            <w:pPr>
              <w:pStyle w:val="16"/>
              <w:rPr>
                <w:rFonts w:hint="default" w:eastAsia="方正书宋_GBK"/>
                <w:lang w:val="en-US" w:eastAsia="zh-CN"/>
              </w:rPr>
            </w:pPr>
            <w:r>
              <w:t>≥9</w:t>
            </w:r>
            <w:r>
              <w:rPr>
                <w:rFonts w:hint="eastAsia"/>
                <w:lang w:val="en-US" w:eastAsia="zh-CN"/>
              </w:rPr>
              <w:t>5%</w:t>
            </w:r>
          </w:p>
        </w:tc>
        <w:tc>
          <w:tcPr>
            <w:tcW w:w="1327" w:type="dxa"/>
            <w:vAlign w:val="center"/>
          </w:tcPr>
          <w:p>
            <w:pPr>
              <w:pStyle w:val="16"/>
              <w:rPr>
                <w:rFonts w:hint="eastAsia" w:eastAsia="方正书宋_GBK"/>
                <w:lang w:val="en-US" w:eastAsia="zh-CN"/>
              </w:rPr>
            </w:pPr>
            <w:r>
              <w:rPr>
                <w:rFonts w:hint="eastAsia"/>
                <w:lang w:val="en-US" w:eastAsia="zh-CN"/>
              </w:rPr>
              <w:t>调查问卷</w:t>
            </w:r>
          </w:p>
        </w:tc>
      </w:tr>
    </w:tbl>
    <w:p/>
    <w:p>
      <w:pPr>
        <w:numPr>
          <w:ilvl w:val="0"/>
          <w:numId w:val="0"/>
        </w:numPr>
        <w:spacing w:before="10" w:after="10"/>
        <w:outlineLvl w:val="5"/>
        <w:rPr>
          <w:rFonts w:hint="eastAsia" w:ascii="黑体" w:hAnsi="黑体" w:eastAsia="黑体" w:cs="黑体"/>
          <w:color w:val="000000"/>
          <w:sz w:val="32"/>
        </w:rPr>
        <w:sectPr>
          <w:pgSz w:w="16840" w:h="11900" w:orient="landscape"/>
          <w:pgMar w:top="1361" w:right="1020" w:bottom="1361" w:left="1020" w:header="720" w:footer="720" w:gutter="0"/>
          <w:cols w:space="720" w:num="1"/>
        </w:sectPr>
      </w:pPr>
    </w:p>
    <w:p>
      <w:pPr>
        <w:spacing w:before="10" w:after="10"/>
        <w:ind w:firstLine="640"/>
        <w:outlineLvl w:val="5"/>
        <w:rPr>
          <w:rFonts w:hint="eastAsia" w:ascii="黑体" w:hAnsi="黑体" w:eastAsia="黑体" w:cs="黑体"/>
          <w:color w:val="000000"/>
          <w:sz w:val="32"/>
        </w:rPr>
      </w:pPr>
      <w:bookmarkStart w:id="44" w:name="_Toc22597_WPSOffice_Level1"/>
    </w:p>
    <w:p>
      <w:pPr>
        <w:spacing w:before="10" w:after="10"/>
        <w:ind w:firstLine="640"/>
        <w:outlineLvl w:val="5"/>
      </w:pPr>
      <w:r>
        <w:rPr>
          <w:rFonts w:hint="eastAsia" w:ascii="黑体" w:hAnsi="黑体" w:eastAsia="黑体" w:cs="黑体"/>
          <w:color w:val="000000"/>
          <w:sz w:val="32"/>
        </w:rPr>
        <w:t>六、政府采购预算情况</w:t>
      </w:r>
      <w:bookmarkEnd w:id="44"/>
    </w:p>
    <w:p>
      <w:pPr>
        <w:spacing w:line="500" w:lineRule="exact"/>
        <w:ind w:firstLine="560"/>
      </w:pPr>
      <w:r>
        <w:rPr>
          <w:rFonts w:eastAsia="方正仿宋_GBK"/>
          <w:color w:val="000000"/>
          <w:sz w:val="28"/>
        </w:rPr>
        <w:t>2023</w:t>
      </w:r>
      <w:r>
        <w:rPr>
          <w:rFonts w:hint="eastAsia" w:eastAsia="方正仿宋_GBK"/>
          <w:color w:val="000000"/>
          <w:sz w:val="28"/>
        </w:rPr>
        <w:t>年，政协单位中国人民政治协商会议河北省秦皇岛市山海关区委员会本级安排政府采购预算</w:t>
      </w:r>
      <w:r>
        <w:rPr>
          <w:rFonts w:eastAsia="方正仿宋_GBK"/>
          <w:color w:val="000000"/>
          <w:sz w:val="28"/>
        </w:rPr>
        <w:t>0.00</w:t>
      </w:r>
      <w:r>
        <w:rPr>
          <w:rFonts w:hint="eastAsia" w:eastAsia="方正仿宋_GBK"/>
          <w:color w:val="000000"/>
          <w:sz w:val="28"/>
        </w:rPr>
        <w:t>万元。具体内容见下表。</w:t>
      </w:r>
    </w:p>
    <w:p>
      <w:pPr>
        <w:jc w:val="center"/>
      </w:pPr>
      <w:bookmarkStart w:id="45" w:name="_Toc19832_WPSOffice_Level1"/>
      <w:bookmarkStart w:id="46" w:name="_Toc26713_WPSOffice_Level1"/>
      <w:bookmarkStart w:id="47" w:name="_Toc23808_WPSOffice_Level1"/>
      <w:r>
        <w:rPr>
          <w:rFonts w:hint="eastAsia" w:ascii="方正小标宋_GBK" w:hAnsi="方正小标宋_GBK" w:eastAsia="方正小标宋_GBK" w:cs="方正小标宋_GBK"/>
          <w:color w:val="000000"/>
          <w:sz w:val="36"/>
        </w:rPr>
        <w:t>单位政府采购预算</w:t>
      </w:r>
      <w:bookmarkEnd w:id="45"/>
      <w:bookmarkEnd w:id="46"/>
      <w:bookmarkEnd w:id="4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131001</w:t>
            </w:r>
            <w:r>
              <w:rPr>
                <w:rFonts w:hint="eastAsia"/>
              </w:rPr>
              <w:t>政协单位中国人民政治协商会议河北省秦皇岛市山海关区委员会本级</w:t>
            </w:r>
          </w:p>
        </w:tc>
        <w:tc>
          <w:tcPr>
            <w:tcW w:w="8674" w:type="dxa"/>
            <w:gridSpan w:val="9"/>
            <w:tcBorders>
              <w:top w:val="single" w:color="FFFFFF" w:sz="6" w:space="0"/>
              <w:left w:val="single" w:color="FFFFFF" w:sz="6" w:space="0"/>
              <w:right w:val="single" w:color="FFFFFF" w:sz="6" w:space="0"/>
            </w:tcBorders>
            <w:vAlign w:val="center"/>
          </w:tcPr>
          <w:p>
            <w:pPr>
              <w:pStyle w:val="2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rPr>
                <w:rFonts w:hint="eastAsia"/>
              </w:rPr>
              <w:t>政府采购项目来源</w:t>
            </w:r>
          </w:p>
        </w:tc>
        <w:tc>
          <w:tcPr>
            <w:tcW w:w="1134" w:type="dxa"/>
            <w:vMerge w:val="restart"/>
            <w:vAlign w:val="center"/>
          </w:tcPr>
          <w:p>
            <w:pPr>
              <w:pStyle w:val="14"/>
            </w:pPr>
            <w:r>
              <w:rPr>
                <w:rFonts w:hint="eastAsia"/>
              </w:rPr>
              <w:t>采购物品名称</w:t>
            </w:r>
          </w:p>
        </w:tc>
        <w:tc>
          <w:tcPr>
            <w:tcW w:w="1134" w:type="dxa"/>
            <w:vMerge w:val="restart"/>
            <w:vAlign w:val="center"/>
          </w:tcPr>
          <w:p>
            <w:pPr>
              <w:pStyle w:val="14"/>
            </w:pPr>
            <w:r>
              <w:rPr>
                <w:rFonts w:hint="eastAsia"/>
              </w:rPr>
              <w:t>政府采购目录序号</w:t>
            </w:r>
          </w:p>
        </w:tc>
        <w:tc>
          <w:tcPr>
            <w:tcW w:w="709" w:type="dxa"/>
            <w:vMerge w:val="restart"/>
            <w:vAlign w:val="center"/>
          </w:tcPr>
          <w:p>
            <w:pPr>
              <w:pStyle w:val="14"/>
            </w:pPr>
            <w:r>
              <w:rPr>
                <w:rFonts w:hint="eastAsia"/>
              </w:rPr>
              <w:t>计量</w:t>
            </w:r>
            <w:r>
              <w:t xml:space="preserve">  </w:t>
            </w:r>
            <w:r>
              <w:rPr>
                <w:rFonts w:hint="eastAsia"/>
              </w:rPr>
              <w:t>单位</w:t>
            </w:r>
          </w:p>
        </w:tc>
        <w:tc>
          <w:tcPr>
            <w:tcW w:w="850" w:type="dxa"/>
            <w:vMerge w:val="restart"/>
            <w:vAlign w:val="center"/>
          </w:tcPr>
          <w:p>
            <w:pPr>
              <w:pStyle w:val="14"/>
            </w:pPr>
            <w:r>
              <w:rPr>
                <w:rFonts w:hint="eastAsia"/>
              </w:rPr>
              <w:t>数量</w:t>
            </w:r>
          </w:p>
        </w:tc>
        <w:tc>
          <w:tcPr>
            <w:tcW w:w="850" w:type="dxa"/>
            <w:vMerge w:val="restart"/>
            <w:vAlign w:val="center"/>
          </w:tcPr>
          <w:p>
            <w:pPr>
              <w:pStyle w:val="14"/>
            </w:pPr>
            <w:r>
              <w:rPr>
                <w:rFonts w:hint="eastAsia"/>
              </w:rPr>
              <w:t>单价</w:t>
            </w:r>
          </w:p>
        </w:tc>
        <w:tc>
          <w:tcPr>
            <w:tcW w:w="7710" w:type="dxa"/>
            <w:gridSpan w:val="8"/>
            <w:vAlign w:val="center"/>
          </w:tcPr>
          <w:p>
            <w:pPr>
              <w:pStyle w:val="14"/>
            </w:pPr>
            <w:r>
              <w:rPr>
                <w:rFonts w:hint="eastAsia"/>
              </w:rPr>
              <w:t>政府采购金额（当年单位预算安排资金）</w:t>
            </w:r>
          </w:p>
        </w:tc>
        <w:tc>
          <w:tcPr>
            <w:tcW w:w="964" w:type="dxa"/>
            <w:vMerge w:val="restart"/>
            <w:vAlign w:val="center"/>
          </w:tcPr>
          <w:p>
            <w:pPr>
              <w:pStyle w:val="14"/>
            </w:pPr>
            <w:r>
              <w:t>2023</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rPr>
                <w:rFonts w:hint="eastAsia"/>
              </w:rPr>
              <w:t>项目名称</w:t>
            </w:r>
          </w:p>
        </w:tc>
        <w:tc>
          <w:tcPr>
            <w:tcW w:w="964" w:type="dxa"/>
            <w:vAlign w:val="center"/>
          </w:tcPr>
          <w:p>
            <w:pPr>
              <w:pStyle w:val="14"/>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rPr>
                <w:rFonts w:hint="eastAsia"/>
              </w:rPr>
              <w:t>合计</w:t>
            </w:r>
          </w:p>
        </w:tc>
        <w:tc>
          <w:tcPr>
            <w:tcW w:w="964" w:type="dxa"/>
            <w:vAlign w:val="center"/>
          </w:tcPr>
          <w:p>
            <w:pPr>
              <w:pStyle w:val="14"/>
            </w:pPr>
            <w:r>
              <w:rPr>
                <w:rFonts w:hint="eastAsia"/>
              </w:rPr>
              <w:t>一般公共预算拨款</w:t>
            </w:r>
          </w:p>
        </w:tc>
        <w:tc>
          <w:tcPr>
            <w:tcW w:w="964" w:type="dxa"/>
            <w:vAlign w:val="center"/>
          </w:tcPr>
          <w:p>
            <w:pPr>
              <w:pStyle w:val="14"/>
            </w:pPr>
            <w:r>
              <w:rPr>
                <w:rFonts w:hint="eastAsia"/>
              </w:rPr>
              <w:t>基金预算拨款</w:t>
            </w:r>
          </w:p>
        </w:tc>
        <w:tc>
          <w:tcPr>
            <w:tcW w:w="964" w:type="dxa"/>
            <w:vAlign w:val="center"/>
          </w:tcPr>
          <w:p>
            <w:pPr>
              <w:pStyle w:val="14"/>
            </w:pPr>
            <w:r>
              <w:rPr>
                <w:rFonts w:hint="eastAsia"/>
              </w:rPr>
              <w:t>国有资本经营预算拨款</w:t>
            </w:r>
          </w:p>
        </w:tc>
        <w:tc>
          <w:tcPr>
            <w:tcW w:w="964" w:type="dxa"/>
            <w:vAlign w:val="center"/>
          </w:tcPr>
          <w:p>
            <w:pPr>
              <w:pStyle w:val="14"/>
            </w:pPr>
            <w:r>
              <w:rPr>
                <w:rFonts w:hint="eastAsia"/>
              </w:rPr>
              <w:t>财政专户核拨</w:t>
            </w:r>
          </w:p>
        </w:tc>
        <w:tc>
          <w:tcPr>
            <w:tcW w:w="964" w:type="dxa"/>
            <w:vAlign w:val="center"/>
          </w:tcPr>
          <w:p>
            <w:pPr>
              <w:pStyle w:val="14"/>
            </w:pPr>
            <w:r>
              <w:rPr>
                <w:rFonts w:hint="eastAsia"/>
              </w:rPr>
              <w:t>单位</w:t>
            </w:r>
            <w:r>
              <w:t xml:space="preserve">    </w:t>
            </w:r>
            <w:r>
              <w:rPr>
                <w:rFonts w:hint="eastAsia"/>
              </w:rPr>
              <w:t>资金</w:t>
            </w:r>
          </w:p>
        </w:tc>
        <w:tc>
          <w:tcPr>
            <w:tcW w:w="964" w:type="dxa"/>
            <w:vAlign w:val="center"/>
          </w:tcPr>
          <w:p>
            <w:pPr>
              <w:pStyle w:val="14"/>
            </w:pPr>
            <w:r>
              <w:rPr>
                <w:rFonts w:hint="eastAsia"/>
              </w:rPr>
              <w:t>财政拨</w:t>
            </w:r>
            <w:r>
              <w:t xml:space="preserve">    </w:t>
            </w:r>
            <w:r>
              <w:rPr>
                <w:rFonts w:hint="eastAsia"/>
              </w:rPr>
              <w:t>款结转</w:t>
            </w:r>
          </w:p>
        </w:tc>
        <w:tc>
          <w:tcPr>
            <w:tcW w:w="964" w:type="dxa"/>
            <w:vAlign w:val="center"/>
          </w:tcPr>
          <w:p>
            <w:pPr>
              <w:pStyle w:val="14"/>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bookmarkStart w:id="48" w:name="_Toc13480_WPSOffice_Level1"/>
      <w:r>
        <w:rPr>
          <w:rFonts w:hint="eastAsia" w:ascii="黑体" w:hAnsi="黑体" w:eastAsia="黑体" w:cs="黑体"/>
          <w:color w:val="000000"/>
          <w:sz w:val="32"/>
        </w:rPr>
        <w:t>七、国有资产信息</w:t>
      </w:r>
      <w:bookmarkEnd w:id="48"/>
    </w:p>
    <w:p>
      <w:pPr>
        <w:spacing w:line="500" w:lineRule="exact"/>
        <w:ind w:firstLine="560"/>
      </w:pPr>
      <w:r>
        <w:rPr>
          <w:rFonts w:hint="eastAsia" w:eastAsia="方正仿宋_GBK"/>
          <w:color w:val="000000"/>
          <w:sz w:val="28"/>
        </w:rPr>
        <w:t>政协单位中国人民政治协商会议河北省秦皇岛市山海关区委员会本级上年末固定资产金额为</w:t>
      </w:r>
      <w:r>
        <w:rPr>
          <w:rFonts w:eastAsia="方正仿宋_GBK"/>
          <w:color w:val="000000"/>
          <w:sz w:val="28"/>
        </w:rPr>
        <w:t>90.06</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万元，已按要求列入政府采购预算，详见政府采购预算表。</w:t>
      </w:r>
    </w:p>
    <w:p>
      <w:pPr>
        <w:jc w:val="center"/>
      </w:pPr>
      <w:bookmarkStart w:id="49" w:name="_Toc6511_WPSOffice_Level1"/>
      <w:bookmarkStart w:id="50" w:name="_Toc15301_WPSOffice_Level1"/>
      <w:bookmarkStart w:id="51" w:name="_Toc30510_WPSOffice_Level1"/>
      <w:r>
        <w:rPr>
          <w:rFonts w:hint="eastAsia" w:ascii="方正小标宋_GBK" w:hAnsi="方正小标宋_GBK" w:eastAsia="方正小标宋_GBK" w:cs="方正小标宋_GBK"/>
          <w:color w:val="000000"/>
          <w:sz w:val="36"/>
        </w:rPr>
        <w:t>单位固定资产占用情况表</w:t>
      </w:r>
      <w:bookmarkEnd w:id="49"/>
      <w:bookmarkEnd w:id="50"/>
      <w:bookmarkEnd w:id="5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131001</w:t>
            </w:r>
            <w:r>
              <w:rPr>
                <w:rFonts w:hint="eastAsia"/>
              </w:rPr>
              <w:t>政协单位中国人民政治协商会议河北省秦皇岛市山海关区委员会本级</w:t>
            </w:r>
          </w:p>
        </w:tc>
        <w:tc>
          <w:tcPr>
            <w:tcW w:w="5669" w:type="dxa"/>
            <w:gridSpan w:val="2"/>
            <w:tcBorders>
              <w:top w:val="single" w:color="FFFFFF" w:sz="6" w:space="0"/>
              <w:left w:val="single" w:color="FFFFFF" w:sz="6" w:space="0"/>
              <w:right w:val="single" w:color="FFFFFF" w:sz="6" w:space="0"/>
            </w:tcBorders>
            <w:vAlign w:val="center"/>
          </w:tcPr>
          <w:p>
            <w:pPr>
              <w:pStyle w:val="11"/>
            </w:pPr>
            <w:r>
              <w:rPr>
                <w:rFonts w:hint="eastAsia"/>
              </w:rPr>
              <w:t>截止时间：</w:t>
            </w:r>
            <w:r>
              <w:t>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rPr>
                <w:rFonts w:hint="eastAsia"/>
              </w:rPr>
              <w:t>项</w:t>
            </w:r>
            <w:r>
              <w:t xml:space="preserve">   </w:t>
            </w:r>
            <w:r>
              <w:rPr>
                <w:rFonts w:hint="eastAsia"/>
              </w:rPr>
              <w:t>目</w:t>
            </w:r>
          </w:p>
        </w:tc>
        <w:tc>
          <w:tcPr>
            <w:tcW w:w="2835" w:type="dxa"/>
            <w:vAlign w:val="center"/>
          </w:tcPr>
          <w:p>
            <w:pPr>
              <w:pStyle w:val="14"/>
            </w:pPr>
            <w:r>
              <w:rPr>
                <w:rFonts w:hint="eastAsia"/>
              </w:rPr>
              <w:t>数量</w:t>
            </w:r>
          </w:p>
        </w:tc>
        <w:tc>
          <w:tcPr>
            <w:tcW w:w="2835" w:type="dxa"/>
            <w:vAlign w:val="center"/>
          </w:tcPr>
          <w:p>
            <w:pPr>
              <w:pStyle w:val="14"/>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rPr>
                <w:rFonts w:hint="eastAsia"/>
              </w:rPr>
              <w:t>资产总额</w:t>
            </w:r>
          </w:p>
        </w:tc>
        <w:tc>
          <w:tcPr>
            <w:tcW w:w="2835" w:type="dxa"/>
            <w:vAlign w:val="center"/>
          </w:tcPr>
          <w:p>
            <w:pPr>
              <w:pStyle w:val="17"/>
            </w:pPr>
          </w:p>
        </w:tc>
        <w:tc>
          <w:tcPr>
            <w:tcW w:w="2835" w:type="dxa"/>
            <w:vAlign w:val="center"/>
          </w:tcPr>
          <w:p>
            <w:pPr>
              <w:pStyle w:val="15"/>
            </w:pPr>
            <w:r>
              <w:t>90.06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w:t>
            </w:r>
            <w:r>
              <w:rPr>
                <w:rFonts w:hint="eastAsia"/>
              </w:rPr>
              <w:t>、房屋（平方米）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rPr>
                <w:rFonts w:hint="eastAsia"/>
              </w:rP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w:t>
            </w:r>
            <w:r>
              <w:rPr>
                <w:rFonts w:hint="eastAsia"/>
              </w:rPr>
              <w:t>、车辆（台、辆）</w:t>
            </w:r>
          </w:p>
        </w:tc>
        <w:tc>
          <w:tcPr>
            <w:tcW w:w="2835" w:type="dxa"/>
            <w:vAlign w:val="center"/>
          </w:tcPr>
          <w:p>
            <w:pPr>
              <w:pStyle w:val="17"/>
            </w:pPr>
            <w:r>
              <w:t>2</w:t>
            </w:r>
          </w:p>
        </w:tc>
        <w:tc>
          <w:tcPr>
            <w:tcW w:w="2835" w:type="dxa"/>
            <w:vAlign w:val="center"/>
          </w:tcPr>
          <w:p>
            <w:pPr>
              <w:pStyle w:val="15"/>
            </w:pPr>
            <w:r>
              <w:t>54.56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w:t>
            </w:r>
            <w:r>
              <w:rPr>
                <w:rFonts w:hint="eastAsia"/>
              </w:rPr>
              <w:t>、单价在</w:t>
            </w:r>
            <w:r>
              <w:t>20</w:t>
            </w:r>
            <w:r>
              <w:rPr>
                <w:rFonts w:hint="eastAsia"/>
              </w:rPr>
              <w:t>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w:t>
            </w:r>
            <w:r>
              <w:rPr>
                <w:rFonts w:hint="eastAsia"/>
              </w:rPr>
              <w:t>、其他固定资产</w:t>
            </w:r>
          </w:p>
        </w:tc>
        <w:tc>
          <w:tcPr>
            <w:tcW w:w="2835" w:type="dxa"/>
            <w:vAlign w:val="center"/>
          </w:tcPr>
          <w:p>
            <w:pPr>
              <w:pStyle w:val="17"/>
            </w:pPr>
            <w:r>
              <w:t>83</w:t>
            </w:r>
          </w:p>
        </w:tc>
        <w:tc>
          <w:tcPr>
            <w:tcW w:w="2835" w:type="dxa"/>
            <w:vAlign w:val="center"/>
          </w:tcPr>
          <w:p>
            <w:pPr>
              <w:pStyle w:val="15"/>
            </w:pPr>
            <w:r>
              <w:t>35.50</w:t>
            </w:r>
          </w:p>
        </w:tc>
      </w:tr>
    </w:tbl>
    <w:p>
      <w:pPr>
        <w:ind w:firstLine="640"/>
      </w:pPr>
      <w:r>
        <w:rPr>
          <w:rFonts w:eastAsia="方正仿宋_GBK"/>
          <w:color w:val="000000"/>
          <w:sz w:val="32"/>
        </w:rPr>
        <w:t xml:space="preserve"> </w:t>
      </w:r>
    </w:p>
    <w:p>
      <w:pPr>
        <w:spacing w:before="10" w:after="10"/>
        <w:ind w:firstLine="640"/>
        <w:outlineLvl w:val="5"/>
      </w:pPr>
      <w:bookmarkStart w:id="52" w:name="_Toc32065_WPSOffice_Level1"/>
      <w:r>
        <w:rPr>
          <w:rFonts w:hint="eastAsia" w:ascii="黑体" w:hAnsi="黑体" w:eastAsia="黑体" w:cs="黑体"/>
          <w:color w:val="000000"/>
          <w:sz w:val="32"/>
        </w:rPr>
        <w:t>八、名词解释</w:t>
      </w:r>
      <w:bookmarkEnd w:id="52"/>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单位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bookmarkStart w:id="53" w:name="_Toc9094_WPSOffice_Level1"/>
      <w:r>
        <w:rPr>
          <w:rFonts w:hint="eastAsia" w:ascii="黑体" w:hAnsi="黑体" w:eastAsia="黑体" w:cs="黑体"/>
          <w:color w:val="000000"/>
          <w:sz w:val="32"/>
        </w:rPr>
        <w:t>九、其他需要说明的事项</w:t>
      </w:r>
      <w:bookmarkEnd w:id="53"/>
    </w:p>
    <w:p>
      <w:pPr>
        <w:spacing w:line="500" w:lineRule="exact"/>
        <w:ind w:firstLine="560"/>
      </w:pPr>
      <w:r>
        <w:rPr>
          <w:rFonts w:hint="eastAsia"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81489"/>
    <w:multiLevelType w:val="singleLevel"/>
    <w:tmpl w:val="84C81489"/>
    <w:lvl w:ilvl="0" w:tentative="0">
      <w:start w:val="1"/>
      <w:numFmt w:val="decimal"/>
      <w:lvlText w:val="%1."/>
      <w:lvlJc w:val="left"/>
      <w:pPr>
        <w:tabs>
          <w:tab w:val="left" w:pos="312"/>
        </w:tabs>
      </w:pPr>
    </w:lvl>
  </w:abstractNum>
  <w:abstractNum w:abstractNumId="1">
    <w:nsid w:val="E0852C77"/>
    <w:multiLevelType w:val="singleLevel"/>
    <w:tmpl w:val="E0852C77"/>
    <w:lvl w:ilvl="0" w:tentative="0">
      <w:start w:val="2"/>
      <w:numFmt w:val="chineseCounting"/>
      <w:suff w:val="space"/>
      <w:lvlText w:val="第%1部分"/>
      <w:lvlJc w:val="left"/>
      <w:rPr>
        <w:rFonts w:hint="eastAsia"/>
      </w:rPr>
    </w:lvl>
  </w:abstractNum>
  <w:abstractNum w:abstractNumId="2">
    <w:nsid w:val="18329D83"/>
    <w:multiLevelType w:val="singleLevel"/>
    <w:tmpl w:val="18329D83"/>
    <w:lvl w:ilvl="0" w:tentative="0">
      <w:start w:val="5"/>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720"/>
  <w:evenAndOddHeaders w:val="1"/>
  <w:characterSpacingControl w:val="doNotCompress"/>
  <w:noLineBreaksAfter w:lang="zh-CN" w:val="$([{£¥·‘“〈《「『【〔〖〝﹙﹛﹝＄（．［｛￡￥"/>
  <w:noLineBreaksBefore w:lang="zh-CN" w:val="!%),.:;&gt;?]}¢¨°·ˇˉ―‖’”…‰′″›℃∶、。〃〉》」』】〕〗〞︶︺︾﹀﹄﹚﹜﹞！＂％＇），．：；？］｀｜｝～￠"/>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FF"/>
    <w:rsid w:val="00094925"/>
    <w:rsid w:val="001521A0"/>
    <w:rsid w:val="001C0349"/>
    <w:rsid w:val="001F325B"/>
    <w:rsid w:val="00261357"/>
    <w:rsid w:val="003F59B2"/>
    <w:rsid w:val="00447CDE"/>
    <w:rsid w:val="0066407F"/>
    <w:rsid w:val="00710E75"/>
    <w:rsid w:val="007A6E06"/>
    <w:rsid w:val="00841B65"/>
    <w:rsid w:val="00A04EE0"/>
    <w:rsid w:val="00A859FF"/>
    <w:rsid w:val="00F27801"/>
    <w:rsid w:val="00F90E07"/>
    <w:rsid w:val="050A7249"/>
    <w:rsid w:val="09575E88"/>
    <w:rsid w:val="28D660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99" w:semiHidden="0" w:name="toc 2"/>
    <w:lsdException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character" w:default="1" w:styleId="10">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uiPriority w:val="99"/>
    <w:pPr>
      <w:ind w:left="480"/>
    </w:pPr>
  </w:style>
  <w:style w:type="paragraph" w:styleId="3">
    <w:name w:val="footer"/>
    <w:basedOn w:val="1"/>
    <w:link w:val="34"/>
    <w:qFormat/>
    <w:uiPriority w:val="99"/>
    <w:pPr>
      <w:tabs>
        <w:tab w:val="center" w:pos="4153"/>
        <w:tab w:val="right" w:pos="8306"/>
      </w:tabs>
      <w:snapToGrid w:val="0"/>
    </w:pPr>
    <w:rPr>
      <w:sz w:val="18"/>
      <w:szCs w:val="18"/>
    </w:rPr>
  </w:style>
  <w:style w:type="paragraph" w:styleId="4">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uiPriority w:val="99"/>
    <w:pPr>
      <w:ind w:left="240"/>
    </w:pPr>
  </w:style>
  <w:style w:type="table" w:styleId="9">
    <w:name w:val="Table Grid"/>
    <w:basedOn w:val="8"/>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99"/>
    <w:pPr>
      <w:jc w:val="right"/>
    </w:pPr>
    <w:rPr>
      <w:rFonts w:ascii="方正小标宋_GBK" w:hAnsi="方正小标宋_GBK" w:eastAsia="方正小标宋_GBK" w:cs="方正小标宋_GBK"/>
    </w:rPr>
  </w:style>
  <w:style w:type="paragraph" w:customStyle="1" w:styleId="12">
    <w:name w:val="单元格样式21"/>
    <w:basedOn w:val="1"/>
    <w:qFormat/>
    <w:uiPriority w:val="99"/>
    <w:pPr>
      <w:jc w:val="center"/>
    </w:pPr>
    <w:rPr>
      <w:rFonts w:ascii="方正小标宋_GBK" w:hAnsi="方正小标宋_GBK" w:eastAsia="方正小标宋_GBK" w:cs="方正小标宋_GBK"/>
    </w:rPr>
  </w:style>
  <w:style w:type="paragraph" w:customStyle="1" w:styleId="13">
    <w:name w:val="单元格样式20"/>
    <w:basedOn w:val="1"/>
    <w:qFormat/>
    <w:uiPriority w:val="99"/>
    <w:rPr>
      <w:rFonts w:ascii="方正小标宋_GBK" w:hAnsi="方正小标宋_GBK" w:eastAsia="方正小标宋_GBK" w:cs="方正小标宋_GBK"/>
    </w:rPr>
  </w:style>
  <w:style w:type="paragraph" w:customStyle="1" w:styleId="14">
    <w:name w:val="单元格样式1"/>
    <w:basedOn w:val="1"/>
    <w:qFormat/>
    <w:uiPriority w:val="99"/>
    <w:pPr>
      <w:jc w:val="center"/>
    </w:pPr>
    <w:rPr>
      <w:rFonts w:ascii="方正书宋_GBK" w:hAnsi="方正书宋_GBK" w:eastAsia="方正书宋_GBK" w:cs="方正书宋_GBK"/>
      <w:b/>
      <w:sz w:val="21"/>
    </w:rPr>
  </w:style>
  <w:style w:type="paragraph" w:customStyle="1" w:styleId="15">
    <w:name w:val="单元格样式4"/>
    <w:basedOn w:val="1"/>
    <w:qFormat/>
    <w:uiPriority w:val="99"/>
    <w:pPr>
      <w:jc w:val="right"/>
    </w:pPr>
    <w:rPr>
      <w:rFonts w:ascii="方正书宋_GBK" w:hAnsi="方正书宋_GBK" w:eastAsia="方正书宋_GBK" w:cs="方正书宋_GBK"/>
      <w:sz w:val="21"/>
    </w:rPr>
  </w:style>
  <w:style w:type="paragraph" w:customStyle="1" w:styleId="16">
    <w:name w:val="单元格样式2"/>
    <w:basedOn w:val="1"/>
    <w:qFormat/>
    <w:uiPriority w:val="99"/>
    <w:rPr>
      <w:rFonts w:ascii="方正书宋_GBK" w:hAnsi="方正书宋_GBK" w:eastAsia="方正书宋_GBK" w:cs="方正书宋_GBK"/>
      <w:sz w:val="21"/>
    </w:rPr>
  </w:style>
  <w:style w:type="paragraph" w:customStyle="1" w:styleId="17">
    <w:name w:val="单元格样式3"/>
    <w:basedOn w:val="1"/>
    <w:uiPriority w:val="99"/>
    <w:pPr>
      <w:jc w:val="center"/>
    </w:pPr>
    <w:rPr>
      <w:rFonts w:ascii="方正书宋_GBK" w:hAnsi="方正书宋_GBK" w:eastAsia="方正书宋_GBK" w:cs="方正书宋_GBK"/>
      <w:sz w:val="21"/>
    </w:rPr>
  </w:style>
  <w:style w:type="paragraph" w:customStyle="1" w:styleId="18">
    <w:name w:val="单元格样式6"/>
    <w:basedOn w:val="1"/>
    <w:qFormat/>
    <w:uiPriority w:val="99"/>
    <w:pPr>
      <w:jc w:val="center"/>
    </w:pPr>
    <w:rPr>
      <w:rFonts w:ascii="方正书宋_GBK" w:hAnsi="方正书宋_GBK" w:eastAsia="方正书宋_GBK" w:cs="方正书宋_GBK"/>
      <w:b/>
      <w:sz w:val="21"/>
    </w:rPr>
  </w:style>
  <w:style w:type="paragraph" w:customStyle="1" w:styleId="19">
    <w:name w:val="单元格样式7"/>
    <w:basedOn w:val="1"/>
    <w:qFormat/>
    <w:uiPriority w:val="99"/>
    <w:pPr>
      <w:jc w:val="right"/>
    </w:pPr>
    <w:rPr>
      <w:rFonts w:ascii="方正书宋_GBK" w:hAnsi="方正书宋_GBK" w:eastAsia="方正书宋_GBK" w:cs="方正书宋_GBK"/>
      <w:b/>
      <w:sz w:val="21"/>
    </w:rPr>
  </w:style>
  <w:style w:type="paragraph" w:customStyle="1" w:styleId="20">
    <w:name w:val="单元格样式5"/>
    <w:basedOn w:val="1"/>
    <w:qFormat/>
    <w:uiPriority w:val="99"/>
    <w:rPr>
      <w:rFonts w:ascii="方正书宋_GBK" w:hAnsi="方正书宋_GBK" w:eastAsia="方正书宋_GBK" w:cs="方正书宋_GBK"/>
      <w:b/>
      <w:sz w:val="21"/>
    </w:rPr>
  </w:style>
  <w:style w:type="paragraph" w:customStyle="1" w:styleId="21">
    <w:name w:val="插入文本样式-插入部门职责文件"/>
    <w:basedOn w:val="1"/>
    <w:qFormat/>
    <w:uiPriority w:val="99"/>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5">
    <w:name w:val="插入文本样式-插入总体目标文件"/>
    <w:basedOn w:val="1"/>
    <w:qFormat/>
    <w:uiPriority w:val="99"/>
    <w:pPr>
      <w:spacing w:line="500" w:lineRule="exact"/>
      <w:ind w:firstLine="560"/>
    </w:pPr>
    <w:rPr>
      <w:rFonts w:eastAsia="方正仿宋_GBK"/>
      <w:sz w:val="28"/>
    </w:rPr>
  </w:style>
  <w:style w:type="paragraph" w:customStyle="1" w:styleId="26">
    <w:name w:val="插入文本样式-插入职责分类绩效目标文件"/>
    <w:basedOn w:val="1"/>
    <w:uiPriority w:val="99"/>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8">
    <w:name w:val="单元格样式23"/>
    <w:basedOn w:val="1"/>
    <w:qFormat/>
    <w:uiPriority w:val="99"/>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99"/>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3">
    <w:name w:val="Header Char"/>
    <w:basedOn w:val="10"/>
    <w:link w:val="4"/>
    <w:semiHidden/>
    <w:qFormat/>
    <w:locked/>
    <w:uiPriority w:val="99"/>
    <w:rPr>
      <w:rFonts w:cs="Times New Roman"/>
      <w:kern w:val="0"/>
      <w:sz w:val="18"/>
      <w:szCs w:val="18"/>
      <w:lang w:eastAsia="uk-UA"/>
    </w:rPr>
  </w:style>
  <w:style w:type="character" w:customStyle="1" w:styleId="34">
    <w:name w:val="Footer Char"/>
    <w:basedOn w:val="10"/>
    <w:link w:val="3"/>
    <w:semiHidden/>
    <w:qFormat/>
    <w:locked/>
    <w:uiPriority w:val="99"/>
    <w:rPr>
      <w:rFonts w:cs="Times New Roman"/>
      <w:kern w:val="0"/>
      <w:sz w:val="18"/>
      <w:szCs w:val="18"/>
      <w:lang w:eastAsia="uk-UA"/>
    </w:rPr>
  </w:style>
  <w:style w:type="paragraph" w:customStyle="1" w:styleId="35">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27</Pages>
  <Words>1814</Words>
  <Characters>10345</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2023-01-31T09:05:00Z</dcterms:created>
  <dc:creator>Administrator</dc:creator>
  <cp:lastModifiedBy>ZHX</cp:lastModifiedBy>
  <dcterms:modified xsi:type="dcterms:W3CDTF">2023-12-27T09:39:43Z</dcterms:modified>
  <dc:title>2023年部门预算信息公开目录</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