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val="en-US" w:eastAsia="zh-CN"/>
        </w:rPr>
      </w:pPr>
    </w:p>
    <w:p>
      <w:pPr>
        <w:jc w:val="center"/>
        <w:outlineLvl w:val="0"/>
        <w:rPr>
          <w:rFonts w:hint="eastAsia" w:ascii="黑体" w:hAnsi="黑体" w:eastAsia="黑体" w:cs="黑体"/>
          <w:b/>
          <w:color w:val="000000"/>
          <w:sz w:val="44"/>
          <w:lang w:val="en-US" w:eastAsia="zh-CN"/>
        </w:rPr>
      </w:pPr>
    </w:p>
    <w:p>
      <w:pPr>
        <w:jc w:val="center"/>
        <w:outlineLvl w:val="0"/>
        <w:rPr>
          <w:rFonts w:hint="eastAsia" w:ascii="黑体" w:hAnsi="黑体" w:eastAsia="黑体" w:cs="黑体"/>
          <w:b/>
          <w:color w:val="000000"/>
          <w:sz w:val="44"/>
          <w:lang w:val="en-US" w:eastAsia="zh-CN"/>
        </w:rPr>
      </w:pPr>
    </w:p>
    <w:p>
      <w:pPr>
        <w:jc w:val="center"/>
        <w:outlineLvl w:val="0"/>
        <w:rPr>
          <w:rFonts w:hint="eastAsia" w:ascii="黑体" w:hAnsi="黑体" w:eastAsia="黑体" w:cs="黑体"/>
          <w:b/>
          <w:color w:val="000000"/>
          <w:sz w:val="44"/>
          <w:lang w:val="en-US" w:eastAsia="zh-CN"/>
        </w:rPr>
      </w:pPr>
    </w:p>
    <w:p>
      <w:pPr>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山海关区人民政府办公室</w:t>
      </w:r>
    </w:p>
    <w:p>
      <w:pPr>
        <w:jc w:val="center"/>
        <w:outlineLvl w:val="0"/>
        <w:rPr>
          <w:rFonts w:hint="eastAsia"/>
          <w:lang w:eastAsia="zh-CN"/>
        </w:rPr>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jc w:val="both"/>
        <w:outlineLvl w:val="3"/>
      </w:pPr>
      <w:bookmarkStart w:id="0" w:name="_Toc_4_4_0000000019"/>
    </w:p>
    <w:p>
      <w:pPr>
        <w:jc w:val="both"/>
        <w:outlineLvl w:val="3"/>
      </w:pPr>
    </w:p>
    <w:p>
      <w:pPr>
        <w:jc w:val="center"/>
        <w:outlineLvl w:val="3"/>
      </w:pPr>
    </w:p>
    <w:p>
      <w:pPr>
        <w:jc w:val="both"/>
        <w:outlineLvl w:val="3"/>
      </w:pPr>
    </w:p>
    <w:p>
      <w:pPr>
        <w:jc w:val="center"/>
        <w:outlineLvl w:val="3"/>
      </w:pPr>
    </w:p>
    <w:p>
      <w:pPr>
        <w:jc w:val="center"/>
        <w:outlineLvl w:val="3"/>
      </w:pPr>
    </w:p>
    <w:p>
      <w:pPr>
        <w:jc w:val="center"/>
        <w:outlineLvl w:val="3"/>
      </w:pPr>
    </w:p>
    <w:p>
      <w:pPr>
        <w:jc w:val="both"/>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Borders>
            <w:top w:val="none" w:sz="0" w:space="0"/>
            <w:left w:val="none" w:sz="0" w:space="0"/>
            <w:bottom w:val="none" w:sz="0" w:space="0"/>
            <w:right w:val="none" w:sz="0" w:space="0"/>
          </w:pgBorders>
          <w:pgNumType w:start="1"/>
          <w:cols w:space="720" w:num="1"/>
        </w:sectPr>
      </w:pPr>
    </w:p>
    <w:p>
      <w:pPr>
        <w:jc w:val="center"/>
        <w:outlineLvl w:val="3"/>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color w:val="000000"/>
          <w:sz w:val="44"/>
          <w:lang w:eastAsia="zh-CN"/>
        </w:rPr>
        <w:t>山海关区人民政府办公室单位本级收支预算</w:t>
      </w:r>
      <w:bookmarkEnd w:id="0"/>
    </w:p>
    <w:tbl>
      <w:tblPr>
        <w:tblStyle w:val="8"/>
        <w:tblW w:w="1488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8"/>
        <w:gridCol w:w="4812"/>
        <w:gridCol w:w="2764"/>
        <w:gridCol w:w="4333"/>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882"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预算单位编码及名称：[434]区政府办</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8"/>
        <w:tblW w:w="143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912"/>
        <w:gridCol w:w="3001"/>
        <w:gridCol w:w="702"/>
        <w:gridCol w:w="702"/>
        <w:gridCol w:w="1260"/>
        <w:gridCol w:w="1260"/>
        <w:gridCol w:w="912"/>
        <w:gridCol w:w="912"/>
        <w:gridCol w:w="1260"/>
        <w:gridCol w:w="1609"/>
        <w:gridCol w:w="913"/>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54"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预算单位编码及名称：[434]区政府办</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8"/>
        <w:tblW w:w="149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22"/>
        <w:gridCol w:w="1977"/>
        <w:gridCol w:w="3546"/>
        <w:gridCol w:w="1251"/>
        <w:gridCol w:w="1009"/>
        <w:gridCol w:w="1009"/>
        <w:gridCol w:w="931"/>
        <w:gridCol w:w="1255"/>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92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预算单位编码及名称：[434]区政府办</w:t>
            </w:r>
          </w:p>
        </w:tc>
        <w:tc>
          <w:tcPr>
            <w:tcW w:w="1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0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0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42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587.84</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2010301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2010302</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抚恤</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2080899</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其他优抚支出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rPr>
          <w:rFonts w:ascii="方正小标宋_GBK" w:hAnsi="方正小标宋_GBK" w:eastAsia="方正小标宋_GBK" w:cs="方正小标宋_GBK"/>
          <w:color w:val="000000"/>
          <w:sz w:val="36"/>
        </w:rPr>
      </w:pPr>
    </w:p>
    <w:tbl>
      <w:tblPr>
        <w:tblStyle w:val="8"/>
        <w:tblW w:w="1496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0"/>
        <w:gridCol w:w="2717"/>
        <w:gridCol w:w="804"/>
        <w:gridCol w:w="3340"/>
        <w:gridCol w:w="1281"/>
        <w:gridCol w:w="1820"/>
        <w:gridCol w:w="1820"/>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96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方正小标宋_GBK" w:hAnsi="方正小标宋_GBK" w:eastAsia="方正小标宋_GBK" w:cs="方正小标宋_GBK"/>
                <w:color w:val="000000"/>
                <w:sz w:val="36"/>
                <w:lang w:val="en-US" w:eastAsia="zh-CN"/>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60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预算单位编码及名称：[434]区政府办</w:t>
            </w:r>
          </w:p>
        </w:tc>
        <w:tc>
          <w:tcPr>
            <w:tcW w:w="18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预算年度：2022</w:t>
            </w:r>
          </w:p>
        </w:tc>
        <w:tc>
          <w:tcPr>
            <w:tcW w:w="25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108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464.40</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464.40</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146.11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146.11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58.33</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58.33</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33.21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33.21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702.04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bl>
    <w:p>
      <w:pPr>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tbl>
      <w:tblPr>
        <w:tblStyle w:val="8"/>
        <w:tblW w:w="147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6"/>
        <w:gridCol w:w="1380"/>
        <w:gridCol w:w="4705"/>
        <w:gridCol w:w="1045"/>
        <w:gridCol w:w="1045"/>
        <w:gridCol w:w="1380"/>
        <w:gridCol w:w="2212"/>
        <w:gridCol w:w="2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80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预算单位编码及名称：[434]区政府办</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both"/>
        <w:outlineLvl w:val="4"/>
        <w:rPr>
          <w:rFonts w:ascii="方正小标宋_GBK" w:hAnsi="方正小标宋_GBK" w:eastAsia="方正小标宋_GBK" w:cs="方正小标宋_GBK"/>
          <w:color w:val="000000"/>
          <w:sz w:val="44"/>
        </w:rPr>
      </w:pPr>
    </w:p>
    <w:p>
      <w:pPr>
        <w:jc w:val="both"/>
        <w:outlineLvl w:val="4"/>
        <w:rPr>
          <w:rFonts w:ascii="方正小标宋_GBK" w:hAnsi="方正小标宋_GBK" w:eastAsia="方正小标宋_GBK" w:cs="方正小标宋_GBK"/>
          <w:color w:val="000000"/>
          <w:sz w:val="44"/>
        </w:rPr>
      </w:pPr>
    </w:p>
    <w:tbl>
      <w:tblPr>
        <w:tblStyle w:val="8"/>
        <w:tblW w:w="145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7"/>
        <w:gridCol w:w="1699"/>
        <w:gridCol w:w="5110"/>
        <w:gridCol w:w="1287"/>
        <w:gridCol w:w="2722"/>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55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预算单位编码及名称：[434]区政府办</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tbl>
      <w:tblPr>
        <w:tblStyle w:val="8"/>
        <w:tblW w:w="149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548"/>
        <w:gridCol w:w="4716"/>
        <w:gridCol w:w="2628"/>
        <w:gridCol w:w="2628"/>
        <w:gridCol w:w="2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964"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方正小标宋_GBK" w:hAnsi="方正小标宋_GBK" w:eastAsia="方正小标宋_GBK" w:cs="方正小标宋_GBK"/>
                <w:color w:val="000000"/>
                <w:sz w:val="36"/>
                <w:lang w:val="en-US" w:eastAsia="zh-CN"/>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70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部门编码及名称：[434]区政府办</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6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注：无政府基金预算，空表列示。</w:t>
            </w:r>
          </w:p>
        </w:tc>
      </w:tr>
    </w:tbl>
    <w:p>
      <w:pP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tbl>
      <w:tblPr>
        <w:tblStyle w:val="8"/>
        <w:tblW w:w="150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1548"/>
        <w:gridCol w:w="4560"/>
        <w:gridCol w:w="2640"/>
        <w:gridCol w:w="2640"/>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084"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方正小标宋_GBK" w:hAnsi="方正小标宋_GBK" w:eastAsia="方正小标宋_GBK" w:cs="方正小标宋_GBK"/>
                <w:color w:val="000000"/>
                <w:sz w:val="36"/>
                <w:lang w:val="en-US" w:eastAsia="zh-CN"/>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804"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部门编码及名称：[434]区政府办</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64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P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tbl>
      <w:tblPr>
        <w:tblStyle w:val="8"/>
        <w:tblW w:w="150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1"/>
        <w:gridCol w:w="4044"/>
        <w:gridCol w:w="1648"/>
        <w:gridCol w:w="1983"/>
        <w:gridCol w:w="1903"/>
        <w:gridCol w:w="1887"/>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15052"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方正小标宋_GBK" w:hAnsi="方正小标宋_GBK" w:eastAsia="方正小标宋_GBK" w:cs="方正小标宋_GBK"/>
                <w:color w:val="000000"/>
                <w:sz w:val="36"/>
                <w:lang w:val="en-US" w:eastAsia="zh-CN"/>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11292"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部门编码及名称：[434]区政府办</w:t>
            </w:r>
          </w:p>
        </w:tc>
        <w:tc>
          <w:tcPr>
            <w:tcW w:w="188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187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9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政府性基金财政拨款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4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rPr>
          <w:rFonts w:hint="eastAsia" w:ascii="宋体" w:hAnsi="宋体" w:cs="黑体"/>
          <w:b/>
          <w:color w:val="000000"/>
          <w:sz w:val="44"/>
        </w:rPr>
      </w:pPr>
    </w:p>
    <w:p>
      <w:pPr>
        <w:jc w:val="center"/>
        <w:rPr>
          <w:rFonts w:hint="eastAsia" w:ascii="宋体" w:hAnsi="宋体" w:cs="黑体"/>
          <w:b/>
          <w:color w:val="000000"/>
          <w:sz w:val="44"/>
        </w:rPr>
      </w:pPr>
    </w:p>
    <w:p>
      <w:pPr>
        <w:jc w:val="center"/>
        <w:rPr>
          <w:rFonts w:hint="eastAsia" w:ascii="宋体" w:hAnsi="宋体" w:cs="黑体"/>
          <w:b/>
          <w:color w:val="000000"/>
          <w:sz w:val="44"/>
        </w:rPr>
      </w:pPr>
    </w:p>
    <w:p>
      <w:pPr>
        <w:jc w:val="center"/>
        <w:rPr>
          <w:rFonts w:hint="eastAsia" w:ascii="方正小标宋简体" w:hAnsi="方正小标宋简体" w:eastAsia="方正小标宋简体" w:cs="方正小标宋简体"/>
          <w:b w:val="0"/>
          <w:bCs/>
          <w:color w:val="000000"/>
          <w:sz w:val="44"/>
        </w:rPr>
      </w:pPr>
      <w:r>
        <w:rPr>
          <w:rFonts w:hint="eastAsia" w:ascii="方正小标宋简体" w:hAnsi="方正小标宋简体" w:eastAsia="方正小标宋简体" w:cs="方正小标宋简体"/>
          <w:b w:val="0"/>
          <w:bCs/>
          <w:color w:val="000000"/>
          <w:sz w:val="44"/>
        </w:rPr>
        <w:t>山海关区</w:t>
      </w:r>
      <w:r>
        <w:rPr>
          <w:rFonts w:hint="eastAsia" w:ascii="方正小标宋简体" w:hAnsi="方正小标宋简体" w:eastAsia="方正小标宋简体" w:cs="方正小标宋简体"/>
          <w:b w:val="0"/>
          <w:bCs/>
          <w:color w:val="000000"/>
          <w:sz w:val="44"/>
          <w:lang w:eastAsia="zh-CN"/>
        </w:rPr>
        <w:t>人民政府办公室单位</w:t>
      </w:r>
      <w:r>
        <w:rPr>
          <w:rFonts w:hint="eastAsia" w:ascii="方正小标宋简体" w:hAnsi="方正小标宋简体" w:eastAsia="方正小标宋简体" w:cs="方正小标宋简体"/>
          <w:b w:val="0"/>
          <w:bCs/>
          <w:color w:val="000000"/>
          <w:sz w:val="44"/>
        </w:rPr>
        <w:t>202</w:t>
      </w:r>
      <w:r>
        <w:rPr>
          <w:rFonts w:hint="eastAsia" w:ascii="方正小标宋简体" w:hAnsi="方正小标宋简体" w:eastAsia="方正小标宋简体" w:cs="方正小标宋简体"/>
          <w:b w:val="0"/>
          <w:bCs/>
          <w:color w:val="000000"/>
          <w:sz w:val="44"/>
          <w:lang w:val="en-US" w:eastAsia="zh-CN"/>
        </w:rPr>
        <w:t>2</w:t>
      </w:r>
      <w:r>
        <w:rPr>
          <w:rFonts w:hint="eastAsia" w:ascii="方正小标宋简体" w:hAnsi="方正小标宋简体" w:eastAsia="方正小标宋简体" w:cs="方正小标宋简体"/>
          <w:b w:val="0"/>
          <w:bCs/>
          <w:color w:val="000000"/>
          <w:sz w:val="44"/>
        </w:rPr>
        <w:t>年部门预算公开说明</w:t>
      </w:r>
    </w:p>
    <w:p>
      <w:pPr>
        <w:jc w:val="center"/>
        <w:rPr>
          <w:rFonts w:hint="eastAsia" w:ascii="宋体" w:hAnsi="宋体" w:cs="黑体"/>
          <w:b/>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按照《预算法》、《地方预决算公开操作规程》和《河北省省级预算公开办法》规定，现将山海关区</w:t>
      </w:r>
      <w:r>
        <w:rPr>
          <w:rFonts w:hint="eastAsia" w:ascii="仿宋_GB2312" w:eastAsia="仿宋_GB2312"/>
          <w:sz w:val="32"/>
          <w:szCs w:val="32"/>
          <w:lang w:eastAsia="zh-CN"/>
        </w:rPr>
        <w:t>人民政府办公室</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ind w:firstLine="640"/>
        <w:jc w:val="left"/>
        <w:rPr>
          <w:rFonts w:hint="eastAsia" w:ascii="楷体_GB2312" w:hAnsi="楷体" w:eastAsia="楷体_GB2312" w:cs="楷体"/>
          <w:b/>
          <w:color w:val="FF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根据《区政府办职能配置、内设机构和人员编制规定》， 区政府办</w:t>
      </w:r>
      <w:r>
        <w:rPr>
          <w:rFonts w:hint="eastAsia" w:ascii="仿宋_GB2312" w:hAnsi="仿宋" w:eastAsia="仿宋_GB2312" w:cs="仿宋"/>
          <w:color w:val="000000"/>
          <w:sz w:val="32"/>
          <w:szCs w:val="22"/>
          <w:lang w:eastAsia="zh-CN"/>
        </w:rPr>
        <w:t>公室</w:t>
      </w:r>
      <w:r>
        <w:rPr>
          <w:rFonts w:hint="eastAsia" w:ascii="仿宋_GB2312" w:hAnsi="仿宋" w:eastAsia="仿宋_GB2312" w:cs="仿宋"/>
          <w:color w:val="000000"/>
          <w:sz w:val="32"/>
          <w:szCs w:val="22"/>
        </w:rPr>
        <w:t>的主要职责是：</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（一）负责组织起草或审核上报市政府、市政府办和致函市政府各部门的公文，以及以区政府、区政府办公室名义发布的公文；办理区政府各部门报送区政府的文件。</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（二）负责区政府领导活动的组织和协调工作；负责区政府会议的准备和服务工作，协助区政府领导组织落实会议决定事项。</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（三）研究区政府各部门等请示区政府的事项，提出审核意见，报区政府领导审批。</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（四）根据区政府领导的批示，对区政府各部门间出现的争议问题提出处理意见，报区政府领导决定。</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（五）组织起草区政府领导重要讲话及其他重要文稿。</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（六）督促检查各镇人民政府、街道办事处、区政府各部门对市政府和区政府决定事项及市政府、区政府领导重要批示的执行落实情况并跟踪调研，及时向区政府领导报告。</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（七）组织承办人大代表建议和政协提案工作。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（八）负责承办区政府提请区人大常委会任免议案和提请区政府任命工作人员的行政任免有关手续。</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（九）负责区政府值班工作，与区委值班室合署办公，及时报告重要情况，传达和督促落实区政府领导工作要求。</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（十）根据区政府工作部署和区政府领导要求，对我区改革开放和经济社会发展中重大问题等进行调查研究，及时反映情况，提出政策性建议。</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（十一）负责推进、指导、协调、监督、考核评估全区政务公开和政府信息公开工作。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（十二）负责全区政务信息的搜集、整理、上报。</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（十三）协同有关部门统筹协调区政府新闻宣传、舆情回应等工作。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（十四）负责全区政府系统电子政务工作。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（十五）负责全区优化营商环境的综合协调工作。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六）组织协调全区“放管服”改革工作。指导、督促贯彻落实党中央、国务院和省委、省政府，市委、市政府，区委、区政府关于“放管服”改革重要领域、关键环节重大政策措施，承担区推进政府职能转变和“放管服”改革协调小组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（十七）负责区政府办公室所属单位的管理工作。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（十八）贯彻执行国家、省、市金融方针政策和法律法规，制定全区金融业发展政策规划并组织实施。</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（十九）负责协调引导各类金融机构支持服务我区实体经济发展，组织做好全区金融生态环境建设、地方金融改革创新等工作。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（二十）负责全区地方金融机构的监督管理工作。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（二十一）负责全区金融风险的监测预警、防范和处置化解工作。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（二十二）负责全区外事工作，贯彻执行上级对外方针、政策，承办涉外有关事宜。</w:t>
      </w:r>
    </w:p>
    <w:p>
      <w:pPr>
        <w:ind w:firstLine="640" w:firstLineChars="200"/>
        <w:jc w:val="left"/>
        <w:rPr>
          <w:rFonts w:hint="eastAsia" w:ascii="仿宋_GB2312" w:hAnsi="仿宋" w:eastAsia="仿宋_GB2312" w:cs="仿宋"/>
          <w:color w:val="000000"/>
          <w:sz w:val="32"/>
          <w:szCs w:val="22"/>
        </w:rPr>
      </w:pPr>
      <w:r>
        <w:rPr>
          <w:rFonts w:hint="eastAsia" w:ascii="仿宋_GB2312" w:hAnsi="仿宋" w:eastAsia="仿宋_GB2312" w:cs="仿宋"/>
          <w:color w:val="000000"/>
          <w:sz w:val="32"/>
          <w:szCs w:val="22"/>
        </w:rPr>
        <w:t>（二十三）完成区政府交办的其他任务。</w:t>
      </w:r>
    </w:p>
    <w:p>
      <w:pPr>
        <w:ind w:firstLine="640"/>
        <w:jc w:val="left"/>
        <w:rPr>
          <w:rFonts w:hint="eastAsia" w:ascii="楷体_GB2312" w:hAnsi="楷体" w:eastAsia="楷体_GB2312" w:cs="楷体"/>
          <w:b/>
          <w:color w:val="000000"/>
          <w:sz w:val="32"/>
        </w:rPr>
      </w:pPr>
    </w:p>
    <w:p>
      <w:pPr>
        <w:ind w:firstLine="640"/>
        <w:jc w:val="left"/>
        <w:rPr>
          <w:rFonts w:hint="eastAsia" w:ascii="楷体_GB2312" w:hAnsi="楷体" w:eastAsia="楷体_GB2312" w:cs="楷体"/>
          <w:b/>
          <w:color w:val="000000"/>
          <w:sz w:val="32"/>
        </w:rPr>
      </w:pPr>
    </w:p>
    <w:p>
      <w:pPr>
        <w:ind w:firstLine="640"/>
        <w:jc w:val="left"/>
        <w:rPr>
          <w:rFonts w:hint="eastAsia" w:ascii="楷体_GB2312" w:hAnsi="楷体" w:eastAsia="楷体_GB2312" w:cs="楷体"/>
          <w:b/>
          <w:color w:val="000000"/>
          <w:sz w:val="32"/>
        </w:rPr>
      </w:pP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p>
    <w:tbl>
      <w:tblPr>
        <w:tblStyle w:val="8"/>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山海关区人民政府办公室</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行政</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正科级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6094" w:type="dxa"/>
            <w:noWrap w:val="0"/>
            <w:vAlign w:val="center"/>
          </w:tcPr>
          <w:p>
            <w:pPr>
              <w:spacing w:line="300" w:lineRule="exact"/>
              <w:jc w:val="center"/>
              <w:rPr>
                <w:rFonts w:hint="eastAsia" w:ascii="仿宋_GB2312" w:eastAsia="仿宋_GB2312"/>
                <w:sz w:val="28"/>
                <w:szCs w:val="28"/>
              </w:rPr>
            </w:pPr>
          </w:p>
        </w:tc>
        <w:tc>
          <w:tcPr>
            <w:tcW w:w="1845" w:type="dxa"/>
            <w:noWrap w:val="0"/>
            <w:vAlign w:val="center"/>
          </w:tcPr>
          <w:p>
            <w:pPr>
              <w:spacing w:line="300" w:lineRule="exact"/>
              <w:jc w:val="center"/>
              <w:rPr>
                <w:rFonts w:hint="eastAsia" w:ascii="仿宋_GB2312" w:eastAsia="仿宋_GB2312"/>
                <w:sz w:val="28"/>
                <w:szCs w:val="28"/>
              </w:rPr>
            </w:pPr>
          </w:p>
        </w:tc>
        <w:tc>
          <w:tcPr>
            <w:tcW w:w="2416" w:type="dxa"/>
            <w:noWrap w:val="0"/>
            <w:vAlign w:val="center"/>
          </w:tcPr>
          <w:p>
            <w:pPr>
              <w:spacing w:line="300" w:lineRule="exact"/>
              <w:jc w:val="center"/>
              <w:rPr>
                <w:rFonts w:hint="eastAsia" w:ascii="仿宋_GB2312" w:eastAsia="仿宋_GB2312"/>
                <w:sz w:val="28"/>
                <w:szCs w:val="28"/>
              </w:rPr>
            </w:pPr>
          </w:p>
        </w:tc>
        <w:tc>
          <w:tcPr>
            <w:tcW w:w="3907" w:type="dxa"/>
            <w:noWrap w:val="0"/>
            <w:vAlign w:val="center"/>
          </w:tcPr>
          <w:p>
            <w:pPr>
              <w:spacing w:line="300" w:lineRule="exact"/>
              <w:jc w:val="center"/>
              <w:rPr>
                <w:rFonts w:hint="eastAsia"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6094" w:type="dxa"/>
            <w:noWrap w:val="0"/>
            <w:vAlign w:val="center"/>
          </w:tcPr>
          <w:p>
            <w:pPr>
              <w:spacing w:line="300" w:lineRule="exact"/>
              <w:jc w:val="center"/>
              <w:rPr>
                <w:rFonts w:hint="eastAsia" w:ascii="仿宋_GB2312" w:eastAsia="仿宋_GB2312"/>
                <w:sz w:val="28"/>
                <w:szCs w:val="28"/>
              </w:rPr>
            </w:pPr>
          </w:p>
        </w:tc>
        <w:tc>
          <w:tcPr>
            <w:tcW w:w="1845" w:type="dxa"/>
            <w:noWrap w:val="0"/>
            <w:vAlign w:val="center"/>
          </w:tcPr>
          <w:p>
            <w:pPr>
              <w:spacing w:line="300" w:lineRule="exact"/>
              <w:jc w:val="center"/>
              <w:rPr>
                <w:rFonts w:hint="eastAsia" w:ascii="仿宋_GB2312" w:eastAsia="仿宋_GB2312"/>
                <w:sz w:val="28"/>
                <w:szCs w:val="28"/>
              </w:rPr>
            </w:pPr>
          </w:p>
        </w:tc>
        <w:tc>
          <w:tcPr>
            <w:tcW w:w="2416" w:type="dxa"/>
            <w:noWrap w:val="0"/>
            <w:vAlign w:val="center"/>
          </w:tcPr>
          <w:p>
            <w:pPr>
              <w:spacing w:line="300" w:lineRule="exact"/>
              <w:jc w:val="center"/>
              <w:rPr>
                <w:rFonts w:hint="eastAsia" w:ascii="仿宋_GB2312" w:eastAsia="仿宋_GB2312"/>
                <w:sz w:val="28"/>
                <w:szCs w:val="28"/>
              </w:rPr>
            </w:pPr>
          </w:p>
        </w:tc>
        <w:tc>
          <w:tcPr>
            <w:tcW w:w="3907" w:type="dxa"/>
            <w:noWrap w:val="0"/>
            <w:vAlign w:val="center"/>
          </w:tcPr>
          <w:p>
            <w:pPr>
              <w:spacing w:line="300" w:lineRule="exact"/>
              <w:jc w:val="center"/>
              <w:rPr>
                <w:rFonts w:hint="eastAsia"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6094" w:type="dxa"/>
            <w:noWrap w:val="0"/>
            <w:vAlign w:val="center"/>
          </w:tcPr>
          <w:p>
            <w:pPr>
              <w:spacing w:line="300" w:lineRule="exact"/>
              <w:jc w:val="center"/>
              <w:rPr>
                <w:rFonts w:hint="eastAsia" w:ascii="仿宋_GB2312" w:eastAsia="仿宋_GB2312"/>
                <w:sz w:val="28"/>
                <w:szCs w:val="28"/>
              </w:rPr>
            </w:pPr>
          </w:p>
        </w:tc>
        <w:tc>
          <w:tcPr>
            <w:tcW w:w="1845" w:type="dxa"/>
            <w:noWrap w:val="0"/>
            <w:vAlign w:val="center"/>
          </w:tcPr>
          <w:p>
            <w:pPr>
              <w:spacing w:line="300" w:lineRule="exact"/>
              <w:jc w:val="center"/>
              <w:rPr>
                <w:rFonts w:hint="eastAsia" w:ascii="仿宋_GB2312" w:eastAsia="仿宋_GB2312"/>
                <w:sz w:val="28"/>
                <w:szCs w:val="28"/>
              </w:rPr>
            </w:pPr>
          </w:p>
        </w:tc>
        <w:tc>
          <w:tcPr>
            <w:tcW w:w="2416" w:type="dxa"/>
            <w:noWrap w:val="0"/>
            <w:vAlign w:val="center"/>
          </w:tcPr>
          <w:p>
            <w:pPr>
              <w:spacing w:line="300" w:lineRule="exact"/>
              <w:jc w:val="center"/>
              <w:rPr>
                <w:rFonts w:hint="eastAsia" w:ascii="仿宋_GB2312" w:eastAsia="仿宋_GB2312"/>
                <w:sz w:val="28"/>
                <w:szCs w:val="28"/>
              </w:rPr>
            </w:pPr>
          </w:p>
        </w:tc>
        <w:tc>
          <w:tcPr>
            <w:tcW w:w="3907" w:type="dxa"/>
            <w:noWrap w:val="0"/>
            <w:vAlign w:val="center"/>
          </w:tcPr>
          <w:p>
            <w:pPr>
              <w:spacing w:line="300" w:lineRule="exact"/>
              <w:jc w:val="center"/>
              <w:rPr>
                <w:rFonts w:hint="eastAsia" w:ascii="仿宋_GB2312" w:eastAsia="仿宋_GB2312"/>
                <w:sz w:val="28"/>
                <w:szCs w:val="28"/>
              </w:rPr>
            </w:pPr>
          </w:p>
        </w:tc>
      </w:tr>
    </w:tbl>
    <w:p>
      <w:pPr>
        <w:ind w:firstLine="640" w:firstLineChars="200"/>
        <w:jc w:val="left"/>
        <w:rPr>
          <w:rFonts w:ascii="黑体" w:hAnsi="黑体" w:eastAsia="黑体"/>
          <w:color w:val="000000"/>
          <w:sz w:val="32"/>
        </w:rPr>
      </w:pPr>
      <w:r>
        <w:rPr>
          <w:rFonts w:ascii="黑体" w:hAnsi="黑体" w:eastAsia="黑体"/>
          <w:color w:val="000000"/>
          <w:sz w:val="32"/>
        </w:rPr>
        <w:t>二、</w:t>
      </w:r>
      <w:r>
        <w:rPr>
          <w:rFonts w:hint="eastAsia" w:ascii="黑体" w:hAnsi="黑体" w:eastAsia="黑体"/>
          <w:color w:val="000000"/>
          <w:sz w:val="32"/>
          <w:lang w:eastAsia="zh-CN"/>
        </w:rPr>
        <w:t>单位</w:t>
      </w:r>
      <w:r>
        <w:rPr>
          <w:rFonts w:ascii="黑体" w:hAnsi="黑体" w:eastAsia="黑体"/>
          <w:color w:val="000000"/>
          <w:sz w:val="32"/>
        </w:rPr>
        <w:t>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预算的编制实行综合预算制度，即全部收入和支出都反映在预算中。山海关区</w:t>
      </w:r>
      <w:r>
        <w:rPr>
          <w:rFonts w:hint="eastAsia" w:ascii="仿宋_GB2312" w:hAnsi="仿宋" w:eastAsia="仿宋_GB2312" w:cs="仿宋"/>
          <w:color w:val="000000"/>
          <w:sz w:val="32"/>
          <w:lang w:eastAsia="zh-CN"/>
        </w:rPr>
        <w:t>人民政府办公室</w:t>
      </w:r>
      <w:r>
        <w:rPr>
          <w:rFonts w:hint="eastAsia" w:ascii="仿宋_GB2312" w:hAnsi="仿宋" w:eastAsia="仿宋_GB2312" w:cs="仿宋"/>
          <w:color w:val="000000"/>
          <w:sz w:val="32"/>
        </w:rPr>
        <w:t>机关及所属事业单位的收支包含在</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 w:hAnsi="仿宋" w:eastAsia="仿宋" w:cs="仿宋"/>
          <w:color w:val="000000"/>
          <w:sz w:val="32"/>
        </w:rPr>
        <w:t>反映本</w:t>
      </w:r>
      <w:r>
        <w:rPr>
          <w:rFonts w:hint="eastAsia" w:ascii="仿宋" w:hAnsi="仿宋" w:eastAsia="仿宋" w:cs="仿宋"/>
          <w:color w:val="000000"/>
          <w:sz w:val="32"/>
          <w:lang w:eastAsia="zh-CN"/>
        </w:rPr>
        <w:t>单位</w:t>
      </w:r>
      <w:r>
        <w:rPr>
          <w:rFonts w:hint="eastAsia" w:ascii="仿宋" w:hAnsi="仿宋" w:eastAsia="仿宋" w:cs="仿宋"/>
          <w:color w:val="000000"/>
          <w:sz w:val="32"/>
        </w:rPr>
        <w:t>当年全部收入。</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年预算收入为</w:t>
      </w:r>
      <w:r>
        <w:rPr>
          <w:rFonts w:hint="eastAsia" w:ascii="仿宋_GB2312" w:eastAsia="仿宋_GB2312"/>
          <w:sz w:val="32"/>
          <w:szCs w:val="32"/>
          <w:lang w:val="en-US" w:eastAsia="zh-CN"/>
        </w:rPr>
        <w:t>702.04万</w:t>
      </w:r>
      <w:r>
        <w:rPr>
          <w:rFonts w:hint="eastAsia" w:ascii="仿宋_GB2312" w:eastAsia="仿宋_GB2312"/>
          <w:sz w:val="32"/>
          <w:szCs w:val="32"/>
        </w:rPr>
        <w:t>元，其中：一般公共预算收入</w:t>
      </w:r>
      <w:r>
        <w:rPr>
          <w:rFonts w:hint="eastAsia" w:ascii="仿宋_GB2312" w:eastAsia="仿宋_GB2312"/>
          <w:sz w:val="32"/>
          <w:szCs w:val="32"/>
          <w:lang w:val="en-US" w:eastAsia="zh-CN"/>
        </w:rPr>
        <w:t>702.04万</w:t>
      </w:r>
      <w:r>
        <w:rPr>
          <w:rFonts w:hint="eastAsia" w:ascii="仿宋_GB2312" w:eastAsia="仿宋_GB2312"/>
          <w:sz w:val="32"/>
          <w:szCs w:val="32"/>
        </w:rPr>
        <w:t>元，基金预算收入</w:t>
      </w:r>
      <w:r>
        <w:rPr>
          <w:rFonts w:hint="eastAsia" w:ascii="仿宋_GB2312" w:eastAsia="仿宋_GB2312"/>
          <w:sz w:val="32"/>
          <w:szCs w:val="32"/>
          <w:lang w:val="en-US" w:eastAsia="zh-CN"/>
        </w:rPr>
        <w:t>0</w:t>
      </w:r>
      <w:r>
        <w:rPr>
          <w:rFonts w:hint="eastAsia" w:ascii="仿宋_GB2312" w:eastAsia="仿宋_GB2312"/>
          <w:sz w:val="32"/>
          <w:szCs w:val="32"/>
        </w:rPr>
        <w:t>元，财政专户核拨收入</w:t>
      </w:r>
      <w:r>
        <w:rPr>
          <w:rFonts w:hint="eastAsia" w:ascii="仿宋_GB2312" w:eastAsia="仿宋_GB2312"/>
          <w:sz w:val="32"/>
          <w:szCs w:val="32"/>
          <w:lang w:val="en-US" w:eastAsia="zh-CN"/>
        </w:rPr>
        <w:t>0</w:t>
      </w:r>
      <w:r>
        <w:rPr>
          <w:rFonts w:hint="eastAsia" w:ascii="仿宋_GB2312" w:eastAsia="仿宋_GB2312"/>
          <w:sz w:val="32"/>
          <w:szCs w:val="32"/>
        </w:rPr>
        <w:t>元，其他来源收入</w:t>
      </w:r>
      <w:r>
        <w:rPr>
          <w:rFonts w:hint="eastAsia" w:ascii="仿宋_GB2312" w:eastAsia="仿宋_GB2312"/>
          <w:sz w:val="32"/>
          <w:szCs w:val="32"/>
          <w:lang w:val="en-US" w:eastAsia="zh-CN"/>
        </w:rPr>
        <w:t>0</w:t>
      </w:r>
      <w:r>
        <w:rPr>
          <w:rFonts w:hint="eastAsia" w:ascii="仿宋_GB2312" w:eastAsia="仿宋_GB2312"/>
          <w:sz w:val="32"/>
          <w:szCs w:val="32"/>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spacing w:line="500" w:lineRule="exact"/>
        <w:ind w:firstLine="643" w:firstLineChars="200"/>
        <w:jc w:val="left"/>
        <w:rPr>
          <w:rFonts w:hint="default" w:ascii="仿宋_GB2312" w:eastAsia="仿宋_GB2312"/>
          <w:sz w:val="32"/>
          <w:szCs w:val="32"/>
          <w:lang w:val="en-US" w:eastAsia="zh-CN"/>
        </w:rPr>
      </w:pPr>
      <w:r>
        <w:rPr>
          <w:rFonts w:hint="eastAsia" w:ascii="仿宋_GB2312" w:hAnsi="仿宋" w:eastAsia="仿宋_GB2312" w:cs="仿宋"/>
          <w:b/>
          <w:color w:val="000000"/>
          <w:sz w:val="32"/>
        </w:rPr>
        <w:t>收支预算总表支出栏、基本支出表、项目支出表按经济分类和支出功能分类科目编制，反映山海关区</w:t>
      </w:r>
      <w:r>
        <w:rPr>
          <w:rFonts w:hint="eastAsia" w:ascii="仿宋_GB2312" w:hAnsi="仿宋" w:eastAsia="仿宋_GB2312" w:cs="仿宋"/>
          <w:b/>
          <w:color w:val="000000"/>
          <w:sz w:val="32"/>
          <w:lang w:eastAsia="zh-CN"/>
        </w:rPr>
        <w:t>人民政府办公室</w:t>
      </w:r>
      <w:r>
        <w:rPr>
          <w:rFonts w:hint="eastAsia" w:ascii="仿宋_GB2312" w:hAnsi="仿宋" w:eastAsia="仿宋_GB2312" w:cs="仿宋"/>
          <w:b/>
          <w:color w:val="000000"/>
          <w:sz w:val="32"/>
        </w:rPr>
        <w:t>年度</w:t>
      </w:r>
      <w:r>
        <w:rPr>
          <w:rFonts w:hint="eastAsia" w:ascii="仿宋_GB2312" w:hAnsi="仿宋" w:eastAsia="仿宋_GB2312" w:cs="仿宋"/>
          <w:b/>
          <w:color w:val="000000"/>
          <w:sz w:val="32"/>
          <w:lang w:eastAsia="zh-CN"/>
        </w:rPr>
        <w:t>单位</w:t>
      </w:r>
      <w:r>
        <w:rPr>
          <w:rFonts w:hint="eastAsia" w:ascii="仿宋_GB2312" w:hAnsi="仿宋" w:eastAsia="仿宋_GB2312" w:cs="仿宋"/>
          <w:b/>
          <w:color w:val="000000"/>
          <w:sz w:val="32"/>
        </w:rPr>
        <w:t>预算中支出预算的总体情况。</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年预算支出为</w:t>
      </w:r>
      <w:r>
        <w:rPr>
          <w:rFonts w:hint="eastAsia" w:ascii="仿宋_GB2312" w:eastAsia="仿宋_GB2312"/>
          <w:sz w:val="32"/>
          <w:szCs w:val="32"/>
          <w:lang w:val="en-US" w:eastAsia="zh-CN"/>
        </w:rPr>
        <w:t>702.04万</w:t>
      </w:r>
      <w:r>
        <w:rPr>
          <w:rFonts w:hint="eastAsia" w:ascii="仿宋_GB2312" w:eastAsia="仿宋_GB2312"/>
          <w:sz w:val="32"/>
          <w:szCs w:val="32"/>
        </w:rPr>
        <w:t>元，其中：基本支出</w:t>
      </w:r>
      <w:r>
        <w:rPr>
          <w:rFonts w:hint="eastAsia" w:ascii="仿宋_GB2312" w:eastAsia="仿宋_GB2312"/>
          <w:sz w:val="32"/>
          <w:szCs w:val="32"/>
          <w:lang w:val="en-US" w:eastAsia="zh-CN"/>
        </w:rPr>
        <w:t>587.84万</w:t>
      </w:r>
      <w:r>
        <w:rPr>
          <w:rFonts w:hint="eastAsia" w:ascii="仿宋_GB2312" w:eastAsia="仿宋_GB2312"/>
          <w:sz w:val="32"/>
          <w:szCs w:val="32"/>
        </w:rPr>
        <w:t>元，主要是人员经费</w:t>
      </w:r>
      <w:r>
        <w:rPr>
          <w:rFonts w:hint="eastAsia" w:ascii="仿宋_GB2312" w:eastAsia="仿宋_GB2312"/>
          <w:sz w:val="32"/>
          <w:szCs w:val="32"/>
          <w:lang w:val="en-US" w:eastAsia="zh-CN"/>
        </w:rPr>
        <w:t>531.81万</w:t>
      </w:r>
      <w:r>
        <w:rPr>
          <w:rFonts w:hint="eastAsia" w:ascii="仿宋_GB2312" w:eastAsia="仿宋_GB2312"/>
          <w:sz w:val="32"/>
          <w:szCs w:val="32"/>
        </w:rPr>
        <w:t>元和日常公用经费</w:t>
      </w:r>
      <w:r>
        <w:rPr>
          <w:rFonts w:hint="eastAsia" w:ascii="仿宋_GB2312" w:eastAsia="仿宋_GB2312"/>
          <w:sz w:val="32"/>
          <w:szCs w:val="32"/>
          <w:lang w:val="en-US" w:eastAsia="zh-CN"/>
        </w:rPr>
        <w:t>56.03万</w:t>
      </w:r>
      <w:r>
        <w:rPr>
          <w:rFonts w:hint="eastAsia" w:ascii="仿宋_GB2312" w:eastAsia="仿宋_GB2312"/>
          <w:sz w:val="32"/>
          <w:szCs w:val="32"/>
        </w:rPr>
        <w:t>元；项目支出</w:t>
      </w:r>
      <w:r>
        <w:rPr>
          <w:rFonts w:hint="eastAsia" w:ascii="仿宋_GB2312" w:eastAsia="仿宋_GB2312"/>
          <w:sz w:val="32"/>
          <w:szCs w:val="32"/>
          <w:lang w:val="en-US" w:eastAsia="zh-CN"/>
        </w:rPr>
        <w:t>114.20万</w:t>
      </w:r>
      <w:r>
        <w:rPr>
          <w:rFonts w:hint="eastAsia" w:ascii="仿宋_GB2312" w:eastAsia="仿宋_GB2312"/>
          <w:sz w:val="32"/>
          <w:szCs w:val="32"/>
        </w:rPr>
        <w:t>元，主要为</w:t>
      </w:r>
      <w:r>
        <w:rPr>
          <w:rFonts w:hint="eastAsia" w:ascii="仿宋_GB2312" w:eastAsia="仿宋_GB2312"/>
          <w:sz w:val="32"/>
          <w:szCs w:val="32"/>
          <w:lang w:eastAsia="zh-CN"/>
        </w:rPr>
        <w:t>保证车辆正常运行的车保险项目安排</w:t>
      </w:r>
      <w:r>
        <w:rPr>
          <w:rFonts w:hint="eastAsia" w:ascii="仿宋_GB2312" w:eastAsia="仿宋_GB2312"/>
          <w:sz w:val="32"/>
          <w:szCs w:val="32"/>
          <w:lang w:val="en-US" w:eastAsia="zh-CN"/>
        </w:rPr>
        <w:t>3.2万元；保障机关正常运转的综合事务经费50万元；保证大气污染环境治理工作经费7万元；保证疫情防控办工作经费8万元；保证</w:t>
      </w:r>
      <w:r>
        <w:rPr>
          <w:rFonts w:hint="eastAsia" w:ascii="仿宋_GB2312" w:eastAsia="仿宋_GB2312"/>
          <w:sz w:val="32"/>
          <w:szCs w:val="32"/>
        </w:rPr>
        <w:t>财务管理、公物管理、办公设备购置，楼内设施维修、车辆管理维修、老干部服务、加班、值班人员生活保障性支出，领导交办的其他工作</w:t>
      </w:r>
      <w:r>
        <w:rPr>
          <w:rFonts w:hint="eastAsia" w:ascii="仿宋_GB2312" w:eastAsia="仿宋_GB2312"/>
          <w:sz w:val="32"/>
          <w:szCs w:val="32"/>
          <w:lang w:eastAsia="zh-CN"/>
        </w:rPr>
        <w:t>的行政后勤经费为</w:t>
      </w:r>
      <w:r>
        <w:rPr>
          <w:rFonts w:hint="eastAsia" w:ascii="仿宋_GB2312" w:eastAsia="仿宋_GB2312"/>
          <w:sz w:val="32"/>
          <w:szCs w:val="32"/>
          <w:lang w:val="en-US" w:eastAsia="zh-CN"/>
        </w:rPr>
        <w:t>46万元。</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年预算支出安排</w:t>
      </w:r>
      <w:r>
        <w:rPr>
          <w:rFonts w:hint="eastAsia" w:ascii="仿宋_GB2312" w:eastAsia="仿宋_GB2312"/>
          <w:sz w:val="32"/>
          <w:szCs w:val="32"/>
          <w:lang w:val="en-US" w:eastAsia="zh-CN"/>
        </w:rPr>
        <w:t>702.04万</w:t>
      </w:r>
      <w:r>
        <w:rPr>
          <w:rFonts w:hint="eastAsia" w:ascii="仿宋_GB2312" w:eastAsia="仿宋_GB2312"/>
          <w:sz w:val="32"/>
          <w:szCs w:val="32"/>
        </w:rPr>
        <w:t>元，较202</w:t>
      </w:r>
      <w:r>
        <w:rPr>
          <w:rFonts w:hint="eastAsia" w:ascii="仿宋_GB2312" w:eastAsia="仿宋_GB2312"/>
          <w:sz w:val="32"/>
          <w:szCs w:val="32"/>
          <w:lang w:val="en-US" w:eastAsia="zh-CN"/>
        </w:rPr>
        <w:t>1</w:t>
      </w:r>
      <w:r>
        <w:rPr>
          <w:rFonts w:hint="eastAsia" w:ascii="仿宋_GB2312" w:eastAsia="仿宋_GB2312"/>
          <w:sz w:val="32"/>
          <w:szCs w:val="32"/>
        </w:rPr>
        <w:t>年预算673</w:t>
      </w:r>
      <w:r>
        <w:rPr>
          <w:rFonts w:hint="eastAsia" w:ascii="仿宋_GB2312" w:eastAsia="仿宋_GB2312"/>
          <w:sz w:val="32"/>
          <w:szCs w:val="32"/>
          <w:lang w:val="en-US" w:eastAsia="zh-CN"/>
        </w:rPr>
        <w:t>.</w:t>
      </w:r>
      <w:r>
        <w:rPr>
          <w:rFonts w:hint="eastAsia" w:ascii="仿宋_GB2312" w:eastAsia="仿宋_GB2312"/>
          <w:sz w:val="32"/>
          <w:szCs w:val="32"/>
        </w:rPr>
        <w:t>27</w:t>
      </w:r>
      <w:r>
        <w:rPr>
          <w:rFonts w:hint="eastAsia" w:ascii="仿宋_GB2312" w:eastAsia="仿宋_GB2312"/>
          <w:sz w:val="32"/>
          <w:szCs w:val="32"/>
          <w:lang w:eastAsia="zh-CN"/>
        </w:rPr>
        <w:t>万元增加</w:t>
      </w:r>
      <w:r>
        <w:rPr>
          <w:rFonts w:hint="eastAsia" w:ascii="仿宋_GB2312" w:eastAsia="仿宋_GB2312"/>
          <w:sz w:val="32"/>
          <w:szCs w:val="32"/>
          <w:lang w:val="en-US" w:eastAsia="zh-CN"/>
        </w:rPr>
        <w:t>28.77万</w:t>
      </w:r>
      <w:r>
        <w:rPr>
          <w:rFonts w:hint="eastAsia" w:ascii="仿宋_GB2312" w:eastAsia="仿宋_GB2312"/>
          <w:sz w:val="32"/>
          <w:szCs w:val="32"/>
        </w:rPr>
        <w:t>元，其中：</w:t>
      </w:r>
      <w:r>
        <w:rPr>
          <w:rFonts w:hint="eastAsia" w:ascii="仿宋_GB2312" w:eastAsia="仿宋_GB2312"/>
          <w:sz w:val="32"/>
          <w:szCs w:val="32"/>
          <w:lang w:eastAsia="zh-CN"/>
        </w:rPr>
        <w:t>基本支出减少</w:t>
      </w:r>
      <w:r>
        <w:rPr>
          <w:rFonts w:hint="eastAsia" w:ascii="仿宋_GB2312" w:eastAsia="仿宋_GB2312"/>
          <w:sz w:val="32"/>
          <w:szCs w:val="32"/>
          <w:lang w:val="en-US" w:eastAsia="zh-CN"/>
        </w:rPr>
        <w:t>32.23万元，原因是人员调出人员经费减少；</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增加</w:t>
      </w:r>
      <w:r>
        <w:rPr>
          <w:rFonts w:hint="eastAsia" w:ascii="仿宋_GB2312" w:eastAsia="仿宋_GB2312"/>
          <w:sz w:val="32"/>
          <w:szCs w:val="32"/>
          <w:lang w:val="en-US" w:eastAsia="zh-CN"/>
        </w:rPr>
        <w:t>61万</w:t>
      </w:r>
      <w:r>
        <w:rPr>
          <w:rFonts w:hint="eastAsia" w:ascii="仿宋_GB2312" w:eastAsia="仿宋_GB2312"/>
          <w:sz w:val="32"/>
          <w:szCs w:val="32"/>
        </w:rPr>
        <w:t>元，主要为</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增加，本年度增加大气污染防治工作经费</w:t>
      </w:r>
      <w:r>
        <w:rPr>
          <w:rFonts w:hint="eastAsia" w:ascii="仿宋_GB2312" w:eastAsia="仿宋_GB2312"/>
          <w:sz w:val="32"/>
          <w:szCs w:val="32"/>
          <w:lang w:val="en-US" w:eastAsia="zh-CN"/>
        </w:rPr>
        <w:t>7万</w:t>
      </w:r>
      <w:r>
        <w:rPr>
          <w:rFonts w:hint="eastAsia" w:ascii="仿宋_GB2312" w:eastAsia="仿宋_GB2312"/>
          <w:sz w:val="32"/>
          <w:szCs w:val="32"/>
          <w:lang w:eastAsia="zh-CN"/>
        </w:rPr>
        <w:t>和疫情防控办工作经费</w:t>
      </w:r>
      <w:r>
        <w:rPr>
          <w:rFonts w:hint="eastAsia" w:ascii="仿宋_GB2312" w:eastAsia="仿宋_GB2312"/>
          <w:sz w:val="32"/>
          <w:szCs w:val="32"/>
          <w:lang w:val="en-US" w:eastAsia="zh-CN"/>
        </w:rPr>
        <w:t>8万，保障机关正常运转的综合事务经费增加40万元，行政后勤经费增加6万元</w:t>
      </w:r>
      <w:r>
        <w:rPr>
          <w:rFonts w:hint="eastAsia" w:ascii="仿宋_GB2312" w:eastAsia="仿宋_GB2312"/>
          <w:sz w:val="32"/>
          <w:szCs w:val="32"/>
          <w:lang w:eastAsia="zh-CN"/>
        </w:rPr>
        <w:t>。</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40" w:firstLineChars="200"/>
        <w:jc w:val="left"/>
        <w:rPr>
          <w:rFonts w:hint="eastAsia" w:ascii="仿宋_GB2312" w:eastAsia="仿宋_GB2312"/>
          <w:sz w:val="32"/>
          <w:szCs w:val="32"/>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56.03万</w:t>
      </w:r>
      <w:r>
        <w:rPr>
          <w:rFonts w:hint="eastAsia" w:ascii="仿宋_GB2312" w:eastAsia="仿宋_GB2312"/>
          <w:sz w:val="32"/>
          <w:szCs w:val="32"/>
        </w:rPr>
        <w:t>元，主要用于办公</w:t>
      </w:r>
      <w:r>
        <w:rPr>
          <w:rFonts w:hint="eastAsia" w:ascii="仿宋_GB2312" w:eastAsia="仿宋_GB2312"/>
          <w:sz w:val="32"/>
          <w:szCs w:val="32"/>
          <w:lang w:eastAsia="zh-CN"/>
        </w:rPr>
        <w:t>费</w:t>
      </w:r>
      <w:r>
        <w:rPr>
          <w:rFonts w:hint="eastAsia" w:ascii="仿宋_GB2312" w:eastAsia="仿宋_GB2312"/>
          <w:sz w:val="32"/>
          <w:szCs w:val="32"/>
          <w:lang w:val="en-US" w:eastAsia="zh-CN"/>
        </w:rPr>
        <w:t>6万</w:t>
      </w:r>
      <w:r>
        <w:rPr>
          <w:rFonts w:hint="eastAsia" w:ascii="仿宋_GB2312" w:eastAsia="仿宋_GB2312"/>
          <w:sz w:val="32"/>
          <w:szCs w:val="32"/>
          <w:lang w:eastAsia="zh-CN"/>
        </w:rPr>
        <w:t>元、</w:t>
      </w:r>
      <w:r>
        <w:rPr>
          <w:rFonts w:hint="eastAsia" w:ascii="仿宋_GB2312" w:eastAsia="仿宋_GB2312"/>
          <w:sz w:val="32"/>
          <w:szCs w:val="32"/>
        </w:rPr>
        <w:t>邮电费</w:t>
      </w:r>
      <w:r>
        <w:rPr>
          <w:rFonts w:hint="eastAsia" w:ascii="仿宋_GB2312" w:eastAsia="仿宋_GB2312"/>
          <w:sz w:val="32"/>
          <w:szCs w:val="32"/>
          <w:lang w:val="en-US" w:eastAsia="zh-CN"/>
        </w:rPr>
        <w:t>3.4万</w:t>
      </w:r>
      <w:r>
        <w:rPr>
          <w:rFonts w:hint="eastAsia" w:ascii="仿宋_GB2312" w:eastAsia="仿宋_GB2312"/>
          <w:sz w:val="32"/>
          <w:szCs w:val="32"/>
        </w:rPr>
        <w:t>元、差旅费</w:t>
      </w:r>
      <w:r>
        <w:rPr>
          <w:rFonts w:hint="eastAsia" w:ascii="仿宋_GB2312" w:eastAsia="仿宋_GB2312"/>
          <w:sz w:val="32"/>
          <w:szCs w:val="32"/>
          <w:lang w:val="en-US" w:eastAsia="zh-CN"/>
        </w:rPr>
        <w:t>5.4万</w:t>
      </w:r>
      <w:r>
        <w:rPr>
          <w:rFonts w:hint="eastAsia" w:ascii="仿宋_GB2312" w:eastAsia="仿宋_GB2312"/>
          <w:sz w:val="32"/>
          <w:szCs w:val="32"/>
        </w:rPr>
        <w:t>元、</w:t>
      </w:r>
      <w:r>
        <w:rPr>
          <w:rFonts w:hint="eastAsia" w:ascii="仿宋_GB2312" w:eastAsia="仿宋_GB2312"/>
          <w:sz w:val="32"/>
          <w:szCs w:val="32"/>
          <w:lang w:eastAsia="zh-CN"/>
        </w:rPr>
        <w:t>维护费</w:t>
      </w:r>
      <w:r>
        <w:rPr>
          <w:rFonts w:hint="eastAsia" w:ascii="仿宋_GB2312" w:eastAsia="仿宋_GB2312"/>
          <w:sz w:val="32"/>
          <w:szCs w:val="32"/>
          <w:lang w:val="en-US" w:eastAsia="zh-CN"/>
        </w:rPr>
        <w:t>0.15万</w:t>
      </w:r>
      <w:r>
        <w:rPr>
          <w:rFonts w:hint="eastAsia" w:ascii="仿宋_GB2312" w:eastAsia="仿宋_GB2312"/>
          <w:sz w:val="32"/>
          <w:szCs w:val="32"/>
          <w:lang w:eastAsia="zh-CN"/>
        </w:rPr>
        <w:t>元、培训</w:t>
      </w:r>
      <w:r>
        <w:rPr>
          <w:rFonts w:hint="eastAsia" w:ascii="仿宋_GB2312" w:eastAsia="仿宋_GB2312"/>
          <w:sz w:val="32"/>
          <w:szCs w:val="32"/>
        </w:rPr>
        <w:t>费</w:t>
      </w:r>
      <w:r>
        <w:rPr>
          <w:rFonts w:hint="eastAsia" w:ascii="仿宋_GB2312" w:eastAsia="仿宋_GB2312"/>
          <w:sz w:val="32"/>
          <w:szCs w:val="32"/>
          <w:lang w:val="en-US" w:eastAsia="zh-CN"/>
        </w:rPr>
        <w:t>1.68万元</w:t>
      </w:r>
      <w:r>
        <w:rPr>
          <w:rFonts w:hint="eastAsia" w:ascii="仿宋_GB2312" w:eastAsia="仿宋_GB2312"/>
          <w:sz w:val="32"/>
          <w:szCs w:val="32"/>
        </w:rPr>
        <w:t>、</w:t>
      </w:r>
      <w:r>
        <w:rPr>
          <w:rFonts w:hint="eastAsia" w:ascii="仿宋_GB2312" w:eastAsia="仿宋_GB2312"/>
          <w:sz w:val="32"/>
          <w:szCs w:val="32"/>
          <w:lang w:eastAsia="zh-CN"/>
        </w:rPr>
        <w:t>公务接待费</w:t>
      </w:r>
      <w:r>
        <w:rPr>
          <w:rFonts w:hint="eastAsia" w:ascii="仿宋_GB2312" w:eastAsia="仿宋_GB2312"/>
          <w:sz w:val="32"/>
          <w:szCs w:val="32"/>
          <w:lang w:val="en-US" w:eastAsia="zh-CN"/>
        </w:rPr>
        <w:t>0.34</w:t>
      </w:r>
      <w:r>
        <w:rPr>
          <w:rFonts w:hint="eastAsia" w:ascii="仿宋_GB2312" w:eastAsia="仿宋_GB2312"/>
          <w:sz w:val="32"/>
          <w:szCs w:val="32"/>
          <w:lang w:eastAsia="zh-CN"/>
        </w:rPr>
        <w:t>元、工会经费</w:t>
      </w:r>
      <w:r>
        <w:rPr>
          <w:rFonts w:hint="eastAsia" w:ascii="仿宋_GB2312" w:eastAsia="仿宋_GB2312"/>
          <w:sz w:val="32"/>
          <w:szCs w:val="32"/>
          <w:lang w:val="en-US" w:eastAsia="zh-CN"/>
        </w:rPr>
        <w:t>5.53</w:t>
      </w:r>
      <w:r>
        <w:rPr>
          <w:rFonts w:hint="eastAsia" w:ascii="仿宋_GB2312" w:eastAsia="仿宋_GB2312"/>
          <w:sz w:val="32"/>
          <w:szCs w:val="32"/>
          <w:lang w:eastAsia="zh-CN"/>
        </w:rPr>
        <w:t>元、</w:t>
      </w:r>
      <w:r>
        <w:rPr>
          <w:rFonts w:hint="eastAsia" w:ascii="仿宋_GB2312" w:eastAsia="仿宋_GB2312"/>
          <w:sz w:val="32"/>
          <w:szCs w:val="32"/>
        </w:rPr>
        <w:t>福利费3</w:t>
      </w:r>
      <w:r>
        <w:rPr>
          <w:rFonts w:hint="eastAsia" w:ascii="仿宋_GB2312" w:eastAsia="仿宋_GB2312"/>
          <w:sz w:val="32"/>
          <w:szCs w:val="32"/>
          <w:lang w:val="en-US" w:eastAsia="zh-CN"/>
        </w:rPr>
        <w:t>.57</w:t>
      </w:r>
      <w:r>
        <w:rPr>
          <w:rFonts w:hint="eastAsia" w:ascii="仿宋_GB2312" w:eastAsia="仿宋_GB2312"/>
          <w:sz w:val="32"/>
          <w:szCs w:val="32"/>
        </w:rPr>
        <w:t>元、</w:t>
      </w:r>
      <w:r>
        <w:rPr>
          <w:rFonts w:hint="eastAsia" w:ascii="仿宋_GB2312" w:eastAsia="仿宋_GB2312"/>
          <w:sz w:val="32"/>
          <w:szCs w:val="32"/>
          <w:lang w:eastAsia="zh-CN"/>
        </w:rPr>
        <w:t>党组织活动经费</w:t>
      </w:r>
      <w:r>
        <w:rPr>
          <w:rFonts w:hint="eastAsia" w:ascii="仿宋_GB2312" w:eastAsia="仿宋_GB2312"/>
          <w:sz w:val="32"/>
          <w:szCs w:val="32"/>
          <w:lang w:val="en-US" w:eastAsia="zh-CN"/>
        </w:rPr>
        <w:t>0.52万元，</w:t>
      </w:r>
      <w:r>
        <w:rPr>
          <w:rFonts w:hint="eastAsia" w:ascii="仿宋_GB2312" w:eastAsia="仿宋_GB2312"/>
          <w:sz w:val="32"/>
          <w:szCs w:val="32"/>
        </w:rPr>
        <w:t>公务用车运行维护费</w:t>
      </w:r>
      <w:r>
        <w:rPr>
          <w:rFonts w:hint="eastAsia" w:ascii="仿宋_GB2312" w:eastAsia="仿宋_GB2312"/>
          <w:sz w:val="32"/>
          <w:szCs w:val="32"/>
          <w:lang w:val="en-US" w:eastAsia="zh-CN"/>
        </w:rPr>
        <w:t>4.8万元、其他交通费用18.11万元、其他商品和服务支出6.53万元</w:t>
      </w:r>
      <w:r>
        <w:rPr>
          <w:rFonts w:hint="eastAsia" w:ascii="仿宋_GB2312" w:eastAsia="仿宋_GB2312"/>
          <w:sz w:val="32"/>
          <w:szCs w:val="32"/>
        </w:rPr>
        <w:t>等日常运行支出。（明细相加=机关运行经费安排数=预算公开表格中的日常公用经费合计）</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w:t>
      </w:r>
      <w:r>
        <w:rPr>
          <w:rFonts w:hint="eastAsia" w:ascii="仿宋_GB2312" w:eastAsia="仿宋_GB2312"/>
          <w:sz w:val="32"/>
          <w:szCs w:val="32"/>
          <w:lang w:eastAsia="zh-CN"/>
        </w:rPr>
        <w:t>单位</w:t>
      </w:r>
      <w:r>
        <w:rPr>
          <w:rFonts w:hint="eastAsia" w:ascii="仿宋_GB2312" w:eastAsia="仿宋_GB2312"/>
          <w:sz w:val="32"/>
          <w:szCs w:val="32"/>
        </w:rPr>
        <w:t>财政拨款“三公”经费预算安排</w:t>
      </w:r>
      <w:r>
        <w:rPr>
          <w:rFonts w:hint="eastAsia" w:ascii="仿宋_GB2312" w:eastAsia="仿宋_GB2312"/>
          <w:sz w:val="32"/>
          <w:szCs w:val="32"/>
          <w:lang w:val="en-US" w:eastAsia="zh-CN"/>
        </w:rPr>
        <w:t>12.35万</w:t>
      </w:r>
      <w:r>
        <w:rPr>
          <w:rFonts w:hint="eastAsia" w:ascii="仿宋_GB2312" w:eastAsia="仿宋_GB2312"/>
          <w:sz w:val="32"/>
          <w:szCs w:val="32"/>
        </w:rPr>
        <w:t>元，与上年持平，无增减变化。其中：因公出国（境）费</w:t>
      </w:r>
      <w:r>
        <w:rPr>
          <w:rFonts w:hint="eastAsia" w:ascii="仿宋_GB2312" w:eastAsia="仿宋_GB2312"/>
          <w:sz w:val="32"/>
          <w:szCs w:val="32"/>
          <w:lang w:val="en-US" w:eastAsia="zh-CN"/>
        </w:rPr>
        <w:t>0</w:t>
      </w:r>
      <w:r>
        <w:rPr>
          <w:rFonts w:hint="eastAsia" w:ascii="仿宋_GB2312" w:eastAsia="仿宋_GB2312"/>
          <w:sz w:val="32"/>
          <w:szCs w:val="32"/>
        </w:rPr>
        <w:t>元，与上年持平，无增减变化；公务用车购置费</w:t>
      </w:r>
      <w:r>
        <w:rPr>
          <w:rFonts w:hint="eastAsia" w:ascii="仿宋_GB2312" w:eastAsia="仿宋_GB2312"/>
          <w:sz w:val="32"/>
          <w:szCs w:val="32"/>
          <w:lang w:val="en-US" w:eastAsia="zh-CN"/>
        </w:rPr>
        <w:t>0</w:t>
      </w:r>
      <w:r>
        <w:rPr>
          <w:rFonts w:hint="eastAsia" w:ascii="仿宋_GB2312" w:eastAsia="仿宋_GB2312"/>
          <w:sz w:val="32"/>
          <w:szCs w:val="32"/>
        </w:rPr>
        <w:t>元，与上年持平，无增减变化；公务用车运行维护费</w:t>
      </w:r>
      <w:r>
        <w:rPr>
          <w:rFonts w:hint="eastAsia" w:ascii="仿宋_GB2312" w:eastAsia="仿宋_GB2312"/>
          <w:sz w:val="32"/>
          <w:szCs w:val="32"/>
          <w:lang w:val="en-US" w:eastAsia="zh-CN"/>
        </w:rPr>
        <w:t>10.86万</w:t>
      </w:r>
      <w:r>
        <w:rPr>
          <w:rFonts w:hint="eastAsia" w:ascii="仿宋_GB2312" w:eastAsia="仿宋_GB2312"/>
          <w:sz w:val="32"/>
          <w:szCs w:val="32"/>
        </w:rPr>
        <w:t>元，与上年持平，无增减变化；公务接待费</w:t>
      </w:r>
      <w:r>
        <w:rPr>
          <w:rFonts w:hint="eastAsia" w:ascii="仿宋_GB2312" w:eastAsia="仿宋_GB2312"/>
          <w:sz w:val="32"/>
          <w:szCs w:val="32"/>
          <w:lang w:val="en-US" w:eastAsia="zh-CN"/>
        </w:rPr>
        <w:t>1.49</w:t>
      </w:r>
      <w:r>
        <w:rPr>
          <w:rFonts w:hint="eastAsia" w:ascii="仿宋_GB2312" w:eastAsia="仿宋_GB2312"/>
          <w:sz w:val="32"/>
          <w:szCs w:val="32"/>
        </w:rPr>
        <w:t>元，与上年持平，无增减变化。主要原因是严格按照三公经费预算要求，切实落实勤俭节约各项规定，严格控制支出</w:t>
      </w:r>
      <w:r>
        <w:rPr>
          <w:rFonts w:hint="eastAsia" w:ascii="仿宋_GB2312" w:eastAsia="仿宋_GB2312"/>
          <w:sz w:val="32"/>
          <w:szCs w:val="32"/>
          <w:lang w:eastAsia="zh-CN"/>
        </w:rPr>
        <w:t>。</w:t>
      </w:r>
      <w:bookmarkStart w:id="6" w:name="_GoBack"/>
      <w:bookmarkEnd w:id="6"/>
    </w:p>
    <w:p>
      <w:pPr>
        <w:spacing w:before="10" w:after="10"/>
        <w:ind w:firstLine="640"/>
        <w:outlineLvl w:val="5"/>
      </w:pPr>
      <w:r>
        <w:rPr>
          <w:rFonts w:ascii="黑体" w:hAnsi="黑体" w:eastAsia="黑体" w:cs="黑体"/>
          <w:color w:val="000000"/>
          <w:sz w:val="32"/>
        </w:rPr>
        <w:t>五、预算绩效信息</w:t>
      </w:r>
    </w:p>
    <w:p>
      <w:pPr>
        <w:spacing w:before="0" w:after="0"/>
        <w:ind w:firstLine="560"/>
        <w:jc w:val="left"/>
        <w:outlineLvl w:val="3"/>
        <w:rPr>
          <w:rFonts w:ascii="方正仿宋_GBK" w:hAnsi="方正仿宋_GBK" w:eastAsia="方正仿宋_GBK" w:cs="方正仿宋_GBK"/>
          <w:color w:val="000000"/>
          <w:sz w:val="28"/>
        </w:rPr>
      </w:pPr>
      <w:bookmarkStart w:id="1" w:name="_Toc_4_4_0000000004"/>
      <w:r>
        <w:rPr>
          <w:rFonts w:ascii="方正仿宋_GBK" w:hAnsi="方正仿宋_GBK" w:eastAsia="方正仿宋_GBK" w:cs="方正仿宋_GBK"/>
          <w:color w:val="000000"/>
          <w:sz w:val="28"/>
        </w:rPr>
        <w:t>1.车辆保险费绩效目标表</w:t>
      </w:r>
      <w:bookmarkEnd w:id="1"/>
    </w:p>
    <w:tbl>
      <w:tblPr>
        <w:tblStyle w:val="8"/>
        <w:tblW w:w="145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0"/>
        <w:gridCol w:w="1776"/>
        <w:gridCol w:w="1800"/>
        <w:gridCol w:w="3131"/>
        <w:gridCol w:w="2808"/>
        <w:gridCol w:w="1401"/>
        <w:gridCol w:w="2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7"/>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b/>
                <w:bCs/>
                <w:i w:val="0"/>
                <w:iCs w:val="0"/>
                <w:color w:val="000000"/>
                <w:sz w:val="32"/>
                <w:szCs w:val="32"/>
                <w:u w:val="none"/>
              </w:rPr>
            </w:pPr>
            <w:r>
              <w:rPr>
                <w:rFonts w:hint="eastAsia" w:ascii="方正书宋_GBK" w:hAnsi="方正书宋_GBK" w:eastAsia="方正书宋_GBK" w:cs="方正书宋_GBK"/>
                <w:b/>
                <w:bCs/>
                <w:i w:val="0"/>
                <w:iCs w:val="0"/>
                <w:color w:val="000000"/>
                <w:kern w:val="0"/>
                <w:sz w:val="21"/>
                <w:szCs w:val="21"/>
                <w:u w:val="none"/>
                <w:lang w:val="en-US" w:eastAsia="zh-CN" w:bidi="ar"/>
              </w:rPr>
              <w:t>434001区政府办秦皇岛市山海关区人民政府办公室本级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项目编码</w:t>
            </w:r>
          </w:p>
        </w:tc>
        <w:tc>
          <w:tcPr>
            <w:tcW w:w="35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13030322P00397010005L</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项目名称</w:t>
            </w:r>
          </w:p>
        </w:tc>
        <w:tc>
          <w:tcPr>
            <w:tcW w:w="621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车辆保险费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预算规模及资金用途</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预算数</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其中：财政    资金</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14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其他资金</w:t>
            </w:r>
          </w:p>
        </w:tc>
        <w:tc>
          <w:tcPr>
            <w:tcW w:w="20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2921"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车辆保险费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资金支出计划（%）</w:t>
            </w:r>
          </w:p>
        </w:tc>
        <w:tc>
          <w:tcPr>
            <w:tcW w:w="35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3月底</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6月底</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10月底</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c>
          <w:tcPr>
            <w:tcW w:w="35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30%</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60%</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90%</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绩效目标</w:t>
            </w:r>
          </w:p>
        </w:tc>
        <w:tc>
          <w:tcPr>
            <w:tcW w:w="12921"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1.保障公车正常运转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绩效指标描述</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产出指标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数量指标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支付公用经费人数</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支付公用经费人数</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77人</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质量指标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办公设备正常运行率</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办公设备正常运行率</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≥95%</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时效指标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按项目计划完成工作</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按照工作要求按时完成预定计划</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成本指标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项目控制预算数</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不超过财政支持经费</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效益指标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经济效益指标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提高工作效率</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是否能提高工作效率</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社会效益指标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业务保障能力</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保障相关业务、工作等开展的情况</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生态效益指标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节约成本</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节约水、电等资源，降低能耗，实现绿色办公</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可持续影响指标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长期使用性</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能够长期较好地满足工作需求</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满意度指标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服务对象满意度指标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单位工作人员满意度</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调查中单位人员对单位环境满意和较满意的人数占调查总人数的比率</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≥95%</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bl>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2.行政后勤费绩效目标表</w:t>
      </w:r>
      <w:bookmarkEnd w:id="2"/>
    </w:p>
    <w:tbl>
      <w:tblPr>
        <w:tblStyle w:val="8"/>
        <w:tblW w:w="145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0"/>
        <w:gridCol w:w="1776"/>
        <w:gridCol w:w="1800"/>
        <w:gridCol w:w="3131"/>
        <w:gridCol w:w="2808"/>
        <w:gridCol w:w="1401"/>
        <w:gridCol w:w="2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7"/>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b/>
                <w:bCs/>
                <w:i w:val="0"/>
                <w:iCs w:val="0"/>
                <w:color w:val="000000"/>
                <w:sz w:val="32"/>
                <w:szCs w:val="32"/>
                <w:u w:val="none"/>
              </w:rPr>
            </w:pPr>
            <w:r>
              <w:rPr>
                <w:rFonts w:hint="eastAsia" w:ascii="方正书宋_GBK" w:hAnsi="方正书宋_GBK" w:eastAsia="方正书宋_GBK" w:cs="方正书宋_GBK"/>
                <w:b/>
                <w:bCs/>
                <w:i w:val="0"/>
                <w:iCs w:val="0"/>
                <w:color w:val="000000"/>
                <w:kern w:val="0"/>
                <w:sz w:val="21"/>
                <w:szCs w:val="21"/>
                <w:u w:val="none"/>
                <w:lang w:val="en-US" w:eastAsia="zh-CN" w:bidi="ar"/>
              </w:rPr>
              <w:t>434001区政府办秦皇岛市山海关区人民政府办公室本级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项目编码</w:t>
            </w:r>
          </w:p>
        </w:tc>
        <w:tc>
          <w:tcPr>
            <w:tcW w:w="3576"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13030322P00397010005L</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项目名称</w:t>
            </w:r>
          </w:p>
        </w:tc>
        <w:tc>
          <w:tcPr>
            <w:tcW w:w="621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车辆保险费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预算规模及资金用途</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预算数</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其中：财政    资金</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14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其他资金</w:t>
            </w:r>
          </w:p>
        </w:tc>
        <w:tc>
          <w:tcPr>
            <w:tcW w:w="20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2921"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车辆保险费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资金支出计划（%）</w:t>
            </w:r>
          </w:p>
        </w:tc>
        <w:tc>
          <w:tcPr>
            <w:tcW w:w="35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3月底</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6月底</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10月底</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c>
          <w:tcPr>
            <w:tcW w:w="35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30%</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60%</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90%</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绩效目标</w:t>
            </w:r>
          </w:p>
        </w:tc>
        <w:tc>
          <w:tcPr>
            <w:tcW w:w="12921"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1.保障公车正常运转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一级指标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二级指标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三级指标</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绩效指标描述</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产出指标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数量指标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支付公用经费人数</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支付公用经费人数</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77人</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质量指标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办公设备正常运行率</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办公设备正常运行率</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≥95%</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时效指标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按项目计划完成工作</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按照工作要求按时完成预定计划</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成本指标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项目控制预算数</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不超过财政支持经费</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效益指标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经济效益指标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提高工作效率</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是否能提高工作效率</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社会效益指标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业务保障能力</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保障相关业务、工作等开展的情况</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生态效益指标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节约成本</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节约水、电等资源，降低能耗，实现绿色办公</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可持续影响指标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长期使用性</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能够长期较好地满足工作需求</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是/否</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满意度指标</w:t>
            </w:r>
          </w:p>
        </w:tc>
        <w:tc>
          <w:tcPr>
            <w:tcW w:w="17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服务对象满意度指标</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单位工作人员满意度</w:t>
            </w:r>
          </w:p>
        </w:tc>
        <w:tc>
          <w:tcPr>
            <w:tcW w:w="31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调查中单位人员对单位环境满意和较满意的人数占调查总人数的比率</w:t>
            </w:r>
          </w:p>
        </w:tc>
        <w:tc>
          <w:tcPr>
            <w:tcW w:w="28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≥95%</w:t>
            </w:r>
          </w:p>
        </w:tc>
        <w:tc>
          <w:tcPr>
            <w:tcW w:w="34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年度工作计划</w:t>
            </w:r>
          </w:p>
        </w:tc>
      </w:tr>
    </w:tbl>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3.环境治理工作经费绩效目标表</w:t>
      </w:r>
      <w:bookmarkEnd w:id="3"/>
    </w:p>
    <w:tbl>
      <w:tblPr>
        <w:tblStyle w:val="8"/>
        <w:tblW w:w="145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8"/>
        <w:gridCol w:w="1356"/>
        <w:gridCol w:w="2124"/>
        <w:gridCol w:w="3396"/>
        <w:gridCol w:w="3252"/>
        <w:gridCol w:w="934"/>
        <w:gridCol w:w="2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2360" w:type="dxa"/>
            <w:gridSpan w:val="6"/>
            <w:tcBorders>
              <w:top w:val="single" w:color="FFFFFF" w:sz="8" w:space="0"/>
              <w:left w:val="single" w:color="FFFFFF" w:sz="8" w:space="0"/>
              <w:bottom w:val="nil"/>
              <w:right w:val="single" w:color="FFFFFF" w:sz="8" w:space="0"/>
            </w:tcBorders>
            <w:shd w:val="clear" w:color="auto" w:fill="auto"/>
            <w:vAlign w:val="center"/>
          </w:tcPr>
          <w:p>
            <w:pPr>
              <w:keepNext w:val="0"/>
              <w:keepLines w:val="0"/>
              <w:widowControl/>
              <w:suppressLineNumbers w:val="0"/>
              <w:jc w:val="left"/>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434001区政府办秦皇岛市山海关区人民政府办公室本级</w:t>
            </w:r>
          </w:p>
        </w:tc>
        <w:tc>
          <w:tcPr>
            <w:tcW w:w="2186" w:type="dxa"/>
            <w:tcBorders>
              <w:top w:val="single" w:color="FFFFFF" w:sz="8" w:space="0"/>
              <w:left w:val="nil"/>
              <w:bottom w:val="nil"/>
              <w:right w:val="single" w:color="FFFFFF"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项目编码</w:t>
            </w:r>
          </w:p>
        </w:tc>
        <w:tc>
          <w:tcPr>
            <w:tcW w:w="34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13030322P00414710001W</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6372"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环境治理工作经费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预算规模及资金用途</w:t>
            </w: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预算数</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其中：财政 </w:t>
            </w:r>
            <w:r>
              <w:rPr>
                <w:rStyle w:val="38"/>
                <w:lang w:val="en-US" w:eastAsia="zh-CN" w:bidi="ar"/>
              </w:rPr>
              <w:t xml:space="preserve">   资金</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w:t>
            </w:r>
          </w:p>
        </w:tc>
        <w:tc>
          <w:tcPr>
            <w:tcW w:w="9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其他资金</w:t>
            </w: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3248"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大气污染治理工作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资金支出计划（%）</w:t>
            </w:r>
          </w:p>
        </w:tc>
        <w:tc>
          <w:tcPr>
            <w:tcW w:w="34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3月底</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6月底</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10月底</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34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90%</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绩效目标</w:t>
            </w:r>
          </w:p>
        </w:tc>
        <w:tc>
          <w:tcPr>
            <w:tcW w:w="13248"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1.大气污染防治工作顺利开展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三级指标</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绩效指标描述</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产出指标</w:t>
            </w: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支付公用经费人数</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支付公用经费人数</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77人</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办公设备正常运行率</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办公设备正常运行率</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≥95%</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按项目计划完成工作</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按照工作要求按时完成预定计划</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项目控制预算数</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不超过财政支持经费</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效益指标</w:t>
            </w: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经济效益指标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提高工作效率</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是否能提高工作效率</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社会效益指标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业务保障能力</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保障相关业务、工作等开展的情况</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生态效益指标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节约成本</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节约水、电等资源，降低能耗，实现绿色办公</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可持续影响指标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长期使用性</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能够长期较好地满足工作需求</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12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满意度指标</w:t>
            </w:r>
          </w:p>
        </w:tc>
        <w:tc>
          <w:tcPr>
            <w:tcW w:w="13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服务对象满意度指标</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单位工作人员满意度</w:t>
            </w:r>
          </w:p>
        </w:tc>
        <w:tc>
          <w:tcPr>
            <w:tcW w:w="33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调查中单位人员对单位环境满意和较满意的人数占调查总人数的比率</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≥95%</w:t>
            </w:r>
          </w:p>
        </w:tc>
        <w:tc>
          <w:tcPr>
            <w:tcW w:w="31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bl>
    <w:p>
      <w:pPr>
        <w:numPr>
          <w:ilvl w:val="0"/>
          <w:numId w:val="1"/>
        </w:numPr>
        <w:spacing w:before="0" w:after="0"/>
        <w:ind w:firstLine="560"/>
        <w:jc w:val="left"/>
        <w:outlineLvl w:val="3"/>
        <w:rPr>
          <w:rFonts w:ascii="方正仿宋_GBK" w:hAnsi="方正仿宋_GBK" w:eastAsia="方正仿宋_GBK" w:cs="方正仿宋_GBK"/>
          <w:color w:val="000000"/>
          <w:sz w:val="28"/>
        </w:rPr>
      </w:pPr>
      <w:bookmarkStart w:id="4" w:name="_Toc_4_4_0000000007"/>
      <w:r>
        <w:rPr>
          <w:rFonts w:ascii="方正仿宋_GBK" w:hAnsi="方正仿宋_GBK" w:eastAsia="方正仿宋_GBK" w:cs="方正仿宋_GBK"/>
          <w:color w:val="000000"/>
          <w:sz w:val="28"/>
        </w:rPr>
        <w:t>疫情防控办工作经费绩效目标表</w:t>
      </w:r>
      <w:bookmarkEnd w:id="4"/>
    </w:p>
    <w:tbl>
      <w:tblPr>
        <w:tblStyle w:val="8"/>
        <w:tblW w:w="145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6"/>
        <w:gridCol w:w="1332"/>
        <w:gridCol w:w="2126"/>
        <w:gridCol w:w="3408"/>
        <w:gridCol w:w="3252"/>
        <w:gridCol w:w="1066"/>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480" w:type="dxa"/>
            <w:gridSpan w:val="6"/>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434001区政府办秦皇岛市山海关区人民政府办公室本级</w:t>
            </w:r>
          </w:p>
        </w:tc>
        <w:tc>
          <w:tcPr>
            <w:tcW w:w="2066" w:type="dxa"/>
            <w:tcBorders>
              <w:top w:val="single" w:color="FFFFFF" w:sz="8" w:space="0"/>
              <w:left w:val="nil"/>
              <w:bottom w:val="single" w:color="000000" w:sz="8" w:space="0"/>
              <w:right w:val="single" w:color="FFFFFF"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项目编码</w:t>
            </w:r>
          </w:p>
        </w:tc>
        <w:tc>
          <w:tcPr>
            <w:tcW w:w="345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13030322P004146100017</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638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疫情防控办工作经费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预算规模及资金用途</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预算数</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其中：财政    资金</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其他资金</w:t>
            </w:r>
          </w:p>
        </w:tc>
        <w:tc>
          <w:tcPr>
            <w:tcW w:w="20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325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保障疫情防控工作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资金支出计划（%）</w:t>
            </w:r>
          </w:p>
        </w:tc>
        <w:tc>
          <w:tcPr>
            <w:tcW w:w="345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3月底</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6月底</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10月底</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345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90%</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绩效目标</w:t>
            </w:r>
          </w:p>
        </w:tc>
        <w:tc>
          <w:tcPr>
            <w:tcW w:w="1325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1.疫情防控工作顺利开展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三级指标</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绩效指标描述</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产出指标</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支付公用经费人数</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支付公用经费人数</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77人</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办公设备正常运行率</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办公设备正常运行率</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≥95%</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按项目计划完成工作</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按照工作要求按时完成预定计划</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项目控制预算数</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不超过财政支持经费</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效益指标</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经济效益指标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提高工作效率</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是否能提高工作效率</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社会效益指标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业务保障能力</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保障相关业务、工作等开展的情况</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生态效益指标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节约成本</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节约水、电等资源，降低能耗，实现绿色办公</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可持续影响指标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长期使用性</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能够长期较好地满足工作需求</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满意度指标</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服务对象满意度指标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单位工作人员满意度</w:t>
            </w:r>
          </w:p>
        </w:tc>
        <w:tc>
          <w:tcPr>
            <w:tcW w:w="34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调查中单位人员对单位满意和较满意的人数占调查总人数的比率</w:t>
            </w:r>
          </w:p>
        </w:tc>
        <w:tc>
          <w:tcPr>
            <w:tcW w:w="32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≥95%</w:t>
            </w:r>
          </w:p>
        </w:tc>
        <w:tc>
          <w:tcPr>
            <w:tcW w:w="31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bl>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5.综合事务保障经费绩效目标表</w:t>
      </w:r>
      <w:bookmarkEnd w:id="5"/>
    </w:p>
    <w:tbl>
      <w:tblPr>
        <w:tblStyle w:val="8"/>
        <w:tblW w:w="145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0"/>
        <w:gridCol w:w="1294"/>
        <w:gridCol w:w="2198"/>
        <w:gridCol w:w="3336"/>
        <w:gridCol w:w="3300"/>
        <w:gridCol w:w="1150"/>
        <w:gridCol w:w="1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2588" w:type="dxa"/>
            <w:gridSpan w:val="6"/>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434001区政府办秦皇岛市山海关区人民政府办公室本级</w:t>
            </w:r>
          </w:p>
        </w:tc>
        <w:tc>
          <w:tcPr>
            <w:tcW w:w="1958" w:type="dxa"/>
            <w:tcBorders>
              <w:top w:val="single" w:color="FFFFFF" w:sz="8" w:space="0"/>
              <w:left w:val="nil"/>
              <w:bottom w:val="single" w:color="000000" w:sz="8" w:space="0"/>
              <w:right w:val="single" w:color="FFFFFF"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项目编码</w:t>
            </w:r>
          </w:p>
        </w:tc>
        <w:tc>
          <w:tcPr>
            <w:tcW w:w="3492"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13030322P00414410001U</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6408"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综合事务保障经费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预算规模及资金用途</w:t>
            </w:r>
          </w:p>
        </w:tc>
        <w:tc>
          <w:tcPr>
            <w:tcW w:w="12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预算数</w:t>
            </w:r>
          </w:p>
        </w:tc>
        <w:tc>
          <w:tcPr>
            <w:tcW w:w="21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33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其中：财政    资金</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1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其他资金</w:t>
            </w:r>
          </w:p>
        </w:tc>
        <w:tc>
          <w:tcPr>
            <w:tcW w:w="19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3236" w:type="dxa"/>
            <w:gridSpan w:val="6"/>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综合事务保障工作经费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资金支出计划（%）</w:t>
            </w:r>
          </w:p>
        </w:tc>
        <w:tc>
          <w:tcPr>
            <w:tcW w:w="34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3月底</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6月底</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10月底</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34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90%</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绩效目标</w:t>
            </w:r>
          </w:p>
        </w:tc>
        <w:tc>
          <w:tcPr>
            <w:tcW w:w="1323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1.保障工作顺利开展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三级指标</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绩效指标描述</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产出指标</w:t>
            </w: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支付公用经费人数</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支付公用经费人数</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77人</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办公设备正常运行率</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办公设备正常运行率</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≥95%</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按项目计划完成工作</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按照工作要求按时完成预定计划</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项目控制预算数</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不超过财政支持经费</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效益指标</w:t>
            </w: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经济效益指标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提高工作效率</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是否能提高工作效率</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社会效益指标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业务保障能力</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保障相关业务、工作等开展的情况</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生态效益指标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节约成本</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节约水、电等资源，降低能耗，实现绿色办公</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3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可持续影响指标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长期使用性</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能够长期较好地满足工作需求</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是/否</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13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满意度指标</w:t>
            </w:r>
          </w:p>
        </w:tc>
        <w:tc>
          <w:tcPr>
            <w:tcW w:w="12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服务对象满意度指标</w:t>
            </w:r>
          </w:p>
        </w:tc>
        <w:tc>
          <w:tcPr>
            <w:tcW w:w="21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单位工作人员满意度</w:t>
            </w:r>
          </w:p>
        </w:tc>
        <w:tc>
          <w:tcPr>
            <w:tcW w:w="33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调查中单位人员对单位环境满意和较满意的人数占调查总人数的比率</w:t>
            </w:r>
          </w:p>
        </w:tc>
        <w:tc>
          <w:tcPr>
            <w:tcW w:w="33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≥95%</w:t>
            </w:r>
          </w:p>
        </w:tc>
        <w:tc>
          <w:tcPr>
            <w:tcW w:w="31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年度工作计划</w:t>
            </w:r>
          </w:p>
        </w:tc>
      </w:tr>
    </w:tbl>
    <w:p>
      <w:pPr>
        <w:ind w:firstLine="640"/>
        <w:rPr>
          <w:rFonts w:hint="eastAsia" w:ascii="仿宋_GB2312" w:eastAsia="仿宋_GB2312"/>
          <w:sz w:val="32"/>
          <w:szCs w:val="32"/>
        </w:rPr>
      </w:pPr>
    </w:p>
    <w:p>
      <w:pPr>
        <w:ind w:firstLine="640" w:firstLineChars="200"/>
        <w:jc w:val="left"/>
        <w:rPr>
          <w:rFonts w:ascii="楷体_GB2312" w:eastAsia="楷体_GB2312"/>
          <w:b/>
          <w:sz w:val="32"/>
          <w:szCs w:val="32"/>
        </w:rPr>
      </w:pPr>
      <w:r>
        <w:rPr>
          <w:rFonts w:hint="eastAsia" w:ascii="黑体" w:hAnsi="黑体" w:eastAsia="黑体"/>
          <w:color w:val="000000"/>
          <w:sz w:val="32"/>
          <w:lang w:val="en-US" w:eastAsia="zh-CN"/>
        </w:rPr>
        <w:t>六</w:t>
      </w:r>
      <w:r>
        <w:rPr>
          <w:rFonts w:ascii="黑体" w:hAnsi="黑体" w:eastAsia="黑体"/>
          <w:color w:val="000000"/>
          <w:sz w:val="32"/>
        </w:rPr>
        <w:t>、政府采购预算情况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w:t>
      </w:r>
      <w:r>
        <w:rPr>
          <w:rFonts w:hint="eastAsia" w:ascii="仿宋_GB2312" w:eastAsia="仿宋_GB2312"/>
          <w:sz w:val="32"/>
          <w:szCs w:val="32"/>
          <w:lang w:eastAsia="zh-CN"/>
        </w:rPr>
        <w:t>单位</w:t>
      </w:r>
      <w:r>
        <w:rPr>
          <w:rFonts w:hint="eastAsia" w:ascii="仿宋_GB2312" w:eastAsia="仿宋_GB2312"/>
          <w:sz w:val="32"/>
          <w:szCs w:val="32"/>
        </w:rPr>
        <w:t>安排政府采购预算具体内容见下表。</w:t>
      </w:r>
    </w:p>
    <w:p>
      <w:pPr>
        <w:jc w:val="center"/>
        <w:outlineLvl w:val="0"/>
        <w:rPr>
          <w:rFonts w:hint="eastAsia" w:ascii="仿宋_GB2312" w:eastAsia="仿宋_GB2312"/>
          <w:sz w:val="32"/>
          <w:szCs w:val="32"/>
        </w:rPr>
      </w:pPr>
      <w:r>
        <w:rPr>
          <w:rFonts w:hint="eastAsia" w:ascii="仿宋_GB2312" w:eastAsia="仿宋_GB2312"/>
          <w:sz w:val="32"/>
          <w:szCs w:val="32"/>
        </w:rPr>
        <w:t xml:space="preserve"> </w:t>
      </w:r>
    </w:p>
    <w:p>
      <w:pPr>
        <w:jc w:val="center"/>
        <w:outlineLvl w:val="0"/>
        <w:rPr>
          <w:rFonts w:hint="eastAsia" w:ascii="仿宋_GB2312" w:eastAsia="仿宋_GB2312"/>
          <w:sz w:val="32"/>
          <w:szCs w:val="32"/>
        </w:rPr>
      </w:pP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eastAsia="zh-CN"/>
        </w:rPr>
        <w:t>单位</w:t>
      </w:r>
      <w:r>
        <w:rPr>
          <w:rFonts w:hint="eastAsia" w:ascii="仿宋_GB2312" w:eastAsia="仿宋_GB2312"/>
          <w:b/>
          <w:sz w:val="32"/>
          <w:szCs w:val="32"/>
        </w:rPr>
        <w:t>政府采购预算</w:t>
      </w:r>
    </w:p>
    <w:tbl>
      <w:tblPr>
        <w:tblStyle w:val="8"/>
        <w:tblW w:w="146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2"/>
        <w:gridCol w:w="1020"/>
        <w:gridCol w:w="1044"/>
        <w:gridCol w:w="1044"/>
        <w:gridCol w:w="1020"/>
        <w:gridCol w:w="816"/>
        <w:gridCol w:w="768"/>
        <w:gridCol w:w="816"/>
        <w:gridCol w:w="732"/>
        <w:gridCol w:w="1104"/>
        <w:gridCol w:w="1068"/>
        <w:gridCol w:w="1020"/>
        <w:gridCol w:w="1092"/>
        <w:gridCol w:w="1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66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60"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72"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44"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044"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20"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816"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76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60"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95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1020"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44" w:type="dxa"/>
            <w:vMerge w:val="continue"/>
            <w:noWrap w:val="0"/>
            <w:vAlign w:val="center"/>
          </w:tcPr>
          <w:p>
            <w:pPr>
              <w:spacing w:line="300" w:lineRule="exact"/>
              <w:jc w:val="left"/>
              <w:outlineLvl w:val="0"/>
              <w:rPr>
                <w:rFonts w:hint="eastAsia" w:ascii="仿宋_GB2312" w:hAnsi="仿宋" w:eastAsia="仿宋_GB2312" w:cs="仿宋"/>
              </w:rPr>
            </w:pPr>
          </w:p>
        </w:tc>
        <w:tc>
          <w:tcPr>
            <w:tcW w:w="1044" w:type="dxa"/>
            <w:vMerge w:val="continue"/>
            <w:noWrap w:val="0"/>
            <w:vAlign w:val="center"/>
          </w:tcPr>
          <w:p>
            <w:pPr>
              <w:spacing w:line="300" w:lineRule="exact"/>
              <w:jc w:val="left"/>
              <w:outlineLvl w:val="0"/>
              <w:rPr>
                <w:rFonts w:hint="eastAsia" w:ascii="仿宋_GB2312" w:hAnsi="仿宋" w:eastAsia="仿宋_GB2312" w:cs="仿宋"/>
              </w:rPr>
            </w:pPr>
          </w:p>
        </w:tc>
        <w:tc>
          <w:tcPr>
            <w:tcW w:w="1020" w:type="dxa"/>
            <w:vMerge w:val="continue"/>
            <w:noWrap w:val="0"/>
            <w:vAlign w:val="center"/>
          </w:tcPr>
          <w:p>
            <w:pPr>
              <w:spacing w:line="300" w:lineRule="exact"/>
              <w:jc w:val="left"/>
              <w:outlineLvl w:val="0"/>
              <w:rPr>
                <w:rFonts w:hint="eastAsia" w:ascii="仿宋_GB2312" w:hAnsi="仿宋" w:eastAsia="仿宋_GB2312" w:cs="仿宋"/>
              </w:rPr>
            </w:pPr>
          </w:p>
        </w:tc>
        <w:tc>
          <w:tcPr>
            <w:tcW w:w="816" w:type="dxa"/>
            <w:vMerge w:val="continue"/>
            <w:noWrap w:val="0"/>
            <w:vAlign w:val="center"/>
          </w:tcPr>
          <w:p>
            <w:pPr>
              <w:spacing w:line="300" w:lineRule="exact"/>
              <w:jc w:val="left"/>
              <w:outlineLvl w:val="0"/>
              <w:rPr>
                <w:rFonts w:hint="eastAsia" w:ascii="仿宋_GB2312" w:hAnsi="仿宋" w:eastAsia="仿宋_GB2312" w:cs="仿宋"/>
              </w:rPr>
            </w:pPr>
          </w:p>
        </w:tc>
        <w:tc>
          <w:tcPr>
            <w:tcW w:w="768" w:type="dxa"/>
            <w:vMerge w:val="continue"/>
            <w:noWrap w:val="0"/>
            <w:vAlign w:val="center"/>
          </w:tcPr>
          <w:p>
            <w:pPr>
              <w:spacing w:line="300" w:lineRule="exact"/>
              <w:jc w:val="left"/>
              <w:outlineLvl w:val="0"/>
              <w:rPr>
                <w:rFonts w:hint="eastAsia" w:ascii="仿宋_GB2312" w:hAnsi="仿宋" w:eastAsia="仿宋_GB2312" w:cs="仿宋"/>
              </w:rPr>
            </w:pPr>
          </w:p>
        </w:tc>
        <w:tc>
          <w:tcPr>
            <w:tcW w:w="816"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16"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112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952" w:type="dxa"/>
            <w:vMerge w:val="continue"/>
            <w:noWrap w:val="0"/>
            <w:vAlign w:val="center"/>
          </w:tcPr>
          <w:p>
            <w:pPr>
              <w:spacing w:line="300" w:lineRule="exact"/>
              <w:jc w:val="left"/>
              <w:outlineLvl w:val="0"/>
              <w:rPr>
                <w:rFonts w:hint="eastAsia" w:ascii="仿宋_GB2312" w:hAnsi="仿宋" w:eastAsia="仿宋_GB2312" w:cs="仿宋"/>
              </w:rPr>
            </w:pPr>
          </w:p>
        </w:tc>
        <w:tc>
          <w:tcPr>
            <w:tcW w:w="1020" w:type="dxa"/>
            <w:vMerge w:val="continue"/>
            <w:noWrap w:val="0"/>
            <w:vAlign w:val="center"/>
          </w:tcPr>
          <w:p>
            <w:pPr>
              <w:spacing w:line="300" w:lineRule="exact"/>
              <w:jc w:val="left"/>
              <w:outlineLvl w:val="0"/>
              <w:rPr>
                <w:rFonts w:hint="eastAsia" w:ascii="仿宋_GB2312" w:hAnsi="仿宋" w:eastAsia="仿宋_GB2312" w:cs="仿宋"/>
              </w:rPr>
            </w:pPr>
          </w:p>
        </w:tc>
        <w:tc>
          <w:tcPr>
            <w:tcW w:w="1044" w:type="dxa"/>
            <w:vMerge w:val="continue"/>
            <w:noWrap w:val="0"/>
            <w:vAlign w:val="center"/>
          </w:tcPr>
          <w:p>
            <w:pPr>
              <w:spacing w:line="300" w:lineRule="exact"/>
              <w:jc w:val="left"/>
              <w:outlineLvl w:val="0"/>
              <w:rPr>
                <w:rFonts w:hint="eastAsia" w:ascii="仿宋_GB2312" w:hAnsi="仿宋" w:eastAsia="仿宋_GB2312" w:cs="仿宋"/>
              </w:rPr>
            </w:pPr>
          </w:p>
        </w:tc>
        <w:tc>
          <w:tcPr>
            <w:tcW w:w="1044" w:type="dxa"/>
            <w:vMerge w:val="continue"/>
            <w:noWrap w:val="0"/>
            <w:vAlign w:val="center"/>
          </w:tcPr>
          <w:p>
            <w:pPr>
              <w:spacing w:line="300" w:lineRule="exact"/>
              <w:jc w:val="left"/>
              <w:outlineLvl w:val="0"/>
              <w:rPr>
                <w:rFonts w:hint="eastAsia" w:ascii="仿宋_GB2312" w:hAnsi="仿宋" w:eastAsia="仿宋_GB2312" w:cs="仿宋"/>
              </w:rPr>
            </w:pPr>
          </w:p>
        </w:tc>
        <w:tc>
          <w:tcPr>
            <w:tcW w:w="1020" w:type="dxa"/>
            <w:vMerge w:val="continue"/>
            <w:noWrap w:val="0"/>
            <w:vAlign w:val="center"/>
          </w:tcPr>
          <w:p>
            <w:pPr>
              <w:spacing w:line="300" w:lineRule="exact"/>
              <w:jc w:val="left"/>
              <w:outlineLvl w:val="0"/>
              <w:rPr>
                <w:rFonts w:hint="eastAsia" w:ascii="仿宋_GB2312" w:hAnsi="仿宋" w:eastAsia="仿宋_GB2312" w:cs="仿宋"/>
              </w:rPr>
            </w:pPr>
          </w:p>
        </w:tc>
        <w:tc>
          <w:tcPr>
            <w:tcW w:w="816" w:type="dxa"/>
            <w:vMerge w:val="continue"/>
            <w:noWrap w:val="0"/>
            <w:vAlign w:val="center"/>
          </w:tcPr>
          <w:p>
            <w:pPr>
              <w:spacing w:line="300" w:lineRule="exact"/>
              <w:jc w:val="left"/>
              <w:outlineLvl w:val="0"/>
              <w:rPr>
                <w:rFonts w:hint="eastAsia" w:ascii="仿宋_GB2312" w:hAnsi="仿宋" w:eastAsia="仿宋_GB2312" w:cs="仿宋"/>
              </w:rPr>
            </w:pPr>
          </w:p>
        </w:tc>
        <w:tc>
          <w:tcPr>
            <w:tcW w:w="768" w:type="dxa"/>
            <w:vMerge w:val="continue"/>
            <w:noWrap w:val="0"/>
            <w:vAlign w:val="center"/>
          </w:tcPr>
          <w:p>
            <w:pPr>
              <w:spacing w:line="300" w:lineRule="exact"/>
              <w:jc w:val="left"/>
              <w:outlineLvl w:val="0"/>
              <w:rPr>
                <w:rFonts w:hint="eastAsia" w:ascii="仿宋_GB2312" w:hAnsi="仿宋" w:eastAsia="仿宋_GB2312" w:cs="仿宋"/>
              </w:rPr>
            </w:pPr>
          </w:p>
        </w:tc>
        <w:tc>
          <w:tcPr>
            <w:tcW w:w="816" w:type="dxa"/>
            <w:vMerge w:val="continue"/>
            <w:noWrap w:val="0"/>
            <w:vAlign w:val="center"/>
          </w:tcPr>
          <w:p>
            <w:pPr>
              <w:spacing w:line="300" w:lineRule="exact"/>
              <w:jc w:val="left"/>
              <w:outlineLvl w:val="0"/>
              <w:rPr>
                <w:rFonts w:hint="eastAsia" w:ascii="仿宋_GB2312" w:hAnsi="仿宋" w:eastAsia="仿宋_GB2312" w:cs="仿宋"/>
              </w:rPr>
            </w:pPr>
          </w:p>
        </w:tc>
        <w:tc>
          <w:tcPr>
            <w:tcW w:w="732"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104"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68"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20"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92"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1128"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52" w:type="dxa"/>
            <w:noWrap w:val="0"/>
            <w:vAlign w:val="center"/>
          </w:tcPr>
          <w:p>
            <w:pPr>
              <w:spacing w:line="300" w:lineRule="exact"/>
              <w:jc w:val="center"/>
              <w:rPr>
                <w:rFonts w:hint="eastAsia" w:ascii="仿宋_GB2312" w:hAnsi="仿宋" w:eastAsia="仿宋_GB2312" w:cs="仿宋"/>
                <w:b/>
              </w:rPr>
            </w:pPr>
          </w:p>
        </w:tc>
        <w:tc>
          <w:tcPr>
            <w:tcW w:w="1020" w:type="dxa"/>
            <w:noWrap w:val="0"/>
            <w:vAlign w:val="center"/>
          </w:tcPr>
          <w:p>
            <w:pPr>
              <w:spacing w:line="300" w:lineRule="exact"/>
              <w:jc w:val="right"/>
              <w:rPr>
                <w:rFonts w:hint="eastAsia" w:ascii="仿宋_GB2312" w:hAnsi="仿宋" w:eastAsia="仿宋_GB2312" w:cs="仿宋"/>
                <w:b/>
              </w:rPr>
            </w:pPr>
          </w:p>
        </w:tc>
        <w:tc>
          <w:tcPr>
            <w:tcW w:w="1044" w:type="dxa"/>
            <w:noWrap w:val="0"/>
            <w:vAlign w:val="center"/>
          </w:tcPr>
          <w:p>
            <w:pPr>
              <w:spacing w:line="300" w:lineRule="exact"/>
              <w:jc w:val="left"/>
              <w:rPr>
                <w:rFonts w:hint="eastAsia" w:ascii="仿宋_GB2312" w:hAnsi="仿宋" w:eastAsia="仿宋_GB2312" w:cs="仿宋"/>
                <w:b/>
              </w:rPr>
            </w:pPr>
          </w:p>
        </w:tc>
        <w:tc>
          <w:tcPr>
            <w:tcW w:w="1044" w:type="dxa"/>
            <w:noWrap w:val="0"/>
            <w:vAlign w:val="center"/>
          </w:tcPr>
          <w:p>
            <w:pPr>
              <w:spacing w:line="300" w:lineRule="exact"/>
              <w:jc w:val="left"/>
              <w:rPr>
                <w:rFonts w:hint="eastAsia" w:ascii="仿宋_GB2312" w:hAnsi="仿宋" w:eastAsia="仿宋_GB2312" w:cs="仿宋"/>
                <w:b/>
              </w:rPr>
            </w:pPr>
          </w:p>
        </w:tc>
        <w:tc>
          <w:tcPr>
            <w:tcW w:w="1020" w:type="dxa"/>
            <w:noWrap w:val="0"/>
            <w:vAlign w:val="center"/>
          </w:tcPr>
          <w:p>
            <w:pPr>
              <w:spacing w:line="300" w:lineRule="exact"/>
              <w:jc w:val="left"/>
              <w:rPr>
                <w:rFonts w:hint="eastAsia" w:ascii="仿宋_GB2312" w:hAnsi="仿宋" w:eastAsia="仿宋_GB2312" w:cs="仿宋"/>
                <w:b/>
              </w:rPr>
            </w:pPr>
          </w:p>
        </w:tc>
        <w:tc>
          <w:tcPr>
            <w:tcW w:w="816" w:type="dxa"/>
            <w:noWrap w:val="0"/>
            <w:vAlign w:val="center"/>
          </w:tcPr>
          <w:p>
            <w:pPr>
              <w:spacing w:line="300" w:lineRule="exact"/>
              <w:jc w:val="right"/>
              <w:rPr>
                <w:rFonts w:hint="eastAsia" w:ascii="仿宋_GB2312" w:hAnsi="仿宋" w:eastAsia="仿宋_GB2312" w:cs="仿宋"/>
                <w:b/>
              </w:rPr>
            </w:pPr>
          </w:p>
        </w:tc>
        <w:tc>
          <w:tcPr>
            <w:tcW w:w="768" w:type="dxa"/>
            <w:noWrap w:val="0"/>
            <w:vAlign w:val="center"/>
          </w:tcPr>
          <w:p>
            <w:pPr>
              <w:spacing w:line="300" w:lineRule="exact"/>
              <w:jc w:val="right"/>
              <w:rPr>
                <w:rFonts w:hint="eastAsia" w:ascii="仿宋_GB2312" w:hAnsi="仿宋" w:eastAsia="仿宋_GB2312" w:cs="仿宋"/>
                <w:b/>
              </w:rPr>
            </w:pPr>
          </w:p>
        </w:tc>
        <w:tc>
          <w:tcPr>
            <w:tcW w:w="816" w:type="dxa"/>
            <w:noWrap w:val="0"/>
            <w:vAlign w:val="center"/>
          </w:tcPr>
          <w:p>
            <w:pPr>
              <w:spacing w:line="300" w:lineRule="exact"/>
              <w:jc w:val="right"/>
              <w:rPr>
                <w:rFonts w:hint="eastAsia" w:ascii="仿宋_GB2312" w:hAnsi="仿宋" w:eastAsia="仿宋_GB2312" w:cs="仿宋"/>
                <w:b/>
              </w:rPr>
            </w:pPr>
          </w:p>
        </w:tc>
        <w:tc>
          <w:tcPr>
            <w:tcW w:w="732" w:type="dxa"/>
            <w:noWrap w:val="0"/>
            <w:vAlign w:val="center"/>
          </w:tcPr>
          <w:p>
            <w:pPr>
              <w:spacing w:line="300" w:lineRule="exact"/>
              <w:jc w:val="right"/>
              <w:rPr>
                <w:rFonts w:hint="eastAsia" w:ascii="仿宋_GB2312" w:hAnsi="仿宋" w:eastAsia="仿宋_GB2312" w:cs="仿宋"/>
                <w:b/>
              </w:rPr>
            </w:pPr>
          </w:p>
        </w:tc>
        <w:tc>
          <w:tcPr>
            <w:tcW w:w="1104" w:type="dxa"/>
            <w:noWrap w:val="0"/>
            <w:vAlign w:val="center"/>
          </w:tcPr>
          <w:p>
            <w:pPr>
              <w:spacing w:line="300" w:lineRule="exact"/>
              <w:jc w:val="right"/>
              <w:rPr>
                <w:rFonts w:hint="eastAsia" w:ascii="仿宋_GB2312" w:hAnsi="仿宋" w:eastAsia="仿宋_GB2312" w:cs="仿宋"/>
                <w:b/>
              </w:rPr>
            </w:pPr>
          </w:p>
        </w:tc>
        <w:tc>
          <w:tcPr>
            <w:tcW w:w="1068" w:type="dxa"/>
            <w:noWrap w:val="0"/>
            <w:vAlign w:val="center"/>
          </w:tcPr>
          <w:p>
            <w:pPr>
              <w:spacing w:line="300" w:lineRule="exact"/>
              <w:jc w:val="right"/>
              <w:rPr>
                <w:rFonts w:hint="eastAsia" w:ascii="仿宋_GB2312" w:hAnsi="仿宋" w:eastAsia="仿宋_GB2312" w:cs="仿宋"/>
                <w:b/>
              </w:rPr>
            </w:pPr>
          </w:p>
        </w:tc>
        <w:tc>
          <w:tcPr>
            <w:tcW w:w="1020" w:type="dxa"/>
            <w:noWrap w:val="0"/>
            <w:vAlign w:val="center"/>
          </w:tcPr>
          <w:p>
            <w:pPr>
              <w:spacing w:line="300" w:lineRule="exact"/>
              <w:jc w:val="right"/>
              <w:rPr>
                <w:rFonts w:hint="eastAsia" w:ascii="仿宋_GB2312" w:hAnsi="仿宋" w:eastAsia="仿宋_GB2312" w:cs="仿宋"/>
                <w:b/>
              </w:rPr>
            </w:pPr>
          </w:p>
        </w:tc>
        <w:tc>
          <w:tcPr>
            <w:tcW w:w="1092" w:type="dxa"/>
            <w:noWrap w:val="0"/>
            <w:vAlign w:val="center"/>
          </w:tcPr>
          <w:p>
            <w:pPr>
              <w:spacing w:line="300" w:lineRule="exact"/>
              <w:jc w:val="right"/>
              <w:rPr>
                <w:rFonts w:hint="eastAsia" w:ascii="仿宋_GB2312" w:hAnsi="仿宋" w:eastAsia="仿宋_GB2312" w:cs="仿宋"/>
                <w:b/>
              </w:rPr>
            </w:pPr>
          </w:p>
        </w:tc>
        <w:tc>
          <w:tcPr>
            <w:tcW w:w="1128"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52" w:type="dxa"/>
            <w:noWrap w:val="0"/>
            <w:vAlign w:val="center"/>
          </w:tcPr>
          <w:p>
            <w:pPr>
              <w:spacing w:line="300" w:lineRule="exact"/>
              <w:jc w:val="left"/>
              <w:rPr>
                <w:rFonts w:hint="eastAsia" w:ascii="仿宋" w:hAnsi="仿宋" w:eastAsia="仿宋" w:cs="仿宋"/>
              </w:rPr>
            </w:pPr>
          </w:p>
        </w:tc>
        <w:tc>
          <w:tcPr>
            <w:tcW w:w="1020" w:type="dxa"/>
            <w:noWrap w:val="0"/>
            <w:vAlign w:val="center"/>
          </w:tcPr>
          <w:p>
            <w:pPr>
              <w:spacing w:line="300" w:lineRule="exact"/>
              <w:jc w:val="right"/>
              <w:rPr>
                <w:rFonts w:hint="eastAsia" w:ascii="仿宋" w:hAnsi="仿宋" w:eastAsia="仿宋" w:cs="仿宋"/>
              </w:rPr>
            </w:pPr>
          </w:p>
        </w:tc>
        <w:tc>
          <w:tcPr>
            <w:tcW w:w="1044" w:type="dxa"/>
            <w:noWrap w:val="0"/>
            <w:vAlign w:val="center"/>
          </w:tcPr>
          <w:p>
            <w:pPr>
              <w:spacing w:line="300" w:lineRule="exact"/>
              <w:jc w:val="left"/>
              <w:rPr>
                <w:rFonts w:hint="eastAsia" w:ascii="仿宋" w:hAnsi="仿宋" w:eastAsia="仿宋" w:cs="仿宋"/>
              </w:rPr>
            </w:pPr>
          </w:p>
        </w:tc>
        <w:tc>
          <w:tcPr>
            <w:tcW w:w="1044" w:type="dxa"/>
            <w:noWrap w:val="0"/>
            <w:vAlign w:val="center"/>
          </w:tcPr>
          <w:p>
            <w:pPr>
              <w:spacing w:line="300" w:lineRule="exact"/>
              <w:jc w:val="left"/>
              <w:rPr>
                <w:rFonts w:hint="eastAsia" w:ascii="仿宋" w:hAnsi="仿宋" w:eastAsia="仿宋" w:cs="仿宋"/>
              </w:rPr>
            </w:pPr>
          </w:p>
        </w:tc>
        <w:tc>
          <w:tcPr>
            <w:tcW w:w="1020" w:type="dxa"/>
            <w:noWrap w:val="0"/>
            <w:vAlign w:val="center"/>
          </w:tcPr>
          <w:p>
            <w:pPr>
              <w:spacing w:line="300" w:lineRule="exact"/>
              <w:jc w:val="left"/>
              <w:rPr>
                <w:rFonts w:hint="eastAsia" w:ascii="仿宋" w:hAnsi="仿宋" w:eastAsia="仿宋" w:cs="仿宋"/>
              </w:rPr>
            </w:pPr>
          </w:p>
        </w:tc>
        <w:tc>
          <w:tcPr>
            <w:tcW w:w="816" w:type="dxa"/>
            <w:noWrap w:val="0"/>
            <w:vAlign w:val="center"/>
          </w:tcPr>
          <w:p>
            <w:pPr>
              <w:spacing w:line="300" w:lineRule="exact"/>
              <w:jc w:val="right"/>
              <w:rPr>
                <w:rFonts w:hint="eastAsia" w:ascii="仿宋" w:hAnsi="仿宋" w:eastAsia="仿宋" w:cs="仿宋"/>
              </w:rPr>
            </w:pPr>
          </w:p>
        </w:tc>
        <w:tc>
          <w:tcPr>
            <w:tcW w:w="768" w:type="dxa"/>
            <w:noWrap w:val="0"/>
            <w:vAlign w:val="center"/>
          </w:tcPr>
          <w:p>
            <w:pPr>
              <w:spacing w:line="300" w:lineRule="exact"/>
              <w:jc w:val="right"/>
              <w:rPr>
                <w:rFonts w:hint="eastAsia" w:ascii="仿宋" w:hAnsi="仿宋" w:eastAsia="仿宋" w:cs="仿宋"/>
              </w:rPr>
            </w:pPr>
          </w:p>
        </w:tc>
        <w:tc>
          <w:tcPr>
            <w:tcW w:w="816" w:type="dxa"/>
            <w:noWrap w:val="0"/>
            <w:vAlign w:val="center"/>
          </w:tcPr>
          <w:p>
            <w:pPr>
              <w:spacing w:line="300" w:lineRule="exact"/>
              <w:jc w:val="right"/>
              <w:rPr>
                <w:rFonts w:hint="eastAsia" w:ascii="仿宋" w:hAnsi="仿宋" w:eastAsia="仿宋" w:cs="仿宋"/>
              </w:rPr>
            </w:pPr>
          </w:p>
        </w:tc>
        <w:tc>
          <w:tcPr>
            <w:tcW w:w="732" w:type="dxa"/>
            <w:noWrap w:val="0"/>
            <w:vAlign w:val="center"/>
          </w:tcPr>
          <w:p>
            <w:pPr>
              <w:spacing w:line="300" w:lineRule="exact"/>
              <w:jc w:val="right"/>
              <w:rPr>
                <w:rFonts w:hint="eastAsia" w:ascii="仿宋" w:hAnsi="仿宋" w:eastAsia="仿宋" w:cs="仿宋"/>
              </w:rPr>
            </w:pPr>
          </w:p>
        </w:tc>
        <w:tc>
          <w:tcPr>
            <w:tcW w:w="1104" w:type="dxa"/>
            <w:noWrap w:val="0"/>
            <w:vAlign w:val="center"/>
          </w:tcPr>
          <w:p>
            <w:pPr>
              <w:spacing w:line="300" w:lineRule="exact"/>
              <w:jc w:val="right"/>
              <w:rPr>
                <w:rFonts w:hint="eastAsia" w:ascii="仿宋" w:hAnsi="仿宋" w:eastAsia="仿宋" w:cs="仿宋"/>
              </w:rPr>
            </w:pPr>
          </w:p>
        </w:tc>
        <w:tc>
          <w:tcPr>
            <w:tcW w:w="1068" w:type="dxa"/>
            <w:noWrap w:val="0"/>
            <w:vAlign w:val="center"/>
          </w:tcPr>
          <w:p>
            <w:pPr>
              <w:spacing w:line="300" w:lineRule="exact"/>
              <w:jc w:val="right"/>
              <w:rPr>
                <w:rFonts w:hint="eastAsia" w:ascii="仿宋" w:hAnsi="仿宋" w:eastAsia="仿宋" w:cs="仿宋"/>
              </w:rPr>
            </w:pPr>
          </w:p>
        </w:tc>
        <w:tc>
          <w:tcPr>
            <w:tcW w:w="1020" w:type="dxa"/>
            <w:noWrap w:val="0"/>
            <w:vAlign w:val="center"/>
          </w:tcPr>
          <w:p>
            <w:pPr>
              <w:spacing w:line="300" w:lineRule="exact"/>
              <w:jc w:val="right"/>
              <w:rPr>
                <w:rFonts w:hint="eastAsia" w:ascii="仿宋" w:hAnsi="仿宋" w:eastAsia="仿宋" w:cs="仿宋"/>
              </w:rPr>
            </w:pPr>
          </w:p>
        </w:tc>
        <w:tc>
          <w:tcPr>
            <w:tcW w:w="1092" w:type="dxa"/>
            <w:noWrap w:val="0"/>
            <w:vAlign w:val="center"/>
          </w:tcPr>
          <w:p>
            <w:pPr>
              <w:spacing w:line="300" w:lineRule="exact"/>
              <w:jc w:val="right"/>
              <w:rPr>
                <w:rFonts w:hint="eastAsia" w:ascii="仿宋" w:hAnsi="仿宋" w:eastAsia="仿宋" w:cs="仿宋"/>
              </w:rPr>
            </w:pPr>
          </w:p>
        </w:tc>
        <w:tc>
          <w:tcPr>
            <w:tcW w:w="1128"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52" w:type="dxa"/>
            <w:noWrap w:val="0"/>
            <w:vAlign w:val="center"/>
          </w:tcPr>
          <w:p>
            <w:pPr>
              <w:spacing w:line="300" w:lineRule="exact"/>
              <w:jc w:val="left"/>
              <w:rPr>
                <w:rFonts w:hint="eastAsia" w:ascii="仿宋" w:hAnsi="仿宋" w:eastAsia="仿宋" w:cs="仿宋"/>
              </w:rPr>
            </w:pPr>
          </w:p>
        </w:tc>
        <w:tc>
          <w:tcPr>
            <w:tcW w:w="1020" w:type="dxa"/>
            <w:noWrap w:val="0"/>
            <w:vAlign w:val="center"/>
          </w:tcPr>
          <w:p>
            <w:pPr>
              <w:spacing w:line="300" w:lineRule="exact"/>
              <w:jc w:val="right"/>
              <w:rPr>
                <w:rFonts w:hint="eastAsia" w:ascii="仿宋" w:hAnsi="仿宋" w:eastAsia="仿宋" w:cs="仿宋"/>
              </w:rPr>
            </w:pPr>
          </w:p>
        </w:tc>
        <w:tc>
          <w:tcPr>
            <w:tcW w:w="1044" w:type="dxa"/>
            <w:noWrap w:val="0"/>
            <w:vAlign w:val="center"/>
          </w:tcPr>
          <w:p>
            <w:pPr>
              <w:spacing w:line="300" w:lineRule="exact"/>
              <w:jc w:val="left"/>
              <w:rPr>
                <w:rFonts w:hint="eastAsia" w:ascii="仿宋" w:hAnsi="仿宋" w:eastAsia="仿宋" w:cs="仿宋"/>
              </w:rPr>
            </w:pPr>
          </w:p>
        </w:tc>
        <w:tc>
          <w:tcPr>
            <w:tcW w:w="1044" w:type="dxa"/>
            <w:noWrap w:val="0"/>
            <w:vAlign w:val="center"/>
          </w:tcPr>
          <w:p>
            <w:pPr>
              <w:spacing w:line="300" w:lineRule="exact"/>
              <w:jc w:val="left"/>
              <w:rPr>
                <w:rFonts w:hint="eastAsia" w:ascii="仿宋" w:hAnsi="仿宋" w:eastAsia="仿宋" w:cs="仿宋"/>
              </w:rPr>
            </w:pPr>
          </w:p>
        </w:tc>
        <w:tc>
          <w:tcPr>
            <w:tcW w:w="1020" w:type="dxa"/>
            <w:noWrap w:val="0"/>
            <w:vAlign w:val="center"/>
          </w:tcPr>
          <w:p>
            <w:pPr>
              <w:spacing w:line="300" w:lineRule="exact"/>
              <w:jc w:val="left"/>
              <w:rPr>
                <w:rFonts w:hint="eastAsia" w:ascii="仿宋" w:hAnsi="仿宋" w:eastAsia="仿宋" w:cs="仿宋"/>
              </w:rPr>
            </w:pPr>
          </w:p>
        </w:tc>
        <w:tc>
          <w:tcPr>
            <w:tcW w:w="816" w:type="dxa"/>
            <w:noWrap w:val="0"/>
            <w:vAlign w:val="center"/>
          </w:tcPr>
          <w:p>
            <w:pPr>
              <w:spacing w:line="300" w:lineRule="exact"/>
              <w:jc w:val="right"/>
              <w:rPr>
                <w:rFonts w:hint="eastAsia" w:ascii="仿宋" w:hAnsi="仿宋" w:eastAsia="仿宋" w:cs="仿宋"/>
              </w:rPr>
            </w:pPr>
          </w:p>
        </w:tc>
        <w:tc>
          <w:tcPr>
            <w:tcW w:w="768" w:type="dxa"/>
            <w:noWrap w:val="0"/>
            <w:vAlign w:val="center"/>
          </w:tcPr>
          <w:p>
            <w:pPr>
              <w:spacing w:line="300" w:lineRule="exact"/>
              <w:jc w:val="right"/>
              <w:rPr>
                <w:rFonts w:hint="eastAsia" w:ascii="仿宋" w:hAnsi="仿宋" w:eastAsia="仿宋" w:cs="仿宋"/>
              </w:rPr>
            </w:pPr>
          </w:p>
        </w:tc>
        <w:tc>
          <w:tcPr>
            <w:tcW w:w="816" w:type="dxa"/>
            <w:noWrap w:val="0"/>
            <w:vAlign w:val="center"/>
          </w:tcPr>
          <w:p>
            <w:pPr>
              <w:spacing w:line="300" w:lineRule="exact"/>
              <w:jc w:val="right"/>
              <w:rPr>
                <w:rFonts w:hint="eastAsia" w:ascii="仿宋" w:hAnsi="仿宋" w:eastAsia="仿宋" w:cs="仿宋"/>
              </w:rPr>
            </w:pPr>
          </w:p>
        </w:tc>
        <w:tc>
          <w:tcPr>
            <w:tcW w:w="732" w:type="dxa"/>
            <w:noWrap w:val="0"/>
            <w:vAlign w:val="center"/>
          </w:tcPr>
          <w:p>
            <w:pPr>
              <w:spacing w:line="300" w:lineRule="exact"/>
              <w:jc w:val="right"/>
              <w:rPr>
                <w:rFonts w:hint="eastAsia" w:ascii="仿宋" w:hAnsi="仿宋" w:eastAsia="仿宋" w:cs="仿宋"/>
              </w:rPr>
            </w:pPr>
          </w:p>
        </w:tc>
        <w:tc>
          <w:tcPr>
            <w:tcW w:w="1104" w:type="dxa"/>
            <w:noWrap w:val="0"/>
            <w:vAlign w:val="center"/>
          </w:tcPr>
          <w:p>
            <w:pPr>
              <w:spacing w:line="300" w:lineRule="exact"/>
              <w:jc w:val="right"/>
              <w:rPr>
                <w:rFonts w:hint="eastAsia" w:ascii="仿宋" w:hAnsi="仿宋" w:eastAsia="仿宋" w:cs="仿宋"/>
              </w:rPr>
            </w:pPr>
          </w:p>
        </w:tc>
        <w:tc>
          <w:tcPr>
            <w:tcW w:w="1068" w:type="dxa"/>
            <w:noWrap w:val="0"/>
            <w:vAlign w:val="center"/>
          </w:tcPr>
          <w:p>
            <w:pPr>
              <w:spacing w:line="300" w:lineRule="exact"/>
              <w:jc w:val="right"/>
              <w:rPr>
                <w:rFonts w:hint="eastAsia" w:ascii="仿宋" w:hAnsi="仿宋" w:eastAsia="仿宋" w:cs="仿宋"/>
              </w:rPr>
            </w:pPr>
          </w:p>
        </w:tc>
        <w:tc>
          <w:tcPr>
            <w:tcW w:w="1020" w:type="dxa"/>
            <w:noWrap w:val="0"/>
            <w:vAlign w:val="center"/>
          </w:tcPr>
          <w:p>
            <w:pPr>
              <w:spacing w:line="300" w:lineRule="exact"/>
              <w:jc w:val="right"/>
              <w:rPr>
                <w:rFonts w:hint="eastAsia" w:ascii="仿宋" w:hAnsi="仿宋" w:eastAsia="仿宋" w:cs="仿宋"/>
              </w:rPr>
            </w:pPr>
          </w:p>
        </w:tc>
        <w:tc>
          <w:tcPr>
            <w:tcW w:w="1092" w:type="dxa"/>
            <w:noWrap w:val="0"/>
            <w:vAlign w:val="center"/>
          </w:tcPr>
          <w:p>
            <w:pPr>
              <w:spacing w:line="300" w:lineRule="exact"/>
              <w:jc w:val="right"/>
              <w:rPr>
                <w:rFonts w:hint="eastAsia" w:ascii="仿宋" w:hAnsi="仿宋" w:eastAsia="仿宋" w:cs="仿宋"/>
              </w:rPr>
            </w:pPr>
          </w:p>
        </w:tc>
        <w:tc>
          <w:tcPr>
            <w:tcW w:w="1128" w:type="dxa"/>
            <w:noWrap w:val="0"/>
            <w:vAlign w:val="center"/>
          </w:tcPr>
          <w:p>
            <w:pPr>
              <w:spacing w:line="300" w:lineRule="exact"/>
              <w:jc w:val="right"/>
              <w:rPr>
                <w:rFonts w:hint="eastAsia" w:ascii="仿宋" w:hAnsi="仿宋" w:eastAsia="仿宋" w:cs="仿宋"/>
              </w:rPr>
            </w:pPr>
          </w:p>
        </w:tc>
      </w:tr>
    </w:tbl>
    <w:p>
      <w:pPr>
        <w:ind w:firstLine="640"/>
        <w:rPr>
          <w:rFonts w:hint="eastAsia" w:ascii="黑体" w:hAnsi="黑体" w:eastAsia="黑体"/>
          <w:color w:val="000000"/>
          <w:sz w:val="32"/>
        </w:rPr>
      </w:pPr>
      <w:r>
        <w:rPr>
          <w:rFonts w:hint="eastAsia" w:ascii="仿宋_GB2312" w:eastAsia="仿宋_GB2312"/>
          <w:sz w:val="32"/>
          <w:szCs w:val="32"/>
        </w:rPr>
        <w:t>无此项公开内容，空表列示。</w:t>
      </w:r>
    </w:p>
    <w:p>
      <w:pPr>
        <w:ind w:firstLine="640" w:firstLineChars="200"/>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lang w:val="en-US" w:eastAsia="zh-CN"/>
        </w:rPr>
        <w:t>七</w:t>
      </w:r>
      <w:r>
        <w:rPr>
          <w:rFonts w:ascii="黑体" w:hAnsi="黑体" w:eastAsia="黑体"/>
          <w:color w:val="000000"/>
          <w:sz w:val="32"/>
        </w:rPr>
        <w:t>、国有资产信息</w:t>
      </w:r>
    </w:p>
    <w:p>
      <w:pPr>
        <w:widowControl w:val="0"/>
        <w:spacing w:after="156" w:afterLines="50" w:line="36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478.91万</w:t>
      </w:r>
      <w:r>
        <w:rPr>
          <w:rFonts w:hint="eastAsia" w:ascii="仿宋_GB2312" w:eastAsia="仿宋_GB2312"/>
          <w:sz w:val="32"/>
          <w:szCs w:val="32"/>
        </w:rPr>
        <w:t>元，本年</w:t>
      </w:r>
      <w:r>
        <w:rPr>
          <w:rFonts w:hint="eastAsia" w:ascii="仿宋_GB2312" w:eastAsia="仿宋_GB2312"/>
          <w:sz w:val="32"/>
          <w:szCs w:val="32"/>
          <w:lang w:val="en-US" w:eastAsia="zh-CN"/>
        </w:rPr>
        <w:t>度无新增固</w:t>
      </w:r>
      <w:r>
        <w:rPr>
          <w:rFonts w:hint="eastAsia" w:ascii="仿宋_GB2312" w:eastAsia="仿宋_GB2312"/>
          <w:sz w:val="32"/>
          <w:szCs w:val="32"/>
        </w:rPr>
        <w:t>定资产预算。</w:t>
      </w:r>
    </w:p>
    <w:tbl>
      <w:tblPr>
        <w:tblStyle w:val="8"/>
        <w:tblW w:w="14645" w:type="dxa"/>
        <w:tblInd w:w="93" w:type="dxa"/>
        <w:tblLayout w:type="fixed"/>
        <w:tblCellMar>
          <w:top w:w="0" w:type="dxa"/>
          <w:left w:w="108" w:type="dxa"/>
          <w:bottom w:w="0" w:type="dxa"/>
          <w:right w:w="108" w:type="dxa"/>
        </w:tblCellMar>
      </w:tblPr>
      <w:tblGrid>
        <w:gridCol w:w="5224"/>
        <w:gridCol w:w="4033"/>
        <w:gridCol w:w="5388"/>
      </w:tblGrid>
      <w:tr>
        <w:tblPrEx>
          <w:tblCellMar>
            <w:top w:w="0" w:type="dxa"/>
            <w:left w:w="108" w:type="dxa"/>
            <w:bottom w:w="0" w:type="dxa"/>
            <w:right w:w="108" w:type="dxa"/>
          </w:tblCellMar>
        </w:tblPrEx>
        <w:trPr>
          <w:trHeight w:val="705" w:hRule="atLeast"/>
        </w:trPr>
        <w:tc>
          <w:tcPr>
            <w:tcW w:w="14645"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9257" w:type="dxa"/>
            <w:gridSpan w:val="2"/>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编制部门：</w:t>
            </w:r>
          </w:p>
        </w:tc>
        <w:tc>
          <w:tcPr>
            <w:tcW w:w="5388"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截止时间：202</w:t>
            </w:r>
            <w:r>
              <w:rPr>
                <w:rFonts w:hint="eastAsia" w:ascii="宋体" w:hAnsi="宋体" w:cs="宋体"/>
                <w:kern w:val="0"/>
                <w:sz w:val="22"/>
                <w:lang w:val="en-US" w:eastAsia="zh-CN"/>
              </w:rPr>
              <w:t>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b/>
                <w:lang w:val="en-US" w:eastAsia="zh-CN"/>
              </w:rPr>
            </w:pPr>
            <w:r>
              <w:rPr>
                <w:rFonts w:hint="eastAsia" w:ascii="仿宋_GB2312" w:hAnsi="仿宋" w:eastAsia="仿宋_GB2312" w:cs="仿宋"/>
                <w:b/>
                <w:lang w:val="en-US" w:eastAsia="zh-CN"/>
              </w:rPr>
              <w:t>项   目</w:t>
            </w:r>
          </w:p>
        </w:tc>
        <w:tc>
          <w:tcPr>
            <w:tcW w:w="403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b/>
                <w:lang w:val="en-US" w:eastAsia="zh-CN"/>
              </w:rPr>
            </w:pPr>
            <w:r>
              <w:rPr>
                <w:rFonts w:hint="eastAsia" w:ascii="仿宋_GB2312" w:hAnsi="仿宋" w:eastAsia="仿宋_GB2312" w:cs="仿宋"/>
                <w:b/>
                <w:lang w:val="en-US" w:eastAsia="zh-CN"/>
              </w:rPr>
              <w:t>数量</w:t>
            </w:r>
          </w:p>
        </w:tc>
        <w:tc>
          <w:tcPr>
            <w:tcW w:w="538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b/>
                <w:lang w:val="en-US" w:eastAsia="zh-CN"/>
              </w:rPr>
            </w:pPr>
            <w:r>
              <w:rPr>
                <w:rFonts w:hint="eastAsia" w:ascii="仿宋_GB2312" w:hAnsi="仿宋" w:eastAsia="仿宋_GB2312" w:cs="仿宋"/>
                <w:b/>
                <w:lang w:val="en-US" w:eastAsia="zh-CN"/>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r>
              <w:rPr>
                <w:rFonts w:hint="eastAsia" w:ascii="宋体" w:hAnsi="宋体" w:cs="宋体"/>
                <w:kern w:val="0"/>
                <w:sz w:val="22"/>
                <w:lang w:val="en-US" w:eastAsia="zh-CN"/>
              </w:rPr>
              <w:t>资产总额</w:t>
            </w:r>
          </w:p>
        </w:tc>
        <w:tc>
          <w:tcPr>
            <w:tcW w:w="4033"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p>
        </w:tc>
        <w:tc>
          <w:tcPr>
            <w:tcW w:w="5388"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eastAsia="zh-CN"/>
              </w:rPr>
            </w:pPr>
            <w:r>
              <w:rPr>
                <w:rFonts w:hint="eastAsia" w:ascii="宋体" w:hAnsi="宋体" w:cs="宋体"/>
                <w:kern w:val="0"/>
                <w:sz w:val="22"/>
                <w:lang w:val="en-US" w:eastAsia="zh-CN"/>
              </w:rPr>
              <w:t>478.91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lang w:val="en-US" w:eastAsia="zh-CN"/>
              </w:rPr>
            </w:pPr>
            <w:r>
              <w:rPr>
                <w:rFonts w:hint="eastAsia" w:ascii="宋体" w:hAnsi="宋体" w:cs="宋体"/>
                <w:kern w:val="0"/>
                <w:sz w:val="22"/>
                <w:lang w:val="en-US" w:eastAsia="zh-CN"/>
              </w:rPr>
              <w:t>1、房屋（平方米）</w:t>
            </w:r>
          </w:p>
        </w:tc>
        <w:tc>
          <w:tcPr>
            <w:tcW w:w="4033"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eastAsia="zh-CN"/>
              </w:rPr>
            </w:pPr>
            <w:r>
              <w:rPr>
                <w:rFonts w:hint="eastAsia" w:ascii="宋体" w:hAnsi="宋体" w:cs="宋体"/>
                <w:kern w:val="0"/>
                <w:sz w:val="22"/>
                <w:lang w:val="en-US" w:eastAsia="zh-CN"/>
              </w:rPr>
              <w:t>3911</w:t>
            </w:r>
          </w:p>
        </w:tc>
        <w:tc>
          <w:tcPr>
            <w:tcW w:w="5388"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eastAsia="zh-CN"/>
              </w:rPr>
            </w:pPr>
            <w:r>
              <w:rPr>
                <w:rFonts w:hint="eastAsia" w:ascii="宋体" w:hAnsi="宋体" w:cs="宋体"/>
                <w:kern w:val="0"/>
                <w:sz w:val="22"/>
                <w:lang w:val="en-US" w:eastAsia="zh-CN"/>
              </w:rPr>
              <w:t>150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lang w:val="en-US" w:eastAsia="zh-CN"/>
              </w:rPr>
            </w:pPr>
            <w:r>
              <w:rPr>
                <w:rFonts w:hint="eastAsia" w:ascii="宋体" w:hAnsi="宋体" w:cs="宋体"/>
                <w:kern w:val="0"/>
                <w:sz w:val="22"/>
                <w:lang w:val="en-US" w:eastAsia="zh-CN"/>
              </w:rPr>
              <w:t>2、车辆（台、辆）</w:t>
            </w:r>
          </w:p>
        </w:tc>
        <w:tc>
          <w:tcPr>
            <w:tcW w:w="4033"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eastAsia="zh-CN"/>
              </w:rPr>
            </w:pPr>
            <w:r>
              <w:rPr>
                <w:rFonts w:hint="eastAsia" w:ascii="宋体" w:hAnsi="宋体" w:cs="宋体"/>
                <w:kern w:val="0"/>
                <w:sz w:val="22"/>
                <w:lang w:val="en-US" w:eastAsia="zh-CN"/>
              </w:rPr>
              <w:t>8</w:t>
            </w:r>
          </w:p>
        </w:tc>
        <w:tc>
          <w:tcPr>
            <w:tcW w:w="5388"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eastAsia="zh-CN"/>
              </w:rPr>
            </w:pPr>
            <w:r>
              <w:rPr>
                <w:rFonts w:hint="eastAsia" w:ascii="宋体" w:hAnsi="宋体" w:cs="宋体"/>
                <w:kern w:val="0"/>
                <w:sz w:val="22"/>
                <w:lang w:val="en-US" w:eastAsia="zh-CN"/>
              </w:rPr>
              <w:t>184.69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lang w:val="en-US" w:eastAsia="zh-CN"/>
              </w:rPr>
            </w:pPr>
            <w:r>
              <w:rPr>
                <w:rFonts w:hint="eastAsia" w:ascii="宋体" w:hAnsi="宋体" w:cs="宋体"/>
                <w:kern w:val="0"/>
                <w:sz w:val="22"/>
                <w:lang w:val="en-US" w:eastAsia="zh-CN"/>
              </w:rPr>
              <w:t>3、单价在20元以上设备</w:t>
            </w:r>
          </w:p>
        </w:tc>
        <w:tc>
          <w:tcPr>
            <w:tcW w:w="4033"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p>
        </w:tc>
        <w:tc>
          <w:tcPr>
            <w:tcW w:w="5388"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lang w:val="en-US" w:eastAsia="zh-CN"/>
              </w:rPr>
            </w:pPr>
            <w:r>
              <w:rPr>
                <w:rFonts w:hint="eastAsia" w:ascii="宋体" w:hAnsi="宋体" w:cs="宋体"/>
                <w:kern w:val="0"/>
                <w:sz w:val="22"/>
                <w:lang w:val="en-US" w:eastAsia="zh-CN"/>
              </w:rPr>
              <w:t>4、……………</w:t>
            </w:r>
          </w:p>
        </w:tc>
        <w:tc>
          <w:tcPr>
            <w:tcW w:w="4033"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p>
        </w:tc>
        <w:tc>
          <w:tcPr>
            <w:tcW w:w="5388"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lang w:val="en-US" w:eastAsia="zh-CN"/>
              </w:rPr>
            </w:pPr>
            <w:r>
              <w:rPr>
                <w:rFonts w:hint="eastAsia" w:ascii="宋体" w:hAnsi="宋体" w:cs="宋体"/>
                <w:kern w:val="0"/>
                <w:sz w:val="22"/>
                <w:lang w:val="en-US" w:eastAsia="zh-CN"/>
              </w:rPr>
              <w:t>5、其他固定资产</w:t>
            </w:r>
          </w:p>
        </w:tc>
        <w:tc>
          <w:tcPr>
            <w:tcW w:w="4033"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2"/>
                <w:lang w:val="en-US" w:eastAsia="zh-CN"/>
              </w:rPr>
            </w:pPr>
          </w:p>
        </w:tc>
        <w:tc>
          <w:tcPr>
            <w:tcW w:w="5388"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eastAsia="zh-CN"/>
              </w:rPr>
            </w:pPr>
            <w:r>
              <w:rPr>
                <w:rFonts w:hint="eastAsia" w:ascii="宋体" w:hAnsi="宋体" w:cs="宋体"/>
                <w:kern w:val="0"/>
                <w:sz w:val="22"/>
                <w:lang w:val="en-US" w:eastAsia="zh-CN"/>
              </w:rPr>
              <w:t>153.22</w:t>
            </w:r>
          </w:p>
        </w:tc>
      </w:tr>
    </w:tbl>
    <w:p>
      <w:pPr>
        <w:jc w:val="left"/>
        <w:rPr>
          <w:rFonts w:hint="eastAsia" w:ascii="黑体" w:hAnsi="黑体" w:eastAsia="黑体"/>
          <w:color w:val="000000"/>
          <w:sz w:val="32"/>
        </w:rPr>
      </w:pPr>
      <w:r>
        <w:rPr>
          <w:rFonts w:hint="eastAsia" w:ascii="黑体" w:hAnsi="黑体" w:eastAsia="黑体"/>
          <w:color w:val="000000"/>
          <w:sz w:val="32"/>
        </w:rPr>
        <w:t xml:space="preserve">   </w:t>
      </w:r>
    </w:p>
    <w:p>
      <w:pPr>
        <w:ind w:firstLine="640" w:firstLineChars="200"/>
        <w:jc w:val="left"/>
        <w:rPr>
          <w:rFonts w:hint="eastAsia" w:ascii="仿宋_GB2312" w:eastAsia="仿宋_GB2312"/>
          <w:sz w:val="32"/>
          <w:szCs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八</w:t>
      </w:r>
      <w:r>
        <w:rPr>
          <w:rFonts w:ascii="黑体" w:hAnsi="黑体" w:eastAsia="黑体"/>
          <w:color w:val="000000"/>
          <w:sz w:val="32"/>
        </w:rPr>
        <w:t>、名词解释</w:t>
      </w:r>
    </w:p>
    <w:p>
      <w:pPr>
        <w:ind w:firstLine="642"/>
        <w:rPr>
          <w:rFonts w:hint="eastAsia" w:ascii="仿宋_GB2312" w:eastAsia="仿宋_GB2312"/>
          <w:sz w:val="32"/>
          <w:szCs w:val="32"/>
        </w:rPr>
      </w:pPr>
      <w:r>
        <w:rPr>
          <w:rFonts w:hint="eastAsia" w:ascii="仿宋_GB2312" w:eastAsia="仿宋_GB2312"/>
          <w:sz w:val="32"/>
          <w:szCs w:val="32"/>
        </w:rPr>
        <w:t>1、一般公共预算拨款收入：指县级财政当年拨付的资金。</w:t>
      </w:r>
    </w:p>
    <w:p>
      <w:pPr>
        <w:ind w:firstLine="642"/>
        <w:rPr>
          <w:rFonts w:hint="eastAsia" w:ascii="仿宋_GB2312" w:eastAsia="仿宋_GB2312"/>
          <w:sz w:val="32"/>
          <w:szCs w:val="32"/>
        </w:rPr>
      </w:pPr>
      <w:r>
        <w:rPr>
          <w:rFonts w:hint="eastAsia" w:ascii="仿宋_GB2312" w:eastAsia="仿宋_GB2312"/>
          <w:sz w:val="32"/>
          <w:szCs w:val="32"/>
        </w:rPr>
        <w:t>2、事业收入：指事业单位开展专业业务活动及辅助活动所取得的收入。</w:t>
      </w:r>
    </w:p>
    <w:p>
      <w:pPr>
        <w:ind w:firstLine="642"/>
        <w:rPr>
          <w:rFonts w:hint="eastAsia" w:ascii="仿宋_GB2312" w:eastAsia="仿宋_GB2312"/>
          <w:sz w:val="32"/>
          <w:szCs w:val="32"/>
        </w:rPr>
      </w:pPr>
      <w:r>
        <w:rPr>
          <w:rFonts w:hint="eastAsia" w:ascii="仿宋_GB2312" w:eastAsia="仿宋_GB2312"/>
          <w:sz w:val="32"/>
          <w:szCs w:val="32"/>
        </w:rPr>
        <w:t>3、其他收入：指除“一般公共预算拨款收入”、“事业收入”等以外的收入。主要是按规定动用的租房收入、存款利息收入等。</w:t>
      </w:r>
    </w:p>
    <w:p>
      <w:pPr>
        <w:ind w:firstLine="642"/>
        <w:rPr>
          <w:rFonts w:hint="eastAsia" w:ascii="仿宋_GB2312" w:eastAsia="仿宋_GB2312"/>
          <w:sz w:val="32"/>
          <w:szCs w:val="32"/>
        </w:rPr>
      </w:pPr>
      <w:r>
        <w:rPr>
          <w:rFonts w:hint="eastAsia" w:ascii="仿宋_GB2312" w:eastAsia="仿宋_GB2312"/>
          <w:sz w:val="32"/>
          <w:szCs w:val="32"/>
        </w:rPr>
        <w:t>4、基本支出：指为保障机构正常运转、完成日常工作任务而发生的人员支出和公用支出。</w:t>
      </w:r>
    </w:p>
    <w:p>
      <w:pPr>
        <w:ind w:firstLine="642"/>
        <w:rPr>
          <w:rFonts w:hint="eastAsia" w:ascii="仿宋_GB2312" w:eastAsia="仿宋_GB2312"/>
          <w:sz w:val="32"/>
          <w:szCs w:val="32"/>
        </w:rPr>
      </w:pPr>
      <w:r>
        <w:rPr>
          <w:rFonts w:hint="eastAsia" w:ascii="仿宋_GB2312" w:eastAsia="仿宋_GB2312"/>
          <w:sz w:val="32"/>
          <w:szCs w:val="32"/>
        </w:rPr>
        <w:t>5、项目支出：指在基本支出之外为完成特定行政任务和事业发展目标所发生的支出。</w:t>
      </w:r>
    </w:p>
    <w:p>
      <w:pPr>
        <w:ind w:firstLine="642"/>
        <w:rPr>
          <w:rFonts w:hint="eastAsia" w:ascii="仿宋_GB2312" w:eastAsia="仿宋_GB2312"/>
          <w:sz w:val="32"/>
          <w:szCs w:val="32"/>
        </w:rPr>
      </w:pPr>
      <w:r>
        <w:rPr>
          <w:rFonts w:hint="eastAsia" w:ascii="仿宋_GB2312" w:eastAsia="仿宋_GB2312"/>
          <w:sz w:val="32"/>
          <w:szCs w:val="32"/>
        </w:rPr>
        <w:t>6、上缴上级支出：指下级单位上缴上级的支出。</w:t>
      </w:r>
    </w:p>
    <w:p>
      <w:pPr>
        <w:ind w:firstLine="642"/>
        <w:rPr>
          <w:rFonts w:hint="eastAsia" w:ascii="仿宋_GB2312" w:eastAsia="仿宋_GB2312"/>
          <w:sz w:val="32"/>
          <w:szCs w:val="32"/>
        </w:rPr>
      </w:pPr>
      <w:r>
        <w:rPr>
          <w:rFonts w:hint="eastAsia" w:ascii="仿宋_GB2312" w:eastAsia="仿宋_GB2312"/>
          <w:sz w:val="32"/>
          <w:szCs w:val="32"/>
        </w:rPr>
        <w:t>7、“三公”经费：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2"/>
        <w:rPr>
          <w:rFonts w:hint="eastAsia" w:ascii="仿宋_GB2312" w:eastAsia="仿宋_GB2312"/>
          <w:sz w:val="32"/>
          <w:szCs w:val="32"/>
        </w:rPr>
      </w:pPr>
      <w:r>
        <w:rPr>
          <w:rFonts w:hint="eastAsia" w:ascii="仿宋_GB2312" w:eastAsia="仿宋_GB2312"/>
          <w:sz w:val="32"/>
          <w:szCs w:val="32"/>
        </w:rPr>
        <w:t>9、上年结转：指以前年度尚未完成、结转到本年仍按原规定用途继续使用的资金。</w:t>
      </w:r>
    </w:p>
    <w:p>
      <w:pPr>
        <w:ind w:firstLine="642"/>
        <w:rPr>
          <w:rFonts w:hint="eastAsia" w:ascii="仿宋_GB2312" w:eastAsia="仿宋_GB2312"/>
          <w:sz w:val="32"/>
          <w:szCs w:val="32"/>
        </w:rPr>
      </w:pPr>
      <w:r>
        <w:rPr>
          <w:rFonts w:hint="eastAsia" w:ascii="仿宋_GB2312" w:eastAsia="仿宋_GB2312"/>
          <w:sz w:val="32"/>
          <w:szCs w:val="32"/>
        </w:rPr>
        <w:t>10、事业单位经营支出：指事业单位在专业业务活动及其辅助活动之外开展非独立核算经营活动发生的支出。</w:t>
      </w:r>
    </w:p>
    <w:p>
      <w:pPr>
        <w:ind w:firstLine="642"/>
        <w:rPr>
          <w:rFonts w:hint="eastAsia" w:ascii="仿宋_GB2312" w:eastAsia="仿宋_GB2312"/>
          <w:sz w:val="32"/>
          <w:szCs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九</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p>
      <w:pPr>
        <w:spacing w:line="500" w:lineRule="exact"/>
        <w:ind w:firstLine="560"/>
      </w:pPr>
    </w:p>
    <w:sectPr>
      <w:footerReference r:id="rId3" w:type="default"/>
      <w:footerReference r:id="rId4" w:type="even"/>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55975"/>
    <w:multiLevelType w:val="singleLevel"/>
    <w:tmpl w:val="9E655975"/>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5MjgxYjJhZjNlNjdkNjQ0ZTMyYzdkYTQxY2Q5ZjEifQ=="/>
  </w:docVars>
  <w:rsids>
    <w:rsidRoot w:val="00C84184"/>
    <w:rsid w:val="000663FC"/>
    <w:rsid w:val="002D2B84"/>
    <w:rsid w:val="003504D7"/>
    <w:rsid w:val="00400FF3"/>
    <w:rsid w:val="0054295A"/>
    <w:rsid w:val="007359B4"/>
    <w:rsid w:val="00766785"/>
    <w:rsid w:val="00841AFA"/>
    <w:rsid w:val="0086544A"/>
    <w:rsid w:val="00924D52"/>
    <w:rsid w:val="009F6417"/>
    <w:rsid w:val="00B10CB1"/>
    <w:rsid w:val="00C84184"/>
    <w:rsid w:val="00CB533E"/>
    <w:rsid w:val="00D55E93"/>
    <w:rsid w:val="00E26674"/>
    <w:rsid w:val="00E4000C"/>
    <w:rsid w:val="00E632BE"/>
    <w:rsid w:val="054D1367"/>
    <w:rsid w:val="06422816"/>
    <w:rsid w:val="08D90383"/>
    <w:rsid w:val="0E391ADF"/>
    <w:rsid w:val="17272BE7"/>
    <w:rsid w:val="1ADF3382"/>
    <w:rsid w:val="1AEB0B8E"/>
    <w:rsid w:val="1BD87196"/>
    <w:rsid w:val="21173E2D"/>
    <w:rsid w:val="267A106F"/>
    <w:rsid w:val="2680587F"/>
    <w:rsid w:val="2AAB228B"/>
    <w:rsid w:val="2E5D3641"/>
    <w:rsid w:val="345E08AA"/>
    <w:rsid w:val="3B656656"/>
    <w:rsid w:val="41851101"/>
    <w:rsid w:val="48F42A82"/>
    <w:rsid w:val="48F50E49"/>
    <w:rsid w:val="4AC5484B"/>
    <w:rsid w:val="4AE2153C"/>
    <w:rsid w:val="4D0A453A"/>
    <w:rsid w:val="50314208"/>
    <w:rsid w:val="50DB03D7"/>
    <w:rsid w:val="52021C26"/>
    <w:rsid w:val="52D239D5"/>
    <w:rsid w:val="556D7BE1"/>
    <w:rsid w:val="567C75A0"/>
    <w:rsid w:val="59D818BF"/>
    <w:rsid w:val="5A326923"/>
    <w:rsid w:val="62FB38C9"/>
    <w:rsid w:val="642710DB"/>
    <w:rsid w:val="68732AD1"/>
    <w:rsid w:val="69A30B3A"/>
    <w:rsid w:val="6B4F1AE2"/>
    <w:rsid w:val="6C585305"/>
    <w:rsid w:val="6D844444"/>
    <w:rsid w:val="6F4C0139"/>
    <w:rsid w:val="6FE33384"/>
    <w:rsid w:val="70B93C36"/>
    <w:rsid w:val="711E1142"/>
    <w:rsid w:val="73B77CF5"/>
    <w:rsid w:val="74916F09"/>
    <w:rsid w:val="75E7686B"/>
    <w:rsid w:val="7BA42BDA"/>
    <w:rsid w:val="7CBE3715"/>
    <w:rsid w:val="7CBE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font01"/>
    <w:basedOn w:val="10"/>
    <w:qFormat/>
    <w:uiPriority w:val="0"/>
    <w:rPr>
      <w:rFonts w:hint="default" w:ascii="方正书宋_GBK" w:hAnsi="方正书宋_GBK" w:eastAsia="方正书宋_GBK" w:cs="方正书宋_GBK"/>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64D1B81-58C5-4607-9FD7-CC1ABBD678CF}">
  <ds:schemaRefs/>
</ds:datastoreItem>
</file>

<file path=customXml/itemProps11.xml><?xml version="1.0" encoding="utf-8"?>
<ds:datastoreItem xmlns:ds="http://schemas.openxmlformats.org/officeDocument/2006/customXml" ds:itemID="{6CDA3ED3-0D63-4469-B5F0-C6A9592633EB}">
  <ds:schemaRefs/>
</ds:datastoreItem>
</file>

<file path=customXml/itemProps12.xml><?xml version="1.0" encoding="utf-8"?>
<ds:datastoreItem xmlns:ds="http://schemas.openxmlformats.org/officeDocument/2006/customXml" ds:itemID="{4FB67A8D-248E-49CB-8DAE-776C90BCCF1B}">
  <ds:schemaRefs/>
</ds:datastoreItem>
</file>

<file path=customXml/itemProps13.xml><?xml version="1.0" encoding="utf-8"?>
<ds:datastoreItem xmlns:ds="http://schemas.openxmlformats.org/officeDocument/2006/customXml" ds:itemID="{C07A7E1E-45A2-4BC8-9837-638E0EB4F3AE}">
  <ds:schemaRefs/>
</ds:datastoreItem>
</file>

<file path=customXml/itemProps14.xml><?xml version="1.0" encoding="utf-8"?>
<ds:datastoreItem xmlns:ds="http://schemas.openxmlformats.org/officeDocument/2006/customXml" ds:itemID="{82937828-C790-4BD8-AAE7-221FEBEE022F}">
  <ds:schemaRefs/>
</ds:datastoreItem>
</file>

<file path=customXml/itemProps15.xml><?xml version="1.0" encoding="utf-8"?>
<ds:datastoreItem xmlns:ds="http://schemas.openxmlformats.org/officeDocument/2006/customXml" ds:itemID="{3CF31A63-82A0-4F7C-9AF1-4F93AB337AA7}">
  <ds:schemaRefs/>
</ds:datastoreItem>
</file>

<file path=customXml/itemProps16.xml><?xml version="1.0" encoding="utf-8"?>
<ds:datastoreItem xmlns:ds="http://schemas.openxmlformats.org/officeDocument/2006/customXml" ds:itemID="{9565B230-51E0-4C20-B4D7-15ACAE157807}">
  <ds:schemaRefs/>
</ds:datastoreItem>
</file>

<file path=customXml/itemProps17.xml><?xml version="1.0" encoding="utf-8"?>
<ds:datastoreItem xmlns:ds="http://schemas.openxmlformats.org/officeDocument/2006/customXml" ds:itemID="{90D06CF5-EB31-45B6-A403-083A49825FF4}">
  <ds:schemaRefs/>
</ds:datastoreItem>
</file>

<file path=customXml/itemProps18.xml><?xml version="1.0" encoding="utf-8"?>
<ds:datastoreItem xmlns:ds="http://schemas.openxmlformats.org/officeDocument/2006/customXml" ds:itemID="{7E9D496C-8D63-450C-949D-19880FBEC3FE}">
  <ds:schemaRefs/>
</ds:datastoreItem>
</file>

<file path=customXml/itemProps19.xml><?xml version="1.0" encoding="utf-8"?>
<ds:datastoreItem xmlns:ds="http://schemas.openxmlformats.org/officeDocument/2006/customXml" ds:itemID="{6F857038-F34E-4E57-933F-82DF716FF1A0}">
  <ds:schemaRefs/>
</ds:datastoreItem>
</file>

<file path=customXml/itemProps2.xml><?xml version="1.0" encoding="utf-8"?>
<ds:datastoreItem xmlns:ds="http://schemas.openxmlformats.org/officeDocument/2006/customXml" ds:itemID="{D38D2A91-67F1-44DF-A688-069EFEEF3CC4}">
  <ds:schemaRefs/>
</ds:datastoreItem>
</file>

<file path=customXml/itemProps20.xml><?xml version="1.0" encoding="utf-8"?>
<ds:datastoreItem xmlns:ds="http://schemas.openxmlformats.org/officeDocument/2006/customXml" ds:itemID="{2CD50D00-82AF-41F0-AA7F-DD622DCAE6EF}">
  <ds:schemaRefs/>
</ds:datastoreItem>
</file>

<file path=customXml/itemProps21.xml><?xml version="1.0" encoding="utf-8"?>
<ds:datastoreItem xmlns:ds="http://schemas.openxmlformats.org/officeDocument/2006/customXml" ds:itemID="{D78EF07C-4340-4B9B-B05B-00BDDE8F6C8A}">
  <ds:schemaRefs/>
</ds:datastoreItem>
</file>

<file path=customXml/itemProps22.xml><?xml version="1.0" encoding="utf-8"?>
<ds:datastoreItem xmlns:ds="http://schemas.openxmlformats.org/officeDocument/2006/customXml" ds:itemID="{6A119EDA-3D4C-4794-8FC0-7DD413DE467F}">
  <ds:schemaRefs/>
</ds:datastoreItem>
</file>

<file path=customXml/itemProps23.xml><?xml version="1.0" encoding="utf-8"?>
<ds:datastoreItem xmlns:ds="http://schemas.openxmlformats.org/officeDocument/2006/customXml" ds:itemID="{2212281B-8C1C-4D30-82D9-C3A9969F023A}">
  <ds:schemaRefs/>
</ds:datastoreItem>
</file>

<file path=customXml/itemProps24.xml><?xml version="1.0" encoding="utf-8"?>
<ds:datastoreItem xmlns:ds="http://schemas.openxmlformats.org/officeDocument/2006/customXml" ds:itemID="{1B7E6B4C-B726-4BED-805A-7C7D697C7192}">
  <ds:schemaRefs/>
</ds:datastoreItem>
</file>

<file path=customXml/itemProps25.xml><?xml version="1.0" encoding="utf-8"?>
<ds:datastoreItem xmlns:ds="http://schemas.openxmlformats.org/officeDocument/2006/customXml" ds:itemID="{8CE8DB1F-BADB-45C8-8AB8-4A00E6121841}">
  <ds:schemaRefs/>
</ds:datastoreItem>
</file>

<file path=customXml/itemProps3.xml><?xml version="1.0" encoding="utf-8"?>
<ds:datastoreItem xmlns:ds="http://schemas.openxmlformats.org/officeDocument/2006/customXml" ds:itemID="{433FD7D1-D62E-49F9-9ACE-A5CE003E76CC}">
  <ds:schemaRefs/>
</ds:datastoreItem>
</file>

<file path=customXml/itemProps4.xml><?xml version="1.0" encoding="utf-8"?>
<ds:datastoreItem xmlns:ds="http://schemas.openxmlformats.org/officeDocument/2006/customXml" ds:itemID="{3F05F81E-811C-471C-995D-950B471207EC}">
  <ds:schemaRefs/>
</ds:datastoreItem>
</file>

<file path=customXml/itemProps5.xml><?xml version="1.0" encoding="utf-8"?>
<ds:datastoreItem xmlns:ds="http://schemas.openxmlformats.org/officeDocument/2006/customXml" ds:itemID="{D2E40858-80D9-4F07-9AFE-4DCDC2F329A4}">
  <ds:schemaRefs/>
</ds:datastoreItem>
</file>

<file path=customXml/itemProps6.xml><?xml version="1.0" encoding="utf-8"?>
<ds:datastoreItem xmlns:ds="http://schemas.openxmlformats.org/officeDocument/2006/customXml" ds:itemID="{B0CA9BB7-80DC-46E4-BB1B-7FBBDEFF5846}">
  <ds:schemaRefs/>
</ds:datastoreItem>
</file>

<file path=customXml/itemProps7.xml><?xml version="1.0" encoding="utf-8"?>
<ds:datastoreItem xmlns:ds="http://schemas.openxmlformats.org/officeDocument/2006/customXml" ds:itemID="{AFBFE560-862B-4453-820C-530344D81E7E}">
  <ds:schemaRefs/>
</ds:datastoreItem>
</file>

<file path=customXml/itemProps8.xml><?xml version="1.0" encoding="utf-8"?>
<ds:datastoreItem xmlns:ds="http://schemas.openxmlformats.org/officeDocument/2006/customXml" ds:itemID="{797968C7-1544-4913-B02E-CC72BD280379}">
  <ds:schemaRefs/>
</ds:datastoreItem>
</file>

<file path=customXml/itemProps9.xml><?xml version="1.0" encoding="utf-8"?>
<ds:datastoreItem xmlns:ds="http://schemas.openxmlformats.org/officeDocument/2006/customXml" ds:itemID="{9FE0D322-B35C-465A-8FC8-72460E41D219}">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8236</Words>
  <Characters>10196</Characters>
  <Lines>335</Lines>
  <Paragraphs>94</Paragraphs>
  <TotalTime>1</TotalTime>
  <ScaleCrop>false</ScaleCrop>
  <LinksUpToDate>false</LinksUpToDate>
  <CharactersWithSpaces>10335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2022-07-06T03:48:40Z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85C7FAB48AB641839001B8E60B41B411</vt:lpwstr>
  </property>
</Properties>
</file>