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区委区直工委本级202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区委区直工委本级预算公开表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区委区直工委本级</w:t>
      </w:r>
      <w:r>
        <w:t>预算收支总表</w:t>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区委区直工委本级</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区委区直工委本级</w:t>
      </w:r>
      <w:r>
        <w:t>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区委区直工委本级</w:t>
      </w:r>
      <w:r>
        <w:t>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t>区委区直工委本级预算一般公共预算财政拨款支出表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区委区直工委本级预算一般公共预算财政拨款基本支出表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区委区直工委本级预算政府基金预算财政拨款支出表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区委区直工委本级预算国有资本经营预算财政拨款支出表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区委区直工委本级预算财政拨款“三公”经费支出表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区委区直工委本级预算信息公开情况说明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一、区委区直工委本级职责及机构设置情况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二、区委区直工委本级预算安排的总体情况</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一、区直工委部门区委区直工委本级收支预算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tbl>
      <w:tblPr>
        <w:tblW w:w="12750" w:type="dxa"/>
        <w:jc w:val="center"/>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 w:hRule="atLeast"/>
          <w:jc w:val="center"/>
        </w:trPr>
        <w:tc>
          <w:tcPr>
            <w:tcW w:w="12750"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43"/>
                <w:szCs w:val="4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750"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42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18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四、财政专户管理资金收入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五、事业收入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六、事业单位经营收入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七、上级补助收入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八、附属单位上缴收入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九、其他收入</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上年结转结余</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年终结转结余</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18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r>
    </w:tbl>
    <w:p>
      <w:pPr>
        <w:jc w:val="cente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p/>
    <w:tbl>
      <w:tblPr>
        <w:tblW w:w="135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90"/>
        <w:gridCol w:w="750"/>
        <w:gridCol w:w="2910"/>
        <w:gridCol w:w="1049"/>
        <w:gridCol w:w="983"/>
        <w:gridCol w:w="1117"/>
        <w:gridCol w:w="751"/>
        <w:gridCol w:w="750"/>
        <w:gridCol w:w="750"/>
        <w:gridCol w:w="1110"/>
        <w:gridCol w:w="1470"/>
        <w:gridCol w:w="7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9450"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258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150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36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功能分类科目</w:t>
            </w:r>
          </w:p>
        </w:tc>
        <w:tc>
          <w:tcPr>
            <w:tcW w:w="104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7681"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财政拨款收入</w:t>
            </w:r>
          </w:p>
        </w:tc>
        <w:tc>
          <w:tcPr>
            <w:tcW w:w="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事业收入</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经营收入</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上级补助收入</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其他收入</w:t>
            </w: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其他共产党事务支出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29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10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98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1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7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tbl>
      <w:tblPr>
        <w:tblW w:w="14475" w:type="dxa"/>
        <w:jc w:val="center"/>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8475"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300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00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434039.73</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其他共产党事务支出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p/>
    <w:tbl>
      <w:tblPr>
        <w:tblW w:w="13020" w:type="dxa"/>
        <w:jc w:val="center"/>
        <w:tblInd w:w="9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90"/>
        <w:gridCol w:w="2190"/>
        <w:gridCol w:w="840"/>
        <w:gridCol w:w="2730"/>
        <w:gridCol w:w="1010"/>
        <w:gridCol w:w="1884"/>
        <w:gridCol w:w="1786"/>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6150"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2894"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976"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30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960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w:t>
            </w:r>
          </w:p>
        </w:tc>
        <w:tc>
          <w:tcPr>
            <w:tcW w:w="27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8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一般公共预算财政拨款</w:t>
            </w:r>
          </w:p>
        </w:tc>
        <w:tc>
          <w:tcPr>
            <w:tcW w:w="1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政府性基金预算财政拨款</w:t>
            </w:r>
          </w:p>
        </w:tc>
        <w:tc>
          <w:tcPr>
            <w:tcW w:w="21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21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年初财政拨款结转和结余</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年末财政拨款结转和结余</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27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10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8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78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tbl>
      <w:tblPr>
        <w:tblW w:w="13875" w:type="dxa"/>
        <w:jc w:val="center"/>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9075"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240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24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464039.73</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434039.73</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392728.99</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41310.74</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254016.52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36765.86</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其他共产党事务支出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254016.52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36765.86</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290782.38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254016.52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36765.86</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60349.99</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4544.88</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64894.87</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60349.99</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4544.88</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27534.39</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22989.51</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4544.88</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50342.12</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cente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W w:w="14475" w:type="dxa"/>
        <w:jc w:val="center"/>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8475"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30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434039.73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392728.99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368899.48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368899.48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121332.00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121332.00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120566.00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120566.00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10111.00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10111.00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37360.48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18096.48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公务员医疗补助缴费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32245.64</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1167.52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1167.52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28020.36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41310.74</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办公费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30207</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邮电费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30213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维修(护)费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劳务费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2280.00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4670.06</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3033.30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30239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其他交通费用</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19800.00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30299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4807.38</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23829.51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23829.51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30302</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22989.51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22989.51</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30309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奖励金</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30399</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720.00</w:t>
            </w: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right"/>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pPr w:leftFromText="180" w:rightFromText="180" w:vertAnchor="text" w:horzAnchor="page" w:tblpX="1436" w:tblpY="321"/>
        <w:tblOverlap w:val="never"/>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预算单位编码及名称：[286001]区直工委部门区委区直工委本级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420"/>
        <w:jc w:val="left"/>
        <w:outlineLvl w:val="9"/>
        <w:rPr>
          <w:rFonts w:ascii="方正书宋_GBK" w:hAnsi="方正书宋_GBK" w:eastAsia="方正书宋_GBK" w:cs="方正书宋_GBK"/>
          <w:color w:val="000000"/>
          <w:sz w:val="21"/>
        </w:rPr>
      </w:pPr>
    </w:p>
    <w:tbl>
      <w:tblPr>
        <w:tblW w:w="14475" w:type="dxa"/>
        <w:jc w:val="center"/>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8475"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30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rPr>
          <w:rFonts w:ascii="方正书宋_GBK" w:hAnsi="方正书宋_GBK" w:eastAsia="方正书宋_GBK" w:cs="方正书宋_GBK"/>
          <w:color w:val="000000"/>
          <w:sz w:val="21"/>
        </w:rPr>
      </w:pPr>
    </w:p>
    <w:tbl>
      <w:tblPr>
        <w:tblW w:w="14250" w:type="dxa"/>
        <w:jc w:val="center"/>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9450"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预算单位编码及名称：[286001]区直工委部门区委区直工委本级</w:t>
            </w:r>
          </w:p>
        </w:tc>
        <w:tc>
          <w:tcPr>
            <w:tcW w:w="24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24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区委区直工委本级202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按照《预算法》、《地方预决算公开操作规程》和《关于进一步推进预算公开工作的实施意见》规定，现将区委区直工委本级202</w:t>
      </w:r>
      <w:r>
        <w:rPr>
          <w:rFonts w:hint="eastAsia" w:ascii="仿宋_GB2312" w:hAnsi="仿宋_GB2312" w:eastAsia="仿宋_GB2312" w:cs="仿宋_GB2312"/>
          <w:b w:val="0"/>
          <w:color w:val="000000"/>
          <w:sz w:val="32"/>
          <w:szCs w:val="32"/>
          <w:lang w:val="en-US" w:eastAsia="zh-CN"/>
        </w:rPr>
        <w:t>1</w:t>
      </w:r>
      <w:r>
        <w:rPr>
          <w:rFonts w:hint="eastAsia" w:ascii="仿宋_GB2312" w:hAnsi="仿宋_GB2312" w:eastAsia="仿宋_GB2312" w:cs="仿宋_GB2312"/>
          <w:b w:val="0"/>
          <w:color w:val="000000"/>
          <w:sz w:val="32"/>
          <w:szCs w:val="32"/>
        </w:rPr>
        <w:t>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b/>
          <w:color w:val="000000"/>
          <w:sz w:val="32"/>
        </w:rPr>
        <w:t>单位职责：</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sz w:val="32"/>
        </w:rPr>
        <w:t>根据《区直工委职能配置、内设机构和人员编制规定》</w:t>
      </w:r>
      <w:r>
        <w:rPr>
          <w:rFonts w:hint="eastAsia" w:ascii="仿宋_GB2312" w:hAnsi="仿宋_GB2312" w:eastAsia="仿宋_GB2312" w:cs="仿宋_GB2312"/>
          <w:bCs/>
          <w:sz w:val="32"/>
          <w:szCs w:val="32"/>
        </w:rPr>
        <w:t>区直工委的主要职责是：</w:t>
      </w:r>
      <w:r>
        <w:rPr>
          <w:rFonts w:hint="eastAsia" w:ascii="仿宋_GB2312" w:hAnsi="仿宋_GB2312" w:eastAsia="仿宋_GB2312" w:cs="仿宋_GB2312"/>
          <w:bCs/>
          <w:color w:val="000000"/>
          <w:kern w:val="0"/>
          <w:sz w:val="32"/>
          <w:szCs w:val="32"/>
          <w:lang w:bidi="ar"/>
        </w:rPr>
        <w:t>统一组织、规划、部署区直机关党的工作，研究制定工作规划，并抓好组织实施；指导区直机关党的政治建设、思想建设、组织建设、作风建设、纪律建设，把制度建设贯穿其中；配合区委有关</w:t>
      </w:r>
      <w:r>
        <w:rPr>
          <w:rFonts w:hint="eastAsia" w:ascii="仿宋_GB2312" w:hAnsi="仿宋_GB2312" w:eastAsia="仿宋_GB2312" w:cs="仿宋_GB2312"/>
          <w:bCs/>
          <w:color w:val="000000"/>
          <w:kern w:val="0"/>
          <w:sz w:val="32"/>
          <w:szCs w:val="32"/>
          <w:lang w:eastAsia="zh-CN" w:bidi="ar"/>
        </w:rPr>
        <w:t>单位</w:t>
      </w:r>
      <w:r>
        <w:rPr>
          <w:rFonts w:hint="eastAsia" w:ascii="仿宋_GB2312" w:hAnsi="仿宋_GB2312" w:eastAsia="仿宋_GB2312" w:cs="仿宋_GB2312"/>
          <w:bCs/>
          <w:color w:val="000000"/>
          <w:kern w:val="0"/>
          <w:sz w:val="32"/>
          <w:szCs w:val="32"/>
          <w:lang w:bidi="ar"/>
        </w:rPr>
        <w:t>抓好区直机关各</w:t>
      </w:r>
      <w:r>
        <w:rPr>
          <w:rFonts w:hint="eastAsia" w:ascii="仿宋_GB2312" w:hAnsi="仿宋_GB2312" w:eastAsia="仿宋_GB2312" w:cs="仿宋_GB2312"/>
          <w:bCs/>
          <w:color w:val="000000"/>
          <w:kern w:val="0"/>
          <w:sz w:val="32"/>
          <w:szCs w:val="32"/>
          <w:lang w:eastAsia="zh-CN" w:bidi="ar"/>
        </w:rPr>
        <w:t>单位</w:t>
      </w:r>
      <w:r>
        <w:rPr>
          <w:rFonts w:hint="eastAsia" w:ascii="仿宋_GB2312" w:hAnsi="仿宋_GB2312" w:eastAsia="仿宋_GB2312" w:cs="仿宋_GB2312"/>
          <w:bCs/>
          <w:color w:val="000000"/>
          <w:kern w:val="0"/>
          <w:sz w:val="32"/>
          <w:szCs w:val="32"/>
          <w:lang w:bidi="ar"/>
        </w:rPr>
        <w:t>领导班子思想政治建设。按照区委确定的管理范围，负责任免、管理所属区直机关党组织书记、副书记；指导所属区直机关党组织实施对党员特别是党员领导干部的监督和管理。督促指导区直机关基层党组织按期换届；指导加强各级党组织加强基层组织建设，做好党员发展、教育管理等工作；指导区直机关各党组织做好党的群众工作；指导区直机关各级党组织加强思想政治工作和精神文明建设。</w:t>
      </w:r>
    </w:p>
    <w:p>
      <w:pPr>
        <w:pStyle w:val="27"/>
      </w:pPr>
    </w:p>
    <w:p>
      <w:pPr>
        <w:spacing w:before="0" w:after="0" w:line="240" w:lineRule="auto"/>
        <w:ind w:firstLine="640"/>
        <w:jc w:val="left"/>
        <w:outlineLvl w:val="9"/>
        <w:rPr>
          <w:rFonts w:hint="eastAsia" w:ascii="楷体_GB2312" w:hAnsi="楷体_GB2312" w:eastAsia="楷体_GB2312" w:cs="楷体_GB2312"/>
        </w:rPr>
      </w:pPr>
      <w:r>
        <w:rPr>
          <w:rFonts w:hint="eastAsia" w:ascii="楷体_GB2312" w:hAnsi="楷体_GB2312" w:eastAsia="楷体_GB2312" w:cs="楷体_GB2312"/>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rPr>
          <w:rFonts w:ascii="黑体" w:hAnsi="黑体" w:eastAsia="黑体" w:cs="黑体"/>
          <w:color w:val="000000"/>
          <w:sz w:val="32"/>
        </w:rPr>
      </w:pPr>
    </w:p>
    <w:tbl>
      <w:tblPr>
        <w:tblStyle w:val="6"/>
        <w:tblpPr w:leftFromText="180" w:rightFromText="180" w:vertAnchor="text" w:horzAnchor="page" w:tblpX="2170" w:tblpY="-602"/>
        <w:tblOverlap w:val="never"/>
        <w:tblW w:w="112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26"/>
        <w:gridCol w:w="1933"/>
        <w:gridCol w:w="1884"/>
        <w:gridCol w:w="2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trPr>
        <w:tc>
          <w:tcPr>
            <w:tcW w:w="5126" w:type="dxa"/>
            <w:vAlign w:val="center"/>
          </w:tcPr>
          <w:p>
            <w:pPr>
              <w:pStyle w:val="12"/>
            </w:pPr>
            <w:r>
              <w:t>单位名称</w:t>
            </w:r>
          </w:p>
        </w:tc>
        <w:tc>
          <w:tcPr>
            <w:tcW w:w="1933" w:type="dxa"/>
            <w:vAlign w:val="center"/>
          </w:tcPr>
          <w:p>
            <w:pPr>
              <w:pStyle w:val="12"/>
            </w:pPr>
            <w:r>
              <w:t>单位性质</w:t>
            </w:r>
          </w:p>
        </w:tc>
        <w:tc>
          <w:tcPr>
            <w:tcW w:w="1884" w:type="dxa"/>
            <w:vAlign w:val="center"/>
          </w:tcPr>
          <w:p>
            <w:pPr>
              <w:pStyle w:val="12"/>
            </w:pPr>
            <w:r>
              <w:t>单位规格</w:t>
            </w:r>
          </w:p>
        </w:tc>
        <w:tc>
          <w:tcPr>
            <w:tcW w:w="2316"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5126" w:type="dxa"/>
            <w:vAlign w:val="center"/>
          </w:tcPr>
          <w:p>
            <w:pPr>
              <w:pStyle w:val="14"/>
              <w:rPr>
                <w:rFonts w:hint="eastAsia" w:eastAsia="方正书宋_GBK"/>
                <w:lang w:val="en-US" w:eastAsia="zh-CN"/>
              </w:rPr>
            </w:pPr>
            <w:r>
              <w:rPr>
                <w:rFonts w:hint="eastAsia"/>
                <w:lang w:val="en-US" w:eastAsia="zh-CN"/>
              </w:rPr>
              <w:t>中共秦皇岛市山海关区委区直机关工作委员会</w:t>
            </w:r>
          </w:p>
        </w:tc>
        <w:tc>
          <w:tcPr>
            <w:tcW w:w="1933" w:type="dxa"/>
            <w:vAlign w:val="center"/>
          </w:tcPr>
          <w:p>
            <w:pPr>
              <w:pStyle w:val="15"/>
            </w:pPr>
            <w:r>
              <w:t>行政</w:t>
            </w:r>
          </w:p>
        </w:tc>
        <w:tc>
          <w:tcPr>
            <w:tcW w:w="1884" w:type="dxa"/>
            <w:vAlign w:val="center"/>
          </w:tcPr>
          <w:p>
            <w:pPr>
              <w:pStyle w:val="15"/>
            </w:pPr>
            <w:r>
              <w:t>正科级</w:t>
            </w:r>
          </w:p>
        </w:tc>
        <w:tc>
          <w:tcPr>
            <w:tcW w:w="2316" w:type="dxa"/>
            <w:vAlign w:val="center"/>
          </w:tcPr>
          <w:p>
            <w:pPr>
              <w:pStyle w:val="15"/>
            </w:pPr>
            <w:r>
              <w:t>财政拨款</w:t>
            </w:r>
          </w:p>
        </w:tc>
      </w:tr>
    </w:tbl>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仿宋"/>
          <w:color w:val="000000"/>
          <w:sz w:val="32"/>
        </w:rPr>
      </w:pPr>
      <w:r>
        <w:rPr>
          <w:rFonts w:hint="eastAsia" w:ascii="仿宋_GB2312" w:hAnsi="仿宋" w:eastAsia="仿宋_GB2312" w:cs="仿宋"/>
          <w:color w:val="000000"/>
          <w:sz w:val="32"/>
        </w:rPr>
        <w:t>按照预算管理有关规定，目前我</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预算的编制实行综合预算制度，即全部收入和支出都反映在预算中。山海关区委区直工委</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keepNext w:val="0"/>
        <w:keepLines w:val="0"/>
        <w:pageBreakBefore w:val="0"/>
        <w:kinsoku/>
        <w:wordWrap/>
        <w:overflowPunct/>
        <w:topLinePunct w:val="0"/>
        <w:autoSpaceDE/>
        <w:autoSpaceDN/>
        <w:bidi w:val="0"/>
        <w:adjustRightInd/>
        <w:snapToGrid/>
        <w:jc w:val="left"/>
        <w:textAlignment w:val="auto"/>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keepNext w:val="0"/>
        <w:keepLines w:val="0"/>
        <w:pageBreakBefore w:val="0"/>
        <w:widowControl w:val="0"/>
        <w:kinsoku/>
        <w:wordWrap/>
        <w:overflowPunct/>
        <w:topLinePunct w:val="0"/>
        <w:autoSpaceDE/>
        <w:autoSpaceDN/>
        <w:bidi w:val="0"/>
        <w:adjustRightInd/>
        <w:snapToGrid/>
        <w:spacing w:after="156" w:afterLines="50"/>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年预算收入为</w:t>
      </w:r>
      <w:r>
        <w:rPr>
          <w:rFonts w:hint="eastAsia" w:ascii="仿宋_GB2312" w:eastAsia="仿宋_GB2312"/>
          <w:sz w:val="32"/>
          <w:szCs w:val="32"/>
          <w:lang w:val="en-US" w:eastAsia="zh-CN"/>
        </w:rPr>
        <w:t>464039.73</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464039.73</w:t>
      </w:r>
      <w:r>
        <w:rPr>
          <w:rFonts w:hint="eastAsia" w:ascii="仿宋_GB2312" w:eastAsia="仿宋_GB2312"/>
          <w:sz w:val="32"/>
          <w:szCs w:val="32"/>
        </w:rPr>
        <w:t>元，基金预算收入0元，财政专户核拨收入0元，其他来源收入0元。</w:t>
      </w:r>
    </w:p>
    <w:p>
      <w:pPr>
        <w:keepNext w:val="0"/>
        <w:keepLines w:val="0"/>
        <w:pageBreakBefore w:val="0"/>
        <w:kinsoku/>
        <w:wordWrap/>
        <w:overflowPunct/>
        <w:topLinePunct w:val="0"/>
        <w:autoSpaceDE/>
        <w:autoSpaceDN/>
        <w:bidi w:val="0"/>
        <w:adjustRightInd/>
        <w:snapToGrid/>
        <w:jc w:val="left"/>
        <w:textAlignment w:val="auto"/>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eastAsia="仿宋_GB2312"/>
          <w:sz w:val="32"/>
          <w:szCs w:val="32"/>
          <w:lang w:eastAsia="zh-CN"/>
        </w:rPr>
      </w:pPr>
      <w:r>
        <w:rPr>
          <w:rFonts w:hint="eastAsia" w:ascii="仿宋_GB2312" w:hAnsi="仿宋" w:eastAsia="仿宋_GB2312" w:cs="仿宋"/>
          <w:b/>
          <w:color w:val="000000"/>
          <w:sz w:val="32"/>
        </w:rPr>
        <w:t>收支预算总表支出栏、基本支出表、项目支出表按经济分类和支出功能分类科目编制，反映山海关区委区直工委年度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2021年预算支出为</w:t>
      </w:r>
      <w:r>
        <w:rPr>
          <w:rFonts w:hint="eastAsia" w:ascii="仿宋_GB2312" w:eastAsia="仿宋_GB2312"/>
          <w:sz w:val="32"/>
          <w:szCs w:val="32"/>
          <w:lang w:val="en-US" w:eastAsia="zh-CN"/>
        </w:rPr>
        <w:t>464039.73</w:t>
      </w:r>
      <w:r>
        <w:rPr>
          <w:rFonts w:hint="eastAsia" w:ascii="仿宋_GB2312" w:eastAsia="仿宋_GB2312"/>
          <w:sz w:val="32"/>
          <w:szCs w:val="32"/>
        </w:rPr>
        <w:t>元，其中：基本支出</w:t>
      </w:r>
      <w:r>
        <w:rPr>
          <w:rFonts w:hint="eastAsia" w:ascii="仿宋_GB2312" w:eastAsia="仿宋_GB2312"/>
          <w:sz w:val="32"/>
          <w:szCs w:val="32"/>
          <w:lang w:val="en-US" w:eastAsia="zh-CN"/>
        </w:rPr>
        <w:t>434039.73</w:t>
      </w:r>
      <w:r>
        <w:rPr>
          <w:rFonts w:hint="eastAsia" w:ascii="仿宋_GB2312" w:eastAsia="仿宋_GB2312"/>
          <w:sz w:val="32"/>
          <w:szCs w:val="32"/>
        </w:rPr>
        <w:t>元，主要是人员经费</w:t>
      </w:r>
      <w:r>
        <w:rPr>
          <w:rFonts w:hint="eastAsia" w:ascii="仿宋_GB2312" w:eastAsia="仿宋_GB2312"/>
          <w:sz w:val="32"/>
          <w:szCs w:val="32"/>
          <w:lang w:val="en-US" w:eastAsia="zh-CN"/>
        </w:rPr>
        <w:t>392728.99</w:t>
      </w:r>
      <w:r>
        <w:rPr>
          <w:rFonts w:hint="eastAsia" w:ascii="仿宋_GB2312" w:eastAsia="仿宋_GB2312"/>
          <w:sz w:val="32"/>
          <w:szCs w:val="32"/>
        </w:rPr>
        <w:t>元和日常公用经费</w:t>
      </w:r>
      <w:r>
        <w:rPr>
          <w:rFonts w:hint="eastAsia" w:ascii="仿宋_GB2312" w:eastAsia="仿宋_GB2312"/>
          <w:sz w:val="32"/>
          <w:szCs w:val="32"/>
          <w:lang w:val="en-US" w:eastAsia="zh-CN"/>
        </w:rPr>
        <w:t>41310.74</w:t>
      </w:r>
      <w:r>
        <w:rPr>
          <w:rFonts w:hint="eastAsia" w:ascii="仿宋_GB2312" w:eastAsia="仿宋_GB2312"/>
          <w:sz w:val="32"/>
          <w:szCs w:val="32"/>
        </w:rPr>
        <w:t>元；项目支出</w:t>
      </w:r>
      <w:r>
        <w:rPr>
          <w:rFonts w:hint="eastAsia" w:ascii="仿宋_GB2312" w:eastAsia="仿宋_GB2312"/>
          <w:sz w:val="32"/>
          <w:szCs w:val="32"/>
          <w:lang w:val="en-US" w:eastAsia="zh-CN"/>
        </w:rPr>
        <w:t>30000.00</w:t>
      </w:r>
      <w:r>
        <w:rPr>
          <w:rFonts w:hint="eastAsia" w:ascii="仿宋_GB2312" w:eastAsia="仿宋_GB2312"/>
          <w:sz w:val="32"/>
          <w:szCs w:val="32"/>
        </w:rPr>
        <w:t>元，主要为</w:t>
      </w:r>
      <w:r>
        <w:rPr>
          <w:rFonts w:hint="eastAsia" w:ascii="仿宋_GB2312" w:eastAsia="仿宋_GB2312"/>
          <w:sz w:val="32"/>
          <w:szCs w:val="32"/>
          <w:lang w:eastAsia="zh-CN"/>
        </w:rPr>
        <w:t>机关工委业务费。</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楷体_GB2312" w:hAnsi="楷体" w:eastAsia="楷体_GB2312" w:cs="楷体"/>
          <w:b/>
          <w:color w:val="000000"/>
          <w:sz w:val="32"/>
        </w:rPr>
      </w:pPr>
      <w:r>
        <w:rPr>
          <w:rFonts w:hint="eastAsia" w:ascii="楷体_GB2312" w:hAnsi="楷体" w:eastAsia="楷体_GB2312" w:cs="楷体"/>
          <w:b/>
          <w:color w:val="000000"/>
          <w:sz w:val="32"/>
        </w:rPr>
        <w:t>3、比上年增减情况</w:t>
      </w:r>
    </w:p>
    <w:p>
      <w:pPr>
        <w:keepNext w:val="0"/>
        <w:keepLines w:val="0"/>
        <w:pageBreakBefore w:val="0"/>
        <w:kinsoku/>
        <w:wordWrap/>
        <w:overflowPunct/>
        <w:topLinePunct w:val="0"/>
        <w:autoSpaceDE/>
        <w:autoSpaceDN/>
        <w:bidi w:val="0"/>
        <w:adjustRightInd/>
        <w:snapToGrid/>
        <w:ind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rPr>
        <w:t>2021年预算支出安排</w:t>
      </w:r>
      <w:r>
        <w:rPr>
          <w:rFonts w:hint="eastAsia" w:ascii="仿宋_GB2312" w:eastAsia="仿宋_GB2312"/>
          <w:sz w:val="32"/>
          <w:szCs w:val="32"/>
          <w:lang w:val="en-US" w:eastAsia="zh-CN"/>
        </w:rPr>
        <w:t>464039.73</w:t>
      </w:r>
      <w:r>
        <w:rPr>
          <w:rFonts w:hint="eastAsia" w:ascii="仿宋_GB2312" w:eastAsia="仿宋_GB2312"/>
          <w:sz w:val="32"/>
          <w:szCs w:val="32"/>
        </w:rPr>
        <w:t>元，</w:t>
      </w:r>
      <w:r>
        <w:rPr>
          <w:rFonts w:hint="eastAsia" w:ascii="仿宋_GB2312" w:eastAsia="仿宋_GB2312"/>
          <w:color w:val="auto"/>
          <w:sz w:val="32"/>
          <w:szCs w:val="32"/>
        </w:rPr>
        <w:t>较2020年预算</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14210.7元</w:t>
      </w:r>
      <w:r>
        <w:rPr>
          <w:rFonts w:hint="eastAsia" w:ascii="仿宋_GB2312" w:eastAsia="仿宋_GB2312"/>
          <w:color w:val="auto"/>
          <w:sz w:val="32"/>
          <w:szCs w:val="32"/>
        </w:rPr>
        <w:t>，其中：基本支出</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14210.7元</w:t>
      </w:r>
      <w:r>
        <w:rPr>
          <w:rFonts w:hint="eastAsia" w:ascii="仿宋_GB2312" w:eastAsia="仿宋_GB2312"/>
          <w:color w:val="auto"/>
          <w:sz w:val="32"/>
          <w:szCs w:val="32"/>
        </w:rPr>
        <w:t>，主要为</w:t>
      </w:r>
      <w:r>
        <w:rPr>
          <w:rFonts w:hint="eastAsia" w:ascii="仿宋_GB2312" w:eastAsia="仿宋_GB2312"/>
          <w:color w:val="auto"/>
          <w:sz w:val="32"/>
          <w:szCs w:val="32"/>
          <w:lang w:val="en-US" w:eastAsia="zh-CN"/>
        </w:rPr>
        <w:t>人员工资</w:t>
      </w:r>
      <w:r>
        <w:rPr>
          <w:rFonts w:hint="eastAsia" w:ascii="仿宋_GB2312" w:eastAsia="仿宋_GB2312"/>
          <w:color w:val="auto"/>
          <w:sz w:val="32"/>
          <w:szCs w:val="32"/>
        </w:rPr>
        <w:t>支出；项目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lang w:val="en-US" w:eastAsia="zh-CN"/>
        </w:rPr>
        <w:t>2020年预算一致。</w:t>
      </w: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adjustRightInd/>
        <w:snapToGrid/>
        <w:ind w:firstLine="636"/>
        <w:textAlignment w:val="auto"/>
      </w:pPr>
      <w:r>
        <w:rPr>
          <w:rFonts w:hint="eastAsia" w:ascii="仿宋_GB2312" w:eastAsia="仿宋_GB2312"/>
          <w:sz w:val="32"/>
          <w:szCs w:val="32"/>
        </w:rPr>
        <w:t>机关运行经费共计安排</w:t>
      </w:r>
      <w:r>
        <w:rPr>
          <w:rFonts w:hint="eastAsia" w:ascii="仿宋_GB2312" w:eastAsia="仿宋_GB2312"/>
          <w:sz w:val="32"/>
          <w:szCs w:val="32"/>
          <w:lang w:val="en-US" w:eastAsia="zh-CN"/>
        </w:rPr>
        <w:t>41310.74</w:t>
      </w:r>
      <w:r>
        <w:rPr>
          <w:rFonts w:hint="eastAsia" w:ascii="仿宋_GB2312" w:eastAsia="仿宋_GB2312"/>
          <w:sz w:val="32"/>
          <w:szCs w:val="32"/>
        </w:rPr>
        <w:t>元，主要用于</w:t>
      </w:r>
      <w:r>
        <w:rPr>
          <w:rFonts w:hint="eastAsia" w:ascii="仿宋_GB2312" w:eastAsia="仿宋_GB2312"/>
          <w:sz w:val="32"/>
          <w:szCs w:val="32"/>
          <w:highlight w:val="none"/>
        </w:rPr>
        <w:t>办公费</w:t>
      </w:r>
      <w:r>
        <w:rPr>
          <w:rFonts w:hint="eastAsia" w:ascii="仿宋_GB2312" w:eastAsia="仿宋_GB2312"/>
          <w:sz w:val="32"/>
          <w:szCs w:val="32"/>
          <w:highlight w:val="none"/>
          <w:lang w:val="en-US" w:eastAsia="zh-CN"/>
        </w:rPr>
        <w:t>1920</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3300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维修（护）</w:t>
      </w:r>
      <w:r>
        <w:rPr>
          <w:rFonts w:hint="eastAsia" w:ascii="仿宋_GB2312" w:eastAsia="仿宋_GB2312"/>
          <w:sz w:val="32"/>
          <w:szCs w:val="32"/>
          <w:highlight w:val="none"/>
          <w:lang w:val="en-US" w:eastAsia="zh-CN"/>
        </w:rPr>
        <w:t>1500元、劳务费2280元、工会经费4670.06元、福利费3033.30元、其他交通费用19800元、</w:t>
      </w:r>
      <w:r>
        <w:rPr>
          <w:rFonts w:hint="eastAsia" w:ascii="仿宋_GB2312" w:eastAsia="仿宋_GB2312"/>
          <w:sz w:val="32"/>
          <w:szCs w:val="32"/>
          <w:highlight w:val="none"/>
          <w:lang w:eastAsia="zh-CN"/>
        </w:rPr>
        <w:t>其他商品和服务支出</w:t>
      </w:r>
      <w:r>
        <w:rPr>
          <w:rFonts w:hint="eastAsia" w:ascii="仿宋_GB2312" w:eastAsia="仿宋_GB2312"/>
          <w:sz w:val="32"/>
          <w:szCs w:val="32"/>
          <w:highlight w:val="none"/>
          <w:lang w:val="en-US" w:eastAsia="zh-CN"/>
        </w:rPr>
        <w:t>4807.38元</w:t>
      </w:r>
      <w:r>
        <w:rPr>
          <w:rFonts w:hint="eastAsia" w:ascii="仿宋_GB2312" w:eastAsia="仿宋_GB2312"/>
          <w:sz w:val="32"/>
          <w:szCs w:val="32"/>
        </w:rPr>
        <w:t>等日常运行支出。</w:t>
      </w:r>
    </w:p>
    <w:p>
      <w:pPr>
        <w:keepNext w:val="0"/>
        <w:keepLines w:val="0"/>
        <w:pageBreakBefore w:val="0"/>
        <w:kinsoku/>
        <w:wordWrap/>
        <w:overflowPunct/>
        <w:topLinePunct w:val="0"/>
        <w:autoSpaceDE/>
        <w:autoSpaceDN/>
        <w:bidi w:val="0"/>
        <w:adjustRightInd/>
        <w:snapToGrid/>
        <w:spacing w:before="10" w:after="10" w:line="240" w:lineRule="auto"/>
        <w:ind w:firstLine="640"/>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kinsoku/>
        <w:wordWrap/>
        <w:overflowPunct/>
        <w:topLinePunct w:val="0"/>
        <w:autoSpaceDE/>
        <w:autoSpaceDN/>
        <w:bidi w:val="0"/>
        <w:adjustRightInd/>
        <w:snapToGrid/>
        <w:ind w:firstLine="640"/>
        <w:textAlignment w:val="auto"/>
        <w:rPr>
          <w:rFonts w:hint="eastAsia" w:ascii="黑体" w:hAnsi="黑体" w:eastAsia="黑体"/>
          <w:color w:val="000000"/>
          <w:sz w:val="32"/>
        </w:rPr>
      </w:pPr>
      <w:r>
        <w:rPr>
          <w:rFonts w:hint="eastAsia" w:ascii="仿宋_GB2312" w:eastAsia="仿宋_GB2312"/>
          <w:sz w:val="32"/>
          <w:szCs w:val="32"/>
        </w:rPr>
        <w:t>2021年，</w:t>
      </w:r>
      <w:r>
        <w:rPr>
          <w:rFonts w:hint="eastAsia" w:ascii="仿宋_GB2312" w:eastAsia="仿宋_GB2312"/>
          <w:color w:val="auto"/>
          <w:sz w:val="32"/>
          <w:szCs w:val="32"/>
        </w:rPr>
        <w:t>我部门财政拨款“三公”经费预算安排</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sz w:val="32"/>
          <w:szCs w:val="32"/>
          <w:lang w:eastAsia="zh-CN"/>
        </w:rPr>
        <w:t>与上年持平，无增减变化</w:t>
      </w:r>
      <w:r>
        <w:rPr>
          <w:rFonts w:hint="eastAsia" w:ascii="仿宋_GB2312" w:eastAsia="仿宋_GB2312"/>
          <w:sz w:val="32"/>
          <w:szCs w:val="32"/>
        </w:rPr>
        <w:t>。</w:t>
      </w:r>
      <w:r>
        <w:rPr>
          <w:rFonts w:hint="eastAsia" w:ascii="仿宋_GB2312" w:eastAsia="仿宋_GB2312"/>
          <w:color w:val="auto"/>
          <w:sz w:val="32"/>
          <w:szCs w:val="32"/>
        </w:rPr>
        <w:t>其中：因公出国（境）费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r>
        <w:rPr>
          <w:rFonts w:hint="eastAsia" w:ascii="仿宋_GB2312" w:eastAsia="仿宋_GB2312"/>
          <w:sz w:val="32"/>
          <w:szCs w:val="32"/>
          <w:lang w:eastAsia="zh-CN"/>
        </w:rPr>
        <w:t>（与上年持平，无增减变化）</w:t>
      </w:r>
      <w:r>
        <w:rPr>
          <w:rFonts w:hint="eastAsia" w:ascii="仿宋_GB2312" w:eastAsia="仿宋_GB2312"/>
          <w:color w:val="auto"/>
          <w:sz w:val="32"/>
          <w:szCs w:val="32"/>
        </w:rPr>
        <w:t>，公务用车购置费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r>
        <w:rPr>
          <w:rFonts w:hint="eastAsia" w:ascii="仿宋_GB2312" w:eastAsia="仿宋_GB2312"/>
          <w:sz w:val="32"/>
          <w:szCs w:val="32"/>
          <w:lang w:eastAsia="zh-CN"/>
        </w:rPr>
        <w:t>（与上年持平，无增减变化）</w:t>
      </w:r>
      <w:r>
        <w:rPr>
          <w:rFonts w:hint="eastAsia" w:ascii="仿宋_GB2312" w:eastAsia="仿宋_GB2312"/>
          <w:color w:val="auto"/>
          <w:sz w:val="32"/>
          <w:szCs w:val="32"/>
        </w:rPr>
        <w:t>，公务用车运行维护费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r>
        <w:rPr>
          <w:rFonts w:hint="eastAsia" w:ascii="仿宋_GB2312" w:eastAsia="仿宋_GB2312"/>
          <w:sz w:val="32"/>
          <w:szCs w:val="32"/>
          <w:lang w:eastAsia="zh-CN"/>
        </w:rPr>
        <w:t>（与上年持平，无增减变化）</w:t>
      </w: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r>
        <w:rPr>
          <w:rFonts w:hint="eastAsia" w:ascii="仿宋_GB2312" w:eastAsia="仿宋_GB2312"/>
          <w:sz w:val="32"/>
          <w:szCs w:val="32"/>
          <w:lang w:eastAsia="zh-CN"/>
        </w:rPr>
        <w:t>（与上年持平，无增减变化），主要原因是严格按照三公经费预算要求，切实落实勤俭节约各项规定，严格控制支出。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1、机关工委业务费绩效目标表</w:t>
      </w:r>
    </w:p>
    <w:tbl>
      <w:tblPr>
        <w:tblStyle w:val="6"/>
        <w:tblpPr w:leftFromText="180" w:rightFromText="180" w:vertAnchor="text" w:horzAnchor="page" w:tblpX="1253" w:tblpY="187"/>
        <w:tblOverlap w:val="never"/>
        <w:tblW w:w="14798"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249"/>
        <w:gridCol w:w="1054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trPr>
        <w:tc>
          <w:tcPr>
            <w:tcW w:w="4249" w:type="dxa"/>
            <w:tcBorders>
              <w:bottom w:val="single" w:color="FFFFFF" w:sz="6" w:space="0"/>
            </w:tcBorders>
            <w:vAlign w:val="center"/>
          </w:tcPr>
          <w:p>
            <w:pPr>
              <w:pStyle w:val="12"/>
              <w:rPr>
                <w:rFonts w:hint="eastAsia" w:asciiTheme="majorEastAsia" w:hAnsiTheme="majorEastAsia" w:eastAsiaTheme="majorEastAsia" w:cstheme="majorEastAsia"/>
              </w:rPr>
            </w:pPr>
            <w:r>
              <w:rPr>
                <w:rFonts w:hint="eastAsia" w:asciiTheme="majorEastAsia" w:hAnsiTheme="majorEastAsia" w:eastAsiaTheme="majorEastAsia" w:cstheme="majorEastAsia"/>
              </w:rPr>
              <w:t>绩效目标</w:t>
            </w:r>
          </w:p>
        </w:tc>
        <w:tc>
          <w:tcPr>
            <w:tcW w:w="10549" w:type="dxa"/>
            <w:tcBorders>
              <w:bottom w:val="single" w:color="FFFFFF"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1.确保各项业务工作谋划到位、顺利开展。2.按照工作职责完成本单位的各项工作，保障机关正常运转。</w:t>
            </w:r>
          </w:p>
        </w:tc>
      </w:tr>
    </w:tbl>
    <w:tbl>
      <w:tblPr>
        <w:tblStyle w:val="6"/>
        <w:tblpPr w:leftFromText="180" w:rightFromText="180" w:vertAnchor="text" w:horzAnchor="page" w:tblpX="1236" w:tblpY="327"/>
        <w:tblOverlap w:val="never"/>
        <w:tblW w:w="147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2583"/>
        <w:gridCol w:w="2117"/>
        <w:gridCol w:w="2850"/>
        <w:gridCol w:w="2400"/>
        <w:gridCol w:w="3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632"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一级指标</w:t>
            </w: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二级指标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三级指标</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绩效指标描述</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指标值</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产出指标</w:t>
            </w: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机关自身建设任务完成率</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加强机关文化建设和自身队伍建设，传递组织关怀、强化日常监督管理</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加强机关文化建设和自身队伍建设，传递组织关怀、强化日常监督管理</w:t>
            </w:r>
            <w:r>
              <w:rPr>
                <w:rFonts w:hint="eastAsia" w:asciiTheme="majorEastAsia" w:hAnsiTheme="majorEastAsia" w:eastAsiaTheme="majorEastAsia" w:cstheme="majorEastAsia"/>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1"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质量指标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综合业务工作完成率</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综合业务工作完成情况占综合业务工作计划比例</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综合业务工作完成情况占综合业务工作计划比例</w:t>
            </w:r>
            <w:r>
              <w:rPr>
                <w:rFonts w:hint="eastAsia" w:asciiTheme="majorEastAsia" w:hAnsiTheme="majorEastAsia" w:eastAsiaTheme="majorEastAsia" w:cstheme="majorEastAsia"/>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时效指标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完成各项工作的时限</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党务工作验收和完成时间</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党务工作验收和完成时间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1"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成本指标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支出控制数</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各项工作费用不得超预算金额</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各项工作费用不得超预算金额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rPr>
        <w:tc>
          <w:tcPr>
            <w:tcW w:w="163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效益指标</w:t>
            </w: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社会效益指标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公众满意率</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调研了解公众对区直机关开展教育和活动的满意程度</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调研了解公众对区直机关开展教育和活动的满意程度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可持续影响指标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党员教育培训效果</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提升党员干部理论水平和实际工作能力</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≥90大于或等于90%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提升党员干部理论水平和实际工作能力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51" w:hRule="atLeast"/>
        </w:trPr>
        <w:tc>
          <w:tcPr>
            <w:tcW w:w="1632" w:type="dxa"/>
            <w:vMerge w:val="continue"/>
            <w:vAlign w:val="center"/>
          </w:tcPr>
          <w:p>
            <w:pPr>
              <w:rPr>
                <w:rFonts w:hint="eastAsia" w:asciiTheme="majorEastAsia" w:hAnsiTheme="majorEastAsia" w:eastAsiaTheme="majorEastAsia" w:cstheme="majorEastAsia"/>
                <w:sz w:val="21"/>
                <w:szCs w:val="21"/>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default" w:asciiTheme="majorEastAsia" w:hAnsiTheme="majorEastAsia" w:eastAsiaTheme="majorEastAsia" w:cstheme="majorEastAsia"/>
                <w:sz w:val="21"/>
                <w:szCs w:val="21"/>
                <w:lang w:val="en-US" w:eastAsia="zh-CN"/>
              </w:rPr>
            </w:pPr>
            <w:r>
              <w:rPr>
                <w:rFonts w:hint="eastAsia" w:ascii="方正书宋_GBK" w:eastAsia="方正书宋_GBK"/>
              </w:rPr>
              <w:t>可持续影响指标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党组织战斗堡垒作用发挥明显</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党组织战斗堡垒作用发挥明显</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基层党组织的战斗堡垒作用和党员的先锋模范作用发挥明显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heme="majorEastAsia" w:hAnsiTheme="majorEastAsia" w:eastAsiaTheme="majorEastAsia" w:cstheme="majorEastAsia"/>
                <w:sz w:val="21"/>
                <w:szCs w:val="21"/>
              </w:rPr>
            </w:pPr>
            <w:r>
              <w:rPr>
                <w:rFonts w:hint="eastAsia" w:ascii="方正书宋_GBK" w:eastAsia="方正书宋_GBK"/>
              </w:rPr>
              <w:t>满意度指标</w:t>
            </w: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服务对象满意度指标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党组织评议满意度</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调研了解党员对本级党组织的满意程度</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Theme="majorEastAsia" w:hAnsiTheme="majorEastAsia" w:eastAsiaTheme="majorEastAsia" w:cstheme="majorEastAsia"/>
                <w:sz w:val="21"/>
                <w:szCs w:val="21"/>
              </w:rPr>
            </w:pPr>
            <w:r>
              <w:rPr>
                <w:rFonts w:hint="eastAsia" w:ascii="方正书宋_GBK" w:eastAsia="方正书宋_GBK"/>
              </w:rPr>
              <w:t>调研了解党员对本级党组织的满意程度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63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2583"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2117"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参训人员满意率</w:t>
            </w:r>
          </w:p>
        </w:tc>
        <w:tc>
          <w:tcPr>
            <w:tcW w:w="285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参训人员满意率</w:t>
            </w:r>
          </w:p>
        </w:tc>
        <w:tc>
          <w:tcPr>
            <w:tcW w:w="2400"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3214" w:type="dxa"/>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参训人员满意率</w:t>
            </w:r>
          </w:p>
        </w:tc>
      </w:tr>
    </w:tbl>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202</w:t>
      </w:r>
      <w:r>
        <w:rPr>
          <w:rFonts w:hint="eastAsia" w:ascii="仿宋_GB2312" w:hAnsi="仿宋_GB2312" w:eastAsia="仿宋_GB2312" w:cs="仿宋_GB2312"/>
          <w:b w:val="0"/>
          <w:color w:val="000000"/>
          <w:sz w:val="28"/>
          <w:lang w:val="en-US" w:eastAsia="zh-CN"/>
        </w:rPr>
        <w:t>1</w:t>
      </w:r>
      <w:r>
        <w:rPr>
          <w:rFonts w:hint="eastAsia" w:ascii="仿宋_GB2312" w:hAnsi="仿宋_GB2312" w:eastAsia="仿宋_GB2312" w:cs="仿宋_GB2312"/>
          <w:b w:val="0"/>
          <w:color w:val="000000"/>
          <w:sz w:val="28"/>
        </w:rPr>
        <w:t>年，区委区直工委本级安排政府采购预算</w:t>
      </w:r>
      <w:r>
        <w:rPr>
          <w:rFonts w:hint="eastAsia" w:ascii="仿宋_GB2312" w:hAnsi="仿宋_GB2312" w:eastAsia="仿宋_GB2312" w:cs="仿宋_GB2312"/>
          <w:b w:val="0"/>
          <w:color w:val="000000"/>
          <w:sz w:val="28"/>
          <w:lang w:val="en-US" w:eastAsia="zh-CN"/>
        </w:rPr>
        <w:t>0</w:t>
      </w:r>
      <w:r>
        <w:rPr>
          <w:rFonts w:hint="eastAsia" w:ascii="仿宋_GB2312" w:hAnsi="仿宋_GB2312" w:eastAsia="仿宋_GB2312" w:cs="仿宋_GB2312"/>
          <w:b w:val="0"/>
          <w:color w:val="000000"/>
          <w:sz w:val="28"/>
        </w:rPr>
        <w:t>元。具体内容见下表。</w:t>
      </w:r>
    </w:p>
    <w:p>
      <w:pPr>
        <w:spacing w:before="0" w:after="0" w:line="240" w:lineRule="auto"/>
        <w:ind w:firstLine="0"/>
        <w:jc w:val="center"/>
        <w:outlineLvl w:val="9"/>
        <w:rPr>
          <w:rFonts w:ascii="方正书宋_GBK" w:hAnsi="方正书宋_GBK" w:eastAsia="方正书宋_GBK" w:cs="方正书宋_GBK"/>
          <w:color w:val="000000"/>
          <w:sz w:val="21"/>
        </w:rPr>
      </w:pPr>
      <w:r>
        <w:rPr>
          <w:rFonts w:ascii="方正小标宋_GBK" w:hAnsi="方正小标宋_GBK" w:eastAsia="方正小标宋_GBK" w:cs="方正小标宋_GBK"/>
          <w:color w:val="000000"/>
          <w:sz w:val="36"/>
        </w:rPr>
        <w:t>单位政府采购预算</w:t>
      </w:r>
    </w:p>
    <w:tbl>
      <w:tblPr>
        <w:tblStyle w:val="6"/>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0" w:hRule="atLeast"/>
          <w:tblHeader/>
          <w:jc w:val="center"/>
        </w:trPr>
        <w:tc>
          <w:tcPr>
            <w:tcW w:w="8415" w:type="dxa"/>
            <w:gridSpan w:val="7"/>
            <w:tcBorders>
              <w:top w:val="single" w:color="FFFFFF" w:sz="6" w:space="0"/>
              <w:left w:val="single" w:color="FFFFFF" w:sz="6" w:space="0"/>
              <w:right w:val="single" w:color="FFFFFF" w:sz="6" w:space="0"/>
            </w:tcBorders>
            <w:noWrap w:val="0"/>
            <w:vAlign w:val="center"/>
          </w:tcPr>
          <w:p>
            <w:pPr>
              <w:tabs>
                <w:tab w:val="left" w:pos="754"/>
              </w:tabs>
              <w:spacing w:line="300" w:lineRule="exact"/>
              <w:jc w:val="left"/>
              <w:rPr>
                <w:rFonts w:hint="eastAsia" w:ascii="仿宋" w:hAnsi="仿宋" w:eastAsia="仿宋" w:cs="仿宋"/>
                <w:sz w:val="24"/>
                <w:lang w:eastAsia="zh-CN"/>
              </w:rPr>
            </w:pPr>
            <w:r>
              <w:rPr>
                <w:rFonts w:hint="eastAsia" w:ascii="仿宋" w:hAnsi="仿宋" w:eastAsia="仿宋" w:cs="仿宋"/>
                <w:color w:val="auto"/>
                <w:sz w:val="24"/>
                <w:lang w:val="en-US" w:eastAsia="zh-CN"/>
              </w:rPr>
              <w:t>286001</w:t>
            </w:r>
            <w:r>
              <w:t>区委区直工委本级</w:t>
            </w: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ind w:firstLine="4800" w:firstLineChars="2000"/>
              <w:jc w:val="lef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000000"/>
          <w:sz w:val="32"/>
          <w:szCs w:val="32"/>
        </w:rPr>
        <w:t>区委区直工委本级上年末固定资产金额</w:t>
      </w:r>
      <w:r>
        <w:rPr>
          <w:rFonts w:hint="eastAsia" w:ascii="仿宋_GB2312" w:hAnsi="仿宋_GB2312" w:eastAsia="仿宋_GB2312" w:cs="仿宋_GB2312"/>
          <w:color w:val="auto"/>
          <w:sz w:val="32"/>
          <w:szCs w:val="32"/>
          <w:lang w:val="en-US" w:eastAsia="zh-CN"/>
        </w:rPr>
        <w:t>38150</w:t>
      </w:r>
      <w:r>
        <w:rPr>
          <w:rFonts w:hint="eastAsia" w:ascii="仿宋_GB2312" w:hAnsi="仿宋_GB2312" w:eastAsia="仿宋_GB2312" w:cs="仿宋_GB2312"/>
          <w:color w:val="auto"/>
          <w:sz w:val="32"/>
          <w:szCs w:val="32"/>
        </w:rPr>
        <w:t>元，本年度新增固定资产预算</w:t>
      </w:r>
      <w:r>
        <w:rPr>
          <w:rFonts w:hint="eastAsia" w:ascii="仿宋_GB2312" w:hAnsi="仿宋_GB2312" w:eastAsia="仿宋_GB2312" w:cs="仿宋_GB2312"/>
          <w:color w:val="auto"/>
          <w:sz w:val="32"/>
          <w:szCs w:val="32"/>
          <w:lang w:val="en-US" w:eastAsia="zh-CN"/>
        </w:rPr>
        <w:t>10000元</w:t>
      </w:r>
      <w:r>
        <w:rPr>
          <w:rFonts w:hint="eastAsia" w:ascii="仿宋_GB2312" w:hAnsi="仿宋_GB2312" w:eastAsia="仿宋_GB2312" w:cs="仿宋_GB2312"/>
          <w:color w:val="auto"/>
          <w:sz w:val="32"/>
          <w:szCs w:val="32"/>
        </w:rPr>
        <w:t>。本年度拟购置固定资产总额为</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元，具体情况如下：</w:t>
      </w:r>
      <w:r>
        <w:rPr>
          <w:rFonts w:hint="eastAsia" w:ascii="仿宋_GB2312" w:hAnsi="仿宋_GB2312" w:eastAsia="仿宋_GB2312" w:cs="仿宋_GB2312"/>
          <w:color w:val="auto"/>
          <w:sz w:val="32"/>
          <w:szCs w:val="32"/>
          <w:lang w:eastAsia="zh-CN"/>
        </w:rPr>
        <w:t>拟购置设备</w:t>
      </w:r>
      <w:r>
        <w:rPr>
          <w:rFonts w:hint="eastAsia" w:ascii="仿宋_GB2312" w:hAnsi="仿宋_GB2312" w:eastAsia="仿宋_GB2312" w:cs="仿宋_GB2312"/>
          <w:color w:val="auto"/>
          <w:sz w:val="32"/>
          <w:szCs w:val="32"/>
          <w:lang w:val="en-US" w:eastAsia="zh-CN"/>
        </w:rPr>
        <w:t>4件共10000元,其中拟购置台式机2台共计7500元。拟购置打印设备1件1300元，拟购置台桌椅类2件1200元。</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640" w:firstLineChars="200"/>
        <w:textAlignment w:val="auto"/>
        <w:rPr>
          <w:rFonts w:hint="eastAsia" w:ascii="仿宋_GB2312" w:hAnsi="仿宋_GB2312" w:eastAsia="仿宋_GB2312" w:cs="仿宋_GB2312"/>
          <w:color w:val="auto"/>
          <w:sz w:val="32"/>
          <w:szCs w:val="32"/>
          <w:lang w:val="en-US" w:eastAsia="zh-CN"/>
        </w:rPr>
      </w:pPr>
    </w:p>
    <w:tbl>
      <w:tblPr>
        <w:tblStyle w:val="6"/>
        <w:tblpPr w:leftFromText="180" w:rightFromText="180" w:vertAnchor="text" w:horzAnchor="page" w:tblpX="3260" w:tblpY="940"/>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0"/>
        <w:gridCol w:w="2670"/>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0365" w:type="dxa"/>
            <w:gridSpan w:val="3"/>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单位固定资产占用情况表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110" w:type="dxa"/>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仿宋" w:cs="宋体"/>
                <w:kern w:val="0"/>
                <w:sz w:val="22"/>
                <w:lang w:val="en-US" w:eastAsia="zh-CN"/>
              </w:rPr>
              <w:t>286001区委区直工委本级</w:t>
            </w:r>
          </w:p>
        </w:tc>
        <w:tc>
          <w:tcPr>
            <w:tcW w:w="6255" w:type="dxa"/>
            <w:gridSpan w:val="2"/>
            <w:tcBorders>
              <w:top w:val="nil"/>
              <w:left w:val="nil"/>
              <w:bottom w:val="nil"/>
              <w:right w:val="nil"/>
            </w:tcBorders>
            <w:noWrap/>
            <w:tcMar>
              <w:top w:w="15" w:type="dxa"/>
              <w:left w:w="15" w:type="dxa"/>
              <w:right w:w="15" w:type="dxa"/>
            </w:tcMar>
            <w:vAlign w:val="center"/>
          </w:tcPr>
          <w:p>
            <w:pPr>
              <w:ind w:firstLine="2420" w:firstLineChars="1100"/>
              <w:jc w:val="left"/>
              <w:rPr>
                <w:rFonts w:ascii="等线" w:hAnsi="等线" w:eastAsia="等线" w:cs="等线"/>
                <w:i w:val="0"/>
                <w:color w:val="000000"/>
                <w:sz w:val="22"/>
                <w:szCs w:val="22"/>
                <w:u w:val="none"/>
              </w:rPr>
            </w:pPr>
            <w:r>
              <w:rPr>
                <w:rFonts w:hint="eastAsia" w:ascii="宋体" w:hAnsi="宋体" w:cs="宋体"/>
                <w:kern w:val="0"/>
                <w:sz w:val="22"/>
              </w:rPr>
              <w:t xml:space="preserve">截止时间：2020年12月31日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3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一、固定资产</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（一）土地、房屋及构筑物</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其中：1.土地（平方米）</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2.房屋（平方米）</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（1）办公用房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其中：本单位实际使用办公室用房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（2）业务用房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（3）其他用房</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（二）通用设备（个、台、辆等）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其中：1.车辆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w:t>
            </w:r>
            <w:r>
              <w:rPr>
                <w:rFonts w:hint="eastAsia" w:ascii="宋体" w:hAnsi="宋体" w:eastAsia="宋体" w:cs="宋体"/>
                <w:kern w:val="0"/>
                <w:sz w:val="22"/>
              </w:rPr>
              <w:t>单价在20元以上设备</w:t>
            </w:r>
            <w:r>
              <w:rPr>
                <w:rFonts w:hint="eastAsia" w:ascii="宋体" w:hAnsi="宋体" w:eastAsia="宋体" w:cs="宋体"/>
                <w:i w:val="0"/>
                <w:color w:val="000000"/>
                <w:kern w:val="0"/>
                <w:sz w:val="22"/>
                <w:szCs w:val="22"/>
                <w:u w:val="none"/>
                <w:lang w:val="en-US" w:eastAsia="zh-CN" w:bidi="ar"/>
              </w:rPr>
              <w:t>（不含车辆）</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（三）专用设备（个、台等）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其中：单价100万（含）以上</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（四）文物和陈列品（个、件等）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（五）图书档案（本、套等）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（六）家具、用具、装具及动植物（个、套等）</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其中：家具用具</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0365" w:type="dxa"/>
            <w:gridSpan w:val="3"/>
            <w:tcBorders>
              <w:top w:val="nil"/>
              <w:left w:val="nil"/>
              <w:bottom w:val="nil"/>
              <w:right w:val="nil"/>
            </w:tcBorders>
            <w:noWrap/>
            <w:tcMar>
              <w:top w:w="15" w:type="dxa"/>
              <w:left w:w="15" w:type="dxa"/>
              <w:right w:w="15" w:type="dxa"/>
            </w:tcMar>
            <w:vAlign w:val="bottom"/>
          </w:tcPr>
          <w:p>
            <w:pPr>
              <w:spacing w:before="0" w:after="0" w:line="240" w:lineRule="auto"/>
              <w:ind w:firstLine="0"/>
              <w:jc w:val="center"/>
              <w:outlineLvl w:val="9"/>
              <w:rPr>
                <w:rFonts w:ascii="方正小标宋_GBK" w:hAnsi="方正小标宋_GBK" w:eastAsia="方正小标宋_GBK" w:cs="方正小标宋_GBK"/>
                <w:color w:val="000000"/>
                <w:sz w:val="36"/>
              </w:rPr>
            </w:pPr>
          </w:p>
          <w:p>
            <w:pPr>
              <w:keepNext w:val="0"/>
              <w:keepLines w:val="0"/>
              <w:widowControl/>
              <w:suppressLineNumbers w:val="0"/>
              <w:jc w:val="center"/>
              <w:textAlignment w:val="bottom"/>
              <w:rPr>
                <w:rFonts w:hint="eastAsia" w:ascii="宋体" w:hAnsi="宋体" w:eastAsia="宋体" w:cs="宋体"/>
                <w:b/>
                <w:i w:val="0"/>
                <w:color w:val="000000"/>
                <w:sz w:val="44"/>
                <w:szCs w:val="44"/>
                <w:u w:val="none"/>
              </w:rPr>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bookmarkStart w:id="1" w:name="_GoBack"/>
      <w:bookmarkEnd w:id="1"/>
      <w:r>
        <w:rPr>
          <w:rFonts w:ascii="黑体" w:hAnsi="黑体" w:eastAsia="黑体" w:cs="黑体"/>
          <w:color w:val="000000"/>
          <w:sz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县</w:t>
      </w:r>
      <w:r>
        <w:rPr>
          <w:rFonts w:hint="eastAsia" w:ascii="仿宋_GB2312" w:hAnsi="仿宋_GB2312" w:eastAsia="仿宋_GB2312" w:cs="仿宋_GB2312"/>
          <w:b w:val="0"/>
          <w:color w:val="000000"/>
          <w:sz w:val="32"/>
          <w:szCs w:val="32"/>
        </w:rPr>
        <w:t>级财政当年拨付的资金。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县</w:t>
      </w:r>
      <w:r>
        <w:rPr>
          <w:rFonts w:hint="eastAsia" w:ascii="仿宋_GB2312" w:hAnsi="仿宋_GB2312" w:eastAsia="仿宋_GB2312" w:cs="仿宋_GB2312"/>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w:t>
      </w:r>
      <w:r>
        <w:rPr>
          <w:rFonts w:hint="eastAsia" w:ascii="仿宋_GB2312" w:hAnsi="仿宋_GB2312" w:eastAsia="仿宋_GB2312" w:cs="仿宋_GB2312"/>
          <w:b w:val="0"/>
          <w:color w:val="000000"/>
          <w:sz w:val="32"/>
          <w:szCs w:val="32"/>
          <w:lang w:eastAsia="zh-CN"/>
        </w:rPr>
        <w:t>区委区直工委本级</w:t>
      </w:r>
      <w:r>
        <w:rPr>
          <w:rFonts w:hint="eastAsia" w:ascii="仿宋_GB2312" w:hAnsi="仿宋_GB2312" w:eastAsia="仿宋_GB2312" w:cs="仿宋_GB2312"/>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color w:val="000000"/>
          <w:sz w:val="32"/>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 w:name="小标宋">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书宋_GBK">
    <w:altName w:val="宋体"/>
    <w:panose1 w:val="00000000000000000000"/>
    <w:charset w:val="86"/>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C058"/>
    <w:multiLevelType w:val="singleLevel"/>
    <w:tmpl w:val="38C4C0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F4B87"/>
    <w:rsid w:val="04953B15"/>
    <w:rsid w:val="06272632"/>
    <w:rsid w:val="06E955B4"/>
    <w:rsid w:val="079745A5"/>
    <w:rsid w:val="07CC1615"/>
    <w:rsid w:val="08203F3A"/>
    <w:rsid w:val="08E93319"/>
    <w:rsid w:val="090F279A"/>
    <w:rsid w:val="0B13244D"/>
    <w:rsid w:val="0D873712"/>
    <w:rsid w:val="0DC2467A"/>
    <w:rsid w:val="0E2476EA"/>
    <w:rsid w:val="0ED930DD"/>
    <w:rsid w:val="0F986DD0"/>
    <w:rsid w:val="11636ABD"/>
    <w:rsid w:val="138F32CF"/>
    <w:rsid w:val="14DE65F9"/>
    <w:rsid w:val="174F5D5C"/>
    <w:rsid w:val="1A1D09B9"/>
    <w:rsid w:val="1B9F7FD5"/>
    <w:rsid w:val="1E473591"/>
    <w:rsid w:val="1EEA6553"/>
    <w:rsid w:val="1F1A55B2"/>
    <w:rsid w:val="1F5A6BA7"/>
    <w:rsid w:val="1F9B468A"/>
    <w:rsid w:val="20F94441"/>
    <w:rsid w:val="23CC3941"/>
    <w:rsid w:val="23E74430"/>
    <w:rsid w:val="24840029"/>
    <w:rsid w:val="25C91BFF"/>
    <w:rsid w:val="265875DA"/>
    <w:rsid w:val="269759CD"/>
    <w:rsid w:val="275B52E9"/>
    <w:rsid w:val="28292AF7"/>
    <w:rsid w:val="28694400"/>
    <w:rsid w:val="290077E0"/>
    <w:rsid w:val="292F5711"/>
    <w:rsid w:val="2C3D02C3"/>
    <w:rsid w:val="2E544AA7"/>
    <w:rsid w:val="2E9064D7"/>
    <w:rsid w:val="30D61973"/>
    <w:rsid w:val="31EC755A"/>
    <w:rsid w:val="338E4D24"/>
    <w:rsid w:val="34CF5B54"/>
    <w:rsid w:val="35942103"/>
    <w:rsid w:val="35F36E90"/>
    <w:rsid w:val="37D055C9"/>
    <w:rsid w:val="39FF19C7"/>
    <w:rsid w:val="3F0563E2"/>
    <w:rsid w:val="3F3B009E"/>
    <w:rsid w:val="4015351C"/>
    <w:rsid w:val="40864A43"/>
    <w:rsid w:val="41D20766"/>
    <w:rsid w:val="43DD1E31"/>
    <w:rsid w:val="441333CE"/>
    <w:rsid w:val="44883F89"/>
    <w:rsid w:val="470A31F5"/>
    <w:rsid w:val="4B872501"/>
    <w:rsid w:val="4BA048BF"/>
    <w:rsid w:val="4E623E88"/>
    <w:rsid w:val="4EC57917"/>
    <w:rsid w:val="543A6604"/>
    <w:rsid w:val="58C55B37"/>
    <w:rsid w:val="5AD3542B"/>
    <w:rsid w:val="5C182785"/>
    <w:rsid w:val="5C793B7B"/>
    <w:rsid w:val="5D693990"/>
    <w:rsid w:val="5D69506F"/>
    <w:rsid w:val="5D8D20AC"/>
    <w:rsid w:val="5E8435B7"/>
    <w:rsid w:val="60827E26"/>
    <w:rsid w:val="60D96A1A"/>
    <w:rsid w:val="64500B87"/>
    <w:rsid w:val="659269F0"/>
    <w:rsid w:val="6A770296"/>
    <w:rsid w:val="6AEF5ED2"/>
    <w:rsid w:val="6B3A14A8"/>
    <w:rsid w:val="6BAD6D1A"/>
    <w:rsid w:val="6CD60344"/>
    <w:rsid w:val="6F7C701A"/>
    <w:rsid w:val="6FA41B23"/>
    <w:rsid w:val="6FA46B7B"/>
    <w:rsid w:val="715A4166"/>
    <w:rsid w:val="72D55ECD"/>
    <w:rsid w:val="72E748AF"/>
    <w:rsid w:val="77065B1F"/>
    <w:rsid w:val="791F3284"/>
    <w:rsid w:val="79213A06"/>
    <w:rsid w:val="7954209A"/>
    <w:rsid w:val="7A387503"/>
    <w:rsid w:val="7AE37991"/>
    <w:rsid w:val="7DEE70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2022-06-21T16:49:10Z</dcterms:created>
  <dcterms:modified xsi:type="dcterms:W3CDTF">2022-06-21T08:49:10Z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2022-06-21T16:49:09Z</dcterms:created>
  <dcterms:modified xsi:type="dcterms:W3CDTF">2022-06-21T08:49:09Z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2022-06-21T16:49:12Z</dcterms:created>
  <dcterms:modified xsi:type="dcterms:W3CDTF">2022-06-21T08:49:12Z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6fcaed9-7bca-4424-b9ef-b1d4eec223ee}">
  <ds:schemaRefs/>
</ds:datastoreItem>
</file>

<file path=customXml/itemProps11.xml><?xml version="1.0" encoding="utf-8"?>
<ds:datastoreItem xmlns:ds="http://schemas.openxmlformats.org/officeDocument/2006/customXml" ds:itemID="{84676f17-6c63-499a-8172-c172b8ea6e4e}">
  <ds:schemaRefs/>
</ds:datastoreItem>
</file>

<file path=customXml/itemProps12.xml><?xml version="1.0" encoding="utf-8"?>
<ds:datastoreItem xmlns:ds="http://schemas.openxmlformats.org/officeDocument/2006/customXml" ds:itemID="{a8234a54-7ead-43e3-832d-1c298c96f1a7}">
  <ds:schemaRefs/>
</ds:datastoreItem>
</file>

<file path=customXml/itemProps13.xml><?xml version="1.0" encoding="utf-8"?>
<ds:datastoreItem xmlns:ds="http://schemas.openxmlformats.org/officeDocument/2006/customXml" ds:itemID="{1dc86940-d4b1-44f0-9a84-d97920459eb2}">
  <ds:schemaRefs/>
</ds:datastoreItem>
</file>

<file path=customXml/itemProps14.xml><?xml version="1.0" encoding="utf-8"?>
<ds:datastoreItem xmlns:ds="http://schemas.openxmlformats.org/officeDocument/2006/customXml" ds:itemID="{81f94507-2139-4e51-9565-f84b4da9e628}">
  <ds:schemaRefs/>
</ds:datastoreItem>
</file>

<file path=customXml/itemProps15.xml><?xml version="1.0" encoding="utf-8"?>
<ds:datastoreItem xmlns:ds="http://schemas.openxmlformats.org/officeDocument/2006/customXml" ds:itemID="{10b8f499-6840-4bd8-b38e-3b167a915943}">
  <ds:schemaRefs/>
</ds:datastoreItem>
</file>

<file path=customXml/itemProps2.xml><?xml version="1.0" encoding="utf-8"?>
<ds:datastoreItem xmlns:ds="http://schemas.openxmlformats.org/officeDocument/2006/customXml" ds:itemID="{c75469c5-5ac1-4c71-aab4-84812c5d9fdf}">
  <ds:schemaRefs/>
</ds:datastoreItem>
</file>

<file path=customXml/itemProps3.xml><?xml version="1.0" encoding="utf-8"?>
<ds:datastoreItem xmlns:ds="http://schemas.openxmlformats.org/officeDocument/2006/customXml" ds:itemID="{14c21f3b-6a1f-46f9-951b-8f9e44106736}">
  <ds:schemaRefs/>
</ds:datastoreItem>
</file>

<file path=customXml/itemProps4.xml><?xml version="1.0" encoding="utf-8"?>
<ds:datastoreItem xmlns:ds="http://schemas.openxmlformats.org/officeDocument/2006/customXml" ds:itemID="{754337ce-f012-40dc-9fff-4c609b2d0b6b}">
  <ds:schemaRefs/>
</ds:datastoreItem>
</file>

<file path=customXml/itemProps5.xml><?xml version="1.0" encoding="utf-8"?>
<ds:datastoreItem xmlns:ds="http://schemas.openxmlformats.org/officeDocument/2006/customXml" ds:itemID="{00072b87-f9ab-4b7f-bdb8-ba09b10f5553}">
  <ds:schemaRefs/>
</ds:datastoreItem>
</file>

<file path=customXml/itemProps6.xml><?xml version="1.0" encoding="utf-8"?>
<ds:datastoreItem xmlns:ds="http://schemas.openxmlformats.org/officeDocument/2006/customXml" ds:itemID="{6c8367f2-1116-47a3-be8e-4dcae45f6468}">
  <ds:schemaRefs/>
</ds:datastoreItem>
</file>

<file path=customXml/itemProps7.xml><?xml version="1.0" encoding="utf-8"?>
<ds:datastoreItem xmlns:ds="http://schemas.openxmlformats.org/officeDocument/2006/customXml" ds:itemID="{790ebeb4-9579-427c-92ff-700c8e83c139}">
  <ds:schemaRefs/>
</ds:datastoreItem>
</file>

<file path=customXml/itemProps8.xml><?xml version="1.0" encoding="utf-8"?>
<ds:datastoreItem xmlns:ds="http://schemas.openxmlformats.org/officeDocument/2006/customXml" ds:itemID="{17ddc4dd-b1d3-47fc-9a6c-bb6ae59d2cfb}">
  <ds:schemaRefs/>
</ds:datastoreItem>
</file>

<file path=customXml/itemProps9.xml><?xml version="1.0" encoding="utf-8"?>
<ds:datastoreItem xmlns:ds="http://schemas.openxmlformats.org/officeDocument/2006/customXml" ds:itemID="{0fe42f04-193d-4a4f-a839-5267143d7007}">
  <ds:schemaRefs/>
</ds:datastoreItem>
</file>

<file path=docProps/app.xml><?xml version="1.0" encoding="utf-8"?>
<Properties xmlns="http://schemas.openxmlformats.org/officeDocument/2006/extended-properties" xmlns:vt="http://schemas.openxmlformats.org/officeDocument/2006/docPropsVTypes">
  <TotalTime>73</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2022-06-21T16:49:00Z</dcterms:created>
  <dc:creator>Administrator</dc:creator>
  <cp:lastModifiedBy>Administrator</cp:lastModifiedBy>
  <cp:lastPrinted>2022-09-16T07:37:45Z</cp:lastPrinted>
  <dcterms:modified xsi:type="dcterms:W3CDTF">2022-09-16T09:23:52Z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