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imes New Roman" w:hAnsi="宋体"/>
          <w:sz w:val="44"/>
        </w:rPr>
      </w:pPr>
      <w:r>
        <w:rPr>
          <w:rFonts w:hint="eastAsia" w:ascii="方正小标宋_GBK" w:eastAsia="方正小标宋_GBK"/>
          <w:sz w:val="44"/>
        </w:rPr>
        <w:t>第一部分</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0"/>
        <w:rPr>
          <w:rFonts w:hint="eastAsia" w:ascii="Times New Roman" w:hAnsi="宋体"/>
          <w:sz w:val="44"/>
        </w:rPr>
      </w:pPr>
      <w:r>
        <w:rPr>
          <w:rFonts w:hint="eastAsia" w:ascii="方正小标宋_GBK" w:eastAsia="方正小标宋_GBK"/>
          <w:sz w:val="44"/>
        </w:rPr>
        <w:t>部门整体绩效目标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Times New Roman" w:hAnsi="宋体"/>
          <w:sz w:val="44"/>
        </w:rPr>
      </w:pPr>
      <w:r>
        <w:rPr>
          <w:rFonts w:ascii="方正小标宋_GBK" w:eastAsia="方正小标宋_GBK"/>
          <w:sz w:val="44"/>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outlineLvl w:val="1"/>
        <w:rPr>
          <w:rFonts w:hint="eastAsia" w:ascii="黑体" w:hAnsi="黑体" w:eastAsia="黑体" w:cs="黑体"/>
          <w:sz w:val="32"/>
          <w:szCs w:val="32"/>
        </w:rPr>
      </w:pPr>
      <w:bookmarkStart w:id="0" w:name="_Toc61447631"/>
      <w:r>
        <w:rPr>
          <w:rFonts w:hint="eastAsia" w:ascii="黑体" w:hAnsi="黑体" w:eastAsia="黑体" w:cs="黑体"/>
          <w:sz w:val="32"/>
          <w:szCs w:val="32"/>
        </w:rPr>
        <w:t>一、总体绩效目标</w:t>
      </w:r>
      <w:bookmarkEnd w:id="0"/>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总体绩效目标 \f A \l 1 </w:instrText>
      </w:r>
      <w:r>
        <w:rPr>
          <w:rFonts w:hint="eastAsia" w:ascii="黑体" w:hAnsi="黑体" w:eastAsia="黑体" w:cs="黑体"/>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区直工委部门年度规划目标</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机关党建工作以习近平新时代中国特色社会主义思想为引领，围绕“服务中心、建设队伍、服务群众”三大核心任务，不断强化政治、思想、组织、作风、纪律建设，持之以恒抓基层、打基础，不断提高党员干部素质、转变机关服务作风、强化服务保障功能，不断提升党建质量，努力提升机关党建工作科学化水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在党要管党、从严治党上下功夫，注重落实党建主体责任。指导督促各部门党组切实强化履行机关党建主体责任的政治担当，谋划重点任务注重突出党建引领作用、部署党建工作注重强化服务保障中心工作，做到机关党建工作和业务工作一起谋划、一起部署、一起落实、一起检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在理论武装、做到“两个维护”上下功夫，注重坚持正确政治方向。坚持不懈用习近平新时代中国特色社会主义思想武装党员干部头脑，学以致用、身体力行，走在理论学习的前列，努力在学懂弄通做实上当好示范，不断把学习成果落实到干好本职工作、推动事业发展上。</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在围绕中心、服务大局上下功夫，注重提高服务保障水平。深刻把握机关党建围绕中心、建设队伍、服务群众的职责定位，坚持把机关党建放到区委、区政府工作大局中谋划和推进，找准服务大局的结合点，着力促进机关党建和业务工作同向同行、一体推动、同频共振、深度融合。牢固树立党的一切工作到支部的鲜明导向，紧贴所在部门职责任务推进支部工作，把抓中心工作完成、重大任务落实作为检验党支部组织力的试金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在严肃党内政治生活、净化政治生态上下功夫，注重打牢基层组织根基。聚焦基本队伍、基本活动、基本阵地、基本制度、基本保障，夯实基础工作，坚持组织生活原则，落实组织生活制度，规范组织生活过程，促进机关党建工作落地生根，充分发挥基层党组织战斗堡垒和党员先锋模范作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在深化机关作风整顿、加强作风建设上下功夫，注重营造真抓实干的浓厚氛围。持之以恒推进正风肃纪，持续深化纠“四风”工作，教育党员干部带头弘扬党的光荣传统和密切联系群众的优良作风，努力建设风清气正政治机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outlineLvl w:val="1"/>
        <w:rPr>
          <w:rFonts w:hint="eastAsia" w:ascii="黑体" w:hAnsi="黑体" w:eastAsia="黑体" w:cs="黑体"/>
          <w:sz w:val="32"/>
          <w:szCs w:val="32"/>
        </w:rPr>
      </w:pPr>
      <w:bookmarkStart w:id="1" w:name="_Toc61447632"/>
      <w:r>
        <w:rPr>
          <w:rFonts w:hint="eastAsia" w:ascii="黑体" w:hAnsi="黑体" w:eastAsia="黑体" w:cs="黑体"/>
          <w:sz w:val="32"/>
          <w:szCs w:val="32"/>
        </w:rPr>
        <w:t>二、分项绩效目标</w:t>
      </w:r>
      <w:bookmarkEnd w:id="1"/>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分项绩效目标 \f A \l 1 </w:instrText>
      </w:r>
      <w:r>
        <w:rPr>
          <w:rFonts w:hint="eastAsia" w:ascii="黑体" w:hAnsi="黑体" w:eastAsia="黑体" w:cs="黑体"/>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区直工委职责分类绩效目标情况说明</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统一组织、规划、部署区直机关党的工作，研究制定工作规划，并抓好组织实施；指导区直机关党的政治建设、思想建设、组织建设、作风建设、纪律建设，把制度建设贯穿其中；配合区委有关部门抓好区直机关各部门领导班子思想政治建设。按照区委确定的管理范围，负责任免、管理所属区直机关党组织书记、副书记；指导所属区直机关党组织实施对党员特别是党员领导干部的监督和管理。督促指导区直机关基层党组织按期换届；指导加强各级党组织加强基层组织建设，做好党员发展、教育管理等工作；指导区直机关各党组织做好党的群众工作；指导区直机关各级党组织加强思想政治工作和精神文明建设。</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区直机关党的政治建设、思想建设、组织建设、作风建设、纪律建设得到明显提升，党组织的战斗堡垒作用和党员的先锋模范作用得到充分发挥；区直机关各级党组织思想政治工作和精神文明建设稳步提升；确保各项业务工作谋划到位、顺利开展；圆满完成事务管理和区委交办的各项任务。</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是用各种有效载体开展宣传教育活动,效果明显;学习制度得到普遍落实，各项活动普遍参加;机关党员干部职工道德素质不断提升，各项活动满意率明显提高。党组织的战斗堡垒作用和党员的先锋模范作用得到充分发挥。区直机关各级党组织作风建设扎实推进，群众工作得到落实，作用发挥明显，得到好评。</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绩效指标是党员干部教育覆盖率、思想教育活动完成率、公众满意率、干部职工参与率、领导干部参与率、基层党组织建设工作完成率、党组织及党组织书记考核优秀率、综合业务工作完成率。</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标准：充分保障工作的完成数占全年的计划数达到90%以上的为优；较好保障工作的完成数占全年的计划数达到80%-90%的为良；基本保障工作的完成数占全年的计划数达到70%-80%的为中；不能保障工作的完成数占全年的计划数的80%以下的为差</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outlineLvl w:val="1"/>
        <w:rPr>
          <w:rFonts w:hint="eastAsia" w:ascii="黑体" w:hAnsi="黑体" w:eastAsia="黑体" w:cs="黑体"/>
          <w:sz w:val="32"/>
          <w:szCs w:val="32"/>
        </w:rPr>
      </w:pPr>
      <w:bookmarkStart w:id="2" w:name="_Toc61447633"/>
      <w:r>
        <w:rPr>
          <w:rFonts w:hint="eastAsia" w:ascii="黑体" w:hAnsi="黑体" w:eastAsia="黑体" w:cs="黑体"/>
          <w:sz w:val="32"/>
          <w:szCs w:val="32"/>
        </w:rPr>
        <w:t>三、工作保障措施</w:t>
      </w:r>
      <w:bookmarkEnd w:id="2"/>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工作保障措施 \f A \l 1 </w:instrText>
      </w:r>
      <w:r>
        <w:rPr>
          <w:rFonts w:hint="eastAsia" w:ascii="黑体" w:hAnsi="黑体" w:eastAsia="黑体" w:cs="黑体"/>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区直工委实现本年度发展规划目标的保障措施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注重落实党建主体责任。指导督促各部门党组切实强化履行机关党建主体责任的政治担当，谋划重点任务注重突出党建引领作用、部署党建工作注重强化服务保障中心工作，做到机关党建工作和业务工作一起谋划、一起部署、一起落实、一起检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注重坚持正确政治方向。坚持不懈用习近平新时代中国特色社会主义思想武装党员干部头脑。用足用好“学习强国”、河北干部网络学院等平台，引导机关党员干部自觉主动学、及时跟进学、联系实际学、笃信笃行学，不断提高运用党的创新理论指导实践、推动工作的能力。实施青年理论学习提升工程，强化年轻党员干部理论武装。</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注重提高服务保障水平。深刻把握机关党建围绕中心、建设队伍、服务群众的职责定位，坚持把机关党建放到区委、区政府工作大局中谋划和推进，找准服务大局的结合点，着力促进机关党建和业务工作同向同行、一体推动、同频共振、深度融合。严格执行《中国共产党发展党员工作细则》，认真做好发展党员工作。严格落实《中国共产党党员教育管理工作条例》，持续推进“两学一做”学习教育常态化制度化。坚持集中教育和经常性教育相结合、组织培训和个人自学相结合，创新“微课堂”“情景式党课”等易学易懂的教育方式，用好山海关组织生活馆等党员干部教育资源，提高教育的生动性和有效性。</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注重打牢基层组织根基。聚焦基本队伍、基本活动、基本阵地、基本制度、基本保障，夯实基础工作，坚持组织生活原则，落实组织生活制度，规范组织生活过程，实化组织生活内容，提升组织生活质量，促进机关党建工作落地生根。切实抓好“三会一课”、组织生活会、民主评议党员、谈心谈话等基本制度。严明党的政治纪律和政治规矩，开展常态化政治性警示教育，发展积极健康的党内政治文化，坚持和完善重温入党誓词、过“政治生日”等政治仪式。</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注重营造真抓实干的浓厚氛围。持之以恒推进正风肃纪，持续深化纠“四风”工作，教育党员干部带头弘扬党的光荣传统和密切联系群众的优良作风，努力建设风清气正政治机关。强化担当作为，发挥基层党组织战斗堡垒和党员先锋模范作用，广泛开展党员示范岗、党员承诺践诺等活动，开展岗位练兵、业务竞赛、夺旗争先等活动，深化拓展“港城先锋·红色义工”等党员志愿服务，引导党员立足岗位作贡献、围绕中心有作为，人人为党旗增光添彩。</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jc w:val="left"/>
        <w:textAlignment w:val="auto"/>
        <w:rPr>
          <w:rFonts w:ascii="Times New Roman" w:eastAsia="方正仿宋_GBK"/>
          <w:sz w:val="28"/>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440" w:firstLineChars="200"/>
        <w:jc w:val="center"/>
        <w:textAlignment w:val="auto"/>
        <w:rPr>
          <w:rFonts w:ascii="Times New Roman" w:hAnsi="宋体"/>
        </w:rPr>
      </w:pP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jc w:val="center"/>
        <w:textAlignment w:val="auto"/>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Times New Roman" w:hAnsi="宋体"/>
          <w:sz w:val="52"/>
        </w:rPr>
      </w:pPr>
      <w:r>
        <w:rPr>
          <w:rFonts w:ascii="方正小标宋_GBK" w:eastAsia="方正小标宋_GBK"/>
          <w:sz w:val="5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Times New Roman" w:hAnsi="宋体"/>
          <w:sz w:val="52"/>
        </w:rPr>
      </w:pPr>
      <w:r>
        <w:rPr>
          <w:rFonts w:ascii="方正小标宋_GBK" w:eastAsia="方正小标宋_GBK"/>
          <w:sz w:val="5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Times New Roman" w:hAnsi="宋体"/>
          <w:sz w:val="52"/>
        </w:rPr>
      </w:pPr>
      <w:r>
        <w:rPr>
          <w:rFonts w:ascii="方正小标宋_GBK" w:eastAsia="方正小标宋_GBK"/>
          <w:sz w:val="5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Times New Roman" w:hAnsi="宋体"/>
          <w:sz w:val="44"/>
        </w:rPr>
      </w:pPr>
      <w:r>
        <w:rPr>
          <w:rFonts w:hint="eastAsia" w:ascii="方正小标宋_GBK" w:eastAsia="方正小标宋_GBK"/>
          <w:sz w:val="44"/>
        </w:rPr>
        <w:t>第二部分</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Times New Roman" w:hAnsi="宋体"/>
          <w:sz w:val="44"/>
        </w:rPr>
      </w:pPr>
      <w:r>
        <w:rPr>
          <w:rFonts w:ascii="方正小标宋_GBK" w:eastAsia="方正小标宋_GBK"/>
          <w:sz w:val="44"/>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0"/>
        <w:rPr>
          <w:rFonts w:hint="eastAsia" w:ascii="Times New Roman" w:hAnsi="宋体"/>
          <w:sz w:val="44"/>
        </w:rPr>
      </w:pPr>
      <w:r>
        <w:rPr>
          <w:rFonts w:hint="eastAsia" w:ascii="方正小标宋_GBK" w:eastAsia="方正小标宋_GBK"/>
          <w:sz w:val="44"/>
        </w:rPr>
        <w:t>预算项目绩效目标</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sectPr>
          <w:pgSz w:w="11907" w:h="16839"/>
          <w:pgMar w:top="1984" w:right="1304" w:bottom="1134" w:left="1304" w:header="851" w:footer="992" w:gutter="0"/>
          <w:cols w:space="425" w:num="1"/>
          <w:docGrid w:type="lines" w:linePitch="312" w:charSpace="0"/>
        </w:sectPr>
      </w:pPr>
    </w:p>
    <w:p>
      <w:pPr>
        <w:keepNext w:val="0"/>
        <w:keepLines w:val="0"/>
        <w:pageBreakBefore w:val="0"/>
        <w:widowControl/>
        <w:numPr>
          <w:numId w:val="0"/>
        </w:numPr>
        <w:kinsoku/>
        <w:wordWrap/>
        <w:overflowPunct/>
        <w:topLinePunct w:val="0"/>
        <w:autoSpaceDE/>
        <w:autoSpaceDN/>
        <w:bidi w:val="0"/>
        <w:adjustRightInd w:val="0"/>
        <w:snapToGrid w:val="0"/>
        <w:spacing w:after="0" w:line="600" w:lineRule="exact"/>
        <w:ind w:firstLine="281" w:firstLineChars="100"/>
        <w:jc w:val="left"/>
        <w:textAlignment w:val="auto"/>
        <w:outlineLvl w:val="3"/>
        <w:rPr>
          <w:rFonts w:ascii="Times New Roman" w:hAnsi="宋体"/>
          <w:b/>
          <w:sz w:val="28"/>
        </w:rPr>
      </w:pPr>
      <w:bookmarkStart w:id="3" w:name="_Toc61447634"/>
      <w:r>
        <w:rPr>
          <w:rFonts w:hint="eastAsia" w:ascii="方正仿宋_GBK" w:eastAsia="方正仿宋_GBK"/>
          <w:b/>
          <w:sz w:val="28"/>
          <w:lang w:val="en-US" w:eastAsia="zh-CN"/>
        </w:rPr>
        <w:t>1.</w:t>
      </w:r>
      <w:r>
        <w:rPr>
          <w:rFonts w:hint="eastAsia" w:ascii="方正仿宋_GBK" w:eastAsia="方正仿宋_GBK"/>
          <w:b/>
          <w:sz w:val="28"/>
        </w:rPr>
        <w:t>机关工委业务费绩效目标表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1、机关工委业务费绩效目标表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b/>
              </w:rPr>
            </w:pPr>
            <w:r>
              <w:rPr>
                <w:rFonts w:ascii="方正书宋_GBK" w:eastAsia="方正书宋_GBK"/>
                <w:b/>
              </w:rPr>
              <w:t>286001</w:t>
            </w:r>
            <w:r>
              <w:rPr>
                <w:rFonts w:hint="eastAsia" w:ascii="方正书宋_GBK" w:eastAsia="方正书宋_GBK"/>
                <w:b/>
              </w:rPr>
              <w:t>中共秦皇岛市山海关区委区直机关工作委员会本级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13030321WLCRBVUADKPT8</w:t>
            </w:r>
          </w:p>
        </w:tc>
        <w:tc>
          <w:tcPr>
            <w:tcW w:w="1587"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机关工委业务费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outlineLvl w:val="3"/>
            </w:pPr>
          </w:p>
        </w:tc>
        <w:tc>
          <w:tcPr>
            <w:tcW w:w="8278"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按照工作职责完成本单位的各项工作，保障机关正常运转。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outlineLvl w:val="3"/>
            </w:pPr>
          </w:p>
        </w:tc>
        <w:tc>
          <w:tcPr>
            <w:tcW w:w="2410" w:type="dxa"/>
            <w:gridSpan w:val="2"/>
            <w:tcBorders>
              <w:bottom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确保各项业务工作谋划到位、顺利开展。</w:t>
            </w:r>
          </w:p>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按照工作职责完成本单位的各项工作，保障机关正常运转。</w:t>
            </w:r>
          </w:p>
        </w:tc>
      </w:tr>
    </w:tbl>
    <w:tbl>
      <w:tblPr>
        <w:tblStyle w:val="5"/>
        <w:tblpPr w:leftFromText="180" w:rightFromText="180" w:vertAnchor="text" w:horzAnchor="page" w:tblpX="1382" w:tblpY="29"/>
        <w:tblOverlap w:val="never"/>
        <w:tblW w:w="94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机关</w:t>
            </w:r>
            <w:bookmarkStart w:id="4" w:name="_GoBack"/>
            <w:bookmarkEnd w:id="4"/>
            <w:r>
              <w:rPr>
                <w:rFonts w:hint="eastAsia" w:ascii="方正书宋_GBK" w:eastAsia="方正书宋_GBK"/>
              </w:rPr>
              <w:t>自身建设任务完成率</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加强机关文化建设和自身队伍建设，传递组织关怀、强化日常监督管理</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加强机关文化建设和自身队伍建设，传递组织关怀、强化日常监督管理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综合业务工作完成率</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综合业务工作完成情况占综合业务工作计划比例</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综合业务工作完成情况占综合业务工作计划比例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完成各项工作的时限</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党务工作验收和完成时间</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党务工作验收和完成时间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支出控制数</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各项工作费用不得超预算金额</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w:t>
            </w:r>
            <w:r>
              <w:rPr>
                <w:rFonts w:hint="eastAsia" w:ascii="方正书宋_GBK" w:eastAsia="方正书宋_GBK"/>
                <w:lang w:val="en-US" w:eastAsia="zh-CN"/>
              </w:rPr>
              <w:t>0</w:t>
            </w:r>
            <w:r>
              <w:rPr>
                <w:rFonts w:ascii="方正书宋_GBK" w:eastAsia="方正书宋_GBK"/>
              </w:rPr>
              <w:t>%</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各项工作费用不得超预算金额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公众满意率</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调研了解公众对区直机关开展教育和活动的满意程度</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调研了解公众对区直机关开展教育和活动的满意程度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党员教育培训效果</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提升党员干部理论水平和实际工作能力</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提升党员干部理论水平和实际工作能力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党组织战斗堡垒作用发挥明显</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党组织战斗堡垒作用发挥明显</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基层党组织的战斗堡垒作用和党员的先锋模范作用发挥明显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党组织评议满意度</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调研了解党员对本级党组织的满意程度</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调研了解党员对本级党组织的满意程度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13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书宋_GBK" w:eastAsia="方正书宋_GBK"/>
              </w:rPr>
            </w:pPr>
          </w:p>
        </w:tc>
        <w:tc>
          <w:tcPr>
            <w:tcW w:w="113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参训人员满意率</w:t>
            </w:r>
          </w:p>
        </w:tc>
        <w:tc>
          <w:tcPr>
            <w:tcW w:w="289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ascii="方正书宋_GBK" w:eastAsia="方正书宋_GBK"/>
              </w:rPr>
            </w:pPr>
            <w:r>
              <w:rPr>
                <w:rFonts w:hint="eastAsia" w:ascii="方正书宋_GBK" w:eastAsia="方正书宋_GBK"/>
              </w:rPr>
              <w:t>参训人员满意率</w:t>
            </w:r>
          </w:p>
        </w:tc>
        <w:tc>
          <w:tcPr>
            <w:tcW w:w="127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大于或等于</w:t>
            </w:r>
            <w:r>
              <w:rPr>
                <w:rFonts w:ascii="方正书宋_GBK" w:eastAsia="方正书宋_GBK"/>
              </w:rPr>
              <w:t>90%</w:t>
            </w:r>
          </w:p>
        </w:tc>
        <w:tc>
          <w:tcPr>
            <w:tcW w:w="1701"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600" w:lineRule="exact"/>
              <w:jc w:val="left"/>
              <w:textAlignment w:val="auto"/>
              <w:rPr>
                <w:rFonts w:hint="eastAsia" w:ascii="方正书宋_GBK" w:eastAsia="方正书宋_GBK"/>
              </w:rPr>
            </w:pPr>
            <w:r>
              <w:rPr>
                <w:rFonts w:hint="eastAsia" w:ascii="方正书宋_GBK" w:eastAsia="方正书宋_GBK"/>
              </w:rPr>
              <w:t>参训人员满意率</w:t>
            </w:r>
          </w:p>
        </w:tc>
      </w:tr>
    </w:tbl>
    <w:p>
      <w:pPr>
        <w:keepNext w:val="0"/>
        <w:keepLines w:val="0"/>
        <w:pageBreakBefore w:val="0"/>
        <w:widowControl/>
        <w:kinsoku/>
        <w:wordWrap/>
        <w:overflowPunct/>
        <w:topLinePunct w:val="0"/>
        <w:autoSpaceDE/>
        <w:autoSpaceDN/>
        <w:bidi w:val="0"/>
        <w:adjustRightInd w:val="0"/>
        <w:snapToGrid w:val="0"/>
        <w:spacing w:after="0" w:line="600" w:lineRule="exact"/>
        <w:ind w:firstLine="440" w:firstLineChars="200"/>
        <w:jc w:val="center"/>
        <w:textAlignment w:val="auto"/>
        <w:rPr>
          <w:rFonts w:ascii="Times New Roman" w:hAnsi="宋体"/>
        </w:rPr>
      </w:pPr>
      <w:r>
        <w:rPr>
          <w:rFonts w:ascii="方正书宋_GBK" w:eastAsia="方正书宋_GBK"/>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440" w:firstLineChars="200"/>
        <w:jc w:val="left"/>
        <w:textAlignment w:val="auto"/>
        <w:sectPr>
          <w:pgSz w:w="11907" w:h="16839"/>
          <w:pgMar w:top="1984" w:right="1304" w:bottom="1134" w:left="130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Theme="majorEastAsia" w:hAnsiTheme="majorEastAsia" w:eastAsiaTheme="majorEastAsia" w:cstheme="majorEastAsia"/>
          <w:sz w:val="32"/>
          <w:szCs w:val="32"/>
        </w:rPr>
      </w:pPr>
    </w:p>
    <w:sectPr>
      <w:pgSz w:w="11906" w:h="16838"/>
      <w:pgMar w:top="1701" w:right="1417" w:bottom="1417"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_GBK">
    <w:panose1 w:val="03000509000000000000"/>
    <w:charset w:val="86"/>
    <w:family w:val="roma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2AD31F9"/>
    <w:rsid w:val="12B92A63"/>
    <w:rsid w:val="2D895FEF"/>
    <w:rsid w:val="4A5306D9"/>
    <w:rsid w:val="4DB84BA5"/>
    <w:rsid w:val="68A168E8"/>
    <w:rsid w:val="77CB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character" w:styleId="7">
    <w:name w:val="page number"/>
    <w:basedOn w:val="6"/>
    <w:qFormat/>
    <w:uiPriority w:val="0"/>
  </w:style>
  <w:style w:type="paragraph" w:customStyle="1" w:styleId="8">
    <w:name w:val="普通(网站)1"/>
    <w:basedOn w:val="1"/>
    <w:qFormat/>
    <w:uiPriority w:val="2"/>
    <w:pPr>
      <w:jc w:val="left"/>
    </w:pPr>
    <w:rPr>
      <w:rFonts w:ascii="宋体" w:hAnsi="宋体"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2021-02-08T01:05:15Z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