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部门所属单位预算</w:t>
      </w:r>
    </w:p>
    <w:p>
      <w:r>
        <w:rPr>
          <w:rFonts w:ascii="方正楷体_GBK" w:hAnsi="方正楷体_GBK" w:eastAsia="方正楷体_GBK" w:cs="方正楷体_GBK"/>
          <w:b/>
          <w:color w:val="000000"/>
          <w:sz w:val="28"/>
        </w:rPr>
        <w:t>秦皇岛市山海关区对外联络服务中心本级预算公开表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eastAsiaTheme="minor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eastAsiaTheme="minor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eastAsiaTheme="minorEastAsia"/>
          <w:lang w:eastAsia="zh-CN"/>
        </w:rPr>
        <w:t>单位</w:t>
      </w:r>
      <w:r>
        <w:t>预算支出总表</w:t>
      </w:r>
      <w:r>
        <w:tab/>
      </w:r>
      <w:r>
        <w:rPr>
          <w:rFonts w:hint="eastAsia" w:eastAsiaTheme="minorEastAsia"/>
          <w:lang w:eastAsia="zh-CN"/>
        </w:rPr>
        <w:t>6</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"_Toc_2_2_0000000004" </w:instrText>
      </w:r>
      <w:r>
        <w:fldChar w:fldCharType="separate"/>
      </w:r>
      <w:r>
        <w:rPr>
          <w:rFonts w:hint="eastAsia" w:eastAsiaTheme="minorEastAsia"/>
          <w:lang w:eastAsia="zh-CN"/>
        </w:rPr>
        <w:t>单位</w:t>
      </w:r>
      <w:r>
        <w:t>预算财政拨款收支总表</w:t>
      </w:r>
      <w:r>
        <w:tab/>
      </w:r>
      <w:r>
        <w:rPr>
          <w:rFonts w:hint="eastAsia" w:eastAsiaTheme="minorEastAsia"/>
          <w:lang w:eastAsia="zh-CN"/>
        </w:rPr>
        <w:t>7</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"_Toc_2_2_0000000005" </w:instrText>
      </w:r>
      <w:r>
        <w:fldChar w:fldCharType="separate"/>
      </w:r>
      <w:r>
        <w:rPr>
          <w:rFonts w:hint="eastAsia" w:eastAsiaTheme="minorEastAsia"/>
          <w:lang w:eastAsia="zh-CN"/>
        </w:rPr>
        <w:t>单位</w:t>
      </w:r>
      <w:r>
        <w:t>预算一般公共预算财政拨款支出表</w:t>
      </w:r>
      <w:r>
        <w:tab/>
      </w:r>
      <w:r>
        <w:rPr>
          <w:rFonts w:hint="eastAsia" w:eastAsiaTheme="minorEastAsia"/>
          <w:lang w:eastAsia="zh-CN"/>
        </w:rPr>
        <w:t>10</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"_Toc_2_2_0000000006" </w:instrText>
      </w:r>
      <w:r>
        <w:fldChar w:fldCharType="separate"/>
      </w:r>
      <w:r>
        <w:rPr>
          <w:rFonts w:hint="eastAsia" w:eastAsiaTheme="minorEastAsia"/>
          <w:lang w:eastAsia="zh-CN"/>
        </w:rPr>
        <w:t>单位</w:t>
      </w:r>
      <w:r>
        <w:t>预算一般公共预算财政拨款基本支出表</w:t>
      </w:r>
      <w:r>
        <w:tab/>
      </w:r>
      <w:r>
        <w:rPr>
          <w:rFonts w:hint="eastAsia" w:eastAsiaTheme="minorEastAsia"/>
          <w:lang w:eastAsia="zh-CN"/>
        </w:rPr>
        <w:t>11</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"_Toc_2_2_0000000007" </w:instrText>
      </w:r>
      <w:r>
        <w:fldChar w:fldCharType="separate"/>
      </w:r>
      <w:r>
        <w:rPr>
          <w:rFonts w:hint="eastAsia" w:eastAsiaTheme="minor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eastAsiaTheme="minorEastAsia"/>
          <w:lang w:eastAsia="zh-CN"/>
        </w:rPr>
        <w:t>3</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rPr>
          <w:rFonts w:hint="eastAsia" w:eastAsiaTheme="minor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eastAsiaTheme="minorEastAsia"/>
          <w:lang w:eastAsia="zh-CN"/>
        </w:rPr>
        <w:t>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rPr>
          <w:rFonts w:hint="eastAsia" w:eastAsiaTheme="minor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eastAsiaTheme="minorEastAsia"/>
          <w:lang w:eastAsia="zh-CN"/>
        </w:rPr>
        <w:t>5</w:t>
      </w:r>
      <w:r>
        <w:fldChar w:fldCharType="end"/>
      </w:r>
      <w:r>
        <w:fldChar w:fldCharType="end"/>
      </w:r>
    </w:p>
    <w:p>
      <w:r>
        <w:fldChar w:fldCharType="end"/>
      </w:r>
    </w:p>
    <w:p>
      <w:r>
        <w:rPr>
          <w:rFonts w:ascii="方正楷体_GBK" w:hAnsi="方正楷体_GBK" w:eastAsia="方正楷体_GBK" w:cs="方正楷体_GBK"/>
          <w:b/>
          <w:color w:val="000000"/>
          <w:sz w:val="28"/>
        </w:rPr>
        <w:t>秦皇岛市山海关区对外联络服务中心本级预算信息公开情况说明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eastAsiaTheme="minor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eastAsiaTheme="minorEastAsia"/>
          <w:lang w:eastAsia="zh-CN"/>
        </w:rPr>
        <w:t>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w:t>
      </w:r>
      <w:r>
        <w:rPr>
          <w:rFonts w:hint="eastAsia" w:eastAsiaTheme="minor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eastAsiaTheme="minorEastAsia"/>
          <w:lang w:eastAsia="zh-CN"/>
        </w:rPr>
        <w:t>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eastAsiaTheme="minorEastAsia"/>
          <w:lang w:eastAsia="zh-CN"/>
        </w:rPr>
        <w:t>7</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eastAsiaTheme="minorEastAsia"/>
          <w:lang w:eastAsia="zh-CN"/>
        </w:rPr>
        <w:t>8</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eastAsiaTheme="minorEastAsia"/>
          <w:lang w:eastAsia="zh-CN"/>
        </w:rPr>
        <w:t>8</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4</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4</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eastAsiaTheme="minorEastAsia"/>
          <w:lang w:val="en-US" w:eastAsia="zh-CN"/>
        </w:rPr>
        <w:t>5</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rPr>
          <w:rFonts w:hint="eastAsia"/>
          <w:lang w:val="en-US" w:eastAsia="zh-CN"/>
        </w:rPr>
        <w:t>5</w:t>
      </w:r>
      <w:r>
        <w:fldChar w:fldCharType="end"/>
      </w:r>
      <w:r>
        <w:fldChar w:fldCharType="end"/>
      </w:r>
    </w:p>
    <w:p>
      <w:r>
        <w:fldChar w:fldCharType="end"/>
      </w:r>
    </w:p>
    <w:p>
      <w:pPr>
        <w:rPr>
          <w:rFonts w:hint="eastAsia" w:eastAsiaTheme="minorEastAsia"/>
          <w:lang w:eastAsia="zh-CN"/>
        </w:r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一、外联中心秦皇岛市山海关区对外联络服务中心本级收支预算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623001外联中心秦皇岛市山海关区对外联络服务中心本级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257.27</w:t>
            </w:r>
          </w:p>
        </w:tc>
        <w:tc>
          <w:tcPr>
            <w:tcW w:w="4535" w:type="dxa"/>
            <w:vAlign w:val="center"/>
          </w:tcPr>
          <w:p>
            <w:pPr>
              <w:pStyle w:val="12"/>
            </w:pPr>
            <w:r>
              <w:t>一、一般公共服务支出</w:t>
            </w:r>
          </w:p>
        </w:tc>
        <w:tc>
          <w:tcPr>
            <w:tcW w:w="2126" w:type="dxa"/>
            <w:vAlign w:val="center"/>
          </w:tcPr>
          <w:p>
            <w:pPr>
              <w:pStyle w:val="11"/>
            </w:pPr>
            <w:r>
              <w:t>235.62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257.27</w:t>
            </w:r>
          </w:p>
        </w:tc>
        <w:tc>
          <w:tcPr>
            <w:tcW w:w="4535" w:type="dxa"/>
            <w:vAlign w:val="center"/>
          </w:tcPr>
          <w:p>
            <w:pPr>
              <w:pStyle w:val="14"/>
            </w:pPr>
            <w:r>
              <w:t>本年支出合计</w:t>
            </w:r>
          </w:p>
        </w:tc>
        <w:tc>
          <w:tcPr>
            <w:tcW w:w="2126" w:type="dxa"/>
            <w:vAlign w:val="center"/>
          </w:tcPr>
          <w:p>
            <w:pPr>
              <w:pStyle w:val="15"/>
            </w:pPr>
            <w:r>
              <w:t>257.27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257.27</w:t>
            </w:r>
          </w:p>
        </w:tc>
        <w:tc>
          <w:tcPr>
            <w:tcW w:w="4535" w:type="dxa"/>
            <w:vAlign w:val="center"/>
          </w:tcPr>
          <w:p>
            <w:pPr>
              <w:pStyle w:val="14"/>
            </w:pPr>
            <w:r>
              <w:t>支出总计</w:t>
            </w:r>
          </w:p>
        </w:tc>
        <w:tc>
          <w:tcPr>
            <w:tcW w:w="2126" w:type="dxa"/>
            <w:vAlign w:val="center"/>
          </w:tcPr>
          <w:p>
            <w:pPr>
              <w:pStyle w:val="15"/>
            </w:pPr>
            <w:r>
              <w:t>257.27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623001外联中心秦皇岛市山海关区对外联络服务中心本级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257.27</w:t>
            </w:r>
          </w:p>
        </w:tc>
        <w:tc>
          <w:tcPr>
            <w:tcW w:w="1134" w:type="dxa"/>
            <w:vAlign w:val="center"/>
          </w:tcPr>
          <w:p>
            <w:pPr>
              <w:pStyle w:val="15"/>
            </w:pPr>
            <w:r>
              <w:t>257.27</w:t>
            </w:r>
          </w:p>
        </w:tc>
        <w:tc>
          <w:tcPr>
            <w:tcW w:w="1134" w:type="dxa"/>
            <w:vAlign w:val="center"/>
          </w:tcPr>
          <w:p>
            <w:pPr>
              <w:pStyle w:val="15"/>
            </w:pPr>
            <w:r>
              <w:t>257.27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235.62</w:t>
            </w:r>
          </w:p>
        </w:tc>
        <w:tc>
          <w:tcPr>
            <w:tcW w:w="1134" w:type="dxa"/>
            <w:vAlign w:val="center"/>
          </w:tcPr>
          <w:p>
            <w:pPr>
              <w:pStyle w:val="11"/>
            </w:pPr>
            <w:r>
              <w:t>235.62</w:t>
            </w:r>
          </w:p>
        </w:tc>
        <w:tc>
          <w:tcPr>
            <w:tcW w:w="1134" w:type="dxa"/>
            <w:vAlign w:val="center"/>
          </w:tcPr>
          <w:p>
            <w:pPr>
              <w:pStyle w:val="11"/>
            </w:pPr>
            <w:r>
              <w:t>235.62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235.62</w:t>
            </w:r>
          </w:p>
        </w:tc>
        <w:tc>
          <w:tcPr>
            <w:tcW w:w="1134" w:type="dxa"/>
            <w:vAlign w:val="center"/>
          </w:tcPr>
          <w:p>
            <w:pPr>
              <w:pStyle w:val="11"/>
            </w:pPr>
            <w:r>
              <w:t>235.62</w:t>
            </w:r>
          </w:p>
        </w:tc>
        <w:tc>
          <w:tcPr>
            <w:tcW w:w="1134" w:type="dxa"/>
            <w:vAlign w:val="center"/>
          </w:tcPr>
          <w:p>
            <w:pPr>
              <w:pStyle w:val="11"/>
            </w:pPr>
            <w:r>
              <w:t>235.62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65.22</w:t>
            </w:r>
          </w:p>
        </w:tc>
        <w:tc>
          <w:tcPr>
            <w:tcW w:w="1134" w:type="dxa"/>
            <w:vAlign w:val="center"/>
          </w:tcPr>
          <w:p>
            <w:pPr>
              <w:pStyle w:val="11"/>
            </w:pPr>
            <w:r>
              <w:t>65.22</w:t>
            </w:r>
          </w:p>
        </w:tc>
        <w:tc>
          <w:tcPr>
            <w:tcW w:w="1134" w:type="dxa"/>
            <w:vAlign w:val="center"/>
          </w:tcPr>
          <w:p>
            <w:pPr>
              <w:pStyle w:val="11"/>
            </w:pPr>
            <w:r>
              <w:t>65.22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2013105</w:t>
            </w:r>
          </w:p>
        </w:tc>
        <w:tc>
          <w:tcPr>
            <w:tcW w:w="1559" w:type="dxa"/>
            <w:vAlign w:val="center"/>
          </w:tcPr>
          <w:p>
            <w:pPr>
              <w:pStyle w:val="12"/>
            </w:pPr>
            <w:r>
              <w:t>专项业务</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2013199</w:t>
            </w:r>
          </w:p>
        </w:tc>
        <w:tc>
          <w:tcPr>
            <w:tcW w:w="1559" w:type="dxa"/>
            <w:vAlign w:val="center"/>
          </w:tcPr>
          <w:p>
            <w:pPr>
              <w:pStyle w:val="12"/>
            </w:pPr>
            <w:r>
              <w:t>其他党委办公厅（室）及相关机构事务支出</w:t>
            </w:r>
          </w:p>
        </w:tc>
        <w:tc>
          <w:tcPr>
            <w:tcW w:w="1134" w:type="dxa"/>
            <w:vAlign w:val="center"/>
          </w:tcPr>
          <w:p>
            <w:pPr>
              <w:pStyle w:val="11"/>
            </w:pPr>
            <w:r>
              <w:t>70.40</w:t>
            </w:r>
          </w:p>
        </w:tc>
        <w:tc>
          <w:tcPr>
            <w:tcW w:w="1134" w:type="dxa"/>
            <w:vAlign w:val="center"/>
          </w:tcPr>
          <w:p>
            <w:pPr>
              <w:pStyle w:val="11"/>
            </w:pPr>
            <w:r>
              <w:t>70.40</w:t>
            </w:r>
          </w:p>
        </w:tc>
        <w:tc>
          <w:tcPr>
            <w:tcW w:w="1134" w:type="dxa"/>
            <w:vAlign w:val="center"/>
          </w:tcPr>
          <w:p>
            <w:pPr>
              <w:pStyle w:val="11"/>
            </w:pPr>
            <w:r>
              <w:t>70.40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8.28</w:t>
            </w:r>
          </w:p>
        </w:tc>
        <w:tc>
          <w:tcPr>
            <w:tcW w:w="1134" w:type="dxa"/>
            <w:vAlign w:val="center"/>
          </w:tcPr>
          <w:p>
            <w:pPr>
              <w:pStyle w:val="11"/>
            </w:pPr>
            <w:r>
              <w:t>8.28</w:t>
            </w:r>
          </w:p>
        </w:tc>
        <w:tc>
          <w:tcPr>
            <w:tcW w:w="1134" w:type="dxa"/>
            <w:vAlign w:val="center"/>
          </w:tcPr>
          <w:p>
            <w:pPr>
              <w:pStyle w:val="11"/>
            </w:pPr>
            <w:r>
              <w:t>8.28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8.28</w:t>
            </w:r>
          </w:p>
        </w:tc>
        <w:tc>
          <w:tcPr>
            <w:tcW w:w="1134" w:type="dxa"/>
            <w:vAlign w:val="center"/>
          </w:tcPr>
          <w:p>
            <w:pPr>
              <w:pStyle w:val="11"/>
            </w:pPr>
            <w:r>
              <w:t>8.28</w:t>
            </w:r>
          </w:p>
        </w:tc>
        <w:tc>
          <w:tcPr>
            <w:tcW w:w="1134" w:type="dxa"/>
            <w:vAlign w:val="center"/>
          </w:tcPr>
          <w:p>
            <w:pPr>
              <w:pStyle w:val="11"/>
            </w:pPr>
            <w:r>
              <w:t>8.28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8.28</w:t>
            </w:r>
          </w:p>
        </w:tc>
        <w:tc>
          <w:tcPr>
            <w:tcW w:w="1134" w:type="dxa"/>
            <w:vAlign w:val="center"/>
          </w:tcPr>
          <w:p>
            <w:pPr>
              <w:pStyle w:val="11"/>
            </w:pPr>
            <w:r>
              <w:t>8.28</w:t>
            </w:r>
          </w:p>
        </w:tc>
        <w:tc>
          <w:tcPr>
            <w:tcW w:w="1134" w:type="dxa"/>
            <w:vAlign w:val="center"/>
          </w:tcPr>
          <w:p>
            <w:pPr>
              <w:pStyle w:val="11"/>
            </w:pPr>
            <w:r>
              <w:t>8.28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6.99</w:t>
            </w:r>
          </w:p>
        </w:tc>
        <w:tc>
          <w:tcPr>
            <w:tcW w:w="1134" w:type="dxa"/>
            <w:vAlign w:val="center"/>
          </w:tcPr>
          <w:p>
            <w:pPr>
              <w:pStyle w:val="11"/>
            </w:pPr>
            <w:r>
              <w:t>6.99</w:t>
            </w:r>
          </w:p>
        </w:tc>
        <w:tc>
          <w:tcPr>
            <w:tcW w:w="1134" w:type="dxa"/>
            <w:vAlign w:val="center"/>
          </w:tcPr>
          <w:p>
            <w:pPr>
              <w:pStyle w:val="11"/>
            </w:pPr>
            <w:r>
              <w:t>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6.99</w:t>
            </w:r>
          </w:p>
        </w:tc>
        <w:tc>
          <w:tcPr>
            <w:tcW w:w="1134" w:type="dxa"/>
            <w:vAlign w:val="center"/>
          </w:tcPr>
          <w:p>
            <w:pPr>
              <w:pStyle w:val="11"/>
            </w:pPr>
            <w:r>
              <w:t>6.99</w:t>
            </w:r>
          </w:p>
        </w:tc>
        <w:tc>
          <w:tcPr>
            <w:tcW w:w="1134" w:type="dxa"/>
            <w:vAlign w:val="center"/>
          </w:tcPr>
          <w:p>
            <w:pPr>
              <w:pStyle w:val="11"/>
            </w:pPr>
            <w:r>
              <w:t>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3.31</w:t>
            </w:r>
          </w:p>
        </w:tc>
        <w:tc>
          <w:tcPr>
            <w:tcW w:w="1134" w:type="dxa"/>
            <w:vAlign w:val="center"/>
          </w:tcPr>
          <w:p>
            <w:pPr>
              <w:pStyle w:val="11"/>
            </w:pPr>
            <w:r>
              <w:t>3.31</w:t>
            </w:r>
          </w:p>
        </w:tc>
        <w:tc>
          <w:tcPr>
            <w:tcW w:w="1134" w:type="dxa"/>
            <w:vAlign w:val="center"/>
          </w:tcPr>
          <w:p>
            <w:pPr>
              <w:pStyle w:val="11"/>
            </w:pPr>
            <w:r>
              <w:t>3.31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6.39</w:t>
            </w:r>
          </w:p>
        </w:tc>
        <w:tc>
          <w:tcPr>
            <w:tcW w:w="1134" w:type="dxa"/>
            <w:vAlign w:val="center"/>
          </w:tcPr>
          <w:p>
            <w:pPr>
              <w:pStyle w:val="11"/>
            </w:pPr>
            <w:r>
              <w:t>6.39</w:t>
            </w:r>
          </w:p>
        </w:tc>
        <w:tc>
          <w:tcPr>
            <w:tcW w:w="1134" w:type="dxa"/>
            <w:vAlign w:val="center"/>
          </w:tcPr>
          <w:p>
            <w:pPr>
              <w:pStyle w:val="11"/>
            </w:pPr>
            <w:r>
              <w:t>6.39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6.39</w:t>
            </w:r>
          </w:p>
        </w:tc>
        <w:tc>
          <w:tcPr>
            <w:tcW w:w="1134" w:type="dxa"/>
            <w:vAlign w:val="center"/>
          </w:tcPr>
          <w:p>
            <w:pPr>
              <w:pStyle w:val="11"/>
            </w:pPr>
            <w:r>
              <w:t>6.39</w:t>
            </w:r>
          </w:p>
        </w:tc>
        <w:tc>
          <w:tcPr>
            <w:tcW w:w="1134" w:type="dxa"/>
            <w:vAlign w:val="center"/>
          </w:tcPr>
          <w:p>
            <w:pPr>
              <w:pStyle w:val="11"/>
            </w:pPr>
            <w:r>
              <w:t>6.39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6.39</w:t>
            </w:r>
          </w:p>
        </w:tc>
        <w:tc>
          <w:tcPr>
            <w:tcW w:w="1134" w:type="dxa"/>
            <w:vAlign w:val="center"/>
          </w:tcPr>
          <w:p>
            <w:pPr>
              <w:pStyle w:val="11"/>
            </w:pPr>
            <w:r>
              <w:t>6.39</w:t>
            </w:r>
          </w:p>
        </w:tc>
        <w:tc>
          <w:tcPr>
            <w:tcW w:w="1134" w:type="dxa"/>
            <w:vAlign w:val="center"/>
          </w:tcPr>
          <w:p>
            <w:pPr>
              <w:pStyle w:val="11"/>
            </w:pPr>
            <w:r>
              <w:t>6.39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623001外联中心秦皇岛市山海关区对外联络服务中心本级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257.27</w:t>
            </w:r>
          </w:p>
        </w:tc>
        <w:tc>
          <w:tcPr>
            <w:tcW w:w="1361" w:type="dxa"/>
            <w:vAlign w:val="center"/>
          </w:tcPr>
          <w:p>
            <w:pPr>
              <w:pStyle w:val="15"/>
            </w:pPr>
            <w:r>
              <w:t>86.87</w:t>
            </w:r>
          </w:p>
        </w:tc>
        <w:tc>
          <w:tcPr>
            <w:tcW w:w="1361" w:type="dxa"/>
            <w:vAlign w:val="center"/>
          </w:tcPr>
          <w:p>
            <w:pPr>
              <w:pStyle w:val="15"/>
            </w:pPr>
            <w:r>
              <w:t>170.40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235.62</w:t>
            </w:r>
          </w:p>
        </w:tc>
        <w:tc>
          <w:tcPr>
            <w:tcW w:w="1361" w:type="dxa"/>
            <w:vAlign w:val="center"/>
          </w:tcPr>
          <w:p>
            <w:pPr>
              <w:pStyle w:val="11"/>
            </w:pPr>
            <w:r>
              <w:t>65.22</w:t>
            </w:r>
          </w:p>
        </w:tc>
        <w:tc>
          <w:tcPr>
            <w:tcW w:w="1361" w:type="dxa"/>
            <w:vAlign w:val="center"/>
          </w:tcPr>
          <w:p>
            <w:pPr>
              <w:pStyle w:val="11"/>
            </w:pPr>
            <w:r>
              <w:t>170.40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235.62</w:t>
            </w:r>
          </w:p>
        </w:tc>
        <w:tc>
          <w:tcPr>
            <w:tcW w:w="1361" w:type="dxa"/>
            <w:vAlign w:val="center"/>
          </w:tcPr>
          <w:p>
            <w:pPr>
              <w:pStyle w:val="11"/>
            </w:pPr>
            <w:r>
              <w:t>65.22</w:t>
            </w:r>
          </w:p>
        </w:tc>
        <w:tc>
          <w:tcPr>
            <w:tcW w:w="1361" w:type="dxa"/>
            <w:vAlign w:val="center"/>
          </w:tcPr>
          <w:p>
            <w:pPr>
              <w:pStyle w:val="11"/>
            </w:pPr>
            <w:r>
              <w:t>170.40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65.22</w:t>
            </w:r>
          </w:p>
        </w:tc>
        <w:tc>
          <w:tcPr>
            <w:tcW w:w="1361" w:type="dxa"/>
            <w:vAlign w:val="center"/>
          </w:tcPr>
          <w:p>
            <w:pPr>
              <w:pStyle w:val="11"/>
            </w:pPr>
            <w:r>
              <w:t>65.22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2013105</w:t>
            </w:r>
          </w:p>
        </w:tc>
        <w:tc>
          <w:tcPr>
            <w:tcW w:w="4535" w:type="dxa"/>
            <w:vAlign w:val="center"/>
          </w:tcPr>
          <w:p>
            <w:pPr>
              <w:pStyle w:val="12"/>
            </w:pPr>
            <w:r>
              <w:t>专项业务</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2013199</w:t>
            </w:r>
          </w:p>
        </w:tc>
        <w:tc>
          <w:tcPr>
            <w:tcW w:w="4535" w:type="dxa"/>
            <w:vAlign w:val="center"/>
          </w:tcPr>
          <w:p>
            <w:pPr>
              <w:pStyle w:val="12"/>
            </w:pPr>
            <w:r>
              <w:t>其他党委办公厅（室）及相关机构事务支出</w:t>
            </w:r>
          </w:p>
        </w:tc>
        <w:tc>
          <w:tcPr>
            <w:tcW w:w="1361" w:type="dxa"/>
            <w:vAlign w:val="center"/>
          </w:tcPr>
          <w:p>
            <w:pPr>
              <w:pStyle w:val="11"/>
            </w:pPr>
            <w:r>
              <w:t>70.40</w:t>
            </w:r>
          </w:p>
        </w:tc>
        <w:tc>
          <w:tcPr>
            <w:tcW w:w="1361" w:type="dxa"/>
            <w:vAlign w:val="center"/>
          </w:tcPr>
          <w:p>
            <w:pPr>
              <w:pStyle w:val="11"/>
            </w:pPr>
          </w:p>
        </w:tc>
        <w:tc>
          <w:tcPr>
            <w:tcW w:w="1361" w:type="dxa"/>
            <w:vAlign w:val="center"/>
          </w:tcPr>
          <w:p>
            <w:pPr>
              <w:pStyle w:val="11"/>
            </w:pPr>
            <w:r>
              <w:t>70.40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8.28</w:t>
            </w:r>
          </w:p>
        </w:tc>
        <w:tc>
          <w:tcPr>
            <w:tcW w:w="1361" w:type="dxa"/>
            <w:vAlign w:val="center"/>
          </w:tcPr>
          <w:p>
            <w:pPr>
              <w:pStyle w:val="11"/>
            </w:pPr>
            <w:r>
              <w:t>8.28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8.28</w:t>
            </w:r>
          </w:p>
        </w:tc>
        <w:tc>
          <w:tcPr>
            <w:tcW w:w="1361" w:type="dxa"/>
            <w:vAlign w:val="center"/>
          </w:tcPr>
          <w:p>
            <w:pPr>
              <w:pStyle w:val="11"/>
            </w:pPr>
            <w:r>
              <w:t>8.28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8.28</w:t>
            </w:r>
          </w:p>
        </w:tc>
        <w:tc>
          <w:tcPr>
            <w:tcW w:w="1361" w:type="dxa"/>
            <w:vAlign w:val="center"/>
          </w:tcPr>
          <w:p>
            <w:pPr>
              <w:pStyle w:val="11"/>
            </w:pPr>
            <w:r>
              <w:t>8.28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6.99</w:t>
            </w:r>
          </w:p>
        </w:tc>
        <w:tc>
          <w:tcPr>
            <w:tcW w:w="1361" w:type="dxa"/>
            <w:vAlign w:val="center"/>
          </w:tcPr>
          <w:p>
            <w:pPr>
              <w:pStyle w:val="11"/>
            </w:pPr>
            <w:r>
              <w:t>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6.99</w:t>
            </w:r>
          </w:p>
        </w:tc>
        <w:tc>
          <w:tcPr>
            <w:tcW w:w="1361" w:type="dxa"/>
            <w:vAlign w:val="center"/>
          </w:tcPr>
          <w:p>
            <w:pPr>
              <w:pStyle w:val="11"/>
            </w:pPr>
            <w:r>
              <w:t>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3.31</w:t>
            </w:r>
          </w:p>
        </w:tc>
        <w:tc>
          <w:tcPr>
            <w:tcW w:w="1361" w:type="dxa"/>
            <w:vAlign w:val="center"/>
          </w:tcPr>
          <w:p>
            <w:pPr>
              <w:pStyle w:val="11"/>
            </w:pPr>
            <w:r>
              <w:t>3.31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3.68</w:t>
            </w:r>
          </w:p>
        </w:tc>
        <w:tc>
          <w:tcPr>
            <w:tcW w:w="1361" w:type="dxa"/>
            <w:vAlign w:val="center"/>
          </w:tcPr>
          <w:p>
            <w:pPr>
              <w:pStyle w:val="11"/>
            </w:pPr>
            <w:r>
              <w:t>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6.39</w:t>
            </w:r>
          </w:p>
        </w:tc>
        <w:tc>
          <w:tcPr>
            <w:tcW w:w="1361" w:type="dxa"/>
            <w:vAlign w:val="center"/>
          </w:tcPr>
          <w:p>
            <w:pPr>
              <w:pStyle w:val="11"/>
            </w:pPr>
            <w:r>
              <w:t>6.39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6.39</w:t>
            </w:r>
          </w:p>
        </w:tc>
        <w:tc>
          <w:tcPr>
            <w:tcW w:w="1361" w:type="dxa"/>
            <w:vAlign w:val="center"/>
          </w:tcPr>
          <w:p>
            <w:pPr>
              <w:pStyle w:val="11"/>
            </w:pPr>
            <w:r>
              <w:t>6.39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6.39</w:t>
            </w:r>
          </w:p>
        </w:tc>
        <w:tc>
          <w:tcPr>
            <w:tcW w:w="1361" w:type="dxa"/>
            <w:vAlign w:val="center"/>
          </w:tcPr>
          <w:p>
            <w:pPr>
              <w:pStyle w:val="11"/>
            </w:pPr>
            <w:r>
              <w:t>6.39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623001外联中心秦皇岛市山海关区对外联络服务中心本级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257.27</w:t>
            </w:r>
          </w:p>
        </w:tc>
        <w:tc>
          <w:tcPr>
            <w:tcW w:w="3402" w:type="dxa"/>
            <w:vAlign w:val="center"/>
          </w:tcPr>
          <w:p>
            <w:pPr>
              <w:pStyle w:val="12"/>
            </w:pPr>
            <w:r>
              <w:t>一、一般公共服务支出</w:t>
            </w:r>
          </w:p>
        </w:tc>
        <w:tc>
          <w:tcPr>
            <w:tcW w:w="1474" w:type="dxa"/>
            <w:vAlign w:val="center"/>
          </w:tcPr>
          <w:p>
            <w:pPr>
              <w:pStyle w:val="11"/>
            </w:pPr>
            <w:r>
              <w:t>235.62</w:t>
            </w:r>
          </w:p>
        </w:tc>
        <w:tc>
          <w:tcPr>
            <w:tcW w:w="1474" w:type="dxa"/>
            <w:vAlign w:val="center"/>
          </w:tcPr>
          <w:p>
            <w:pPr>
              <w:pStyle w:val="11"/>
            </w:pPr>
            <w:r>
              <w:t>235.62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8.28</w:t>
            </w:r>
          </w:p>
        </w:tc>
        <w:tc>
          <w:tcPr>
            <w:tcW w:w="1474" w:type="dxa"/>
            <w:vAlign w:val="center"/>
          </w:tcPr>
          <w:p>
            <w:pPr>
              <w:pStyle w:val="11"/>
            </w:pPr>
            <w:r>
              <w:t>8.28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6.99</w:t>
            </w:r>
          </w:p>
        </w:tc>
        <w:tc>
          <w:tcPr>
            <w:tcW w:w="1474" w:type="dxa"/>
            <w:vAlign w:val="center"/>
          </w:tcPr>
          <w:p>
            <w:pPr>
              <w:pStyle w:val="11"/>
            </w:pPr>
            <w:r>
              <w:t>6.99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6.39</w:t>
            </w:r>
          </w:p>
        </w:tc>
        <w:tc>
          <w:tcPr>
            <w:tcW w:w="1474" w:type="dxa"/>
            <w:vAlign w:val="center"/>
          </w:tcPr>
          <w:p>
            <w:pPr>
              <w:pStyle w:val="11"/>
            </w:pPr>
            <w:r>
              <w:t>6.39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257.27</w:t>
            </w:r>
          </w:p>
        </w:tc>
        <w:tc>
          <w:tcPr>
            <w:tcW w:w="3402" w:type="dxa"/>
            <w:vAlign w:val="center"/>
          </w:tcPr>
          <w:p>
            <w:pPr>
              <w:pStyle w:val="14"/>
            </w:pPr>
            <w:r>
              <w:t>本年支出合计</w:t>
            </w:r>
          </w:p>
        </w:tc>
        <w:tc>
          <w:tcPr>
            <w:tcW w:w="1474" w:type="dxa"/>
            <w:vAlign w:val="center"/>
          </w:tcPr>
          <w:p>
            <w:pPr>
              <w:pStyle w:val="15"/>
            </w:pPr>
            <w:r>
              <w:t>257.27</w:t>
            </w:r>
          </w:p>
        </w:tc>
        <w:tc>
          <w:tcPr>
            <w:tcW w:w="1474" w:type="dxa"/>
            <w:vAlign w:val="center"/>
          </w:tcPr>
          <w:p>
            <w:pPr>
              <w:pStyle w:val="15"/>
            </w:pPr>
            <w:r>
              <w:t>257.27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257.27</w:t>
            </w:r>
          </w:p>
        </w:tc>
        <w:tc>
          <w:tcPr>
            <w:tcW w:w="3402" w:type="dxa"/>
            <w:vAlign w:val="center"/>
          </w:tcPr>
          <w:p>
            <w:pPr>
              <w:pStyle w:val="14"/>
            </w:pPr>
            <w:r>
              <w:t>支出总计</w:t>
            </w:r>
          </w:p>
        </w:tc>
        <w:tc>
          <w:tcPr>
            <w:tcW w:w="1474" w:type="dxa"/>
            <w:vAlign w:val="center"/>
          </w:tcPr>
          <w:p>
            <w:pPr>
              <w:pStyle w:val="15"/>
            </w:pPr>
            <w:r>
              <w:t>257.27</w:t>
            </w:r>
          </w:p>
        </w:tc>
        <w:tc>
          <w:tcPr>
            <w:tcW w:w="1474" w:type="dxa"/>
            <w:vAlign w:val="center"/>
          </w:tcPr>
          <w:p>
            <w:pPr>
              <w:pStyle w:val="15"/>
            </w:pPr>
            <w:r>
              <w:t>257.27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623001外联中心秦皇岛市山海关区对外联络服务中心本级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257.27</w:t>
            </w:r>
          </w:p>
        </w:tc>
        <w:tc>
          <w:tcPr>
            <w:tcW w:w="2551" w:type="dxa"/>
            <w:vAlign w:val="center"/>
          </w:tcPr>
          <w:p>
            <w:pPr>
              <w:pStyle w:val="15"/>
            </w:pPr>
            <w:r>
              <w:t>86.87</w:t>
            </w:r>
          </w:p>
        </w:tc>
        <w:tc>
          <w:tcPr>
            <w:tcW w:w="2551" w:type="dxa"/>
            <w:vAlign w:val="center"/>
          </w:tcPr>
          <w:p>
            <w:pPr>
              <w:pStyle w:val="15"/>
            </w:pPr>
            <w:r>
              <w:t>170.40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235.62</w:t>
            </w:r>
          </w:p>
        </w:tc>
        <w:tc>
          <w:tcPr>
            <w:tcW w:w="2551" w:type="dxa"/>
            <w:vAlign w:val="center"/>
          </w:tcPr>
          <w:p>
            <w:pPr>
              <w:pStyle w:val="11"/>
            </w:pPr>
            <w:r>
              <w:t>65.22</w:t>
            </w:r>
          </w:p>
        </w:tc>
        <w:tc>
          <w:tcPr>
            <w:tcW w:w="2551" w:type="dxa"/>
            <w:vAlign w:val="center"/>
          </w:tcPr>
          <w:p>
            <w:pPr>
              <w:pStyle w:val="11"/>
            </w:pPr>
            <w:r>
              <w:t>170.40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235.62</w:t>
            </w:r>
          </w:p>
        </w:tc>
        <w:tc>
          <w:tcPr>
            <w:tcW w:w="2551" w:type="dxa"/>
            <w:vAlign w:val="center"/>
          </w:tcPr>
          <w:p>
            <w:pPr>
              <w:pStyle w:val="11"/>
            </w:pPr>
            <w:r>
              <w:t>65.22</w:t>
            </w:r>
          </w:p>
        </w:tc>
        <w:tc>
          <w:tcPr>
            <w:tcW w:w="2551" w:type="dxa"/>
            <w:vAlign w:val="center"/>
          </w:tcPr>
          <w:p>
            <w:pPr>
              <w:pStyle w:val="11"/>
            </w:pPr>
            <w:r>
              <w:t>170.40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65.22</w:t>
            </w:r>
          </w:p>
        </w:tc>
        <w:tc>
          <w:tcPr>
            <w:tcW w:w="2551" w:type="dxa"/>
            <w:vAlign w:val="center"/>
          </w:tcPr>
          <w:p>
            <w:pPr>
              <w:pStyle w:val="11"/>
            </w:pPr>
            <w:r>
              <w:t>65.22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2013105</w:t>
            </w:r>
          </w:p>
        </w:tc>
        <w:tc>
          <w:tcPr>
            <w:tcW w:w="4535" w:type="dxa"/>
            <w:vAlign w:val="center"/>
          </w:tcPr>
          <w:p>
            <w:pPr>
              <w:pStyle w:val="12"/>
            </w:pPr>
            <w:r>
              <w:t>专项业务</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2013199</w:t>
            </w:r>
          </w:p>
        </w:tc>
        <w:tc>
          <w:tcPr>
            <w:tcW w:w="4535" w:type="dxa"/>
            <w:vAlign w:val="center"/>
          </w:tcPr>
          <w:p>
            <w:pPr>
              <w:pStyle w:val="12"/>
            </w:pPr>
            <w:r>
              <w:t>其他党委办公厅（室）及相关机构事务支出</w:t>
            </w:r>
          </w:p>
        </w:tc>
        <w:tc>
          <w:tcPr>
            <w:tcW w:w="2551" w:type="dxa"/>
            <w:vAlign w:val="center"/>
          </w:tcPr>
          <w:p>
            <w:pPr>
              <w:pStyle w:val="11"/>
            </w:pPr>
            <w:r>
              <w:t>70.40</w:t>
            </w:r>
          </w:p>
        </w:tc>
        <w:tc>
          <w:tcPr>
            <w:tcW w:w="2551" w:type="dxa"/>
            <w:vAlign w:val="center"/>
          </w:tcPr>
          <w:p>
            <w:pPr>
              <w:pStyle w:val="11"/>
            </w:pPr>
          </w:p>
        </w:tc>
        <w:tc>
          <w:tcPr>
            <w:tcW w:w="2551" w:type="dxa"/>
            <w:vAlign w:val="center"/>
          </w:tcPr>
          <w:p>
            <w:pPr>
              <w:pStyle w:val="11"/>
            </w:pPr>
            <w:r>
              <w:t>70.40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8.28</w:t>
            </w:r>
          </w:p>
        </w:tc>
        <w:tc>
          <w:tcPr>
            <w:tcW w:w="2551" w:type="dxa"/>
            <w:vAlign w:val="center"/>
          </w:tcPr>
          <w:p>
            <w:pPr>
              <w:pStyle w:val="11"/>
            </w:pPr>
            <w:r>
              <w:t>8.28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8.28</w:t>
            </w:r>
          </w:p>
        </w:tc>
        <w:tc>
          <w:tcPr>
            <w:tcW w:w="2551" w:type="dxa"/>
            <w:vAlign w:val="center"/>
          </w:tcPr>
          <w:p>
            <w:pPr>
              <w:pStyle w:val="11"/>
            </w:pPr>
            <w:r>
              <w:t>8.28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8.28</w:t>
            </w:r>
          </w:p>
        </w:tc>
        <w:tc>
          <w:tcPr>
            <w:tcW w:w="2551" w:type="dxa"/>
            <w:vAlign w:val="center"/>
          </w:tcPr>
          <w:p>
            <w:pPr>
              <w:pStyle w:val="11"/>
            </w:pPr>
            <w:r>
              <w:t>8.28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6.99</w:t>
            </w:r>
          </w:p>
        </w:tc>
        <w:tc>
          <w:tcPr>
            <w:tcW w:w="2551" w:type="dxa"/>
            <w:vAlign w:val="center"/>
          </w:tcPr>
          <w:p>
            <w:pPr>
              <w:pStyle w:val="11"/>
            </w:pPr>
            <w:r>
              <w:t>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6.99</w:t>
            </w:r>
          </w:p>
        </w:tc>
        <w:tc>
          <w:tcPr>
            <w:tcW w:w="2551" w:type="dxa"/>
            <w:vAlign w:val="center"/>
          </w:tcPr>
          <w:p>
            <w:pPr>
              <w:pStyle w:val="11"/>
            </w:pPr>
            <w:r>
              <w:t>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3.31</w:t>
            </w:r>
          </w:p>
        </w:tc>
        <w:tc>
          <w:tcPr>
            <w:tcW w:w="2551" w:type="dxa"/>
            <w:vAlign w:val="center"/>
          </w:tcPr>
          <w:p>
            <w:pPr>
              <w:pStyle w:val="11"/>
            </w:pPr>
            <w:r>
              <w:t>3.31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3.68</w:t>
            </w:r>
          </w:p>
        </w:tc>
        <w:tc>
          <w:tcPr>
            <w:tcW w:w="2551" w:type="dxa"/>
            <w:vAlign w:val="center"/>
          </w:tcPr>
          <w:p>
            <w:pPr>
              <w:pStyle w:val="11"/>
            </w:pPr>
            <w:r>
              <w:t>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6.39</w:t>
            </w:r>
          </w:p>
        </w:tc>
        <w:tc>
          <w:tcPr>
            <w:tcW w:w="2551" w:type="dxa"/>
            <w:vAlign w:val="center"/>
          </w:tcPr>
          <w:p>
            <w:pPr>
              <w:pStyle w:val="11"/>
            </w:pPr>
            <w:r>
              <w:t>6.39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6.39</w:t>
            </w:r>
          </w:p>
        </w:tc>
        <w:tc>
          <w:tcPr>
            <w:tcW w:w="2551" w:type="dxa"/>
            <w:vAlign w:val="center"/>
          </w:tcPr>
          <w:p>
            <w:pPr>
              <w:pStyle w:val="11"/>
            </w:pPr>
            <w:r>
              <w:t>6.39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6.39</w:t>
            </w:r>
          </w:p>
        </w:tc>
        <w:tc>
          <w:tcPr>
            <w:tcW w:w="2551" w:type="dxa"/>
            <w:vAlign w:val="center"/>
          </w:tcPr>
          <w:p>
            <w:pPr>
              <w:pStyle w:val="11"/>
            </w:pPr>
            <w:r>
              <w:t>6.39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623001外联中心秦皇岛市山海关区对外联络服务中心本级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86.87</w:t>
            </w:r>
          </w:p>
        </w:tc>
        <w:tc>
          <w:tcPr>
            <w:tcW w:w="2551" w:type="dxa"/>
            <w:vAlign w:val="center"/>
          </w:tcPr>
          <w:p>
            <w:pPr>
              <w:pStyle w:val="15"/>
            </w:pPr>
            <w:r>
              <w:t>79.36</w:t>
            </w:r>
          </w:p>
        </w:tc>
        <w:tc>
          <w:tcPr>
            <w:tcW w:w="2551" w:type="dxa"/>
            <w:vAlign w:val="center"/>
          </w:tcPr>
          <w:p>
            <w:pPr>
              <w:pStyle w:val="15"/>
            </w:pPr>
            <w:r>
              <w:t>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79.21</w:t>
            </w:r>
          </w:p>
        </w:tc>
        <w:tc>
          <w:tcPr>
            <w:tcW w:w="2551" w:type="dxa"/>
            <w:vAlign w:val="center"/>
          </w:tcPr>
          <w:p>
            <w:pPr>
              <w:pStyle w:val="11"/>
            </w:pPr>
            <w:r>
              <w:t>79.21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26.86</w:t>
            </w:r>
          </w:p>
        </w:tc>
        <w:tc>
          <w:tcPr>
            <w:tcW w:w="2551" w:type="dxa"/>
            <w:vAlign w:val="center"/>
          </w:tcPr>
          <w:p>
            <w:pPr>
              <w:pStyle w:val="11"/>
            </w:pPr>
            <w:r>
              <w:t>26.86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17.51</w:t>
            </w:r>
          </w:p>
        </w:tc>
        <w:tc>
          <w:tcPr>
            <w:tcW w:w="2551" w:type="dxa"/>
            <w:vAlign w:val="center"/>
          </w:tcPr>
          <w:p>
            <w:pPr>
              <w:pStyle w:val="11"/>
            </w:pPr>
            <w:r>
              <w:t>17.51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5.63</w:t>
            </w:r>
          </w:p>
        </w:tc>
        <w:tc>
          <w:tcPr>
            <w:tcW w:w="2551" w:type="dxa"/>
            <w:vAlign w:val="center"/>
          </w:tcPr>
          <w:p>
            <w:pPr>
              <w:pStyle w:val="11"/>
            </w:pPr>
            <w:r>
              <w:t>5.63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7.19</w:t>
            </w:r>
          </w:p>
        </w:tc>
        <w:tc>
          <w:tcPr>
            <w:tcW w:w="2551" w:type="dxa"/>
            <w:vAlign w:val="center"/>
          </w:tcPr>
          <w:p>
            <w:pPr>
              <w:pStyle w:val="11"/>
            </w:pPr>
            <w:r>
              <w:t>7.19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8.28</w:t>
            </w:r>
          </w:p>
        </w:tc>
        <w:tc>
          <w:tcPr>
            <w:tcW w:w="2551" w:type="dxa"/>
            <w:vAlign w:val="center"/>
          </w:tcPr>
          <w:p>
            <w:pPr>
              <w:pStyle w:val="11"/>
            </w:pPr>
            <w:r>
              <w:t>8.28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3.31</w:t>
            </w:r>
          </w:p>
        </w:tc>
        <w:tc>
          <w:tcPr>
            <w:tcW w:w="2551" w:type="dxa"/>
            <w:vAlign w:val="center"/>
          </w:tcPr>
          <w:p>
            <w:pPr>
              <w:pStyle w:val="11"/>
            </w:pPr>
            <w:r>
              <w:t>3.31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3.68</w:t>
            </w:r>
          </w:p>
        </w:tc>
        <w:tc>
          <w:tcPr>
            <w:tcW w:w="2551" w:type="dxa"/>
            <w:vAlign w:val="center"/>
          </w:tcPr>
          <w:p>
            <w:pPr>
              <w:pStyle w:val="11"/>
            </w:pPr>
            <w:r>
              <w:t>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0.36</w:t>
            </w:r>
          </w:p>
        </w:tc>
        <w:tc>
          <w:tcPr>
            <w:tcW w:w="2551" w:type="dxa"/>
            <w:vAlign w:val="center"/>
          </w:tcPr>
          <w:p>
            <w:pPr>
              <w:pStyle w:val="11"/>
            </w:pPr>
            <w:r>
              <w:t>0.36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6.39</w:t>
            </w:r>
          </w:p>
        </w:tc>
        <w:tc>
          <w:tcPr>
            <w:tcW w:w="2551" w:type="dxa"/>
            <w:vAlign w:val="center"/>
          </w:tcPr>
          <w:p>
            <w:pPr>
              <w:pStyle w:val="11"/>
            </w:pPr>
            <w:r>
              <w:t>6.39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7.52</w:t>
            </w:r>
          </w:p>
        </w:tc>
        <w:tc>
          <w:tcPr>
            <w:tcW w:w="2551" w:type="dxa"/>
            <w:vAlign w:val="center"/>
          </w:tcPr>
          <w:p>
            <w:pPr>
              <w:pStyle w:val="11"/>
            </w:pPr>
          </w:p>
        </w:tc>
        <w:tc>
          <w:tcPr>
            <w:tcW w:w="2551" w:type="dxa"/>
            <w:vAlign w:val="center"/>
          </w:tcPr>
          <w:p>
            <w:pPr>
              <w:pStyle w:val="11"/>
            </w:pPr>
            <w:r>
              <w:t>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0.65</w:t>
            </w:r>
          </w:p>
        </w:tc>
        <w:tc>
          <w:tcPr>
            <w:tcW w:w="2551" w:type="dxa"/>
            <w:vAlign w:val="center"/>
          </w:tcPr>
          <w:p>
            <w:pPr>
              <w:pStyle w:val="11"/>
            </w:pPr>
          </w:p>
        </w:tc>
        <w:tc>
          <w:tcPr>
            <w:tcW w:w="2551"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0.98</w:t>
            </w:r>
          </w:p>
        </w:tc>
        <w:tc>
          <w:tcPr>
            <w:tcW w:w="2551" w:type="dxa"/>
            <w:vAlign w:val="center"/>
          </w:tcPr>
          <w:p>
            <w:pPr>
              <w:pStyle w:val="11"/>
            </w:pPr>
          </w:p>
        </w:tc>
        <w:tc>
          <w:tcPr>
            <w:tcW w:w="2551" w:type="dxa"/>
            <w:vAlign w:val="center"/>
          </w:tcPr>
          <w:p>
            <w:pPr>
              <w:pStyle w:val="11"/>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0.67</w:t>
            </w:r>
          </w:p>
        </w:tc>
        <w:tc>
          <w:tcPr>
            <w:tcW w:w="2551" w:type="dxa"/>
            <w:vAlign w:val="center"/>
          </w:tcPr>
          <w:p>
            <w:pPr>
              <w:pStyle w:val="11"/>
            </w:pPr>
          </w:p>
        </w:tc>
        <w:tc>
          <w:tcPr>
            <w:tcW w:w="2551" w:type="dxa"/>
            <w:vAlign w:val="center"/>
          </w:tcPr>
          <w:p>
            <w:pPr>
              <w:pStyle w:val="11"/>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2.64</w:t>
            </w:r>
          </w:p>
        </w:tc>
        <w:tc>
          <w:tcPr>
            <w:tcW w:w="2551" w:type="dxa"/>
            <w:vAlign w:val="center"/>
          </w:tcPr>
          <w:p>
            <w:pPr>
              <w:pStyle w:val="11"/>
            </w:pPr>
          </w:p>
        </w:tc>
        <w:tc>
          <w:tcPr>
            <w:tcW w:w="2551" w:type="dxa"/>
            <w:vAlign w:val="center"/>
          </w:tcPr>
          <w:p>
            <w:pPr>
              <w:pStyle w:val="11"/>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0.31</w:t>
            </w:r>
          </w:p>
        </w:tc>
        <w:tc>
          <w:tcPr>
            <w:tcW w:w="2551" w:type="dxa"/>
            <w:vAlign w:val="center"/>
          </w:tcPr>
          <w:p>
            <w:pPr>
              <w:pStyle w:val="11"/>
            </w:pPr>
          </w:p>
        </w:tc>
        <w:tc>
          <w:tcPr>
            <w:tcW w:w="2551" w:type="dxa"/>
            <w:vAlign w:val="center"/>
          </w:tcPr>
          <w:p>
            <w:pPr>
              <w:pStyle w:val="11"/>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0.14</w:t>
            </w:r>
          </w:p>
        </w:tc>
        <w:tc>
          <w:tcPr>
            <w:tcW w:w="2551" w:type="dxa"/>
            <w:vAlign w:val="center"/>
          </w:tcPr>
          <w:p>
            <w:pPr>
              <w:pStyle w:val="11"/>
            </w:pPr>
            <w:r>
              <w:t>0.14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0.11</w:t>
            </w:r>
          </w:p>
        </w:tc>
        <w:tc>
          <w:tcPr>
            <w:tcW w:w="2551" w:type="dxa"/>
            <w:vAlign w:val="center"/>
          </w:tcPr>
          <w:p>
            <w:pPr>
              <w:pStyle w:val="11"/>
            </w:pPr>
            <w:r>
              <w:t>0.11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623001外联中心秦皇岛市山海关区对外联络服务中心本级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623001外联中心秦皇岛市山海关区对外联络服务中心本级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623001外联中心秦皇岛市山海关区对外联络服务中心本级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7.00</w:t>
            </w:r>
          </w:p>
        </w:tc>
        <w:tc>
          <w:tcPr>
            <w:tcW w:w="2381" w:type="dxa"/>
            <w:vAlign w:val="center"/>
          </w:tcPr>
          <w:p>
            <w:pPr>
              <w:pStyle w:val="15"/>
            </w:pPr>
            <w:r>
              <w:t>7.00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外联中心秦皇岛市山海关区对外联络服务中心本级2023年单位预算信息公开情况说明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按照《预算法》、《地方预决算公开操作规程》和《关于进一步推进预算公开工作的实施意见》规定，现将外联中心秦皇岛市山海关区对外联络服务中心本级2023年单位预算公开如下：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 xml:space="preserve">根据《外联中心职能配置、内设机构和人员编制规定》，外联中心的主要职责是：   1、负责根据党和国家的有关方针、政策，研究拟定区委交办的公务接待工作的具体工作方案并组织实施。 2、负责承担区委和市暑办交办的重要公务接待任务。具体包括负责党和国家领导人，国家各部委副部级以上领导、机关团体来我区视察、考察活动的接待服务和有关协调工作；负责本省、外省（市）自治区和部队及社会各界副省（军）级以上领导与知名人士来我区视察活动的接待服务和有关协调工作；负责来我区视察指导工作的副市级以上领导的接待服务和有关协调工作；负责外地市县区来我区进行公务访问、参观学习或办理其他公务的重要来宾的接待服务工作；负责区委领导批准、邀请的来我区开展经济协作、科技文化交流以及办理其他重要公务的重要来宾的接待服务和协调调度工作。 </w:t>
      </w:r>
    </w:p>
    <w:p>
      <w:pPr>
        <w:pStyle w:val="25"/>
      </w:pPr>
      <w:r>
        <w:t>3、负责承办上级交办的其他任务。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外联中心秦皇岛市山海关区对外联络服务中心本级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rPr>
          <w:rFonts w:hint="eastAsia" w:eastAsiaTheme="minorEastAsia"/>
          <w:lang w:eastAsia="zh-CN"/>
        </w:rPr>
      </w:pPr>
      <w:r>
        <w:rPr>
          <w:rFonts w:ascii="黑体" w:hAnsi="黑体" w:eastAsia="黑体" w:cs="黑体"/>
          <w:color w:val="000000"/>
          <w:sz w:val="32"/>
        </w:rPr>
        <w:t>二、单位预算安排的总体情况</w:t>
      </w:r>
    </w:p>
    <w:p>
      <w:pPr>
        <w:pStyle w:val="26"/>
      </w:pPr>
      <w:r>
        <w:t>按照预算管理有关规定，目前我区单位预算的编制实行综合预算制度，即全部收入和支出都反映在预算中。秦皇岛市山海关区对外联络服务中心本级的所有收支包含在单位预算中。</w:t>
      </w:r>
    </w:p>
    <w:p>
      <w:pPr>
        <w:pStyle w:val="26"/>
      </w:pPr>
      <w:r>
        <w:t>1、收入说明</w:t>
      </w:r>
    </w:p>
    <w:p>
      <w:pPr>
        <w:pStyle w:val="26"/>
      </w:pPr>
      <w:r>
        <w:t>反映本单位当年全部收入。2023年预算收入为257.27万元，其中：一般公共预算收入257.27万元，基金预算收入0元，财政专户核拨收入0元，其他来源收入0元。</w:t>
      </w:r>
    </w:p>
    <w:p>
      <w:pPr>
        <w:pStyle w:val="26"/>
      </w:pPr>
      <w:r>
        <w:t>2、支出说明</w:t>
      </w:r>
    </w:p>
    <w:p>
      <w:pPr>
        <w:pStyle w:val="26"/>
      </w:pPr>
      <w:r>
        <w:t>收支预算总表支出栏、基本支出表、项目支出表按经济分类和支出功能分类科目编制，反映秦皇岛市山海关区对外联络服务中心年度单位预算中支出预算的总体情况。2023年预算支出为257.27万元，其中：基本支出86.87万元，主要是人员经费79.36万元和日常公用经费7.52万元；项目支出170.4万元，主要为人事代理专项补助安排70万元；对外联络服务保障经费安排100万元；车辆保险费安排0.4万元。</w:t>
      </w:r>
    </w:p>
    <w:p>
      <w:pPr>
        <w:pStyle w:val="26"/>
      </w:pPr>
      <w:r>
        <w:t>3、比上年增减情况</w:t>
      </w:r>
    </w:p>
    <w:p>
      <w:pPr>
        <w:pStyle w:val="26"/>
      </w:pPr>
      <w:r>
        <w:t>2023年预算支出安排257.27万元，较2022年预算增加17.27元，其中：基本支出增加9.27万元，主要为人员工资待遇增长；项目支出增加8万元，主要为长期聘用人员待遇增长。</w:t>
      </w:r>
    </w:p>
    <w:p>
      <w:pPr>
        <w:spacing w:before="10" w:after="10"/>
        <w:ind w:firstLine="640"/>
        <w:outlineLvl w:val="5"/>
      </w:pPr>
      <w:r>
        <w:rPr>
          <w:rFonts w:ascii="黑体" w:hAnsi="黑体" w:eastAsia="黑体" w:cs="黑体"/>
          <w:color w:val="000000"/>
          <w:sz w:val="32"/>
        </w:rPr>
        <w:t>三、机关运行经费安排情况</w:t>
      </w:r>
    </w:p>
    <w:p>
      <w:pPr>
        <w:pStyle w:val="27"/>
      </w:pPr>
      <w:r>
        <w:t>机关运行经费共计安排7.52元，主要用于办公及印刷费0.65万元、邮电费0.6万元、差旅费0万元、会议费0万元、福利费0.67万元、日常维修费0.15万元、专用材料及一般设备购置费0万元、办公用房水电费0万元、办公用房取暖费0.92万元、办公用房物业管理费0万元、公务用车运行维护费以及其他费用4.53万元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单位财政拨款“三公”经费预算安排7万元，与上年持平，无增减变化。其中：因公出国（境）费0万元，与上年持平，无增减变化；公务用车购置费0万元，与上年持平，无增减变化；公务用车运行维护费1万元，与上年持平，无增减变化；公务接待费6万元，与上年持平，无增减变化。主要原因是严格按照三公经费预算要求，切实落实勤俭节约各项规定，严格控制支出。</w:t>
      </w:r>
    </w:p>
    <w:p>
      <w:pPr>
        <w:numPr>
          <w:ilvl w:val="0"/>
          <w:numId w:val="1"/>
        </w:numPr>
        <w:spacing w:line="500" w:lineRule="exact"/>
        <w:ind w:firstLine="640" w:firstLineChars="200"/>
        <w:jc w:val="left"/>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line="500" w:lineRule="exact"/>
        <w:ind w:firstLine="643" w:firstLineChars="20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00" w:lineRule="exact"/>
        <w:ind w:firstLine="560" w:firstLineChars="200"/>
        <w:jc w:val="left"/>
        <w:rPr>
          <w:rFonts w:eastAsia="方正仿宋_GBK"/>
          <w:color w:val="000000"/>
          <w:sz w:val="28"/>
        </w:rPr>
      </w:pPr>
      <w:r>
        <w:rPr>
          <w:rFonts w:eastAsia="方正仿宋_GBK"/>
          <w:color w:val="000000"/>
          <w:sz w:val="28"/>
        </w:rPr>
        <w:t>负责中央、省、市各级领导来我区考察、调研等活动的接待服务保障工作；充分发挥综合、指导、协调、调度、服务的职能作用，督促、检查全区暑期工作情况；对涉及暑期的安全保卫、物资供应、卫生防疫、医疗保健、市政保障、文化生活和接待服务工作和问题，进行指导协调；承办上级交办的其他任务。</w:t>
      </w:r>
    </w:p>
    <w:p>
      <w:pPr>
        <w:spacing w:line="500" w:lineRule="exact"/>
        <w:ind w:firstLine="560"/>
      </w:pPr>
      <w:r>
        <w:rPr>
          <w:rFonts w:eastAsia="方正仿宋_GBK"/>
          <w:color w:val="000000"/>
          <w:sz w:val="28"/>
        </w:rPr>
        <w:t>（二）</w:t>
      </w:r>
      <w:r>
        <w:rPr>
          <w:rFonts w:hint="eastAsia" w:eastAsia="方正仿宋_GBK"/>
          <w:color w:val="000000"/>
          <w:sz w:val="28"/>
          <w:lang w:eastAsia="zh-CN"/>
        </w:rPr>
        <w:t>部门职责及工作活动</w:t>
      </w:r>
      <w:r>
        <w:rPr>
          <w:rFonts w:eastAsia="方正仿宋_GBK"/>
          <w:color w:val="000000"/>
          <w:sz w:val="28"/>
        </w:rPr>
        <w:t>绩效目标</w:t>
      </w:r>
    </w:p>
    <w:p>
      <w:pPr>
        <w:pStyle w:val="22"/>
        <w:ind w:left="0" w:leftChars="0" w:firstLine="560" w:firstLineChars="200"/>
      </w:pPr>
      <w:r>
        <w:t xml:space="preserve">1、公务接待服务工作 </w:t>
      </w:r>
    </w:p>
    <w:p>
      <w:pPr>
        <w:pStyle w:val="22"/>
        <w:ind w:left="0" w:leftChars="0" w:firstLine="560" w:firstLineChars="200"/>
      </w:pPr>
      <w:r>
        <w:t xml:space="preserve">绩效目标：认真实施根据党和国家的有关方针、政策，研究拟定的公务接待服务工作任务。 </w:t>
      </w:r>
    </w:p>
    <w:p>
      <w:pPr>
        <w:pStyle w:val="22"/>
      </w:pPr>
      <w:r>
        <w:t>绩效指标：工作完成情况达到年初计划。</w:t>
      </w:r>
    </w:p>
    <w:p>
      <w:pPr>
        <w:pStyle w:val="22"/>
        <w:numPr>
          <w:ilvl w:val="0"/>
          <w:numId w:val="2"/>
        </w:numPr>
      </w:pPr>
      <w:r>
        <w:t>暑期服务保障工作</w:t>
      </w:r>
    </w:p>
    <w:p>
      <w:pPr>
        <w:pStyle w:val="22"/>
        <w:numPr>
          <w:ilvl w:val="0"/>
          <w:numId w:val="0"/>
        </w:numPr>
      </w:pPr>
      <w:r>
        <w:rPr>
          <w:rFonts w:hint="eastAsia"/>
          <w:lang w:val="en-US" w:eastAsia="zh-CN"/>
        </w:rPr>
        <w:t xml:space="preserve">        </w:t>
      </w:r>
      <w:r>
        <w:t>绩效目标：做好全区暑期工作的综合协调、督导检查、服务保障等工作</w:t>
      </w:r>
      <w:r>
        <w:rPr>
          <w:rFonts w:hint="eastAsia"/>
          <w:lang w:eastAsia="zh-CN"/>
        </w:rPr>
        <w:t>；</w:t>
      </w:r>
      <w:r>
        <w:t>做好对涉及暑期的安全保卫、物资供应、卫生防疫、医疗保健、市政保障、文化生活和接待服务工作，协调解决有关问题，承办上级交办的其他任务。</w:t>
      </w:r>
    </w:p>
    <w:p>
      <w:pPr>
        <w:pStyle w:val="22"/>
        <w:numPr>
          <w:ilvl w:val="0"/>
          <w:numId w:val="0"/>
        </w:numPr>
        <w:ind w:firstLine="560" w:firstLineChars="200"/>
        <w:rPr>
          <w:rFonts w:hint="eastAsia"/>
          <w:lang w:val="en-US" w:eastAsia="zh-CN"/>
        </w:rPr>
      </w:pPr>
      <w:r>
        <w:t>绩效指标：工作完成情况达到年初计划。</w:t>
      </w:r>
    </w:p>
    <w:p>
      <w:pPr>
        <w:pStyle w:val="22"/>
        <w:rPr>
          <w:rFonts w:eastAsia="方正仿宋_GBK"/>
          <w:color w:val="000000"/>
          <w:sz w:val="28"/>
        </w:rPr>
      </w:pPr>
      <w:r>
        <w:rPr>
          <w:rFonts w:eastAsia="方正仿宋_GBK"/>
          <w:color w:val="000000"/>
          <w:sz w:val="28"/>
        </w:rPr>
        <w:t>（三）工作保障措施</w:t>
      </w:r>
    </w:p>
    <w:p>
      <w:pPr>
        <w:pStyle w:val="23"/>
      </w:pPr>
      <w:r>
        <w:t>本部门根据工作职责和任务，结合预算绩效管理实际情况，制定如下保障措施：</w:t>
      </w:r>
    </w:p>
    <w:p>
      <w:pPr>
        <w:pStyle w:val="23"/>
      </w:pPr>
      <w:r>
        <w:t>（</w:t>
      </w:r>
      <w:r>
        <w:rPr>
          <w:rFonts w:hint="eastAsia"/>
          <w:lang w:val="en-US" w:eastAsia="zh-CN"/>
        </w:rPr>
        <w:t>1</w:t>
      </w:r>
      <w:r>
        <w:t>）完善制度建设</w:t>
      </w:r>
    </w:p>
    <w:p>
      <w:pPr>
        <w:pStyle w:val="23"/>
      </w:pPr>
      <w:r>
        <w:t>制定完善预算绩效管理制度、资金管理办法、工作保障制度等内控管理制度，为全年预算绩效目标的实现奠定制度基础。</w:t>
      </w:r>
    </w:p>
    <w:p>
      <w:pPr>
        <w:pStyle w:val="23"/>
      </w:pPr>
      <w:r>
        <w:t>（</w:t>
      </w:r>
      <w:r>
        <w:rPr>
          <w:rFonts w:hint="eastAsia"/>
          <w:lang w:val="en-US" w:eastAsia="zh-CN"/>
        </w:rPr>
        <w:t>2</w:t>
      </w:r>
      <w:r>
        <w:t xml:space="preserve">）加强支出管理 </w:t>
      </w:r>
    </w:p>
    <w:p>
      <w:pPr>
        <w:pStyle w:val="23"/>
      </w:pPr>
      <w:r>
        <w:t xml:space="preserve">优化支出结构，加强预算编制的细致性和实际性。编制公用经费和项目经费的预算数，与上一年经费支出和使用情况进行对比合理预测。加强资金使用监管，提高会计人员业务水平和责任意识，定期对项目经费使用情况进行专项的监督、检查，并公布检查结果。 </w:t>
      </w:r>
    </w:p>
    <w:p>
      <w:pPr>
        <w:pStyle w:val="23"/>
      </w:pPr>
      <w:r>
        <w:t>（</w:t>
      </w:r>
      <w:r>
        <w:rPr>
          <w:rFonts w:hint="eastAsia"/>
          <w:lang w:val="en-US" w:eastAsia="zh-CN"/>
        </w:rPr>
        <w:t>3</w:t>
      </w:r>
      <w:r>
        <w:t>）加强绩效监控</w:t>
      </w:r>
    </w:p>
    <w:p>
      <w:pPr>
        <w:pStyle w:val="23"/>
      </w:pPr>
      <w:r>
        <w:t>按要求开展绩效运行监控，从项目进度情况、绩效目标预期完成情况、项目资金构成、资金使用情况等方面明确预算执行绩效运行监控分析要点，对执行绩效目标中存在和发现问题及时采取措施纠正偏差，确保绩效目标如期保质实现。</w:t>
      </w:r>
    </w:p>
    <w:p>
      <w:pPr>
        <w:pStyle w:val="23"/>
      </w:pPr>
      <w:r>
        <w:t>（</w:t>
      </w:r>
      <w:r>
        <w:rPr>
          <w:rFonts w:hint="eastAsia"/>
          <w:lang w:val="en-US" w:eastAsia="zh-CN"/>
        </w:rPr>
        <w:t>4</w:t>
      </w:r>
      <w:r>
        <w:t>）做好绩效自评</w:t>
      </w:r>
    </w:p>
    <w:p>
      <w:pPr>
        <w:pStyle w:val="23"/>
      </w:pPr>
      <w:r>
        <w:t>根据本部门的基本情况，做好绩效评价的组织实施，成立专门评价工作组，明确岗位职责和分工任务，制定评价指标体系，从目标设定、预算配置、预算执行、资产管理、履职效益等指标进行评价。按要求开展上年 度</w:t>
      </w:r>
      <w:r>
        <w:rPr>
          <w:rFonts w:hint="eastAsia"/>
          <w:lang w:eastAsia="zh-CN"/>
        </w:rPr>
        <w:t>单位</w:t>
      </w:r>
      <w:r>
        <w:t>预算绩效自评和重点评价工作，对评价中发现的问题及时整改，调整优化支出结构，提高财政资金使用效益。</w:t>
      </w:r>
    </w:p>
    <w:p>
      <w:pPr>
        <w:pStyle w:val="23"/>
      </w:pPr>
      <w:r>
        <w:t>（</w:t>
      </w:r>
      <w:r>
        <w:rPr>
          <w:rFonts w:hint="eastAsia"/>
          <w:lang w:val="en-US" w:eastAsia="zh-CN"/>
        </w:rPr>
        <w:t>5</w:t>
      </w:r>
      <w:r>
        <w:t xml:space="preserve">）规范资产管理 </w:t>
      </w:r>
    </w:p>
    <w:p>
      <w:pPr>
        <w:pStyle w:val="23"/>
      </w:pPr>
      <w:r>
        <w:t xml:space="preserve">完善财务管理制度，严格审批程序，加强固定资产登记、使用和报废处置管理，做到支出合理，物尽其用。根据单位实际情况制定资产管理制度和管理程序。对取得的资产进行验收并办理相关手续。对现有资产进行登记，完善资产管理的信息系统。定期对资产盘点并编制报告、查找盘盈盘亏原因并落实责任，对资产处置进行相关账务处理工作。 </w:t>
      </w:r>
    </w:p>
    <w:p>
      <w:pPr>
        <w:pStyle w:val="23"/>
      </w:pPr>
      <w:r>
        <w:t>（</w:t>
      </w:r>
      <w:r>
        <w:rPr>
          <w:rFonts w:hint="eastAsia"/>
          <w:lang w:val="en-US" w:eastAsia="zh-CN"/>
        </w:rPr>
        <w:t>6</w:t>
      </w:r>
      <w:r>
        <w:t xml:space="preserve">）加强内部监督 </w:t>
      </w:r>
    </w:p>
    <w:p>
      <w:pPr>
        <w:pStyle w:val="23"/>
      </w:pPr>
      <w:r>
        <w:t>加强内部监督制度建设，对绩效运行情况、重大支出决策、资产处置事项的决策和执行进行督导，对会计资料进行</w:t>
      </w:r>
      <w:bookmarkStart w:id="1" w:name="_GoBack"/>
      <w:bookmarkEnd w:id="1"/>
      <w:r>
        <w:t xml:space="preserve">内部审计，并配合做好审计、财政监督等外部监督工作，确保财政资金使用安全有效。 </w:t>
      </w:r>
    </w:p>
    <w:p>
      <w:pPr>
        <w:pStyle w:val="23"/>
      </w:pPr>
      <w:r>
        <w:t>（</w:t>
      </w:r>
      <w:r>
        <w:rPr>
          <w:rFonts w:hint="eastAsia"/>
          <w:lang w:val="en-US" w:eastAsia="zh-CN"/>
        </w:rPr>
        <w:t>7</w:t>
      </w:r>
      <w:r>
        <w:t xml:space="preserve">）加强培训调研 </w:t>
      </w:r>
    </w:p>
    <w:p>
      <w:pPr>
        <w:pStyle w:val="23"/>
      </w:pPr>
      <w:r>
        <w:t>加强业务人员培训，不断提高本部门职工业务素质。加强交流研讨，共同研究预算绩效管理中面临的新情况、新问题，提出优化财政资金配置、提高资金使用效益的意见。强化预算绩效管理意识，促进预算绩效管理水平进一步提升。</w:t>
      </w:r>
    </w:p>
    <w:p>
      <w:pPr>
        <w:pStyle w:val="23"/>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line="500" w:lineRule="exact"/>
        <w:ind w:firstLine="643" w:firstLineChars="20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spacing w:line="500" w:lineRule="exact"/>
        <w:ind w:firstLine="562" w:firstLineChars="200"/>
        <w:jc w:val="left"/>
      </w:pPr>
      <w:r>
        <w:rPr>
          <w:rFonts w:ascii="方正仿宋_GBK" w:hAnsi="方正仿宋_GBK" w:eastAsia="方正仿宋_GBK" w:cs="方正仿宋_GBK"/>
          <w:b/>
          <w:color w:val="000000"/>
          <w:sz w:val="28"/>
        </w:rPr>
        <w:t>1、车辆保险费绩效目标表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6.保障车辆合法运行。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缴纳车辆保险数量</w:t>
            </w:r>
          </w:p>
        </w:tc>
        <w:tc>
          <w:tcPr>
            <w:tcW w:w="2835" w:type="dxa"/>
            <w:vAlign w:val="center"/>
          </w:tcPr>
          <w:p>
            <w:pPr>
              <w:pStyle w:val="12"/>
            </w:pPr>
            <w:r>
              <w:t>缴纳车辆保险数量</w:t>
            </w:r>
          </w:p>
        </w:tc>
        <w:tc>
          <w:tcPr>
            <w:tcW w:w="2551" w:type="dxa"/>
            <w:vAlign w:val="center"/>
          </w:tcPr>
          <w:p>
            <w:pPr>
              <w:pStyle w:val="12"/>
            </w:pPr>
            <w:r>
              <w:t>1辆</w:t>
            </w:r>
          </w:p>
        </w:tc>
        <w:tc>
          <w:tcPr>
            <w:tcW w:w="2268" w:type="dxa"/>
            <w:vAlign w:val="center"/>
          </w:tcPr>
          <w:p>
            <w:pPr>
              <w:pStyle w:val="12"/>
            </w:pPr>
            <w:r>
              <w:t>实际使用车辆数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车辆正常运行率</w:t>
            </w:r>
          </w:p>
        </w:tc>
        <w:tc>
          <w:tcPr>
            <w:tcW w:w="2835" w:type="dxa"/>
            <w:vAlign w:val="center"/>
          </w:tcPr>
          <w:p>
            <w:pPr>
              <w:pStyle w:val="12"/>
            </w:pPr>
            <w:r>
              <w:t>车辆正常运行率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按时缴纳车辆保险</w:t>
            </w:r>
          </w:p>
        </w:tc>
        <w:tc>
          <w:tcPr>
            <w:tcW w:w="2835" w:type="dxa"/>
            <w:vAlign w:val="center"/>
          </w:tcPr>
          <w:p>
            <w:pPr>
              <w:pStyle w:val="12"/>
            </w:pPr>
            <w:r>
              <w:t>缴纳车辆保险的及时性</w:t>
            </w:r>
          </w:p>
        </w:tc>
        <w:tc>
          <w:tcPr>
            <w:tcW w:w="2551" w:type="dxa"/>
            <w:vAlign w:val="center"/>
          </w:tcPr>
          <w:p>
            <w:pPr>
              <w:pStyle w:val="12"/>
            </w:pPr>
            <w:r>
              <w:t>及时缴纳</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≤0.4万元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保障有力</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2、对外联络服务保障经费绩效目标表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6.保障业务正常开展，单位正常运转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接待活动场次</w:t>
            </w:r>
          </w:p>
        </w:tc>
        <w:tc>
          <w:tcPr>
            <w:tcW w:w="2835" w:type="dxa"/>
            <w:vAlign w:val="center"/>
          </w:tcPr>
          <w:p>
            <w:pPr>
              <w:pStyle w:val="12"/>
            </w:pPr>
            <w:r>
              <w:t>中央、省、市各级领导来我区考察、调研等活动场次</w:t>
            </w:r>
          </w:p>
        </w:tc>
        <w:tc>
          <w:tcPr>
            <w:tcW w:w="2551" w:type="dxa"/>
            <w:vAlign w:val="center"/>
          </w:tcPr>
          <w:p>
            <w:pPr>
              <w:pStyle w:val="12"/>
            </w:pPr>
            <w:r>
              <w:t>≥30次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暑期服务保障率</w:t>
            </w:r>
          </w:p>
        </w:tc>
        <w:tc>
          <w:tcPr>
            <w:tcW w:w="2835" w:type="dxa"/>
            <w:vAlign w:val="center"/>
          </w:tcPr>
          <w:p>
            <w:pPr>
              <w:pStyle w:val="12"/>
            </w:pPr>
            <w:r>
              <w:t>确保高质量完成暑期服务保障任务</w:t>
            </w:r>
          </w:p>
        </w:tc>
        <w:tc>
          <w:tcPr>
            <w:tcW w:w="2551" w:type="dxa"/>
            <w:vAlign w:val="center"/>
          </w:tcPr>
          <w:p>
            <w:pPr>
              <w:pStyle w:val="12"/>
            </w:pPr>
            <w:r>
              <w:t>保障有力</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按时间段完成暑期工作任务</w:t>
            </w:r>
          </w:p>
        </w:tc>
        <w:tc>
          <w:tcPr>
            <w:tcW w:w="2835" w:type="dxa"/>
            <w:vAlign w:val="center"/>
          </w:tcPr>
          <w:p>
            <w:pPr>
              <w:pStyle w:val="12"/>
            </w:pPr>
            <w:r>
              <w:t>6 月 30 日前完成暑期准备工作，7-8 月完成暑期工作任务，9-12 月做好下一年度暑期准备工作</w:t>
            </w:r>
          </w:p>
        </w:tc>
        <w:tc>
          <w:tcPr>
            <w:tcW w:w="2551" w:type="dxa"/>
            <w:vAlign w:val="center"/>
          </w:tcPr>
          <w:p>
            <w:pPr>
              <w:pStyle w:val="12"/>
            </w:pPr>
            <w:r>
              <w:t>按时间节点完成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≤100万元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展示山海关区旅游城市良好形象</w:t>
            </w:r>
          </w:p>
        </w:tc>
        <w:tc>
          <w:tcPr>
            <w:tcW w:w="2835" w:type="dxa"/>
            <w:vAlign w:val="center"/>
          </w:tcPr>
          <w:p>
            <w:pPr>
              <w:pStyle w:val="12"/>
            </w:pPr>
            <w:r>
              <w:t>展示山海关旅游旺季良好名片</w:t>
            </w:r>
          </w:p>
        </w:tc>
        <w:tc>
          <w:tcPr>
            <w:tcW w:w="2551" w:type="dxa"/>
            <w:vAlign w:val="center"/>
          </w:tcPr>
          <w:p>
            <w:pPr>
              <w:pStyle w:val="12"/>
            </w:pPr>
            <w:r>
              <w:t>明显增强</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3、人事代理专项补助绩效目标表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6.按照有关规定落实相关工资待遇和公用经费。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支付经费人数</w:t>
            </w:r>
          </w:p>
        </w:tc>
        <w:tc>
          <w:tcPr>
            <w:tcW w:w="2835" w:type="dxa"/>
            <w:vAlign w:val="center"/>
          </w:tcPr>
          <w:p>
            <w:pPr>
              <w:pStyle w:val="12"/>
            </w:pPr>
            <w:r>
              <w:t>支付经费人数</w:t>
            </w:r>
          </w:p>
        </w:tc>
        <w:tc>
          <w:tcPr>
            <w:tcW w:w="2551" w:type="dxa"/>
            <w:vAlign w:val="center"/>
          </w:tcPr>
          <w:p>
            <w:pPr>
              <w:pStyle w:val="12"/>
            </w:pPr>
            <w:r>
              <w:t>6人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足额发放率</w:t>
            </w:r>
          </w:p>
        </w:tc>
        <w:tc>
          <w:tcPr>
            <w:tcW w:w="2835" w:type="dxa"/>
            <w:vAlign w:val="center"/>
          </w:tcPr>
          <w:p>
            <w:pPr>
              <w:pStyle w:val="12"/>
            </w:pPr>
            <w:r>
              <w:t>按照规定标准足额发放</w:t>
            </w:r>
          </w:p>
        </w:tc>
        <w:tc>
          <w:tcPr>
            <w:tcW w:w="2551" w:type="dxa"/>
            <w:vAlign w:val="center"/>
          </w:tcPr>
          <w:p>
            <w:pPr>
              <w:pStyle w:val="12"/>
            </w:pPr>
            <w:r>
              <w:t>≥98%</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及时发放率</w:t>
            </w:r>
          </w:p>
        </w:tc>
        <w:tc>
          <w:tcPr>
            <w:tcW w:w="2835" w:type="dxa"/>
            <w:vAlign w:val="center"/>
          </w:tcPr>
          <w:p>
            <w:pPr>
              <w:pStyle w:val="12"/>
            </w:pPr>
            <w:r>
              <w:t>按时发放工资待遇</w:t>
            </w:r>
          </w:p>
        </w:tc>
        <w:tc>
          <w:tcPr>
            <w:tcW w:w="2551" w:type="dxa"/>
            <w:vAlign w:val="center"/>
          </w:tcPr>
          <w:p>
            <w:pPr>
              <w:pStyle w:val="12"/>
            </w:pPr>
            <w:r>
              <w:t>≥98%</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≤70万元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有力保障</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2023年，外联中心秦皇岛市山海关区对外联络服务中心本级安排政府采购预算0.00万元。具体内容见下表。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623001外联中心秦皇岛市山海关区对外联络服务中心本级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外联中心秦皇岛市山海关区对外联络服务中心本级上年末固定资产金额为24.36万元（详见下表）。本年度拟购置固定资产总额为1.00万元。</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623001外联中心秦皇岛市山海关区对外联络服务中心本级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69</w:t>
            </w:r>
          </w:p>
        </w:tc>
        <w:tc>
          <w:tcPr>
            <w:tcW w:w="2835" w:type="dxa"/>
            <w:vAlign w:val="center"/>
          </w:tcPr>
          <w:p>
            <w:pPr>
              <w:pStyle w:val="11"/>
            </w:pPr>
            <w:r>
              <w:t>24.36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EB81F"/>
    <w:multiLevelType w:val="singleLevel"/>
    <w:tmpl w:val="E3BEB81F"/>
    <w:lvl w:ilvl="0" w:tentative="0">
      <w:start w:val="5"/>
      <w:numFmt w:val="chineseCounting"/>
      <w:suff w:val="nothing"/>
      <w:lvlText w:val="%1、"/>
      <w:lvlJc w:val="left"/>
      <w:rPr>
        <w:rFonts w:hint="eastAsia"/>
      </w:rPr>
    </w:lvl>
  </w:abstractNum>
  <w:abstractNum w:abstractNumId="1">
    <w:nsid w:val="0C44C669"/>
    <w:multiLevelType w:val="singleLevel"/>
    <w:tmpl w:val="0C44C66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Q0OTU3OTMxMzQ0ZmNkYTg3ODQ0ZTA2ZGU4YmRlNGMifQ=="/>
  </w:docVars>
  <w:rsids>
    <w:rsidRoot w:val="00DB1A87"/>
    <w:rsid w:val="001312F3"/>
    <w:rsid w:val="00157C8B"/>
    <w:rsid w:val="00215FF3"/>
    <w:rsid w:val="00580F5C"/>
    <w:rsid w:val="00605201"/>
    <w:rsid w:val="00761E90"/>
    <w:rsid w:val="00B9770D"/>
    <w:rsid w:val="00C341EF"/>
    <w:rsid w:val="00D81B1F"/>
    <w:rsid w:val="00DB1A87"/>
    <w:rsid w:val="00DC1F2F"/>
    <w:rsid w:val="00EB29AB"/>
    <w:rsid w:val="1A2B7119"/>
    <w:rsid w:val="1B601CBB"/>
    <w:rsid w:val="40241002"/>
    <w:rsid w:val="5FB212AD"/>
    <w:rsid w:val="7FE96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2023-01-31T15:24:30Z</dcterms:created>
  <dcterms:modified xsi:type="dcterms:W3CDTF">2023-01-31T07:24:30Z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2023-01-31T15:24:34Z</dcterms:created>
  <dcterms:modified xsi:type="dcterms:W3CDTF">2023-01-31T07:24:34Z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2023-01-31T15:24:34Z</dcterms:created>
  <dcterms:modified xsi:type="dcterms:W3CDTF">2023-01-31T07:24:34Z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2023-01-31T15:24:30Z</dcterms:created>
  <dcterms:modified xsi:type="dcterms:W3CDTF">2023-01-31T07:24:30Z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2023-01-31T15:24:33Z</dcterms:created>
  <dcterms:modified xsi:type="dcterms:W3CDTF">2023-01-31T07:24:33Z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2023-01-31T15:24:30Z</dcterms:created>
  <dcterms:modified xsi:type="dcterms:W3CDTF">2023-01-31T07:24:30Z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2023-01-31T15:24:30Z</dcterms:created>
  <dcterms:modified xsi:type="dcterms:W3CDTF">2023-01-31T07:24:30Z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2023-01-31T15:24:29Z</dcterms:created>
  <dcterms:modified xsi:type="dcterms:W3CDTF">2023-01-31T07:24:29Z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2023-01-31T15:24:34Z</dcterms:created>
  <dcterms:modified xsi:type="dcterms:W3CDTF">2023-01-31T07:24:34Z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2023-01-31T15:24:34Z</dcterms:created>
  <dcterms:modified xsi:type="dcterms:W3CDTF">2023-01-31T07:24:34Z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2023-01-31T15:24:30Z</dcterms:created>
  <dcterms:modified xsi:type="dcterms:W3CDTF">2023-01-31T07:24:30Z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6465CFE-414A-49C1-86D3-7FDAF4173CC8}">
  <ds:schemaRefs/>
</ds:datastoreItem>
</file>

<file path=customXml/itemProps10.xml><?xml version="1.0" encoding="utf-8"?>
<ds:datastoreItem xmlns:ds="http://schemas.openxmlformats.org/officeDocument/2006/customXml" ds:itemID="{50FB4FA0-38F9-4B04-8F74-1429A0BB2278}">
  <ds:schemaRefs/>
</ds:datastoreItem>
</file>

<file path=customXml/itemProps11.xml><?xml version="1.0" encoding="utf-8"?>
<ds:datastoreItem xmlns:ds="http://schemas.openxmlformats.org/officeDocument/2006/customXml" ds:itemID="{1265D1A4-EC75-4CA3-9059-47D95A32E15D}">
  <ds:schemaRefs/>
</ds:datastoreItem>
</file>

<file path=customXml/itemProps12.xml><?xml version="1.0" encoding="utf-8"?>
<ds:datastoreItem xmlns:ds="http://schemas.openxmlformats.org/officeDocument/2006/customXml" ds:itemID="{064DB05E-FA5A-4052-BAFB-CE6066388889}">
  <ds:schemaRefs/>
</ds:datastoreItem>
</file>

<file path=customXml/itemProps13.xml><?xml version="1.0" encoding="utf-8"?>
<ds:datastoreItem xmlns:ds="http://schemas.openxmlformats.org/officeDocument/2006/customXml" ds:itemID="{E304CAB6-A126-4946-A2D9-5E5FD8B607EB}">
  <ds:schemaRefs/>
</ds:datastoreItem>
</file>

<file path=customXml/itemProps14.xml><?xml version="1.0" encoding="utf-8"?>
<ds:datastoreItem xmlns:ds="http://schemas.openxmlformats.org/officeDocument/2006/customXml" ds:itemID="{C8C95217-2993-4984-9F8D-1912699F2277}">
  <ds:schemaRefs/>
</ds:datastoreItem>
</file>

<file path=customXml/itemProps15.xml><?xml version="1.0" encoding="utf-8"?>
<ds:datastoreItem xmlns:ds="http://schemas.openxmlformats.org/officeDocument/2006/customXml" ds:itemID="{BFE0C19D-6484-451D-AB8A-32B8F200543E}">
  <ds:schemaRefs/>
</ds:datastoreItem>
</file>

<file path=customXml/itemProps16.xml><?xml version="1.0" encoding="utf-8"?>
<ds:datastoreItem xmlns:ds="http://schemas.openxmlformats.org/officeDocument/2006/customXml" ds:itemID="{0F5E261F-ACB5-4A04-8849-177830D83D89}">
  <ds:schemaRefs/>
</ds:datastoreItem>
</file>

<file path=customXml/itemProps17.xml><?xml version="1.0" encoding="utf-8"?>
<ds:datastoreItem xmlns:ds="http://schemas.openxmlformats.org/officeDocument/2006/customXml" ds:itemID="{BE7DE49A-833E-4030-A98C-727D35A9F31B}">
  <ds:schemaRefs/>
</ds:datastoreItem>
</file>

<file path=customXml/itemProps18.xml><?xml version="1.0" encoding="utf-8"?>
<ds:datastoreItem xmlns:ds="http://schemas.openxmlformats.org/officeDocument/2006/customXml" ds:itemID="{945DD9B6-DF15-439F-B7F6-45A9007A5FF7}">
  <ds:schemaRefs/>
</ds:datastoreItem>
</file>

<file path=customXml/itemProps19.xml><?xml version="1.0" encoding="utf-8"?>
<ds:datastoreItem xmlns:ds="http://schemas.openxmlformats.org/officeDocument/2006/customXml" ds:itemID="{99849A27-9B2C-49EE-AA80-0A935196FFF2}">
  <ds:schemaRefs/>
</ds:datastoreItem>
</file>

<file path=customXml/itemProps2.xml><?xml version="1.0" encoding="utf-8"?>
<ds:datastoreItem xmlns:ds="http://schemas.openxmlformats.org/officeDocument/2006/customXml" ds:itemID="{C844CA25-4A89-4674-9459-5DB96724584E}">
  <ds:schemaRefs/>
</ds:datastoreItem>
</file>

<file path=customXml/itemProps20.xml><?xml version="1.0" encoding="utf-8"?>
<ds:datastoreItem xmlns:ds="http://schemas.openxmlformats.org/officeDocument/2006/customXml" ds:itemID="{0C366533-2273-4910-9F01-963793567242}">
  <ds:schemaRefs/>
</ds:datastoreItem>
</file>

<file path=customXml/itemProps21.xml><?xml version="1.0" encoding="utf-8"?>
<ds:datastoreItem xmlns:ds="http://schemas.openxmlformats.org/officeDocument/2006/customXml" ds:itemID="{A652FE5D-3095-4CCF-A667-2A126E2C09AB}">
  <ds:schemaRefs/>
</ds:datastoreItem>
</file>

<file path=customXml/itemProps22.xml><?xml version="1.0" encoding="utf-8"?>
<ds:datastoreItem xmlns:ds="http://schemas.openxmlformats.org/officeDocument/2006/customXml" ds:itemID="{5C2EE5B0-47B5-4E13-9884-C4C5AC77E1F3}">
  <ds:schemaRefs/>
</ds:datastoreItem>
</file>

<file path=customXml/itemProps3.xml><?xml version="1.0" encoding="utf-8"?>
<ds:datastoreItem xmlns:ds="http://schemas.openxmlformats.org/officeDocument/2006/customXml" ds:itemID="{70FC39EF-1F9D-4D07-99E7-A9547F8007EF}">
  <ds:schemaRefs/>
</ds:datastoreItem>
</file>

<file path=customXml/itemProps4.xml><?xml version="1.0" encoding="utf-8"?>
<ds:datastoreItem xmlns:ds="http://schemas.openxmlformats.org/officeDocument/2006/customXml" ds:itemID="{9883B8AE-1B69-4E83-8860-C11630412C98}">
  <ds:schemaRefs/>
</ds:datastoreItem>
</file>

<file path=customXml/itemProps5.xml><?xml version="1.0" encoding="utf-8"?>
<ds:datastoreItem xmlns:ds="http://schemas.openxmlformats.org/officeDocument/2006/customXml" ds:itemID="{31A15F0D-46FD-40DC-8856-94761E5F5940}">
  <ds:schemaRefs/>
</ds:datastoreItem>
</file>

<file path=customXml/itemProps6.xml><?xml version="1.0" encoding="utf-8"?>
<ds:datastoreItem xmlns:ds="http://schemas.openxmlformats.org/officeDocument/2006/customXml" ds:itemID="{F2F6DBB7-FF13-4501-B15C-D6124989FD5C}">
  <ds:schemaRefs/>
</ds:datastoreItem>
</file>

<file path=customXml/itemProps7.xml><?xml version="1.0" encoding="utf-8"?>
<ds:datastoreItem xmlns:ds="http://schemas.openxmlformats.org/officeDocument/2006/customXml" ds:itemID="{2F12AED3-98D5-4DD2-AE70-1F6B0ADEFAE1}">
  <ds:schemaRefs/>
</ds:datastoreItem>
</file>

<file path=customXml/itemProps8.xml><?xml version="1.0" encoding="utf-8"?>
<ds:datastoreItem xmlns:ds="http://schemas.openxmlformats.org/officeDocument/2006/customXml" ds:itemID="{E0651A38-7AFC-40EE-ADF7-75F307246EC4}">
  <ds:schemaRefs/>
</ds:datastoreItem>
</file>

<file path=customXml/itemProps9.xml><?xml version="1.0" encoding="utf-8"?>
<ds:datastoreItem xmlns:ds="http://schemas.openxmlformats.org/officeDocument/2006/customXml" ds:itemID="{CCA2B9D9-70D8-4989-8DCE-C12816A1031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27</Pages>
  <Words>7505</Words>
  <Characters>8836</Characters>
  <Lines>76</Lines>
  <Paragraphs>21</Paragraphs>
  <TotalTime>25</TotalTime>
  <ScaleCrop>false</ScaleCrop>
  <LinksUpToDate>false</LinksUpToDate>
  <CharactersWithSpaces>9027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2023-01-31T07:28:00Z</dcterms:created>
  <dc:creator>Administrator</dc:creator>
  <cp:lastModifiedBy>Administrator</cp:lastModifiedBy>
  <dcterms:modified xsi:type="dcterms:W3CDTF">2023-08-09T08:22:31Z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0B72417834854B1C8C1C4CCE27E8C867_12</vt:lpwstr>
  </property>
</Properties>
</file>