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center"/>
        <w:rPr>
          <w:sz w:val="44"/>
          <w:szCs w:val="44"/>
        </w:rPr>
      </w:pPr>
      <w:r>
        <w:rPr>
          <w:rFonts w:hint="eastAsia"/>
          <w:sz w:val="44"/>
          <w:szCs w:val="44"/>
        </w:rPr>
        <w:t>202</w:t>
      </w:r>
      <w:r>
        <w:rPr>
          <w:rFonts w:hint="eastAsia"/>
          <w:sz w:val="44"/>
          <w:szCs w:val="44"/>
          <w:lang w:val="en-US" w:eastAsia="zh-CN"/>
        </w:rPr>
        <w:t>2</w:t>
      </w:r>
      <w:r>
        <w:rPr>
          <w:rFonts w:hint="eastAsia"/>
          <w:sz w:val="44"/>
          <w:szCs w:val="44"/>
        </w:rPr>
        <w:t>年部门预算绩效文本</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after="0" w:line="600" w:lineRule="exact"/>
        <w:rPr>
          <w:rFonts w:ascii="楷体" w:hAnsi="楷体" w:eastAsia="楷体" w:cs="楷体"/>
          <w:b/>
          <w:color w:val="000000"/>
          <w:sz w:val="32"/>
        </w:rPr>
      </w:pPr>
      <w:r>
        <w:rPr>
          <w:rFonts w:hint="eastAsia" w:ascii="楷体" w:hAnsi="楷体" w:eastAsia="楷体" w:cs="楷体"/>
          <w:color w:val="000000"/>
          <w:sz w:val="32"/>
        </w:rPr>
        <w:t xml:space="preserve">    </w:t>
      </w:r>
      <w:r>
        <w:rPr>
          <w:rFonts w:hint="eastAsia" w:ascii="楷体" w:hAnsi="楷体" w:eastAsia="楷体" w:cs="楷体"/>
          <w:b/>
          <w:color w:val="000000"/>
          <w:sz w:val="32"/>
        </w:rPr>
        <w:t>第一部分 部门整体绩效目标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after="0" w:line="600" w:lineRule="exact"/>
        <w:ind w:firstLine="643" w:firstLineChars="200"/>
        <w:rPr>
          <w:rFonts w:ascii="仿宋_GB2312" w:eastAsia="仿宋_GB2312"/>
          <w:b/>
          <w:sz w:val="32"/>
          <w:szCs w:val="32"/>
        </w:rPr>
      </w:pPr>
      <w:r>
        <w:rPr>
          <w:rFonts w:hint="eastAsia" w:ascii="楷体_GB2312" w:eastAsia="楷体_GB2312"/>
          <w:b/>
          <w:sz w:val="32"/>
          <w:szCs w:val="32"/>
        </w:rPr>
        <w:t>（一）总体绩效目标：</w:t>
      </w:r>
    </w:p>
    <w:p>
      <w:pPr>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区妇联年度发展规划目标</w:t>
      </w:r>
    </w:p>
    <w:p>
      <w:pPr>
        <w:spacing w:after="0" w:line="600" w:lineRule="exact"/>
        <w:ind w:firstLine="640" w:firstLineChars="200"/>
        <w:rPr>
          <w:rFonts w:ascii="楷体_GB2312" w:hAnsi="楷体" w:eastAsia="楷体_GB2312" w:cs="楷体"/>
          <w:sz w:val="32"/>
          <w:szCs w:val="32"/>
        </w:rPr>
      </w:pPr>
      <w:r>
        <w:rPr>
          <w:rFonts w:hint="eastAsia" w:ascii="仿宋_GB2312" w:hAnsi="仿宋_GB2312" w:eastAsia="仿宋_GB2312" w:cs="仿宋_GB2312"/>
          <w:sz w:val="32"/>
          <w:szCs w:val="32"/>
        </w:rPr>
        <w:t>深入学习贯彻党的十九大精神及习近平总书记关于群团改革、省市妇联改革的重要指示精神，以习近平新时代中国特色社会主义思想为指引，以全面深化改革为方向，以社会主义核心价值观为引领，团结教育广大妇女，贯彻党的基本路线，维护妇女的合法权益，推进妇女事业发展，为建设新时代“沿海强区、美丽关城和国际文化旅游名城”贡献巾帼力量。</w:t>
      </w:r>
    </w:p>
    <w:p>
      <w:pPr>
        <w:widowControl w:val="0"/>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团结动员妇女，创新推动妇女发展。坚持党的领导，宣传引领广大妇女听党话跟党走。关注妇女发展，落实双创双服活动部署，开展双创双服巾帼行动，带领广大妇女实现精准脱贫。推进妇女深化“美丽庭院”创建，助力全区人居环境整治。积极发挥妇联组织引领作用，推进以人美为主线的美丽庭院建设。</w:t>
      </w:r>
    </w:p>
    <w:p>
      <w:pPr>
        <w:widowControl w:val="0"/>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维护妇儿权益，深化平安家庭创建。贯彻落实男女平等基本国策，进一步深化妇女依法宣传和维权服务，教育引导广大城乡妇女群众增加法治观念，有效接待调处女群众来访，切实维护广大妇女儿童权益。依托婚姻家庭纠纷人民调解委员会，及时排查化解婚姻家庭矛盾纠纷。提高城乡妇女综合素质和发展能力。</w:t>
      </w:r>
    </w:p>
    <w:p>
      <w:pPr>
        <w:widowControl w:val="0"/>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拓展家庭服务，创新家庭文明建设。全面落实习近平总书记“注重家庭、注重家教、注重家风”指示精神，引导广大妇女树立新时代家庭。开展寻找各类“最美家庭”活动，推动全区家庭文明建设工作创新发展。深化家庭教育指导，提升家庭教育指导服务质量。积极组织广大家庭开展亲子阅读活动，组织开展“家庭教育指导服务社区行”活动，指导家长不断提升自身素质、提高家教能力。</w:t>
      </w:r>
    </w:p>
    <w:p>
      <w:pPr>
        <w:widowControl w:val="0"/>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加强组织建设，充分发挥妇联作用。坚持党建带妇建，以服务和联系妇女为工作重心，扎实推进妇联组织建设。着力构建以乡镇、街道妇联区域化组织为核心，以“示范妇女之家”为阵地，以专兼职妇联干部和社会组织、巾帼志愿者为“两翼”的区域组织架构。打破行政壁垒和条块分割，在 “四新”组织中建立妇联组织。探索“妇女微家”建设等。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after="0" w:line="600" w:lineRule="exact"/>
        <w:ind w:firstLine="723" w:firstLineChars="225"/>
        <w:rPr>
          <w:rFonts w:ascii="仿宋_GB2312" w:eastAsia="仿宋_GB2312"/>
          <w:b/>
          <w:sz w:val="32"/>
          <w:szCs w:val="32"/>
        </w:rPr>
      </w:pPr>
      <w:r>
        <w:rPr>
          <w:rFonts w:hint="eastAsia" w:ascii="楷体_GB2312" w:eastAsia="楷体_GB2312"/>
          <w:b/>
          <w:sz w:val="32"/>
          <w:szCs w:val="32"/>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after="0"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区妇联职责分类绩效目标情况说明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after="0"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主要职责是团结引导各族各界妇女听党话、跟党走，围绕中心、服务大局，联系和服务妇女，代表和维护妇女权益、促进男女平等和妇女全面发展。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after="0"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职责目标组织引导妇女学习贯彻习近平新时代中国特色社会主义思想和党的路线方针政策，用中国特色社会主义共同理想凝聚妇女。团结动员妇女投身改革开庭和社会主义经济建设，注重发挥妇女在社会生活和家庭生活中的独特作用。代表妇女参与管理国家事务、参与社会治理和公共服务。维护妇女儿童合法权益。教育引导妇女树立自尊、自信、自立、自强的精神，教育引导妇女践行社会主义核心价值观。</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after="0"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绩效目标是组织开展妇女家政培训，提升妇女创业就业技能，打造“关城福嫂”家政品牌，实施批量帮扶和下户指导相结合，开展创业培训等一站式帮扶项目，提高妇女科技素质和农业经营管理能力，多角度扶持创业人员、帮助妇女就业，实现全区妇联发展。帮助权益受到侵害的妇女儿童解决困难和问题，提高广大妇女儿童的维权意识和维权能力，维护妇女儿童合法权益；规范妇女信访秩序，促进社会和谐稳定。开展“与爱同行 守望相助”专项行动，倡导爱心帮扶互助，帮扶困难家庭和弱势群体，助力巾帼脱贫创富。基层组织各项建设得到加强，农村“两委”中女性成员比例提高，妇联干部工作能力和水平提高，打造示范妇女之家和儿童之家，为全区妇女儿童提供阵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after="0"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绩效指标是志愿服务、培训、基地阵地建设、法律宣传、信访调处、帮扶等活动及妇儿发展规划指标的完成率。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topLinePunct/>
        <w:autoSpaceDE w:val="0"/>
        <w:autoSpaceDN w:val="0"/>
        <w:spacing w:after="0"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绩效标准：爱心驿站物资管理有序，志愿者作用发挥良好；妇女家政</w:t>
      </w:r>
      <w:r>
        <w:rPr>
          <w:rFonts w:hint="eastAsia" w:ascii="Times New Roman" w:hAnsi="Times New Roman" w:eastAsia="仿宋_GB2312"/>
          <w:spacing w:val="0"/>
          <w:kern w:val="0"/>
          <w:sz w:val="32"/>
          <w:szCs w:val="32"/>
          <w:fitText w:val="1920" w:id="-1841636608"/>
        </w:rPr>
        <w:t>培训参与人次</w:t>
      </w:r>
      <w:r>
        <w:rPr>
          <w:rFonts w:hint="eastAsia" w:ascii="Times New Roman" w:hAnsi="Times New Roman" w:eastAsia="仿宋_GB2312"/>
          <w:sz w:val="32"/>
          <w:szCs w:val="32"/>
        </w:rPr>
        <w:tab/>
      </w:r>
      <w:r>
        <w:rPr>
          <w:rFonts w:hint="eastAsia" w:ascii="Times New Roman" w:hAnsi="Times New Roman" w:eastAsia="仿宋_GB2312"/>
          <w:sz w:val="32"/>
          <w:szCs w:val="32"/>
        </w:rPr>
        <w:t>100人次以上；培训计划在规定时间内完成；带动妇女帮扶影响人数</w:t>
      </w:r>
      <w:r>
        <w:rPr>
          <w:rFonts w:hint="eastAsia" w:ascii="Times New Roman" w:hAnsi="Times New Roman" w:eastAsia="仿宋_GB2312"/>
          <w:sz w:val="32"/>
          <w:szCs w:val="32"/>
        </w:rPr>
        <w:tab/>
      </w:r>
      <w:r>
        <w:rPr>
          <w:rFonts w:hint="eastAsia" w:ascii="Times New Roman" w:hAnsi="Times New Roman" w:eastAsia="仿宋_GB2312"/>
          <w:sz w:val="32"/>
          <w:szCs w:val="32"/>
        </w:rPr>
        <w:t>100人次以上；服务妇女满意人数占总数的比率</w:t>
      </w:r>
      <w:r>
        <w:rPr>
          <w:rFonts w:hint="eastAsia" w:ascii="Times New Roman" w:hAnsi="Times New Roman" w:eastAsia="仿宋_GB2312"/>
          <w:sz w:val="32"/>
          <w:szCs w:val="32"/>
        </w:rPr>
        <w:tab/>
      </w:r>
      <w:r>
        <w:rPr>
          <w:rFonts w:hint="eastAsia" w:ascii="Times New Roman" w:hAnsi="Times New Roman" w:eastAsia="仿宋_GB2312"/>
          <w:sz w:val="32"/>
          <w:szCs w:val="32"/>
        </w:rPr>
        <w:t>90%及以上；参与妇女维权宣传培训人数100人次以上；妇女信访代理工作覆盖率</w:t>
      </w:r>
      <w:r>
        <w:rPr>
          <w:rFonts w:hint="eastAsia" w:ascii="Times New Roman" w:hAnsi="Times New Roman" w:eastAsia="仿宋_GB2312"/>
          <w:sz w:val="32"/>
          <w:szCs w:val="32"/>
        </w:rPr>
        <w:tab/>
      </w:r>
      <w:r>
        <w:rPr>
          <w:rFonts w:hint="eastAsia" w:ascii="Times New Roman" w:hAnsi="Times New Roman" w:eastAsia="仿宋_GB2312"/>
          <w:sz w:val="32"/>
          <w:szCs w:val="32"/>
        </w:rPr>
        <w:t>90%及以上；从受理案件到办理所用时间</w:t>
      </w:r>
      <w:r>
        <w:rPr>
          <w:rFonts w:hint="eastAsia" w:ascii="Times New Roman" w:hAnsi="Times New Roman" w:eastAsia="仿宋_GB2312"/>
          <w:sz w:val="32"/>
          <w:szCs w:val="32"/>
        </w:rPr>
        <w:tab/>
      </w:r>
      <w:r>
        <w:rPr>
          <w:rFonts w:hint="eastAsia" w:ascii="Times New Roman" w:hAnsi="Times New Roman" w:eastAsia="仿宋_GB2312"/>
          <w:sz w:val="32"/>
          <w:szCs w:val="32"/>
        </w:rPr>
        <w:t>即时或规定时间内；妇女儿童权益爱保护率90%及以上；维权服务对象满意人数占总数的比率</w:t>
      </w:r>
      <w:r>
        <w:rPr>
          <w:rFonts w:hint="eastAsia" w:ascii="Times New Roman" w:hAnsi="Times New Roman" w:eastAsia="仿宋_GB2312"/>
          <w:sz w:val="32"/>
          <w:szCs w:val="32"/>
        </w:rPr>
        <w:tab/>
      </w:r>
      <w:r>
        <w:rPr>
          <w:rFonts w:hint="eastAsia" w:ascii="Times New Roman" w:hAnsi="Times New Roman" w:eastAsia="仿宋_GB2312"/>
          <w:sz w:val="32"/>
          <w:szCs w:val="32"/>
        </w:rPr>
        <w:t>90%及以上；基层妇联工作阵地建设率90%及以上；参加集中培训的基层妇联干部占总数的比率</w:t>
      </w:r>
      <w:r>
        <w:rPr>
          <w:rFonts w:hint="eastAsia" w:ascii="Times New Roman" w:hAnsi="Times New Roman" w:eastAsia="仿宋_GB2312"/>
          <w:sz w:val="32"/>
          <w:szCs w:val="32"/>
        </w:rPr>
        <w:tab/>
      </w:r>
      <w:r>
        <w:rPr>
          <w:rFonts w:hint="eastAsia" w:ascii="Times New Roman" w:hAnsi="Times New Roman" w:eastAsia="仿宋_GB2312"/>
          <w:sz w:val="32"/>
          <w:szCs w:val="32"/>
        </w:rPr>
        <w:t>90%及以上；妇联业务按期完成率100%；反映落实秦皇岛市妇儿发展规划指标情况</w:t>
      </w:r>
      <w:r>
        <w:rPr>
          <w:rFonts w:hint="eastAsia" w:ascii="Times New Roman" w:hAnsi="Times New Roman" w:eastAsia="仿宋_GB2312"/>
          <w:sz w:val="32"/>
          <w:szCs w:val="32"/>
        </w:rPr>
        <w:tab/>
      </w:r>
      <w:r>
        <w:rPr>
          <w:rFonts w:hint="eastAsia" w:ascii="Times New Roman" w:hAnsi="Times New Roman" w:eastAsia="仿宋_GB2312"/>
          <w:sz w:val="32"/>
          <w:szCs w:val="32"/>
        </w:rPr>
        <w:t>90%及以上；服务妇女满意人数占总数的比率</w:t>
      </w:r>
      <w:r>
        <w:rPr>
          <w:rFonts w:hint="eastAsia" w:ascii="Times New Roman" w:hAnsi="Times New Roman" w:eastAsia="仿宋_GB2312"/>
          <w:sz w:val="32"/>
          <w:szCs w:val="32"/>
        </w:rPr>
        <w:tab/>
      </w:r>
      <w:r>
        <w:rPr>
          <w:rFonts w:hint="eastAsia" w:ascii="Times New Roman" w:hAnsi="Times New Roman" w:eastAsia="仿宋_GB2312"/>
          <w:sz w:val="32"/>
          <w:szCs w:val="32"/>
        </w:rPr>
        <w:t>90%及以上。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after="0" w:line="600" w:lineRule="exact"/>
        <w:ind w:firstLine="643" w:firstLineChars="200"/>
        <w:rPr>
          <w:rFonts w:ascii="仿宋_GB2312" w:eastAsia="仿宋_GB2312"/>
          <w:b/>
          <w:sz w:val="32"/>
          <w:szCs w:val="32"/>
        </w:rPr>
      </w:pPr>
      <w:r>
        <w:rPr>
          <w:rFonts w:hint="eastAsia" w:ascii="楷体_GB2312" w:eastAsia="楷体_GB2312"/>
          <w:b/>
          <w:sz w:val="32"/>
          <w:szCs w:val="32"/>
        </w:rPr>
        <w:t>（三）工作保障措施：</w:t>
      </w:r>
    </w:p>
    <w:p>
      <w:pPr>
        <w:spacing w:after="0" w:line="600" w:lineRule="exact"/>
        <w:ind w:firstLine="640" w:firstLineChars="200"/>
        <w:rPr>
          <w:rFonts w:hint="eastAsia" w:ascii="仿宋_GB2312" w:hAnsi="仿宋" w:eastAsia="仿宋_GB2312" w:cs="仿宋"/>
          <w:color w:val="000000"/>
          <w:sz w:val="32"/>
        </w:rPr>
      </w:pPr>
      <w:r>
        <w:rPr>
          <w:rFonts w:hint="eastAsia" w:ascii="仿宋_GB2312" w:hAnsi="仿宋" w:eastAsia="仿宋_GB2312" w:cs="仿宋"/>
          <w:color w:val="000000"/>
          <w:sz w:val="32"/>
        </w:rPr>
        <w:t>区妇联实现本年度发展规划目标的保障措施</w:t>
      </w:r>
    </w:p>
    <w:p>
      <w:pPr>
        <w:spacing w:after="0" w:line="600" w:lineRule="exact"/>
        <w:ind w:firstLine="640" w:firstLineChars="200"/>
        <w:rPr>
          <w:rFonts w:hint="eastAsia" w:ascii="仿宋_GB2312" w:hAnsi="仿宋" w:eastAsia="仿宋_GB2312" w:cs="仿宋"/>
          <w:color w:val="000000"/>
          <w:sz w:val="32"/>
        </w:rPr>
      </w:pPr>
      <w:r>
        <w:rPr>
          <w:rFonts w:hint="eastAsia" w:ascii="仿宋_GB2312" w:hAnsi="仿宋" w:eastAsia="仿宋_GB2312" w:cs="仿宋"/>
          <w:color w:val="000000"/>
          <w:sz w:val="32"/>
        </w:rPr>
        <w:t xml:space="preserve">在推动妇女发展方面。深入开展“巾帼大宣讲”活动，组织巾帼志愿宣讲团宣讲，引领妇女在思想上政治上行动上与党中央保持高度一致。开展多种形式的“双创”培训和竞赛。创建培树各类“双创双服巾帼行动”示范基地。深化“美丽庭院”创建，评选“美丽庭院示范户”“精品户”，推进以人为美的美丽庭院建设。 </w:t>
      </w:r>
    </w:p>
    <w:p>
      <w:pPr>
        <w:spacing w:after="0" w:line="600" w:lineRule="exact"/>
        <w:ind w:firstLine="640" w:firstLineChars="200"/>
        <w:rPr>
          <w:rFonts w:hint="eastAsia" w:ascii="仿宋_GB2312" w:hAnsi="仿宋" w:eastAsia="仿宋_GB2312" w:cs="仿宋"/>
          <w:color w:val="000000"/>
          <w:sz w:val="32"/>
        </w:rPr>
      </w:pPr>
      <w:r>
        <w:rPr>
          <w:rFonts w:hint="eastAsia" w:ascii="仿宋_GB2312" w:hAnsi="仿宋" w:eastAsia="仿宋_GB2312" w:cs="仿宋"/>
          <w:color w:val="000000"/>
          <w:sz w:val="32"/>
        </w:rPr>
        <w:t>在维护妇儿权益方面。开展平安幸福家庭项目建设，在节日节点开展广泛集中法律宣传活动，开展“木兰有约”法治宣讲活动，通过平安家庭示范户与特殊家庭结对，做好特殊家庭的帮扶转化工作，做好日常信访接待和调处工作，努力解决妇女诉求，发挥婚姻家庭纠纷人民调解委员会的作用，开展婚姻家庭纠纷调解工作，预防化解婚姻家庭矛盾纠纷，避免引发“民转刑”案件。</w:t>
      </w:r>
    </w:p>
    <w:p>
      <w:pPr>
        <w:spacing w:after="0" w:line="600" w:lineRule="exact"/>
        <w:ind w:firstLine="640" w:firstLineChars="200"/>
        <w:rPr>
          <w:rFonts w:hint="eastAsia" w:ascii="仿宋_GB2312" w:hAnsi="仿宋" w:eastAsia="仿宋_GB2312" w:cs="仿宋"/>
          <w:color w:val="000000"/>
          <w:sz w:val="32"/>
        </w:rPr>
      </w:pPr>
      <w:r>
        <w:rPr>
          <w:rFonts w:hint="eastAsia" w:ascii="仿宋_GB2312" w:hAnsi="仿宋" w:eastAsia="仿宋_GB2312" w:cs="仿宋"/>
          <w:color w:val="000000"/>
          <w:sz w:val="32"/>
        </w:rPr>
        <w:t>在家庭文明建设方面。县乡村三级层层开展寻找各类“最美家庭”评比表彰活动、开展好家风家教家训宣传展示活动，以典型示范引领广大家庭文明建设。开展“同悦书香 亲子阅读”活动，积极组织广大家庭参与亲子阅读。整合社会资源，组织开展“家庭教育指导服务社区行”活动，以举办“家庭教育讲座”等形式，指导家长不断提升自身素质、提高家教能力。</w:t>
      </w:r>
    </w:p>
    <w:p>
      <w:pPr>
        <w:spacing w:after="0" w:line="600" w:lineRule="exact"/>
        <w:ind w:firstLine="640" w:firstLineChars="200"/>
        <w:rPr>
          <w:rFonts w:ascii="楷体_GB2312" w:eastAsia="楷体_GB2312"/>
          <w:b/>
          <w:sz w:val="32"/>
          <w:szCs w:val="32"/>
        </w:rPr>
      </w:pPr>
      <w:r>
        <w:rPr>
          <w:rFonts w:hint="eastAsia" w:ascii="仿宋_GB2312" w:hAnsi="仿宋" w:eastAsia="仿宋_GB2312" w:cs="仿宋"/>
          <w:color w:val="000000"/>
          <w:sz w:val="32"/>
        </w:rPr>
        <w:t>在基层组织建设方面。因地制宜加强基层各类妇女之家、儿童之家的建设，推进乡镇、街道妇联区域化建设。在“四新”组织中建立灵活多样的妇联组织。打造各类“妇女微家”建设等。建设好“山海关妇联公众号”等网上妇联工作平台、妇联微信矩阵、微信群等。在全区妇联干部中开展“四带头四表率”活动，落实好“五个一”深入实施“一联五”贴心扎根工程。</w:t>
      </w:r>
    </w:p>
    <w:p>
      <w:pPr>
        <w:spacing w:after="0" w:line="600" w:lineRule="exact"/>
        <w:ind w:firstLine="643" w:firstLineChars="200"/>
        <w:rPr>
          <w:rFonts w:ascii="楷体_GB2312" w:eastAsia="楷体_GB2312"/>
          <w:b/>
          <w:sz w:val="32"/>
          <w:szCs w:val="32"/>
        </w:rPr>
      </w:pPr>
    </w:p>
    <w:p>
      <w:pPr>
        <w:spacing w:after="0" w:line="600" w:lineRule="exact"/>
        <w:ind w:firstLine="643" w:firstLineChars="200"/>
        <w:rPr>
          <w:rFonts w:ascii="楷体_GB2312" w:eastAsia="楷体_GB2312"/>
          <w:b/>
          <w:sz w:val="32"/>
          <w:szCs w:val="32"/>
        </w:rPr>
      </w:pPr>
      <w:r>
        <w:rPr>
          <w:rFonts w:hint="eastAsia" w:ascii="楷体_GB2312" w:eastAsia="楷体_GB2312"/>
          <w:b/>
          <w:sz w:val="32"/>
          <w:szCs w:val="32"/>
        </w:rPr>
        <w:t>第二部分  预算项目绩效目标</w:t>
      </w:r>
    </w:p>
    <w:p>
      <w:pPr>
        <w:ind w:firstLine="562" w:firstLineChars="200"/>
        <w:outlineLvl w:val="3"/>
        <w:rPr>
          <w:rFonts w:ascii="方正仿宋_GBK" w:eastAsia="方正仿宋_GBK"/>
          <w:b/>
          <w:sz w:val="28"/>
        </w:rPr>
      </w:pPr>
      <w:bookmarkStart w:id="0" w:name="_Toc61466273"/>
    </w:p>
    <w:bookmarkEnd w:id="0"/>
    <w:p>
      <w:pPr>
        <w:spacing w:before="0" w:after="0"/>
        <w:ind w:firstLine="560"/>
        <w:jc w:val="left"/>
        <w:outlineLvl w:val="3"/>
      </w:pPr>
      <w:bookmarkStart w:id="1" w:name="_Toc_4_4_0000000004"/>
      <w:r>
        <w:rPr>
          <w:rFonts w:ascii="方正仿宋_GBK" w:hAnsi="方正仿宋_GBK" w:eastAsia="方正仿宋_GBK" w:cs="方正仿宋_GBK"/>
          <w:color w:val="000000"/>
          <w:sz w:val="28"/>
        </w:rPr>
        <w:t>1.车辆保险费绩效目标表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713001妇女联合会秦皇岛市山海关区妇女联合会本级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13030321P003970100127</w:t>
            </w:r>
          </w:p>
        </w:tc>
        <w:tc>
          <w:tcPr>
            <w:tcW w:w="1587" w:type="dxa"/>
            <w:vAlign w:val="center"/>
          </w:tcPr>
          <w:p>
            <w:pPr>
              <w:pStyle w:val="10"/>
            </w:pPr>
            <w:r>
              <w:t>项目名称</w:t>
            </w:r>
          </w:p>
        </w:tc>
        <w:tc>
          <w:tcPr>
            <w:tcW w:w="4422" w:type="dxa"/>
            <w:gridSpan w:val="3"/>
            <w:vAlign w:val="center"/>
          </w:tcPr>
          <w:p>
            <w:pPr>
              <w:pStyle w:val="11"/>
            </w:pPr>
            <w: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0.40</w:t>
            </w:r>
          </w:p>
        </w:tc>
        <w:tc>
          <w:tcPr>
            <w:tcW w:w="1587" w:type="dxa"/>
            <w:vAlign w:val="center"/>
          </w:tcPr>
          <w:p>
            <w:pPr>
              <w:pStyle w:val="10"/>
            </w:pPr>
            <w:r>
              <w:t>其中：财政    资金</w:t>
            </w:r>
          </w:p>
        </w:tc>
        <w:tc>
          <w:tcPr>
            <w:tcW w:w="1304" w:type="dxa"/>
            <w:vAlign w:val="center"/>
          </w:tcPr>
          <w:p>
            <w:pPr>
              <w:pStyle w:val="11"/>
            </w:pPr>
            <w:r>
              <w:t>0.40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公务用车车辆保险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 xml:space="preserve"> </w:t>
            </w:r>
          </w:p>
        </w:tc>
        <w:tc>
          <w:tcPr>
            <w:tcW w:w="1304" w:type="dxa"/>
            <w:vAlign w:val="center"/>
          </w:tcPr>
          <w:p>
            <w:pPr>
              <w:pStyle w:val="12"/>
            </w:pPr>
            <w:r>
              <w:t>100%</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1.提高工作效率，保障正常运行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公车数量</w:t>
            </w:r>
          </w:p>
        </w:tc>
        <w:tc>
          <w:tcPr>
            <w:tcW w:w="2891" w:type="dxa"/>
            <w:vAlign w:val="center"/>
          </w:tcPr>
          <w:p>
            <w:pPr>
              <w:pStyle w:val="11"/>
            </w:pPr>
            <w:r>
              <w:t>公车投保数量</w:t>
            </w:r>
          </w:p>
        </w:tc>
        <w:tc>
          <w:tcPr>
            <w:tcW w:w="1276" w:type="dxa"/>
            <w:vAlign w:val="center"/>
          </w:tcPr>
          <w:p>
            <w:pPr>
              <w:pStyle w:val="11"/>
            </w:pPr>
            <w:r>
              <w:t>100%</w:t>
            </w:r>
          </w:p>
        </w:tc>
        <w:tc>
          <w:tcPr>
            <w:tcW w:w="1843" w:type="dxa"/>
            <w:vAlign w:val="center"/>
          </w:tcPr>
          <w:p>
            <w:pPr>
              <w:pStyle w:val="11"/>
            </w:pPr>
            <w:r>
              <w:t>年度工作计划</w:t>
            </w:r>
          </w:p>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正常运行率</w:t>
            </w:r>
          </w:p>
        </w:tc>
        <w:tc>
          <w:tcPr>
            <w:tcW w:w="2891" w:type="dxa"/>
            <w:vAlign w:val="center"/>
          </w:tcPr>
          <w:p>
            <w:pPr>
              <w:pStyle w:val="11"/>
            </w:pPr>
            <w:r>
              <w:t>公车正常运行率</w:t>
            </w:r>
          </w:p>
        </w:tc>
        <w:tc>
          <w:tcPr>
            <w:tcW w:w="1276" w:type="dxa"/>
            <w:vAlign w:val="center"/>
          </w:tcPr>
          <w:p>
            <w:pPr>
              <w:pStyle w:val="11"/>
            </w:pPr>
            <w:r>
              <w:t>≥95%</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按计划完成工作</w:t>
            </w:r>
          </w:p>
        </w:tc>
        <w:tc>
          <w:tcPr>
            <w:tcW w:w="2891" w:type="dxa"/>
            <w:vAlign w:val="center"/>
          </w:tcPr>
          <w:p>
            <w:pPr>
              <w:pStyle w:val="11"/>
            </w:pPr>
            <w:r>
              <w:t>按工作要求按时完成预定计划</w:t>
            </w:r>
          </w:p>
        </w:tc>
        <w:tc>
          <w:tcPr>
            <w:tcW w:w="1276" w:type="dxa"/>
            <w:vAlign w:val="center"/>
          </w:tcPr>
          <w:p>
            <w:pPr>
              <w:pStyle w:val="11"/>
            </w:pPr>
            <w:r>
              <w:t>100%</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项目控制预算数</w:t>
            </w:r>
          </w:p>
        </w:tc>
        <w:tc>
          <w:tcPr>
            <w:tcW w:w="2891" w:type="dxa"/>
            <w:vAlign w:val="center"/>
          </w:tcPr>
          <w:p>
            <w:pPr>
              <w:pStyle w:val="11"/>
            </w:pPr>
            <w:r>
              <w:t>不超过财政支持经费</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1"/>
            </w:pPr>
            <w:r>
              <w:t>经济效益指标</w:t>
            </w:r>
          </w:p>
        </w:tc>
        <w:tc>
          <w:tcPr>
            <w:tcW w:w="1332" w:type="dxa"/>
            <w:vAlign w:val="center"/>
          </w:tcPr>
          <w:p>
            <w:pPr>
              <w:pStyle w:val="11"/>
            </w:pPr>
            <w:r>
              <w:t>提高工作效率</w:t>
            </w:r>
          </w:p>
        </w:tc>
        <w:tc>
          <w:tcPr>
            <w:tcW w:w="2891" w:type="dxa"/>
            <w:vAlign w:val="center"/>
          </w:tcPr>
          <w:p>
            <w:pPr>
              <w:pStyle w:val="11"/>
            </w:pPr>
            <w:r>
              <w:t>是否能提高工作效率</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社会效益指标</w:t>
            </w:r>
          </w:p>
        </w:tc>
        <w:tc>
          <w:tcPr>
            <w:tcW w:w="1332" w:type="dxa"/>
            <w:vAlign w:val="center"/>
          </w:tcPr>
          <w:p>
            <w:pPr>
              <w:pStyle w:val="11"/>
            </w:pPr>
            <w:r>
              <w:t>业务保障能力</w:t>
            </w:r>
          </w:p>
        </w:tc>
        <w:tc>
          <w:tcPr>
            <w:tcW w:w="2891" w:type="dxa"/>
            <w:vAlign w:val="center"/>
          </w:tcPr>
          <w:p>
            <w:pPr>
              <w:pStyle w:val="11"/>
            </w:pPr>
            <w:r>
              <w:t>机要通信保障能力</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生态效益指标</w:t>
            </w:r>
          </w:p>
        </w:tc>
        <w:tc>
          <w:tcPr>
            <w:tcW w:w="1332" w:type="dxa"/>
            <w:vAlign w:val="center"/>
          </w:tcPr>
          <w:p>
            <w:pPr>
              <w:pStyle w:val="11"/>
            </w:pPr>
            <w:r>
              <w:t>节约成本</w:t>
            </w:r>
          </w:p>
        </w:tc>
        <w:tc>
          <w:tcPr>
            <w:tcW w:w="2891" w:type="dxa"/>
            <w:vAlign w:val="center"/>
          </w:tcPr>
          <w:p>
            <w:pPr>
              <w:pStyle w:val="11"/>
            </w:pPr>
            <w:r>
              <w:t>是否降低能耗</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长期使用性</w:t>
            </w:r>
          </w:p>
        </w:tc>
        <w:tc>
          <w:tcPr>
            <w:tcW w:w="2891" w:type="dxa"/>
            <w:vAlign w:val="center"/>
          </w:tcPr>
          <w:p>
            <w:pPr>
              <w:pStyle w:val="11"/>
            </w:pPr>
            <w:r>
              <w:t>能够长期较好地满足工作需要</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单位工作人员满意度</w:t>
            </w:r>
          </w:p>
        </w:tc>
        <w:tc>
          <w:tcPr>
            <w:tcW w:w="2891" w:type="dxa"/>
            <w:vAlign w:val="center"/>
          </w:tcPr>
          <w:p>
            <w:pPr>
              <w:pStyle w:val="11"/>
            </w:pPr>
            <w:r>
              <w:t>单位工作人员对工作效益满意度</w:t>
            </w:r>
          </w:p>
        </w:tc>
        <w:tc>
          <w:tcPr>
            <w:tcW w:w="1276" w:type="dxa"/>
            <w:vAlign w:val="center"/>
          </w:tcPr>
          <w:p>
            <w:pPr>
              <w:pStyle w:val="11"/>
            </w:pPr>
            <w:r>
              <w:t>≥90%</w:t>
            </w:r>
          </w:p>
        </w:tc>
        <w:tc>
          <w:tcPr>
            <w:tcW w:w="1843" w:type="dxa"/>
            <w:vAlign w:val="center"/>
          </w:tcPr>
          <w:p>
            <w:pPr>
              <w:pStyle w:val="11"/>
            </w:pPr>
            <w:r>
              <w:t>年度工作计划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_4_4_0000000005"/>
      <w:r>
        <w:rPr>
          <w:rFonts w:ascii="方正仿宋_GBK" w:hAnsi="方正仿宋_GBK" w:eastAsia="方正仿宋_GBK" w:cs="方正仿宋_GBK"/>
          <w:color w:val="000000"/>
          <w:sz w:val="28"/>
        </w:rPr>
        <w:t>2.“与爱同行 守望相助”专项活动经费绩效目标表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713001妇女联合会秦皇岛市山海关区妇女联合会本级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13030322P004064100026</w:t>
            </w:r>
          </w:p>
        </w:tc>
        <w:tc>
          <w:tcPr>
            <w:tcW w:w="1587" w:type="dxa"/>
            <w:vAlign w:val="center"/>
          </w:tcPr>
          <w:p>
            <w:pPr>
              <w:pStyle w:val="10"/>
            </w:pPr>
            <w:r>
              <w:t>项目名称</w:t>
            </w:r>
          </w:p>
        </w:tc>
        <w:tc>
          <w:tcPr>
            <w:tcW w:w="4422" w:type="dxa"/>
            <w:gridSpan w:val="3"/>
            <w:vAlign w:val="center"/>
          </w:tcPr>
          <w:p>
            <w:pPr>
              <w:pStyle w:val="11"/>
            </w:pPr>
            <w:r>
              <w:t>“与爱同行 守望相助”专项活动经费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5.60</w:t>
            </w:r>
          </w:p>
        </w:tc>
        <w:tc>
          <w:tcPr>
            <w:tcW w:w="1587" w:type="dxa"/>
            <w:vAlign w:val="center"/>
          </w:tcPr>
          <w:p>
            <w:pPr>
              <w:pStyle w:val="10"/>
            </w:pPr>
            <w:r>
              <w:t>其中：财政    资金</w:t>
            </w:r>
          </w:p>
        </w:tc>
        <w:tc>
          <w:tcPr>
            <w:tcW w:w="1304" w:type="dxa"/>
            <w:vAlign w:val="center"/>
          </w:tcPr>
          <w:p>
            <w:pPr>
              <w:pStyle w:val="11"/>
            </w:pPr>
            <w:r>
              <w:t>5.60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开展“与爱同行 守望相助”专项行动，开展爱心帮扶互助，志愿者管理，妇女就业创业，培训指导等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1.目标内容：爱心驿站建设运转良好，加强妇女就业技能培训，提升就业创业能力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爱心驿站及物资管理</w:t>
            </w:r>
          </w:p>
        </w:tc>
        <w:tc>
          <w:tcPr>
            <w:tcW w:w="2891" w:type="dxa"/>
            <w:vAlign w:val="center"/>
          </w:tcPr>
          <w:p>
            <w:pPr>
              <w:pStyle w:val="11"/>
            </w:pPr>
            <w:r>
              <w:t>反映专项行动开展情况</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妇女家政培训</w:t>
            </w:r>
          </w:p>
        </w:tc>
        <w:tc>
          <w:tcPr>
            <w:tcW w:w="2891" w:type="dxa"/>
            <w:vAlign w:val="center"/>
          </w:tcPr>
          <w:p>
            <w:pPr>
              <w:pStyle w:val="11"/>
            </w:pPr>
            <w:r>
              <w:t>反映妇女创业就业培训情况</w:t>
            </w:r>
          </w:p>
        </w:tc>
        <w:tc>
          <w:tcPr>
            <w:tcW w:w="1276" w:type="dxa"/>
            <w:vAlign w:val="center"/>
          </w:tcPr>
          <w:p>
            <w:pPr>
              <w:pStyle w:val="11"/>
            </w:pPr>
            <w:r>
              <w:t>≥100</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培训计划按期完成时间</w:t>
            </w:r>
          </w:p>
        </w:tc>
        <w:tc>
          <w:tcPr>
            <w:tcW w:w="2891" w:type="dxa"/>
            <w:vAlign w:val="center"/>
          </w:tcPr>
          <w:p>
            <w:pPr>
              <w:pStyle w:val="11"/>
            </w:pPr>
            <w:r>
              <w:t>反映培训计划是否在规定期间内完成</w:t>
            </w:r>
          </w:p>
        </w:tc>
        <w:tc>
          <w:tcPr>
            <w:tcW w:w="1276" w:type="dxa"/>
            <w:vAlign w:val="center"/>
          </w:tcPr>
          <w:p>
            <w:pPr>
              <w:pStyle w:val="11"/>
            </w:pPr>
            <w:r>
              <w:t>≥95</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项目控制预算数</w:t>
            </w:r>
          </w:p>
        </w:tc>
        <w:tc>
          <w:tcPr>
            <w:tcW w:w="2891" w:type="dxa"/>
            <w:vAlign w:val="center"/>
          </w:tcPr>
          <w:p>
            <w:pPr>
              <w:pStyle w:val="11"/>
            </w:pPr>
            <w:r>
              <w:t>不超过财政支持经费</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1"/>
            </w:pPr>
            <w:r>
              <w:t>经济效益指标</w:t>
            </w:r>
          </w:p>
        </w:tc>
        <w:tc>
          <w:tcPr>
            <w:tcW w:w="1332" w:type="dxa"/>
            <w:vAlign w:val="center"/>
          </w:tcPr>
          <w:p>
            <w:pPr>
              <w:pStyle w:val="11"/>
            </w:pPr>
            <w:r>
              <w:t>下岗女工再就业率</w:t>
            </w:r>
          </w:p>
        </w:tc>
        <w:tc>
          <w:tcPr>
            <w:tcW w:w="2891" w:type="dxa"/>
            <w:vAlign w:val="center"/>
          </w:tcPr>
          <w:p>
            <w:pPr>
              <w:pStyle w:val="11"/>
            </w:pPr>
            <w:r>
              <w:t>反映下岗女工就业比率</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社会效益指标</w:t>
            </w:r>
          </w:p>
        </w:tc>
        <w:tc>
          <w:tcPr>
            <w:tcW w:w="1332" w:type="dxa"/>
            <w:vAlign w:val="center"/>
          </w:tcPr>
          <w:p>
            <w:pPr>
              <w:pStyle w:val="11"/>
            </w:pPr>
            <w:r>
              <w:t>妇女帮扶活动影响力</w:t>
            </w:r>
          </w:p>
        </w:tc>
        <w:tc>
          <w:tcPr>
            <w:tcW w:w="2891" w:type="dxa"/>
            <w:vAlign w:val="center"/>
          </w:tcPr>
          <w:p>
            <w:pPr>
              <w:pStyle w:val="11"/>
            </w:pPr>
            <w:r>
              <w:t>反映妇女帮扶活动的社会影响力</w:t>
            </w:r>
          </w:p>
        </w:tc>
        <w:tc>
          <w:tcPr>
            <w:tcW w:w="1276" w:type="dxa"/>
            <w:vAlign w:val="center"/>
          </w:tcPr>
          <w:p>
            <w:pPr>
              <w:pStyle w:val="11"/>
            </w:pPr>
            <w:r>
              <w:t>≥20</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生态效益指标</w:t>
            </w:r>
          </w:p>
        </w:tc>
        <w:tc>
          <w:tcPr>
            <w:tcW w:w="1332" w:type="dxa"/>
            <w:vAlign w:val="center"/>
          </w:tcPr>
          <w:p>
            <w:pPr>
              <w:pStyle w:val="11"/>
            </w:pPr>
            <w:r>
              <w:t>长期作用性</w:t>
            </w:r>
          </w:p>
        </w:tc>
        <w:tc>
          <w:tcPr>
            <w:tcW w:w="2891" w:type="dxa"/>
            <w:vAlign w:val="center"/>
          </w:tcPr>
          <w:p>
            <w:pPr>
              <w:pStyle w:val="11"/>
            </w:pPr>
            <w:r>
              <w:t>能够长期运转</w:t>
            </w:r>
          </w:p>
        </w:tc>
        <w:tc>
          <w:tcPr>
            <w:tcW w:w="1276" w:type="dxa"/>
            <w:vAlign w:val="center"/>
          </w:tcPr>
          <w:p>
            <w:pPr>
              <w:pStyle w:val="11"/>
            </w:pPr>
            <w:r>
              <w:t>≥100</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志愿者发挥作用影响力</w:t>
            </w:r>
          </w:p>
        </w:tc>
        <w:tc>
          <w:tcPr>
            <w:tcW w:w="2891" w:type="dxa"/>
            <w:vAlign w:val="center"/>
          </w:tcPr>
          <w:p>
            <w:pPr>
              <w:pStyle w:val="11"/>
            </w:pPr>
            <w:r>
              <w:t>反映志愿者发挥作用影响力</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基层妇女群众满意度</w:t>
            </w:r>
          </w:p>
        </w:tc>
        <w:tc>
          <w:tcPr>
            <w:tcW w:w="2891" w:type="dxa"/>
            <w:vAlign w:val="center"/>
          </w:tcPr>
          <w:p>
            <w:pPr>
              <w:pStyle w:val="11"/>
            </w:pPr>
            <w:r>
              <w:t>基层妇女对发展活动满意度</w:t>
            </w:r>
          </w:p>
        </w:tc>
        <w:tc>
          <w:tcPr>
            <w:tcW w:w="1276" w:type="dxa"/>
            <w:vAlign w:val="center"/>
          </w:tcPr>
          <w:p>
            <w:pPr>
              <w:pStyle w:val="11"/>
            </w:pPr>
            <w:r>
              <w:t>≥90</w:t>
            </w:r>
          </w:p>
        </w:tc>
        <w:tc>
          <w:tcPr>
            <w:tcW w:w="1843" w:type="dxa"/>
            <w:vAlign w:val="center"/>
          </w:tcPr>
          <w:p>
            <w:pPr>
              <w:pStyle w:val="11"/>
            </w:pPr>
            <w:r>
              <w:t>年度工作计划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6"/>
      <w:r>
        <w:rPr>
          <w:rFonts w:ascii="方正仿宋_GBK" w:hAnsi="方正仿宋_GBK" w:eastAsia="方正仿宋_GBK" w:cs="方正仿宋_GBK"/>
          <w:color w:val="000000"/>
          <w:sz w:val="28"/>
        </w:rPr>
        <w:t>3.妇联基层组织建设经费绩效目标表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713001妇女联合会秦皇岛市山海关区妇女联合会本级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13030322P00406610002H</w:t>
            </w:r>
          </w:p>
        </w:tc>
        <w:tc>
          <w:tcPr>
            <w:tcW w:w="1587" w:type="dxa"/>
            <w:vAlign w:val="center"/>
          </w:tcPr>
          <w:p>
            <w:pPr>
              <w:pStyle w:val="10"/>
            </w:pPr>
            <w:r>
              <w:t>项目名称</w:t>
            </w:r>
          </w:p>
        </w:tc>
        <w:tc>
          <w:tcPr>
            <w:tcW w:w="4422" w:type="dxa"/>
            <w:gridSpan w:val="3"/>
            <w:vAlign w:val="center"/>
          </w:tcPr>
          <w:p>
            <w:pPr>
              <w:pStyle w:val="11"/>
            </w:pPr>
            <w:r>
              <w:t>妇联基层组织建设经费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7.00</w:t>
            </w:r>
          </w:p>
        </w:tc>
        <w:tc>
          <w:tcPr>
            <w:tcW w:w="1587" w:type="dxa"/>
            <w:vAlign w:val="center"/>
          </w:tcPr>
          <w:p>
            <w:pPr>
              <w:pStyle w:val="10"/>
            </w:pPr>
            <w:r>
              <w:t>其中：财政    资金</w:t>
            </w:r>
          </w:p>
        </w:tc>
        <w:tc>
          <w:tcPr>
            <w:tcW w:w="1304" w:type="dxa"/>
            <w:vAlign w:val="center"/>
          </w:tcPr>
          <w:p>
            <w:pPr>
              <w:pStyle w:val="11"/>
            </w:pPr>
            <w:r>
              <w:t>7.00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推进妇联改革，加强组织建设，扎实推进妇联组织区域化建设，完成镇街村居级妇联换届工作，在四新组织中建立妇联组织，推进妇女微家建设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1.目标内容：帮助权益受到侵害的妇女儿童解决问题，提高广大妇女儿童的维权意识和能力，维护合法权益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妇女维权宣传培训人数</w:t>
            </w:r>
          </w:p>
        </w:tc>
        <w:tc>
          <w:tcPr>
            <w:tcW w:w="2891" w:type="dxa"/>
            <w:vAlign w:val="center"/>
          </w:tcPr>
          <w:p>
            <w:pPr>
              <w:pStyle w:val="11"/>
            </w:pPr>
            <w:r>
              <w:t>反映妇女维权宣传教育情况</w:t>
            </w:r>
          </w:p>
        </w:tc>
        <w:tc>
          <w:tcPr>
            <w:tcW w:w="1276" w:type="dxa"/>
            <w:vAlign w:val="center"/>
          </w:tcPr>
          <w:p>
            <w:pPr>
              <w:pStyle w:val="11"/>
            </w:pPr>
            <w:r>
              <w:t>≥100人次</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妇女信访代理工作覆盖率</w:t>
            </w:r>
          </w:p>
        </w:tc>
        <w:tc>
          <w:tcPr>
            <w:tcW w:w="2891" w:type="dxa"/>
            <w:vAlign w:val="center"/>
          </w:tcPr>
          <w:p>
            <w:pPr>
              <w:pStyle w:val="11"/>
            </w:pPr>
            <w:r>
              <w:t>反映妇女信访工作开展情况</w:t>
            </w:r>
          </w:p>
        </w:tc>
        <w:tc>
          <w:tcPr>
            <w:tcW w:w="1276" w:type="dxa"/>
            <w:vAlign w:val="center"/>
          </w:tcPr>
          <w:p>
            <w:pPr>
              <w:pStyle w:val="11"/>
            </w:pPr>
            <w:r>
              <w:t>≥90%</w:t>
            </w:r>
          </w:p>
        </w:tc>
        <w:tc>
          <w:tcPr>
            <w:tcW w:w="1843" w:type="dxa"/>
            <w:vAlign w:val="center"/>
          </w:tcPr>
          <w:p>
            <w:pPr>
              <w:pStyle w:val="11"/>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项目控制预算数</w:t>
            </w:r>
          </w:p>
        </w:tc>
        <w:tc>
          <w:tcPr>
            <w:tcW w:w="2891" w:type="dxa"/>
            <w:vAlign w:val="center"/>
          </w:tcPr>
          <w:p>
            <w:pPr>
              <w:pStyle w:val="11"/>
            </w:pPr>
            <w:r>
              <w:t>不超过支持经费</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妇女维权案件办理时限</w:t>
            </w:r>
          </w:p>
        </w:tc>
        <w:tc>
          <w:tcPr>
            <w:tcW w:w="2891" w:type="dxa"/>
            <w:vAlign w:val="center"/>
          </w:tcPr>
          <w:p>
            <w:pPr>
              <w:pStyle w:val="11"/>
            </w:pPr>
            <w:r>
              <w:t>反映信访案件调查情况</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1"/>
            </w:pPr>
            <w:r>
              <w:t>经济效益指标</w:t>
            </w:r>
          </w:p>
        </w:tc>
        <w:tc>
          <w:tcPr>
            <w:tcW w:w="1332" w:type="dxa"/>
            <w:vAlign w:val="center"/>
          </w:tcPr>
          <w:p>
            <w:pPr>
              <w:pStyle w:val="11"/>
            </w:pPr>
            <w:r>
              <w:t>妇女维权课程培训人数</w:t>
            </w:r>
          </w:p>
        </w:tc>
        <w:tc>
          <w:tcPr>
            <w:tcW w:w="2891" w:type="dxa"/>
            <w:vAlign w:val="center"/>
          </w:tcPr>
          <w:p>
            <w:pPr>
              <w:pStyle w:val="11"/>
            </w:pPr>
            <w:r>
              <w:t>反映参加妇女维权人数</w:t>
            </w:r>
          </w:p>
        </w:tc>
        <w:tc>
          <w:tcPr>
            <w:tcW w:w="1276" w:type="dxa"/>
            <w:vAlign w:val="center"/>
          </w:tcPr>
          <w:p>
            <w:pPr>
              <w:pStyle w:val="11"/>
            </w:pPr>
            <w:r>
              <w:t>≥90</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社会效益指标</w:t>
            </w:r>
          </w:p>
        </w:tc>
        <w:tc>
          <w:tcPr>
            <w:tcW w:w="1332" w:type="dxa"/>
            <w:vAlign w:val="center"/>
          </w:tcPr>
          <w:p>
            <w:pPr>
              <w:pStyle w:val="11"/>
            </w:pPr>
            <w:r>
              <w:t>妇女儿童受保护程度</w:t>
            </w:r>
          </w:p>
        </w:tc>
        <w:tc>
          <w:tcPr>
            <w:tcW w:w="2891" w:type="dxa"/>
            <w:vAlign w:val="center"/>
          </w:tcPr>
          <w:p>
            <w:pPr>
              <w:pStyle w:val="11"/>
            </w:pPr>
            <w:r>
              <w:t>反映通过相关部门对妇女儿童权益保护程度</w:t>
            </w:r>
          </w:p>
        </w:tc>
        <w:tc>
          <w:tcPr>
            <w:tcW w:w="1276" w:type="dxa"/>
            <w:vAlign w:val="center"/>
          </w:tcPr>
          <w:p>
            <w:pPr>
              <w:pStyle w:val="11"/>
            </w:pPr>
            <w:r>
              <w:t>≥90</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生态效益指标</w:t>
            </w:r>
          </w:p>
        </w:tc>
        <w:tc>
          <w:tcPr>
            <w:tcW w:w="1332" w:type="dxa"/>
            <w:vAlign w:val="center"/>
          </w:tcPr>
          <w:p>
            <w:pPr>
              <w:pStyle w:val="11"/>
            </w:pPr>
            <w:r>
              <w:t>维护社会和谐稳定</w:t>
            </w:r>
          </w:p>
        </w:tc>
        <w:tc>
          <w:tcPr>
            <w:tcW w:w="2891" w:type="dxa"/>
            <w:vAlign w:val="center"/>
          </w:tcPr>
          <w:p>
            <w:pPr>
              <w:pStyle w:val="11"/>
            </w:pPr>
            <w:r>
              <w:t>反映维护社会稳定情况</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问题线索处置率</w:t>
            </w:r>
          </w:p>
        </w:tc>
        <w:tc>
          <w:tcPr>
            <w:tcW w:w="2891" w:type="dxa"/>
            <w:vAlign w:val="center"/>
          </w:tcPr>
          <w:p>
            <w:pPr>
              <w:pStyle w:val="11"/>
            </w:pPr>
            <w:r>
              <w:t>对举报问题线索处置数量占举报数量之比</w:t>
            </w:r>
          </w:p>
        </w:tc>
        <w:tc>
          <w:tcPr>
            <w:tcW w:w="1276" w:type="dxa"/>
            <w:vAlign w:val="center"/>
          </w:tcPr>
          <w:p>
            <w:pPr>
              <w:pStyle w:val="11"/>
            </w:pPr>
            <w:r>
              <w:t>≥90</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服务对象满意度</w:t>
            </w:r>
          </w:p>
        </w:tc>
        <w:tc>
          <w:tcPr>
            <w:tcW w:w="2891" w:type="dxa"/>
            <w:vAlign w:val="center"/>
          </w:tcPr>
          <w:p>
            <w:pPr>
              <w:pStyle w:val="11"/>
            </w:pPr>
            <w:r>
              <w:t>维权服务对象满意人数占总人数比率</w:t>
            </w:r>
          </w:p>
        </w:tc>
        <w:tc>
          <w:tcPr>
            <w:tcW w:w="1276" w:type="dxa"/>
            <w:vAlign w:val="center"/>
          </w:tcPr>
          <w:p>
            <w:pPr>
              <w:pStyle w:val="11"/>
            </w:pPr>
            <w:r>
              <w:t>≥90</w:t>
            </w:r>
          </w:p>
        </w:tc>
        <w:tc>
          <w:tcPr>
            <w:tcW w:w="1843" w:type="dxa"/>
            <w:vAlign w:val="center"/>
          </w:tcPr>
          <w:p>
            <w:pPr>
              <w:pStyle w:val="11"/>
            </w:pPr>
            <w:r>
              <w:t>年度工作计划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7"/>
      <w:r>
        <w:rPr>
          <w:rFonts w:ascii="方正仿宋_GBK" w:hAnsi="方正仿宋_GBK" w:eastAsia="方正仿宋_GBK" w:cs="方正仿宋_GBK"/>
          <w:color w:val="000000"/>
          <w:sz w:val="28"/>
        </w:rPr>
        <w:t>4.妇联业务费绩效目标表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713001妇女联合会秦皇岛市山海关区妇女联合会本级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13030322P004061100025</w:t>
            </w:r>
          </w:p>
        </w:tc>
        <w:tc>
          <w:tcPr>
            <w:tcW w:w="1587" w:type="dxa"/>
            <w:vAlign w:val="center"/>
          </w:tcPr>
          <w:p>
            <w:pPr>
              <w:pStyle w:val="10"/>
            </w:pPr>
            <w:r>
              <w:t>项目名称</w:t>
            </w:r>
          </w:p>
        </w:tc>
        <w:tc>
          <w:tcPr>
            <w:tcW w:w="4422" w:type="dxa"/>
            <w:gridSpan w:val="3"/>
            <w:vAlign w:val="center"/>
          </w:tcPr>
          <w:p>
            <w:pPr>
              <w:pStyle w:val="11"/>
            </w:pPr>
            <w:r>
              <w:t>妇联业务费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3.00</w:t>
            </w:r>
          </w:p>
        </w:tc>
        <w:tc>
          <w:tcPr>
            <w:tcW w:w="1587" w:type="dxa"/>
            <w:vAlign w:val="center"/>
          </w:tcPr>
          <w:p>
            <w:pPr>
              <w:pStyle w:val="10"/>
            </w:pPr>
            <w:r>
              <w:t>其中：财政    资金</w:t>
            </w:r>
          </w:p>
        </w:tc>
        <w:tc>
          <w:tcPr>
            <w:tcW w:w="1304" w:type="dxa"/>
            <w:vAlign w:val="center"/>
          </w:tcPr>
          <w:p>
            <w:pPr>
              <w:pStyle w:val="11"/>
            </w:pPr>
            <w:r>
              <w:t>3.00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维权宣传教育培训等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1.帮助权益受到侵害的妇女儿童解决困难和问题，提高广大妇女儿童的维权意识和能力，维护合法权益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女维权宣传培训人数</w:t>
            </w:r>
          </w:p>
        </w:tc>
        <w:tc>
          <w:tcPr>
            <w:tcW w:w="2891" w:type="dxa"/>
            <w:vAlign w:val="center"/>
          </w:tcPr>
          <w:p>
            <w:pPr>
              <w:pStyle w:val="11"/>
            </w:pPr>
            <w:r>
              <w:t>反映妇女维权宣传教育情况</w:t>
            </w:r>
          </w:p>
        </w:tc>
        <w:tc>
          <w:tcPr>
            <w:tcW w:w="1276" w:type="dxa"/>
            <w:vAlign w:val="center"/>
          </w:tcPr>
          <w:p>
            <w:pPr>
              <w:pStyle w:val="11"/>
            </w:pPr>
            <w:r>
              <w:t>≥100人次</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妇女信访代理工作覆盖率</w:t>
            </w:r>
          </w:p>
        </w:tc>
        <w:tc>
          <w:tcPr>
            <w:tcW w:w="2891" w:type="dxa"/>
            <w:vAlign w:val="center"/>
          </w:tcPr>
          <w:p>
            <w:pPr>
              <w:pStyle w:val="11"/>
            </w:pPr>
            <w:r>
              <w:t>反映妇女信访代理工作开展情况</w:t>
            </w:r>
          </w:p>
        </w:tc>
        <w:tc>
          <w:tcPr>
            <w:tcW w:w="1276" w:type="dxa"/>
            <w:vAlign w:val="center"/>
          </w:tcPr>
          <w:p>
            <w:pPr>
              <w:pStyle w:val="11"/>
            </w:pPr>
            <w:r>
              <w:t>≥90%</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项目控制预算数</w:t>
            </w:r>
          </w:p>
        </w:tc>
        <w:tc>
          <w:tcPr>
            <w:tcW w:w="2891" w:type="dxa"/>
            <w:vAlign w:val="center"/>
          </w:tcPr>
          <w:p>
            <w:pPr>
              <w:pStyle w:val="11"/>
            </w:pPr>
            <w:r>
              <w:t>不超过支持经费</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妇女维权案件办理时限</w:t>
            </w:r>
          </w:p>
        </w:tc>
        <w:tc>
          <w:tcPr>
            <w:tcW w:w="2891" w:type="dxa"/>
            <w:vAlign w:val="center"/>
          </w:tcPr>
          <w:p>
            <w:pPr>
              <w:pStyle w:val="11"/>
            </w:pPr>
            <w:r>
              <w:t>反映信访案件调处情况</w:t>
            </w:r>
          </w:p>
        </w:tc>
        <w:tc>
          <w:tcPr>
            <w:tcW w:w="1276" w:type="dxa"/>
            <w:vAlign w:val="center"/>
          </w:tcPr>
          <w:p>
            <w:pPr>
              <w:pStyle w:val="11"/>
            </w:pPr>
            <w:r>
              <w:t>即时或规定时间内</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1"/>
            </w:pPr>
            <w:r>
              <w:t>经济效益指标</w:t>
            </w:r>
          </w:p>
        </w:tc>
        <w:tc>
          <w:tcPr>
            <w:tcW w:w="1332" w:type="dxa"/>
            <w:vAlign w:val="center"/>
          </w:tcPr>
          <w:p>
            <w:pPr>
              <w:pStyle w:val="11"/>
            </w:pPr>
            <w:r>
              <w:t>妇女维权课程培训人数</w:t>
            </w:r>
          </w:p>
        </w:tc>
        <w:tc>
          <w:tcPr>
            <w:tcW w:w="2891" w:type="dxa"/>
            <w:vAlign w:val="center"/>
          </w:tcPr>
          <w:p>
            <w:pPr>
              <w:pStyle w:val="11"/>
            </w:pPr>
            <w:r>
              <w:t>反映参加妇女维权培训人数</w:t>
            </w:r>
          </w:p>
        </w:tc>
        <w:tc>
          <w:tcPr>
            <w:tcW w:w="1276" w:type="dxa"/>
            <w:vAlign w:val="center"/>
          </w:tcPr>
          <w:p>
            <w:pPr>
              <w:pStyle w:val="11"/>
            </w:pPr>
            <w:r>
              <w:t>≥90%</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社会效益指标</w:t>
            </w:r>
          </w:p>
        </w:tc>
        <w:tc>
          <w:tcPr>
            <w:tcW w:w="1332" w:type="dxa"/>
            <w:vAlign w:val="center"/>
          </w:tcPr>
          <w:p>
            <w:pPr>
              <w:pStyle w:val="11"/>
            </w:pPr>
            <w:r>
              <w:t>妇女儿童受保护程度</w:t>
            </w:r>
          </w:p>
        </w:tc>
        <w:tc>
          <w:tcPr>
            <w:tcW w:w="2891" w:type="dxa"/>
            <w:vAlign w:val="center"/>
          </w:tcPr>
          <w:p>
            <w:pPr>
              <w:pStyle w:val="11"/>
            </w:pPr>
            <w:r>
              <w:t>反映通过相关部门对妇女儿童权益的保护程度</w:t>
            </w:r>
          </w:p>
        </w:tc>
        <w:tc>
          <w:tcPr>
            <w:tcW w:w="1276" w:type="dxa"/>
            <w:vAlign w:val="center"/>
          </w:tcPr>
          <w:p>
            <w:pPr>
              <w:pStyle w:val="11"/>
            </w:pPr>
            <w:r>
              <w:t>≥90%</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生态效益指标</w:t>
            </w:r>
          </w:p>
        </w:tc>
        <w:tc>
          <w:tcPr>
            <w:tcW w:w="1332" w:type="dxa"/>
            <w:vAlign w:val="center"/>
          </w:tcPr>
          <w:p>
            <w:pPr>
              <w:pStyle w:val="11"/>
            </w:pPr>
            <w:r>
              <w:t>维护社会和谐稳定</w:t>
            </w:r>
          </w:p>
        </w:tc>
        <w:tc>
          <w:tcPr>
            <w:tcW w:w="2891" w:type="dxa"/>
            <w:vAlign w:val="center"/>
          </w:tcPr>
          <w:p>
            <w:pPr>
              <w:pStyle w:val="11"/>
            </w:pPr>
            <w:r>
              <w:t>反映维护社会稳定情况</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问题线索处置率</w:t>
            </w:r>
          </w:p>
        </w:tc>
        <w:tc>
          <w:tcPr>
            <w:tcW w:w="2891" w:type="dxa"/>
            <w:vAlign w:val="center"/>
          </w:tcPr>
          <w:p>
            <w:pPr>
              <w:pStyle w:val="11"/>
            </w:pPr>
            <w:r>
              <w:t>对举报问题线索处置数量占举报数量之比</w:t>
            </w:r>
          </w:p>
        </w:tc>
        <w:tc>
          <w:tcPr>
            <w:tcW w:w="1276" w:type="dxa"/>
            <w:vAlign w:val="center"/>
          </w:tcPr>
          <w:p>
            <w:pPr>
              <w:pStyle w:val="11"/>
            </w:pPr>
            <w:r>
              <w:t>≥90%</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服务对象满意度</w:t>
            </w:r>
          </w:p>
        </w:tc>
        <w:tc>
          <w:tcPr>
            <w:tcW w:w="2891" w:type="dxa"/>
            <w:vAlign w:val="center"/>
          </w:tcPr>
          <w:p>
            <w:pPr>
              <w:pStyle w:val="11"/>
            </w:pPr>
            <w:r>
              <w:t>维权服务对象满意人数占总人数比率</w:t>
            </w:r>
          </w:p>
        </w:tc>
        <w:tc>
          <w:tcPr>
            <w:tcW w:w="1276" w:type="dxa"/>
            <w:vAlign w:val="center"/>
          </w:tcPr>
          <w:p>
            <w:pPr>
              <w:pStyle w:val="11"/>
            </w:pPr>
            <w:r>
              <w:t>≥90%</w:t>
            </w:r>
          </w:p>
        </w:tc>
        <w:tc>
          <w:tcPr>
            <w:tcW w:w="1843" w:type="dxa"/>
            <w:vAlign w:val="center"/>
          </w:tcPr>
          <w:p>
            <w:pPr>
              <w:pStyle w:val="11"/>
            </w:pPr>
            <w:r>
              <w:t>年度工作计划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8"/>
      <w:r>
        <w:rPr>
          <w:rFonts w:ascii="方正仿宋_GBK" w:hAnsi="方正仿宋_GBK" w:eastAsia="方正仿宋_GBK" w:cs="方正仿宋_GBK"/>
          <w:color w:val="000000"/>
          <w:sz w:val="28"/>
        </w:rPr>
        <w:t>5.提前下达2022年省级妇女之家建设专项资金绩效目标表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713001妇女联合会秦皇岛市山海关区妇女联合会本级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13030322P004363100014</w:t>
            </w:r>
          </w:p>
        </w:tc>
        <w:tc>
          <w:tcPr>
            <w:tcW w:w="1587" w:type="dxa"/>
            <w:vAlign w:val="center"/>
          </w:tcPr>
          <w:p>
            <w:pPr>
              <w:pStyle w:val="10"/>
            </w:pPr>
            <w:r>
              <w:t>项目名称</w:t>
            </w:r>
          </w:p>
        </w:tc>
        <w:tc>
          <w:tcPr>
            <w:tcW w:w="4422" w:type="dxa"/>
            <w:gridSpan w:val="3"/>
            <w:vAlign w:val="center"/>
          </w:tcPr>
          <w:p>
            <w:pPr>
              <w:pStyle w:val="11"/>
            </w:pPr>
            <w:r>
              <w:t>提前下达2022年省级妇女之家建设专项资金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8.50</w:t>
            </w:r>
          </w:p>
        </w:tc>
        <w:tc>
          <w:tcPr>
            <w:tcW w:w="1587" w:type="dxa"/>
            <w:vAlign w:val="center"/>
          </w:tcPr>
          <w:p>
            <w:pPr>
              <w:pStyle w:val="10"/>
            </w:pPr>
            <w:r>
              <w:t>其中：财政    资金</w:t>
            </w:r>
          </w:p>
        </w:tc>
        <w:tc>
          <w:tcPr>
            <w:tcW w:w="1304" w:type="dxa"/>
            <w:vAlign w:val="center"/>
          </w:tcPr>
          <w:p>
            <w:pPr>
              <w:pStyle w:val="11"/>
            </w:pPr>
            <w:r>
              <w:t>8.50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省级示范妇女之家建设用设备设施的购置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75%</w:t>
            </w:r>
          </w:p>
        </w:tc>
        <w:tc>
          <w:tcPr>
            <w:tcW w:w="1304" w:type="dxa"/>
            <w:vAlign w:val="center"/>
          </w:tcPr>
          <w:p>
            <w:pPr>
              <w:pStyle w:val="12"/>
            </w:pPr>
            <w:r>
              <w:t>100%</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1.通过创建妇女之家，促进妇联基层组织、阵地和队伍建设得到加强，妇联干部工作能力和服务水平得到提高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建设数量</w:t>
            </w:r>
          </w:p>
        </w:tc>
        <w:tc>
          <w:tcPr>
            <w:tcW w:w="2891" w:type="dxa"/>
            <w:vAlign w:val="center"/>
          </w:tcPr>
          <w:p>
            <w:pPr>
              <w:pStyle w:val="11"/>
            </w:pPr>
            <w:r>
              <w:t>反映基层妇联工作阵地建设情况</w:t>
            </w:r>
          </w:p>
        </w:tc>
        <w:tc>
          <w:tcPr>
            <w:tcW w:w="1276" w:type="dxa"/>
            <w:vAlign w:val="center"/>
          </w:tcPr>
          <w:p>
            <w:pPr>
              <w:pStyle w:val="11"/>
            </w:pPr>
            <w:r>
              <w:t>1个</w:t>
            </w:r>
          </w:p>
        </w:tc>
        <w:tc>
          <w:tcPr>
            <w:tcW w:w="1843" w:type="dxa"/>
            <w:vAlign w:val="center"/>
          </w:tcPr>
          <w:p>
            <w:pPr>
              <w:pStyle w:val="11"/>
            </w:pPr>
            <w:r>
              <w:t>省妇联文件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通过审核验收的数量</w:t>
            </w:r>
          </w:p>
        </w:tc>
        <w:tc>
          <w:tcPr>
            <w:tcW w:w="2891" w:type="dxa"/>
            <w:vAlign w:val="center"/>
          </w:tcPr>
          <w:p>
            <w:pPr>
              <w:pStyle w:val="11"/>
            </w:pPr>
            <w:r>
              <w:t>反映建设水平</w:t>
            </w:r>
          </w:p>
        </w:tc>
        <w:tc>
          <w:tcPr>
            <w:tcW w:w="1276" w:type="dxa"/>
            <w:vAlign w:val="center"/>
          </w:tcPr>
          <w:p>
            <w:pPr>
              <w:pStyle w:val="11"/>
            </w:pPr>
            <w:r>
              <w:t>1个</w:t>
            </w:r>
          </w:p>
        </w:tc>
        <w:tc>
          <w:tcPr>
            <w:tcW w:w="1843" w:type="dxa"/>
            <w:vAlign w:val="center"/>
          </w:tcPr>
          <w:p>
            <w:pPr>
              <w:pStyle w:val="11"/>
            </w:pPr>
            <w:r>
              <w:t>省妇联文件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完成建设任务的时间</w:t>
            </w:r>
          </w:p>
        </w:tc>
        <w:tc>
          <w:tcPr>
            <w:tcW w:w="2891" w:type="dxa"/>
            <w:vAlign w:val="center"/>
          </w:tcPr>
          <w:p>
            <w:pPr>
              <w:pStyle w:val="11"/>
            </w:pPr>
            <w:r>
              <w:t>反映建设速度</w:t>
            </w:r>
          </w:p>
        </w:tc>
        <w:tc>
          <w:tcPr>
            <w:tcW w:w="1276" w:type="dxa"/>
            <w:vAlign w:val="center"/>
          </w:tcPr>
          <w:p>
            <w:pPr>
              <w:pStyle w:val="11"/>
            </w:pPr>
            <w:r>
              <w:t>2022年9月前</w:t>
            </w:r>
          </w:p>
        </w:tc>
        <w:tc>
          <w:tcPr>
            <w:tcW w:w="1843" w:type="dxa"/>
            <w:vAlign w:val="center"/>
          </w:tcPr>
          <w:p>
            <w:pPr>
              <w:pStyle w:val="11"/>
            </w:pPr>
            <w:r>
              <w:t>省妇联文件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建设点支出资金</w:t>
            </w:r>
          </w:p>
        </w:tc>
        <w:tc>
          <w:tcPr>
            <w:tcW w:w="2891" w:type="dxa"/>
            <w:vAlign w:val="center"/>
          </w:tcPr>
          <w:p>
            <w:pPr>
              <w:pStyle w:val="11"/>
            </w:pPr>
            <w:r>
              <w:t>反映建设成本</w:t>
            </w:r>
          </w:p>
        </w:tc>
        <w:tc>
          <w:tcPr>
            <w:tcW w:w="1276" w:type="dxa"/>
            <w:vAlign w:val="center"/>
          </w:tcPr>
          <w:p>
            <w:pPr>
              <w:pStyle w:val="11"/>
            </w:pPr>
            <w:r>
              <w:t>8.5万元</w:t>
            </w:r>
          </w:p>
        </w:tc>
        <w:tc>
          <w:tcPr>
            <w:tcW w:w="1843" w:type="dxa"/>
            <w:vAlign w:val="center"/>
          </w:tcPr>
          <w:p>
            <w:pPr>
              <w:pStyle w:val="11"/>
            </w:pPr>
            <w:r>
              <w:t>省妇联文件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1"/>
            </w:pPr>
            <w:r>
              <w:t>经济效益指标</w:t>
            </w:r>
          </w:p>
        </w:tc>
        <w:tc>
          <w:tcPr>
            <w:tcW w:w="1332" w:type="dxa"/>
            <w:vAlign w:val="center"/>
          </w:tcPr>
          <w:p>
            <w:pPr>
              <w:pStyle w:val="11"/>
            </w:pPr>
            <w:r>
              <w:t>省级建设点在全区村社区覆盖率</w:t>
            </w:r>
          </w:p>
        </w:tc>
        <w:tc>
          <w:tcPr>
            <w:tcW w:w="2891" w:type="dxa"/>
            <w:vAlign w:val="center"/>
          </w:tcPr>
          <w:p>
            <w:pPr>
              <w:pStyle w:val="11"/>
            </w:pPr>
            <w:r>
              <w:t>反映建设点在全区村社区覆盖率</w:t>
            </w:r>
          </w:p>
        </w:tc>
        <w:tc>
          <w:tcPr>
            <w:tcW w:w="1276" w:type="dxa"/>
            <w:vAlign w:val="center"/>
          </w:tcPr>
          <w:p>
            <w:pPr>
              <w:pStyle w:val="11"/>
            </w:pPr>
            <w:r>
              <w:t>2%</w:t>
            </w:r>
          </w:p>
        </w:tc>
        <w:tc>
          <w:tcPr>
            <w:tcW w:w="1843" w:type="dxa"/>
            <w:vAlign w:val="center"/>
          </w:tcPr>
          <w:p>
            <w:pPr>
              <w:pStyle w:val="11"/>
            </w:pPr>
            <w:r>
              <w:t>省妇联文件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社会效益指标</w:t>
            </w:r>
          </w:p>
        </w:tc>
        <w:tc>
          <w:tcPr>
            <w:tcW w:w="1332" w:type="dxa"/>
            <w:vAlign w:val="center"/>
          </w:tcPr>
          <w:p>
            <w:pPr>
              <w:pStyle w:val="11"/>
            </w:pPr>
            <w:r>
              <w:t>社会认知度</w:t>
            </w:r>
          </w:p>
        </w:tc>
        <w:tc>
          <w:tcPr>
            <w:tcW w:w="2891" w:type="dxa"/>
            <w:vAlign w:val="center"/>
          </w:tcPr>
          <w:p>
            <w:pPr>
              <w:pStyle w:val="11"/>
            </w:pPr>
            <w:r>
              <w:t>反映社会认知度</w:t>
            </w:r>
          </w:p>
        </w:tc>
        <w:tc>
          <w:tcPr>
            <w:tcW w:w="1276" w:type="dxa"/>
            <w:vAlign w:val="center"/>
          </w:tcPr>
          <w:p>
            <w:pPr>
              <w:pStyle w:val="11"/>
            </w:pPr>
            <w:r>
              <w:t>2次</w:t>
            </w:r>
          </w:p>
        </w:tc>
        <w:tc>
          <w:tcPr>
            <w:tcW w:w="1843" w:type="dxa"/>
            <w:vAlign w:val="center"/>
          </w:tcPr>
          <w:p>
            <w:pPr>
              <w:pStyle w:val="11"/>
            </w:pPr>
            <w:r>
              <w:t>省妇联文件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生态效益指标</w:t>
            </w:r>
          </w:p>
        </w:tc>
        <w:tc>
          <w:tcPr>
            <w:tcW w:w="1332" w:type="dxa"/>
            <w:vAlign w:val="center"/>
          </w:tcPr>
          <w:p>
            <w:pPr>
              <w:pStyle w:val="11"/>
            </w:pPr>
            <w:r>
              <w:t>建设成本</w:t>
            </w:r>
          </w:p>
        </w:tc>
        <w:tc>
          <w:tcPr>
            <w:tcW w:w="2891" w:type="dxa"/>
            <w:vAlign w:val="center"/>
          </w:tcPr>
          <w:p>
            <w:pPr>
              <w:pStyle w:val="11"/>
            </w:pPr>
            <w:r>
              <w:t>反映建设资金投入发挥最大效益</w:t>
            </w:r>
          </w:p>
        </w:tc>
        <w:tc>
          <w:tcPr>
            <w:tcW w:w="1276" w:type="dxa"/>
            <w:vAlign w:val="center"/>
          </w:tcPr>
          <w:p>
            <w:pPr>
              <w:pStyle w:val="11"/>
            </w:pPr>
            <w:r>
              <w:t>≥95%</w:t>
            </w:r>
          </w:p>
        </w:tc>
        <w:tc>
          <w:tcPr>
            <w:tcW w:w="1843" w:type="dxa"/>
            <w:vAlign w:val="center"/>
          </w:tcPr>
          <w:p>
            <w:pPr>
              <w:pStyle w:val="11"/>
            </w:pPr>
            <w:r>
              <w:t>省妇联文件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组织活动和开展培训</w:t>
            </w:r>
          </w:p>
        </w:tc>
        <w:tc>
          <w:tcPr>
            <w:tcW w:w="2891" w:type="dxa"/>
            <w:vAlign w:val="center"/>
          </w:tcPr>
          <w:p>
            <w:pPr>
              <w:pStyle w:val="11"/>
            </w:pPr>
            <w:r>
              <w:t>反映发挥作用情况</w:t>
            </w:r>
          </w:p>
        </w:tc>
        <w:tc>
          <w:tcPr>
            <w:tcW w:w="1276" w:type="dxa"/>
            <w:vAlign w:val="center"/>
          </w:tcPr>
          <w:p>
            <w:pPr>
              <w:pStyle w:val="11"/>
            </w:pPr>
            <w:r>
              <w:t>≥4次</w:t>
            </w:r>
          </w:p>
        </w:tc>
        <w:tc>
          <w:tcPr>
            <w:tcW w:w="1843" w:type="dxa"/>
            <w:vAlign w:val="center"/>
          </w:tcPr>
          <w:p>
            <w:pPr>
              <w:pStyle w:val="11"/>
            </w:pPr>
            <w:r>
              <w:t>省妇联文件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基层妇女群众和妇联干部满意度</w:t>
            </w:r>
          </w:p>
        </w:tc>
        <w:tc>
          <w:tcPr>
            <w:tcW w:w="2891" w:type="dxa"/>
            <w:vAlign w:val="center"/>
          </w:tcPr>
          <w:p>
            <w:pPr>
              <w:pStyle w:val="11"/>
            </w:pPr>
            <w:r>
              <w:t>反映省级“示范妇女之家”建设水平</w:t>
            </w:r>
          </w:p>
        </w:tc>
        <w:tc>
          <w:tcPr>
            <w:tcW w:w="1276" w:type="dxa"/>
            <w:vAlign w:val="center"/>
          </w:tcPr>
          <w:p>
            <w:pPr>
              <w:pStyle w:val="11"/>
            </w:pPr>
            <w:r>
              <w:t>≥80%</w:t>
            </w:r>
          </w:p>
        </w:tc>
        <w:tc>
          <w:tcPr>
            <w:tcW w:w="1843" w:type="dxa"/>
            <w:vAlign w:val="center"/>
          </w:tcPr>
          <w:p>
            <w:pPr>
              <w:pStyle w:val="11"/>
            </w:pPr>
            <w:r>
              <w:t>省妇联文件</w:t>
            </w:r>
          </w:p>
        </w:tc>
      </w:tr>
    </w:tbl>
    <w:p/>
    <w:p>
      <w:pPr>
        <w:spacing w:after="0" w:line="600" w:lineRule="exact"/>
      </w:pPr>
      <w:bookmarkStart w:id="6" w:name="_GoBack"/>
      <w:bookmarkEnd w:id="6"/>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A531A"/>
    <w:rsid w:val="00221FE1"/>
    <w:rsid w:val="00323B43"/>
    <w:rsid w:val="003D37D8"/>
    <w:rsid w:val="00426133"/>
    <w:rsid w:val="0043106D"/>
    <w:rsid w:val="004358AB"/>
    <w:rsid w:val="00515232"/>
    <w:rsid w:val="007623F3"/>
    <w:rsid w:val="008B7726"/>
    <w:rsid w:val="009B40D6"/>
    <w:rsid w:val="00CC7222"/>
    <w:rsid w:val="00D31D50"/>
    <w:rsid w:val="00F479DE"/>
    <w:rsid w:val="24417DC2"/>
    <w:rsid w:val="7F473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字符"/>
    <w:basedOn w:val="5"/>
    <w:link w:val="3"/>
    <w:uiPriority w:val="99"/>
    <w:rPr>
      <w:rFonts w:ascii="Tahoma" w:hAnsi="Tahoma"/>
      <w:sz w:val="18"/>
      <w:szCs w:val="18"/>
    </w:rPr>
  </w:style>
  <w:style w:type="character" w:customStyle="1" w:styleId="7">
    <w:name w:val="页脚 字符"/>
    <w:basedOn w:val="5"/>
    <w:link w:val="2"/>
    <w:uiPriority w:val="99"/>
    <w:rPr>
      <w:rFonts w:ascii="Tahoma" w:hAnsi="Tahoma"/>
      <w:sz w:val="18"/>
      <w:szCs w:val="18"/>
    </w:rPr>
  </w:style>
  <w:style w:type="paragraph" w:customStyle="1" w:styleId="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2">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809</Words>
  <Characters>4617</Characters>
  <Lines>38</Lines>
  <Paragraphs>10</Paragraphs>
  <TotalTime>0</TotalTime>
  <ScaleCrop>false</ScaleCrop>
  <LinksUpToDate>false</LinksUpToDate>
  <CharactersWithSpaces>5416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83441</dc:creator>
  <cp:lastModifiedBy>83441</cp:lastModifiedBy>
  <dcterms:modified xsi:type="dcterms:W3CDTF">2022-05-18T08:36:56Z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