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pPr>
      <w:r>
        <w:rPr>
          <w:rFonts w:ascii="方正小标宋_GBK" w:hAnsi="方正小标宋_GBK" w:eastAsia="方正小标宋_GBK" w:cs="方正小标宋_GBK"/>
          <w:color w:val="000000"/>
          <w:sz w:val="52"/>
        </w:rPr>
        <w:t xml:space="preserve"> </w:t>
      </w:r>
    </w:p>
    <w:p>
      <w:pPr>
        <w:shd w:val="clear"/>
        <w:jc w:val="center"/>
      </w:pPr>
      <w:r>
        <w:rPr>
          <w:rFonts w:ascii="方正小标宋_GBK" w:hAnsi="方正小标宋_GBK" w:eastAsia="方正小标宋_GBK" w:cs="方正小标宋_GBK"/>
          <w:color w:val="000000"/>
          <w:sz w:val="52"/>
        </w:rPr>
        <w:t xml:space="preserve"> </w:t>
      </w:r>
    </w:p>
    <w:p>
      <w:pPr>
        <w:shd w:val="clear"/>
        <w:jc w:val="center"/>
      </w:pPr>
      <w:r>
        <w:rPr>
          <w:rFonts w:ascii="方正小标宋_GBK" w:hAnsi="方正小标宋_GBK" w:eastAsia="方正小标宋_GBK" w:cs="方正小标宋_GBK"/>
          <w:color w:val="000000"/>
          <w:sz w:val="52"/>
        </w:rPr>
        <w:t xml:space="preserve"> </w:t>
      </w:r>
    </w:p>
    <w:p>
      <w:pPr>
        <w:shd w:val="clear"/>
        <w:jc w:val="center"/>
      </w:pPr>
      <w:r>
        <w:rPr>
          <w:rFonts w:ascii="方正小标宋_GBK" w:hAnsi="方正小标宋_GBK" w:eastAsia="方正小标宋_GBK" w:cs="方正小标宋_GBK"/>
          <w:color w:val="000000"/>
          <w:sz w:val="72"/>
        </w:rPr>
        <w:t>住建部门</w:t>
      </w:r>
    </w:p>
    <w:p>
      <w:pPr>
        <w:shd w:val="clear"/>
        <w:jc w:val="center"/>
      </w:pPr>
      <w:r>
        <w:rPr>
          <w:rFonts w:ascii="方正小标宋_GBK" w:hAnsi="方正小标宋_GBK" w:eastAsia="方正小标宋_GBK" w:cs="方正小标宋_GBK"/>
          <w:color w:val="000000"/>
          <w:sz w:val="72"/>
        </w:rPr>
        <w:t>2022年部门预算绩效文本</w:t>
      </w:r>
    </w:p>
    <w:p>
      <w:pPr>
        <w:shd w:val="clear"/>
        <w:jc w:val="center"/>
      </w:pPr>
      <w:r>
        <w:rPr>
          <w:rFonts w:ascii="方正小标宋_GBK" w:hAnsi="方正小标宋_GBK" w:eastAsia="方正小标宋_GBK" w:cs="方正小标宋_GBK"/>
          <w:color w:val="000000"/>
          <w:sz w:val="52"/>
        </w:rPr>
        <w:t>（草案）</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宋体" w:hAnsi="宋体" w:eastAsia="宋体" w:cs="宋体"/>
          <w:color w:val="000000"/>
          <w:sz w:val="21"/>
        </w:rPr>
        <w:t xml:space="preserve"> </w:t>
      </w:r>
    </w:p>
    <w:p>
      <w:pPr>
        <w:shd w:val="clear"/>
        <w:jc w:val="center"/>
      </w:pPr>
      <w:r>
        <w:rPr>
          <w:rFonts w:ascii="方正楷体_GBK" w:hAnsi="方正楷体_GBK" w:eastAsia="方正楷体_GBK" w:cs="方正楷体_GBK"/>
          <w:b/>
          <w:color w:val="000000"/>
          <w:sz w:val="32"/>
        </w:rPr>
        <w:t>住建部门编制</w:t>
      </w:r>
    </w:p>
    <w:p>
      <w:pPr>
        <w:shd w:val="clea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hd w:val="clear"/>
        <w:jc w:val="center"/>
        <w:sectPr>
          <w:pgSz w:w="11900" w:h="16840"/>
          <w:pgMar w:top="1984" w:right="1304" w:bottom="1134" w:left="1304" w:header="720" w:footer="720" w:gutter="0"/>
          <w:cols w:space="720" w:num="1"/>
          <w:titlePg/>
        </w:sectPr>
      </w:pPr>
    </w:p>
    <w:p>
      <w:pPr>
        <w:shd w:val="clear"/>
        <w:jc w:val="center"/>
      </w:pPr>
      <w:r>
        <w:rPr>
          <w:rFonts w:ascii="方正小标宋_GBK" w:hAnsi="方正小标宋_GBK" w:eastAsia="方正小标宋_GBK" w:cs="方正小标宋_GBK"/>
          <w:color w:val="000000"/>
          <w:sz w:val="36"/>
        </w:rPr>
        <w:t xml:space="preserve"> </w:t>
      </w:r>
    </w:p>
    <w:p>
      <w:pPr>
        <w:shd w:val="clear"/>
        <w:jc w:val="center"/>
        <w:outlineLvl w:val="0"/>
      </w:pPr>
      <w:r>
        <w:rPr>
          <w:rFonts w:ascii="方正小标宋_GBK" w:hAnsi="方正小标宋_GBK" w:eastAsia="方正小标宋_GBK" w:cs="方正小标宋_GBK"/>
          <w:color w:val="000000"/>
          <w:sz w:val="36"/>
        </w:rPr>
        <w:t>目    录</w:t>
      </w:r>
    </w:p>
    <w:p>
      <w:pPr>
        <w:shd w:val="clear"/>
        <w:jc w:val="center"/>
      </w:pPr>
      <w:r>
        <w:rPr>
          <w:rFonts w:ascii="方正小标宋_GBK" w:hAnsi="方正小标宋_GBK" w:eastAsia="方正小标宋_GBK" w:cs="方正小标宋_GBK"/>
          <w:color w:val="000000"/>
          <w:sz w:val="30"/>
        </w:rPr>
        <w:t xml:space="preserve"> </w:t>
      </w:r>
    </w:p>
    <w:p>
      <w:pPr>
        <w:shd w:val="clear"/>
        <w:jc w:val="center"/>
      </w:pPr>
      <w:r>
        <w:rPr>
          <w:rFonts w:ascii="方正小标宋_GBK" w:hAnsi="方正小标宋_GBK" w:eastAsia="方正小标宋_GBK" w:cs="方正小标宋_GBK"/>
          <w:color w:val="000000"/>
          <w:sz w:val="30"/>
        </w:rPr>
        <w:t>第一部分 部门整体绩效目标</w:t>
      </w:r>
    </w:p>
    <w:p>
      <w:pPr>
        <w:pStyle w:val="15"/>
        <w:shd w:val="clear"/>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5"/>
        <w:shd w:val="clear"/>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5"/>
        <w:shd w:val="clear"/>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pPr>
        <w:shd w:val="clear"/>
      </w:pPr>
      <w:r>
        <w:fldChar w:fldCharType="end"/>
      </w:r>
    </w:p>
    <w:p>
      <w:pPr>
        <w:shd w:val="clear"/>
        <w:jc w:val="center"/>
      </w:pPr>
      <w:r>
        <w:rPr>
          <w:rFonts w:ascii="方正小标宋_GBK" w:hAnsi="方正小标宋_GBK" w:eastAsia="方正小标宋_GBK" w:cs="方正小标宋_GBK"/>
          <w:color w:val="000000"/>
          <w:sz w:val="30"/>
        </w:rPr>
        <w:t>第二部分 预算项目绩效目标</w:t>
      </w:r>
    </w:p>
    <w:p>
      <w:pPr>
        <w:pStyle w:val="15"/>
        <w:shd w:val="clear"/>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1.汽车保险费（建设局）绩效目标表</w:t>
      </w:r>
      <w:r>
        <w:tab/>
      </w:r>
      <w:r>
        <w:fldChar w:fldCharType="begin"/>
      </w:r>
      <w:r>
        <w:instrText xml:space="preserve">PAGEREF _Toc_4_4_0000000004 \h</w:instrText>
      </w:r>
      <w:r>
        <w:fldChar w:fldCharType="separate"/>
      </w:r>
      <w:r>
        <w:t>9</w:t>
      </w:r>
      <w:r>
        <w:fldChar w:fldCharType="end"/>
      </w:r>
      <w:r>
        <w:fldChar w:fldCharType="end"/>
      </w:r>
    </w:p>
    <w:p>
      <w:pPr>
        <w:pStyle w:val="15"/>
        <w:shd w:val="clear"/>
        <w:tabs>
          <w:tab w:val="right" w:leader="dot" w:pos="9282"/>
        </w:tabs>
      </w:pPr>
      <w:r>
        <w:fldChar w:fldCharType="begin"/>
      </w:r>
      <w:r>
        <w:instrText xml:space="preserve"> HYPERLINK \l "_Toc_4_4_0000000005" </w:instrText>
      </w:r>
      <w:r>
        <w:fldChar w:fldCharType="separate"/>
      </w:r>
      <w:r>
        <w:t>2.汽车保险费（人防办）绩效目标表</w:t>
      </w:r>
      <w:r>
        <w:tab/>
      </w:r>
      <w:r>
        <w:fldChar w:fldCharType="begin"/>
      </w:r>
      <w:r>
        <w:instrText xml:space="preserve">PAGEREF _Toc_4_4_0000000005 \h</w:instrText>
      </w:r>
      <w:r>
        <w:fldChar w:fldCharType="separate"/>
      </w:r>
      <w:r>
        <w:t>10</w:t>
      </w:r>
      <w:r>
        <w:fldChar w:fldCharType="end"/>
      </w:r>
      <w:r>
        <w:fldChar w:fldCharType="end"/>
      </w:r>
    </w:p>
    <w:p>
      <w:pPr>
        <w:pStyle w:val="15"/>
        <w:shd w:val="clear"/>
        <w:tabs>
          <w:tab w:val="right" w:leader="dot" w:pos="9282"/>
        </w:tabs>
      </w:pPr>
      <w:r>
        <w:fldChar w:fldCharType="begin"/>
      </w:r>
      <w:r>
        <w:instrText xml:space="preserve"> HYPERLINK \l "_Toc_4_4_0000000006" </w:instrText>
      </w:r>
      <w:r>
        <w:fldChar w:fldCharType="separate"/>
      </w:r>
      <w:r>
        <w:t>3.城乡建设工作经费绩效目标表</w:t>
      </w:r>
      <w:r>
        <w:tab/>
      </w:r>
      <w:r>
        <w:fldChar w:fldCharType="begin"/>
      </w:r>
      <w:r>
        <w:instrText xml:space="preserve">PAGEREF _Toc_4_4_0000000006 \h</w:instrText>
      </w:r>
      <w:r>
        <w:fldChar w:fldCharType="separate"/>
      </w:r>
      <w:r>
        <w:t>11</w:t>
      </w:r>
      <w:r>
        <w:fldChar w:fldCharType="end"/>
      </w:r>
      <w:r>
        <w:fldChar w:fldCharType="end"/>
      </w:r>
    </w:p>
    <w:p>
      <w:pPr>
        <w:pStyle w:val="15"/>
        <w:shd w:val="clear"/>
        <w:tabs>
          <w:tab w:val="right" w:leader="dot" w:pos="9282"/>
        </w:tabs>
      </w:pPr>
      <w:r>
        <w:fldChar w:fldCharType="begin"/>
      </w:r>
      <w:r>
        <w:instrText xml:space="preserve"> HYPERLINK \l "_Toc_4_4_0000000007" </w:instrText>
      </w:r>
      <w:r>
        <w:fldChar w:fldCharType="separate"/>
      </w:r>
      <w:r>
        <w:t>4.短波通信网建设绩效目标表</w:t>
      </w:r>
      <w:r>
        <w:tab/>
      </w:r>
      <w:r>
        <w:fldChar w:fldCharType="begin"/>
      </w:r>
      <w:r>
        <w:instrText xml:space="preserve">PAGEREF _Toc_4_4_0000000007 \h</w:instrText>
      </w:r>
      <w:r>
        <w:fldChar w:fldCharType="separate"/>
      </w:r>
      <w:r>
        <w:t>12</w:t>
      </w:r>
      <w:r>
        <w:fldChar w:fldCharType="end"/>
      </w:r>
      <w:r>
        <w:fldChar w:fldCharType="end"/>
      </w:r>
    </w:p>
    <w:p>
      <w:pPr>
        <w:pStyle w:val="15"/>
        <w:shd w:val="clear"/>
        <w:tabs>
          <w:tab w:val="right" w:leader="dot" w:pos="9282"/>
        </w:tabs>
      </w:pPr>
      <w:r>
        <w:fldChar w:fldCharType="begin"/>
      </w:r>
      <w:r>
        <w:instrText xml:space="preserve"> HYPERLINK \l "_Toc_4_4_0000000008" </w:instrText>
      </w:r>
      <w:r>
        <w:fldChar w:fldCharType="separate"/>
      </w:r>
      <w:r>
        <w:t>5.供热运营资金绩效目标表</w:t>
      </w:r>
      <w:r>
        <w:tab/>
      </w:r>
      <w:r>
        <w:fldChar w:fldCharType="begin"/>
      </w:r>
      <w:r>
        <w:instrText xml:space="preserve">PAGEREF _Toc_4_4_0000000008 \h</w:instrText>
      </w:r>
      <w:r>
        <w:fldChar w:fldCharType="separate"/>
      </w:r>
      <w:r>
        <w:t>13</w:t>
      </w:r>
      <w:r>
        <w:fldChar w:fldCharType="end"/>
      </w:r>
      <w:r>
        <w:fldChar w:fldCharType="end"/>
      </w:r>
    </w:p>
    <w:p>
      <w:pPr>
        <w:pStyle w:val="15"/>
        <w:shd w:val="clear"/>
        <w:tabs>
          <w:tab w:val="right" w:leader="dot" w:pos="9282"/>
        </w:tabs>
      </w:pPr>
      <w:r>
        <w:fldChar w:fldCharType="begin"/>
      </w:r>
      <w:r>
        <w:instrText xml:space="preserve"> HYPERLINK \l "_Toc_4_4_0000000009" </w:instrText>
      </w:r>
      <w:r>
        <w:fldChar w:fldCharType="separate"/>
      </w:r>
      <w:r>
        <w:t>6.警报器安装及维护所需经费绩效目标表</w:t>
      </w:r>
      <w:r>
        <w:tab/>
      </w:r>
      <w:r>
        <w:fldChar w:fldCharType="begin"/>
      </w:r>
      <w:r>
        <w:instrText xml:space="preserve">PAGEREF _Toc_4_4_0000000009 \h</w:instrText>
      </w:r>
      <w:r>
        <w:fldChar w:fldCharType="separate"/>
      </w:r>
      <w:r>
        <w:t>14</w:t>
      </w:r>
      <w:r>
        <w:fldChar w:fldCharType="end"/>
      </w:r>
      <w:r>
        <w:fldChar w:fldCharType="end"/>
      </w:r>
    </w:p>
    <w:p>
      <w:pPr>
        <w:pStyle w:val="15"/>
        <w:shd w:val="clear"/>
        <w:tabs>
          <w:tab w:val="right" w:leader="dot" w:pos="9282"/>
        </w:tabs>
      </w:pPr>
      <w:r>
        <w:fldChar w:fldCharType="begin"/>
      </w:r>
      <w:r>
        <w:instrText xml:space="preserve"> HYPERLINK \l "_Toc_4_4_0000000010" </w:instrText>
      </w:r>
      <w:r>
        <w:fldChar w:fldCharType="separate"/>
      </w:r>
      <w:r>
        <w:t>7.南园新区工程拆除绩效目标表</w:t>
      </w:r>
      <w:r>
        <w:tab/>
      </w:r>
      <w:r>
        <w:fldChar w:fldCharType="begin"/>
      </w:r>
      <w:r>
        <w:instrText xml:space="preserve">PAGEREF _Toc_4_4_0000000010 \h</w:instrText>
      </w:r>
      <w:r>
        <w:fldChar w:fldCharType="separate"/>
      </w:r>
      <w:r>
        <w:t>15</w:t>
      </w:r>
      <w:r>
        <w:fldChar w:fldCharType="end"/>
      </w:r>
      <w:r>
        <w:fldChar w:fldCharType="end"/>
      </w:r>
    </w:p>
    <w:p>
      <w:pPr>
        <w:pStyle w:val="15"/>
        <w:shd w:val="clear"/>
        <w:tabs>
          <w:tab w:val="right" w:leader="dot" w:pos="9282"/>
        </w:tabs>
      </w:pPr>
      <w:r>
        <w:fldChar w:fldCharType="begin"/>
      </w:r>
      <w:r>
        <w:instrText xml:space="preserve"> HYPERLINK \l "_Toc_4_4_0000000011" </w:instrText>
      </w:r>
      <w:r>
        <w:fldChar w:fldCharType="separate"/>
      </w:r>
      <w:r>
        <w:t>8.人防业务费绩效目标表</w:t>
      </w:r>
      <w:r>
        <w:tab/>
      </w:r>
      <w:r>
        <w:fldChar w:fldCharType="begin"/>
      </w:r>
      <w:r>
        <w:instrText xml:space="preserve">PAGEREF _Toc_4_4_0000000011 \h</w:instrText>
      </w:r>
      <w:r>
        <w:fldChar w:fldCharType="separate"/>
      </w:r>
      <w:r>
        <w:t>16</w:t>
      </w:r>
      <w:r>
        <w:fldChar w:fldCharType="end"/>
      </w:r>
      <w:r>
        <w:fldChar w:fldCharType="end"/>
      </w:r>
    </w:p>
    <w:p>
      <w:pPr>
        <w:pStyle w:val="15"/>
        <w:shd w:val="clear"/>
        <w:tabs>
          <w:tab w:val="right" w:leader="dot" w:pos="9282"/>
        </w:tabs>
      </w:pPr>
      <w:r>
        <w:fldChar w:fldCharType="begin"/>
      </w:r>
      <w:r>
        <w:instrText xml:space="preserve"> HYPERLINK \l "_Toc_4_4_0000000012" </w:instrText>
      </w:r>
      <w:r>
        <w:fldChar w:fldCharType="separate"/>
      </w:r>
      <w:r>
        <w:t>9.人民防空方案计划编制工作经费绩效目标表</w:t>
      </w:r>
      <w:r>
        <w:tab/>
      </w:r>
      <w:r>
        <w:fldChar w:fldCharType="begin"/>
      </w:r>
      <w:r>
        <w:instrText xml:space="preserve">PAGEREF _Toc_4_4_0000000012 \h</w:instrText>
      </w:r>
      <w:r>
        <w:fldChar w:fldCharType="separate"/>
      </w:r>
      <w:r>
        <w:t>17</w:t>
      </w:r>
      <w:r>
        <w:fldChar w:fldCharType="end"/>
      </w:r>
      <w:r>
        <w:fldChar w:fldCharType="end"/>
      </w:r>
    </w:p>
    <w:p>
      <w:pPr>
        <w:pStyle w:val="15"/>
        <w:shd w:val="clear"/>
        <w:tabs>
          <w:tab w:val="right" w:leader="dot" w:pos="9282"/>
        </w:tabs>
      </w:pPr>
      <w:r>
        <w:fldChar w:fldCharType="begin"/>
      </w:r>
      <w:r>
        <w:instrText xml:space="preserve"> HYPERLINK \l "_Toc_4_4_0000000013" </w:instrText>
      </w:r>
      <w:r>
        <w:fldChar w:fldCharType="separate"/>
      </w:r>
      <w:r>
        <w:t>10.人武部独立营院建设经费绩效目标表</w:t>
      </w:r>
      <w:r>
        <w:tab/>
      </w:r>
      <w:r>
        <w:fldChar w:fldCharType="begin"/>
      </w:r>
      <w:r>
        <w:instrText xml:space="preserve">PAGEREF _Toc_4_4_0000000013 \h</w:instrText>
      </w:r>
      <w:r>
        <w:fldChar w:fldCharType="separate"/>
      </w:r>
      <w:r>
        <w:t>18</w:t>
      </w:r>
      <w:r>
        <w:fldChar w:fldCharType="end"/>
      </w:r>
      <w:r>
        <w:fldChar w:fldCharType="end"/>
      </w:r>
    </w:p>
    <w:p>
      <w:pPr>
        <w:pStyle w:val="15"/>
        <w:shd w:val="clear"/>
        <w:tabs>
          <w:tab w:val="right" w:leader="dot" w:pos="9282"/>
        </w:tabs>
      </w:pPr>
      <w:r>
        <w:fldChar w:fldCharType="begin"/>
      </w:r>
      <w:r>
        <w:instrText xml:space="preserve"> HYPERLINK \l "_Toc_4_4_0000000014" </w:instrText>
      </w:r>
      <w:r>
        <w:fldChar w:fldCharType="separate"/>
      </w:r>
      <w:r>
        <w:t>11.小型指挥车改装、人防视频会议系统建设绩效目标表</w:t>
      </w:r>
      <w:r>
        <w:tab/>
      </w:r>
      <w:r>
        <w:fldChar w:fldCharType="begin"/>
      </w:r>
      <w:r>
        <w:instrText xml:space="preserve">PAGEREF _Toc_4_4_0000000014 \h</w:instrText>
      </w:r>
      <w:r>
        <w:fldChar w:fldCharType="separate"/>
      </w:r>
      <w:r>
        <w:t>19</w:t>
      </w:r>
      <w:r>
        <w:fldChar w:fldCharType="end"/>
      </w:r>
      <w:r>
        <w:fldChar w:fldCharType="end"/>
      </w:r>
    </w:p>
    <w:p>
      <w:pPr>
        <w:pStyle w:val="15"/>
        <w:shd w:val="clear"/>
        <w:tabs>
          <w:tab w:val="right" w:leader="dot" w:pos="9282"/>
        </w:tabs>
      </w:pPr>
      <w:r>
        <w:fldChar w:fldCharType="begin"/>
      </w:r>
      <w:r>
        <w:instrText xml:space="preserve"> HYPERLINK \l "_Toc_4_4_0000000015" </w:instrText>
      </w:r>
      <w:r>
        <w:fldChar w:fldCharType="separate"/>
      </w:r>
      <w:r>
        <w:t>12.小型指挥车改装费绩效目标表</w:t>
      </w:r>
      <w:r>
        <w:tab/>
      </w:r>
      <w:r>
        <w:fldChar w:fldCharType="begin"/>
      </w:r>
      <w:r>
        <w:instrText xml:space="preserve">PAGEREF _Toc_4_4_0000000015 \h</w:instrText>
      </w:r>
      <w:r>
        <w:fldChar w:fldCharType="separate"/>
      </w:r>
      <w:r>
        <w:t>20</w:t>
      </w:r>
      <w:r>
        <w:fldChar w:fldCharType="end"/>
      </w:r>
      <w:r>
        <w:fldChar w:fldCharType="end"/>
      </w:r>
    </w:p>
    <w:p>
      <w:pPr>
        <w:pStyle w:val="15"/>
        <w:shd w:val="clear"/>
        <w:tabs>
          <w:tab w:val="right" w:leader="dot" w:pos="9282"/>
        </w:tabs>
      </w:pPr>
      <w:r>
        <w:fldChar w:fldCharType="begin"/>
      </w:r>
      <w:r>
        <w:instrText xml:space="preserve"> HYPERLINK \l "_Toc_4_4_0000000016" </w:instrText>
      </w:r>
      <w:r>
        <w:fldChar w:fldCharType="separate"/>
      </w:r>
      <w:r>
        <w:t>13.早期人防工程维修加固绩效目标表</w:t>
      </w:r>
      <w:r>
        <w:tab/>
      </w:r>
      <w:r>
        <w:fldChar w:fldCharType="begin"/>
      </w:r>
      <w:r>
        <w:instrText xml:space="preserve">PAGEREF _Toc_4_4_0000000016 \h</w:instrText>
      </w:r>
      <w:r>
        <w:fldChar w:fldCharType="separate"/>
      </w:r>
      <w:r>
        <w:t>21</w:t>
      </w:r>
      <w:r>
        <w:fldChar w:fldCharType="end"/>
      </w:r>
      <w:r>
        <w:fldChar w:fldCharType="end"/>
      </w:r>
    </w:p>
    <w:p>
      <w:pPr>
        <w:shd w:val="clear"/>
      </w:pPr>
      <w:r>
        <w:fldChar w:fldCharType="end"/>
      </w:r>
    </w:p>
    <w:p>
      <w:pPr>
        <w:shd w:val="clear"/>
        <w:sectPr>
          <w:footerReference r:id="rId3" w:type="default"/>
          <w:footerReference r:id="rId4" w:type="even"/>
          <w:pgSz w:w="11900" w:h="16840"/>
          <w:pgMar w:top="1984" w:right="1304" w:bottom="1134" w:left="1304" w:header="720" w:footer="720" w:gutter="0"/>
          <w:pgNumType w:start="1"/>
          <w:cols w:space="720" w:num="1"/>
        </w:sectPr>
      </w:pPr>
      <w:r>
        <w:br w:type="page"/>
      </w:r>
    </w:p>
    <w:p>
      <w:pPr>
        <w:shd w:val="clear"/>
        <w:jc w:val="center"/>
      </w:pPr>
      <w:r>
        <w:rPr>
          <w:rFonts w:ascii="方正小标宋_GBK" w:hAnsi="方正小标宋_GBK" w:eastAsia="方正小标宋_GBK" w:cs="方正小标宋_GBK"/>
          <w:color w:val="000000"/>
          <w:sz w:val="44"/>
        </w:rPr>
        <w:t xml:space="preserve"> </w:t>
      </w:r>
    </w:p>
    <w:p>
      <w:pPr>
        <w:shd w:val="clear"/>
        <w:jc w:val="center"/>
      </w:pPr>
      <w:r>
        <w:rPr>
          <w:rFonts w:ascii="方正小标宋_GBK" w:hAnsi="方正小标宋_GBK" w:eastAsia="方正小标宋_GBK" w:cs="方正小标宋_GBK"/>
          <w:color w:val="000000"/>
          <w:sz w:val="44"/>
        </w:rPr>
        <w:t>第一部分</w:t>
      </w:r>
    </w:p>
    <w:p>
      <w:pPr>
        <w:shd w:val="clear"/>
        <w:jc w:val="center"/>
        <w:outlineLvl w:val="0"/>
      </w:pPr>
      <w:r>
        <w:rPr>
          <w:rFonts w:ascii="方正小标宋_GBK" w:hAnsi="方正小标宋_GBK" w:eastAsia="方正小标宋_GBK" w:cs="方正小标宋_GBK"/>
          <w:color w:val="000000"/>
          <w:sz w:val="44"/>
        </w:rPr>
        <w:t>部门整体绩效目标</w:t>
      </w:r>
    </w:p>
    <w:p>
      <w:pPr>
        <w:shd w:val="clear"/>
        <w:jc w:val="center"/>
      </w:pPr>
      <w:r>
        <w:rPr>
          <w:rFonts w:ascii="方正小标宋_GBK" w:hAnsi="方正小标宋_GBK" w:eastAsia="方正小标宋_GBK" w:cs="方正小标宋_GBK"/>
          <w:color w:val="000000"/>
          <w:sz w:val="44"/>
        </w:rPr>
        <w:t xml:space="preserve"> </w:t>
      </w:r>
    </w:p>
    <w:p>
      <w:pPr>
        <w:shd w:val="clea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5"/>
        <w:shd w:val="clear"/>
      </w:pPr>
      <w:r>
        <w:t>根据区委、区政府工作部署，深入学习习近平新时代中国特色社会主义思想，以“转作风、树形象、创品牌、促发展”活动为抓手，将党的十九大和十九届六中全会精神落实到道路工程建设、老旧小区引进物业、农村太阳能光热+清洁取暖改造售后维修、农村住房安全隐患排查整治及品质提升、大气扬尘治理、疫情防控、信访维稳、历史文化名城保护、长城文化博物馆建设等重点工作中，努力推动住房和城乡建设事业高质量发展。</w:t>
      </w:r>
    </w:p>
    <w:p>
      <w:pPr>
        <w:shd w:val="clea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6"/>
        <w:shd w:val="clear"/>
      </w:pPr>
      <w:r>
        <w:t>（一）综合事务管理</w:t>
      </w:r>
    </w:p>
    <w:p>
      <w:pPr>
        <w:pStyle w:val="6"/>
        <w:shd w:val="clear"/>
      </w:pPr>
      <w:r>
        <w:t>绩效目标：保障机关正常工作高效运转</w:t>
      </w:r>
    </w:p>
    <w:p>
      <w:pPr>
        <w:pStyle w:val="6"/>
        <w:shd w:val="clear"/>
      </w:pPr>
      <w:r>
        <w:t>绩效指标：①综合事务保障率： 综合事务按年度计划完成情况,指标值≥90%。②系统发文数：实际的发文数量，指标值≥90%。③安全性：办公自动化系统的使用是否符合安全的要求，指标值≥90%。</w:t>
      </w:r>
    </w:p>
    <w:p>
      <w:pPr>
        <w:pStyle w:val="6"/>
        <w:shd w:val="clear"/>
      </w:pPr>
      <w:r>
        <w:t>（二）信访稳定工作</w:t>
      </w:r>
    </w:p>
    <w:p>
      <w:pPr>
        <w:pStyle w:val="6"/>
        <w:shd w:val="clear"/>
      </w:pPr>
      <w:r>
        <w:t>绩效目标：保障住建系统社会稳定</w:t>
      </w:r>
    </w:p>
    <w:p>
      <w:pPr>
        <w:pStyle w:val="6"/>
        <w:shd w:val="clear"/>
      </w:pPr>
      <w:r>
        <w:t>绩效指标：①安全性：办公自动化系统的使用是否符合安全的要求，指标值≥90%。②系统发文数：实际的发文数量，指标值≥90%。③信访件办结率：信访办结数占办理数比率，指标值≥90%。</w:t>
      </w:r>
    </w:p>
    <w:p>
      <w:pPr>
        <w:pStyle w:val="6"/>
        <w:shd w:val="clear"/>
      </w:pPr>
      <w:r>
        <w:t>（三）其他交办事项</w:t>
      </w:r>
    </w:p>
    <w:p>
      <w:pPr>
        <w:pStyle w:val="6"/>
        <w:shd w:val="clear"/>
      </w:pPr>
      <w:r>
        <w:t>绩效目标：对上级主管部门及区委、区政府交予的其他临时性工作进行落实</w:t>
      </w:r>
    </w:p>
    <w:p>
      <w:pPr>
        <w:pStyle w:val="6"/>
        <w:shd w:val="clear"/>
      </w:pPr>
      <w:r>
        <w:t>绩效指标：①按时限开展相关工作的进度情况：反映工作进展情况和成果，指标值≥90%。②对上级主管部门工作的完成率：对上级主管部门交予的其他临时性工作的完成情况，指标值≥90%。③对区委，区政府工作的完成率：对区委、区政府交予的其他临时性工作的完成情况，指标值≥90%。</w:t>
      </w:r>
    </w:p>
    <w:p>
      <w:pPr>
        <w:pStyle w:val="6"/>
        <w:shd w:val="clear"/>
      </w:pPr>
      <w:r>
        <w:t>（四）执行工程建设标准</w:t>
      </w:r>
    </w:p>
    <w:p>
      <w:pPr>
        <w:pStyle w:val="6"/>
        <w:shd w:val="clear"/>
      </w:pPr>
      <w:r>
        <w:t>绩效目标：执行工程建设标准</w:t>
      </w:r>
    </w:p>
    <w:p>
      <w:pPr>
        <w:pStyle w:val="6"/>
        <w:shd w:val="clear"/>
      </w:pPr>
      <w:r>
        <w:t>绩效指标：①执行新标准合格率：反映建设工程按照新的行业标准执行情况，指标值≥90%。②工程建设市场价格更新率：已完成更新市场价格数量占年度市场价格更新的比率，指标值≥90%。③工程建设行业标准更新率：已完成更新行业标准数量占年度行业标准更新的比率，指标值≥90%。</w:t>
      </w:r>
    </w:p>
    <w:p>
      <w:pPr>
        <w:pStyle w:val="6"/>
        <w:shd w:val="clear"/>
      </w:pPr>
      <w:r>
        <w:t>（五）指导城市建设工作</w:t>
      </w:r>
    </w:p>
    <w:p>
      <w:pPr>
        <w:pStyle w:val="6"/>
        <w:shd w:val="clear"/>
      </w:pPr>
      <w:r>
        <w:t>绩效目标：指导城市建设工作</w:t>
      </w:r>
    </w:p>
    <w:p>
      <w:pPr>
        <w:pStyle w:val="6"/>
        <w:shd w:val="clear"/>
      </w:pPr>
      <w:r>
        <w:t>绩效指标：①城市建设工程开工率：年度已动工工程数量占年度计划实施工程的比率，指标值≥85%。②工程建设前期手续办理合格率：反映工程建设前期手续办理情况，指标值≥90%。③对区委，区政府工作的完成率：对区委、区政府交予的其他临时性工作的完成情况，指标值≥90%。</w:t>
      </w:r>
    </w:p>
    <w:p>
      <w:pPr>
        <w:pStyle w:val="6"/>
        <w:shd w:val="clear"/>
      </w:pPr>
      <w:r>
        <w:t>（六）房产和城市建设档案管理工作</w:t>
      </w:r>
    </w:p>
    <w:p>
      <w:pPr>
        <w:pStyle w:val="6"/>
        <w:shd w:val="clear"/>
      </w:pPr>
      <w:r>
        <w:t>绩效目标：指导房产和城市建设档案管理工作</w:t>
      </w:r>
    </w:p>
    <w:p>
      <w:pPr>
        <w:pStyle w:val="6"/>
        <w:shd w:val="clear"/>
      </w:pPr>
      <w:r>
        <w:t>绩效指标：①房产档案管理率：已完成档案归档数量占年度档案的比率，指标值≥90%。②城市建设档案管理率：已完成档案归档数量占年度档案的比率，指标值≥90%。③档案管理工作合格率：反映档案入卷完整度，指标值≥90%。</w:t>
      </w:r>
    </w:p>
    <w:p>
      <w:pPr>
        <w:pStyle w:val="6"/>
        <w:shd w:val="clear"/>
      </w:pPr>
      <w:r>
        <w:t>（七）建筑市场监督管理</w:t>
      </w:r>
    </w:p>
    <w:p>
      <w:pPr>
        <w:pStyle w:val="6"/>
        <w:shd w:val="clear"/>
      </w:pPr>
      <w:r>
        <w:t>绩效目标：建筑市场监督管理</w:t>
      </w:r>
    </w:p>
    <w:p>
      <w:pPr>
        <w:pStyle w:val="6"/>
        <w:shd w:val="clear"/>
      </w:pPr>
      <w:r>
        <w:t>绩效指标：①建设市场规范和规章制度规范率：制定建设市场规范和规章制度，指标值≥90%。②房屋建筑和市政基础设施工程招标率：已完成招标项目数量占必须招标项目的比率，指标值≥90%。③建设市场规范和规章制度执行率：监督建设市场行业执行新的规范和规章制度，指标值≥90%。</w:t>
      </w:r>
    </w:p>
    <w:p>
      <w:pPr>
        <w:pStyle w:val="6"/>
        <w:shd w:val="clear"/>
      </w:pPr>
      <w:r>
        <w:t>（八）建筑工程质量安全监管</w:t>
      </w:r>
    </w:p>
    <w:p>
      <w:pPr>
        <w:pStyle w:val="6"/>
        <w:shd w:val="clear"/>
      </w:pPr>
      <w:r>
        <w:t>绩效目标：建筑工程质量安全监管</w:t>
      </w:r>
    </w:p>
    <w:p>
      <w:pPr>
        <w:pStyle w:val="6"/>
        <w:shd w:val="clear"/>
      </w:pPr>
      <w:r>
        <w:t>绩效指标：①规章制度执行率：反映建筑工程行业规章制度执行情况，指标值≥90%。②工程质量合格率：反映建筑工程质量情况，指标值≥90%。③竣工验收合格率：反正建筑工程竣工验收情况，指标值≥90%。</w:t>
      </w:r>
    </w:p>
    <w:p>
      <w:pPr>
        <w:pStyle w:val="6"/>
        <w:shd w:val="clear"/>
      </w:pPr>
      <w:r>
        <w:t>（九）行政执法监督</w:t>
      </w:r>
    </w:p>
    <w:p>
      <w:pPr>
        <w:pStyle w:val="6"/>
        <w:shd w:val="clear"/>
      </w:pPr>
      <w:r>
        <w:t>绩效目标：行政执法监督</w:t>
      </w:r>
    </w:p>
    <w:p>
      <w:pPr>
        <w:pStyle w:val="6"/>
        <w:shd w:val="clear"/>
      </w:pPr>
      <w:r>
        <w:t>绩效指标：①市长热线办结率：反正市长热线办结情况，指标值≥90%。②住建系统行政执法政策执行率：监督住建系统执行新的政策规定，指标值≥90%。③住建系统行政执法政策考核率：考核住建系统行政执法政策，指标值≥90%。</w:t>
      </w:r>
    </w:p>
    <w:p>
      <w:pPr>
        <w:pStyle w:val="6"/>
        <w:shd w:val="clear"/>
      </w:pPr>
      <w:r>
        <w:t>（十）村镇建设</w:t>
      </w:r>
    </w:p>
    <w:p>
      <w:pPr>
        <w:pStyle w:val="6"/>
        <w:shd w:val="clear"/>
      </w:pPr>
      <w:r>
        <w:t>绩效目标：指导村镇建设</w:t>
      </w:r>
    </w:p>
    <w:p>
      <w:pPr>
        <w:pStyle w:val="6"/>
        <w:shd w:val="clear"/>
      </w:pPr>
      <w:r>
        <w:t>绩效指标：①调查摸底统计率：一户一表，指标值≥90%。②农村危房改造率：反映农村危房改造情况，指标值≥90%。③农村住房建设率：农村住房建设数占年度计划实施工程的比率，指标值≥90%。</w:t>
      </w:r>
    </w:p>
    <w:p>
      <w:pPr>
        <w:pStyle w:val="6"/>
        <w:shd w:val="clear"/>
      </w:pPr>
      <w:r>
        <w:t>（十一）建筑节能减排</w:t>
      </w:r>
    </w:p>
    <w:p>
      <w:pPr>
        <w:pStyle w:val="6"/>
        <w:shd w:val="clear"/>
      </w:pPr>
      <w:r>
        <w:t>绩效目标：推进建筑节能减排</w:t>
      </w:r>
    </w:p>
    <w:p>
      <w:pPr>
        <w:pStyle w:val="6"/>
        <w:shd w:val="clear"/>
      </w:pPr>
      <w:r>
        <w:t>绩效指标：①绿色建筑发展普及率：问卷调查，指标值≥90%。②建筑节能减排工作完成率：反映本区重大建筑节能项目工作完成情况，指标值≥90%。③建筑节能减排政策执行率：反映本区建筑节能政策、规划执行情况，指标值≥90%。</w:t>
      </w:r>
    </w:p>
    <w:p>
      <w:pPr>
        <w:pStyle w:val="6"/>
        <w:shd w:val="clear"/>
      </w:pPr>
      <w:r>
        <w:t>（十二）保障性安居工程建设管理</w:t>
      </w:r>
    </w:p>
    <w:p>
      <w:pPr>
        <w:pStyle w:val="6"/>
        <w:shd w:val="clear"/>
      </w:pPr>
      <w:r>
        <w:t>绩效目标：完成区确定的城镇保障性安居工程年度建设任务，建立健全公平、公正、公开的分配机制和优质、高效管理服务机制，保障性住房及时分配到位。</w:t>
      </w:r>
    </w:p>
    <w:p>
      <w:pPr>
        <w:pStyle w:val="6"/>
        <w:shd w:val="clear"/>
      </w:pPr>
      <w:r>
        <w:t>绩效指标：①保障性住房分配入住率：当年保障性住房实际分配入住数占年度任务量的比例，指标值≥90%。②保障性住房竣工率：当年保障性住房实际竣工数占年度任务量的比例，指标值≥90%。③保障性住房开工率：当年保障性住房实际开工数占年度任务量的比例，指标值≥90%。</w:t>
      </w:r>
    </w:p>
    <w:p>
      <w:pPr>
        <w:pStyle w:val="6"/>
        <w:shd w:val="clear"/>
      </w:pPr>
      <w:r>
        <w:t>（十三）公租房管理</w:t>
      </w:r>
    </w:p>
    <w:p>
      <w:pPr>
        <w:pStyle w:val="6"/>
        <w:shd w:val="clear"/>
      </w:pPr>
      <w:r>
        <w:t>绩效目标：保障公租房正常使用</w:t>
      </w:r>
    </w:p>
    <w:p>
      <w:pPr>
        <w:pStyle w:val="6"/>
        <w:shd w:val="clear"/>
      </w:pPr>
      <w:r>
        <w:t>绩效指标：①满意率：满意人数占满意调查的目标人数比例，指标值≥90%。②租金收缴率：租金收缴额占应收租金额，指标值≥90%。③办结率：办理数占申请数比率，指标值≥90%。</w:t>
      </w:r>
    </w:p>
    <w:p>
      <w:pPr>
        <w:pStyle w:val="6"/>
        <w:shd w:val="clear"/>
      </w:pPr>
      <w:r>
        <w:t>（十四）房地产市场的监督管理和监测运行</w:t>
      </w:r>
    </w:p>
    <w:p>
      <w:pPr>
        <w:pStyle w:val="6"/>
        <w:shd w:val="clear"/>
      </w:pPr>
      <w:r>
        <w:t>绩效目标：做好房地产市场的监督管理，监测房地产市场运行</w:t>
      </w:r>
    </w:p>
    <w:p>
      <w:pPr>
        <w:pStyle w:val="6"/>
        <w:shd w:val="clear"/>
      </w:pPr>
      <w:r>
        <w:t>绩效指标：①完成率：完成数占任务数比率，指标值≥90%。②满意率：满意的人数占参与满意度调查的目标人数的比例，指标值≥90%。③办结率：办理数占申请数比率，指标值≥90%。</w:t>
      </w:r>
    </w:p>
    <w:p>
      <w:pPr>
        <w:pStyle w:val="6"/>
        <w:shd w:val="clear"/>
      </w:pPr>
      <w:r>
        <w:t>（十五）公产房屋维修管理</w:t>
      </w:r>
    </w:p>
    <w:p>
      <w:pPr>
        <w:pStyle w:val="6"/>
        <w:shd w:val="clear"/>
      </w:pPr>
      <w:r>
        <w:t>绩效目标：保障公产房屋的正常使用</w:t>
      </w:r>
    </w:p>
    <w:p>
      <w:pPr>
        <w:pStyle w:val="6"/>
        <w:shd w:val="clear"/>
      </w:pPr>
      <w:r>
        <w:t>绩效指标：①满意率：满意的人数占参与满意度调查的目标人数的比例，指标值≥90%。②租金收缴率：租金收缴额占应收租金额，指标值≥90%。③办结率：办理数占申请数比率，指标值≥90%。</w:t>
      </w:r>
    </w:p>
    <w:p>
      <w:pPr>
        <w:pStyle w:val="6"/>
        <w:shd w:val="clear"/>
      </w:pPr>
      <w:r>
        <w:t>（十六）小区物业管理指导工作</w:t>
      </w:r>
    </w:p>
    <w:p>
      <w:pPr>
        <w:pStyle w:val="6"/>
        <w:shd w:val="clear"/>
      </w:pPr>
      <w:r>
        <w:t>绩效目标：做好全区物业企业的管理和审批工作</w:t>
      </w:r>
    </w:p>
    <w:p>
      <w:pPr>
        <w:pStyle w:val="6"/>
        <w:shd w:val="clear"/>
      </w:pPr>
      <w:r>
        <w:t>绩效指标：①群众满意度：满意的人数占参与满意度调查的目标人数，指标值≥90%。②完成率：完成数占任务数比率，指标值≥90%。③办结率：办理数占申请数比率，指标值≥90%。</w:t>
      </w:r>
    </w:p>
    <w:p>
      <w:pPr>
        <w:pStyle w:val="6"/>
        <w:shd w:val="clear"/>
      </w:pPr>
      <w:r>
        <w:t>（十七）老旧小区改造工作</w:t>
      </w:r>
    </w:p>
    <w:p>
      <w:pPr>
        <w:pStyle w:val="6"/>
        <w:shd w:val="clear"/>
      </w:pPr>
      <w:r>
        <w:t>绩效目标：做好老旧小区改造工作</w:t>
      </w:r>
    </w:p>
    <w:p>
      <w:pPr>
        <w:pStyle w:val="6"/>
        <w:shd w:val="clear"/>
      </w:pPr>
      <w:r>
        <w:t>绩效指标：①项目完成率：完成数占任务数比率，指标值≥90%。②群众满意度：满意的人数占参与满意度调查的目标人数，指标值≥90%。③竣工率：当年实际竣工数占年度任务量的比例，指标值≥90%。</w:t>
      </w:r>
    </w:p>
    <w:p>
      <w:pPr>
        <w:pStyle w:val="6"/>
        <w:shd w:val="clear"/>
      </w:pPr>
      <w:r>
        <w:t>（十八）工程建设</w:t>
      </w:r>
    </w:p>
    <w:p>
      <w:pPr>
        <w:pStyle w:val="6"/>
        <w:shd w:val="clear"/>
      </w:pPr>
      <w:r>
        <w:t>绩效目标：结合民用建筑修建防空地下室工作进一步规范；单建式人防工程数量不断增加，城市地下空间开发兼顾人防要求得到有效落实</w:t>
      </w:r>
    </w:p>
    <w:p>
      <w:pPr>
        <w:pStyle w:val="6"/>
        <w:shd w:val="clear"/>
      </w:pPr>
      <w:r>
        <w:t>绩效指标：①防空地下室验收合格率：反映防空地下室建设验收情况，指标值≥95%。②单建工程验收合格率：反映市本级建设的直属人防工程验收情况，指标值≥95%。③工程验收合格率：反映区本级建设的直属人防工程验收情况，指标值≥95%。</w:t>
      </w:r>
    </w:p>
    <w:p>
      <w:pPr>
        <w:pStyle w:val="6"/>
        <w:shd w:val="clear"/>
      </w:pPr>
      <w:r>
        <w:t>（十九）工程质量管理与使用维护</w:t>
      </w:r>
    </w:p>
    <w:p>
      <w:pPr>
        <w:pStyle w:val="6"/>
        <w:shd w:val="clear"/>
      </w:pPr>
      <w:r>
        <w:t>绩效目标：人防工程结构、设施设备完好，防护设备安装到位、符合质量规范，防汛防火措施落实到位，保持良好使用状态；利用人防工程建设地下车库、地下过街通道，开设防灾避难、避暑纳凉等场所，更好服务改善民生</w:t>
      </w:r>
    </w:p>
    <w:p>
      <w:pPr>
        <w:pStyle w:val="6"/>
        <w:shd w:val="clear"/>
      </w:pPr>
      <w:r>
        <w:t>绩效指标：①质量监督覆盖率：反映人防工程质量监督覆盖情况，加强人防工程的质量监督水平，提高人防工程的建设水平，指标值≥95%。②质量监督覆盖率：反映人防工程质量监督覆盖情况，加强人防工程的质量监督水平，提高人防工程的建设水平，指标值≥95%。③人防工程维护率：反映对区本级公共人防工程进行维护情况，确保人防工程运行正常，指标值≥95%。</w:t>
      </w:r>
    </w:p>
    <w:p>
      <w:pPr>
        <w:pStyle w:val="6"/>
        <w:shd w:val="clear"/>
      </w:pPr>
      <w:r>
        <w:t>（二十）人防信息化建设及运维管理</w:t>
      </w:r>
    </w:p>
    <w:p>
      <w:pPr>
        <w:pStyle w:val="6"/>
        <w:shd w:val="clear"/>
      </w:pPr>
      <w:r>
        <w:t>绩效目标：保障人防通信畅通，人防预警报知、指挥控制、防护救援、综合保障能力不断提高；确保设施设备运转正常，软硬件更新及时，信息传输畅通。</w:t>
      </w:r>
    </w:p>
    <w:p>
      <w:pPr>
        <w:pStyle w:val="6"/>
        <w:shd w:val="clear"/>
      </w:pPr>
      <w:r>
        <w:t>绩效指标：①警报音响覆盖率：反映提高人防警报音响的覆盖面积，扩大预警报知能力情况，指标值≥95%。②数据及时更新率：反映相关数据更新情况，指标值≥95%。③通信手段完好率：反映各种人防通信手段的传输效果，指标值≥90%。</w:t>
      </w:r>
    </w:p>
    <w:p>
      <w:pPr>
        <w:pStyle w:val="6"/>
        <w:shd w:val="clear"/>
      </w:pPr>
      <w:r>
        <w:t>（二十一）防空组织指挥和专业队伍建设</w:t>
      </w:r>
    </w:p>
    <w:p>
      <w:pPr>
        <w:pStyle w:val="6"/>
        <w:shd w:val="clear"/>
      </w:pPr>
      <w:r>
        <w:t>绩效目标：预案和保障计划及时修订，重要经济目标防护建设监督到位。专业队组织健全、整组训练及时。人防直属救援队伍应急救援能力不断提高。人防队伍应战应急能力进一步提升；训练基地等建设扎实开展，日常运行良好。</w:t>
      </w:r>
    </w:p>
    <w:p>
      <w:pPr>
        <w:pStyle w:val="6"/>
        <w:shd w:val="clear"/>
      </w:pPr>
      <w:r>
        <w:t>绩效指标：①人员参训合格率：反映参训人员参训效果，指标值≥90%。②人员演练参训率：反映各种人防队伍的人员参训参演情况，指标值≥90%。③应急能力提高率：反映人防队伍的人员应急能力提高情况，指标值≥95%。</w:t>
      </w:r>
    </w:p>
    <w:p>
      <w:pPr>
        <w:pStyle w:val="6"/>
        <w:shd w:val="clear"/>
      </w:pPr>
      <w:r>
        <w:t>（二十二）指挥场所（平台）和疏散地域（基地）建设与使用维护</w:t>
      </w:r>
    </w:p>
    <w:p>
      <w:pPr>
        <w:pStyle w:val="6"/>
        <w:shd w:val="clear"/>
      </w:pPr>
      <w:r>
        <w:t>绩效目标：指挥场所（平台）和疏散地域（基地）要素齐全、设施配套、功能完善，组织指挥能力、遂行任务能力明显提升。</w:t>
      </w:r>
    </w:p>
    <w:p>
      <w:pPr>
        <w:pStyle w:val="6"/>
        <w:shd w:val="clear"/>
      </w:pPr>
      <w:r>
        <w:t>绩效指标：①指挥场所和疏散地域设施设备配套率：反映对市本级指挥场所和疏散地域的配套设施情况，确保指挥场所和疏散地域功能完善，指标值≥95%。②指挥场所和疏散地域设施设备配套率：反映对市本级指挥场所（平台）和疏散地域（基地）管理维护情况，确保各类指挥场所（平台）和疏散地域（基地）正常运行，指标值≥95%。③人防工程维护率：反映对区本级公共人防工程进行维护情况，确保人防工程运行正常，指标值≥95%。</w:t>
      </w:r>
    </w:p>
    <w:p>
      <w:pPr>
        <w:pStyle w:val="6"/>
        <w:shd w:val="clear"/>
      </w:pPr>
      <w:r>
        <w:t>（二十三）应战应急防灾保障</w:t>
      </w:r>
    </w:p>
    <w:p>
      <w:pPr>
        <w:pStyle w:val="6"/>
        <w:shd w:val="clear"/>
      </w:pPr>
      <w:r>
        <w:t>绩效目标：提高整体应战应急防灾保障能力</w:t>
      </w:r>
    </w:p>
    <w:p>
      <w:pPr>
        <w:pStyle w:val="6"/>
        <w:shd w:val="clear"/>
      </w:pPr>
      <w:r>
        <w:t>绩效指标：①应战应急防灾保障满意率：反映完成应战应急任务取得的效果，指标值≥95%。②应战应急防灾保障人员、装备损伤：反映执行上级应战应急任务时人员损伤和装备损坏情况，指标值=0%。③应战应急防灾保障完成率：反映对上级下达的应战应急防灾保障任务及时完成情况，指标值≥95%。</w:t>
      </w:r>
    </w:p>
    <w:p>
      <w:pPr>
        <w:pStyle w:val="6"/>
        <w:shd w:val="clear"/>
      </w:pPr>
      <w:r>
        <w:t>（二十四）综合业务管理</w:t>
      </w:r>
    </w:p>
    <w:p>
      <w:pPr>
        <w:pStyle w:val="6"/>
        <w:shd w:val="clear"/>
      </w:pPr>
      <w:r>
        <w:t>绩效目标：规划、计划不断科学完善，法规制度进一步健全。防空防灾宣传教育成效进一步巩固深化，人防建设成果充分展现，人防建设环境进一步优化，群众防空防灾应急处置能力进一步提高；人防宣教基地（场所）运行良好。</w:t>
      </w:r>
    </w:p>
    <w:p>
      <w:pPr>
        <w:pStyle w:val="6"/>
        <w:shd w:val="clear"/>
      </w:pPr>
      <w:r>
        <w:t>绩效指标：①法制建设任务完成率：反映人防建设法规政策不断完善情况，指标值≥90%。②初级中学人防宣传教育覆盖率：反映人防宣传在初级中学的覆盖面情况，指标值≥90%。③人防经费到位率：反映市本级人防经费实际保障管理情况，指标值≥95%。</w:t>
      </w:r>
    </w:p>
    <w:p>
      <w:pPr>
        <w:pStyle w:val="6"/>
        <w:shd w:val="clear"/>
      </w:pPr>
      <w:r>
        <w:t>（二十五）综合事务管理</w:t>
      </w:r>
    </w:p>
    <w:p>
      <w:pPr>
        <w:pStyle w:val="6"/>
        <w:shd w:val="clear"/>
      </w:pPr>
      <w:r>
        <w:t>绩效目标：人防干部职工队伍政治、业务素质进一步提升，机关“准军事化”水平不断提高。</w:t>
      </w:r>
    </w:p>
    <w:p>
      <w:pPr>
        <w:pStyle w:val="6"/>
        <w:shd w:val="clear"/>
      </w:pPr>
      <w:r>
        <w:t>绩效指标：①干部培训优秀率：反映提高人防干部的培训效果，促进人防干部政治业务素质提升情况，指标值≥90%。②人员参训率：反映应训人员参训情况，指标值≥90%。③训练任务执行率：反映训练任务安排落实情况，指标值≥90%。</w:t>
      </w:r>
    </w:p>
    <w:p>
      <w:pPr>
        <w:shd w:val="clea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7"/>
        <w:shd w:val="clear"/>
      </w:pPr>
      <w:r>
        <w:t>（一）完善制度建设。制定完善预算绩效管理制度、资金管理办法、工作保障制度等，为全年预算绩效目标的实现奠定制度基础。</w:t>
      </w:r>
    </w:p>
    <w:p>
      <w:pPr>
        <w:pStyle w:val="7"/>
        <w:shd w:val="clear"/>
      </w:pPr>
      <w:r>
        <w:t>（二）加强支出管理。通过优化支出结构、编细编实预算、加快履行政府采购手续、尽快启动项目、及时支付资金、6月底前细化代编预算、按规定及时下达资金等多种措施，确保支出进度达标。</w:t>
      </w:r>
    </w:p>
    <w:p>
      <w:pPr>
        <w:pStyle w:val="7"/>
        <w:shd w:val="clear"/>
      </w:pPr>
      <w:r>
        <w:t>（三）加强绩效运行监控。按要求开展绩效运行监控，发现问题及时采取措施，确保绩效目标如期保质实现。</w:t>
      </w:r>
    </w:p>
    <w:p>
      <w:pPr>
        <w:pStyle w:val="7"/>
        <w:shd w:val="clear"/>
      </w:pPr>
      <w:r>
        <w:t>（四）做好绩效自评。按要求开展上年度部门预算绩效自评和重点评价工作，对评价中发现的问题及时整改，调整优化支出结构，提高财政资金使用效益。</w:t>
      </w:r>
    </w:p>
    <w:p>
      <w:pPr>
        <w:pStyle w:val="7"/>
        <w:shd w:val="clear"/>
      </w:pPr>
      <w:r>
        <w:t>（五）规范财务资产管理。完善财务管理制度，严格审批程序，加强固定资产登记、使用和报废处置管理，做到支出合理，物尽其用。</w:t>
      </w:r>
    </w:p>
    <w:p>
      <w:pPr>
        <w:pStyle w:val="7"/>
        <w:shd w:val="clear"/>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7"/>
        <w:shd w:val="clea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7"/>
        <w:shd w:val="clear"/>
      </w:pPr>
      <w:r>
        <w:t>（八）强化工作责任，狠抓完成落实。做到一把手亲自抓，分管领导具体负责，明确责任任务，层层抓好落实。成立工作专班，细化分解到人，建立和实施项目督察制度和进度月报制度，确保各项工作按时按质完成。以党建活动为抓手，充分调动发挥好全局职工的积极性、创造性，树立大局观念、团队意识，强化督查考评，及时协调解决工作中遇到的矛盾和问题，严格考核奖惩，促使工作作风和各项工作的全面落实，形成干就干好，精益求精、你追我赶，誓争一流的工作氛围。</w:t>
      </w:r>
    </w:p>
    <w:p>
      <w:pPr>
        <w:pStyle w:val="7"/>
        <w:shd w:val="clear"/>
      </w:pPr>
      <w:r>
        <w:t>（九）坚持科学管理，构建和谐社会。坚持以人为本，将依法办事贯穿执法管理全过程，使“为民”成为城市管理实现科学发展的工作导向和根本要求，积极顺应群众的新要求、新期盼，做到“两个转变”，即主动从管制思维向服务思维转变，从人治思维向法治思维转变，使执法为民的理念深深扎根。</w:t>
      </w:r>
    </w:p>
    <w:p>
      <w:pPr>
        <w:shd w:val="clea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hd w:val="clear"/>
        <w:jc w:val="center"/>
      </w:pPr>
      <w:r>
        <w:rPr>
          <w:rFonts w:ascii="方正小标宋_GBK" w:hAnsi="方正小标宋_GBK" w:eastAsia="方正小标宋_GBK" w:cs="方正小标宋_GBK"/>
          <w:color w:val="000000"/>
          <w:sz w:val="52"/>
        </w:rPr>
        <w:t xml:space="preserve"> </w:t>
      </w:r>
    </w:p>
    <w:p>
      <w:pPr>
        <w:shd w:val="clear"/>
        <w:jc w:val="center"/>
      </w:pPr>
      <w:r>
        <w:rPr>
          <w:rFonts w:ascii="方正小标宋_GBK" w:hAnsi="方正小标宋_GBK" w:eastAsia="方正小标宋_GBK" w:cs="方正小标宋_GBK"/>
          <w:color w:val="000000"/>
          <w:sz w:val="52"/>
        </w:rPr>
        <w:t xml:space="preserve"> </w:t>
      </w:r>
    </w:p>
    <w:p>
      <w:pPr>
        <w:shd w:val="clear"/>
        <w:jc w:val="center"/>
      </w:pPr>
      <w:r>
        <w:rPr>
          <w:rFonts w:ascii="方正小标宋_GBK" w:hAnsi="方正小标宋_GBK" w:eastAsia="方正小标宋_GBK" w:cs="方正小标宋_GBK"/>
          <w:color w:val="000000"/>
          <w:sz w:val="52"/>
        </w:rPr>
        <w:t xml:space="preserve"> </w:t>
      </w:r>
    </w:p>
    <w:p>
      <w:pPr>
        <w:shd w:val="clear"/>
        <w:jc w:val="center"/>
      </w:pPr>
      <w:r>
        <w:rPr>
          <w:rFonts w:ascii="方正小标宋_GBK" w:hAnsi="方正小标宋_GBK" w:eastAsia="方正小标宋_GBK" w:cs="方正小标宋_GBK"/>
          <w:color w:val="000000"/>
          <w:sz w:val="44"/>
        </w:rPr>
        <w:t>第二部分</w:t>
      </w:r>
    </w:p>
    <w:p>
      <w:pPr>
        <w:shd w:val="clear"/>
        <w:jc w:val="center"/>
      </w:pPr>
      <w:r>
        <w:rPr>
          <w:rFonts w:ascii="方正小标宋_GBK" w:hAnsi="方正小标宋_GBK" w:eastAsia="方正小标宋_GBK" w:cs="方正小标宋_GBK"/>
          <w:color w:val="000000"/>
          <w:sz w:val="44"/>
        </w:rPr>
        <w:t xml:space="preserve"> </w:t>
      </w:r>
    </w:p>
    <w:p>
      <w:pPr>
        <w:shd w:val="clear"/>
        <w:jc w:val="center"/>
        <w:outlineLvl w:val="0"/>
      </w:pPr>
      <w:r>
        <w:rPr>
          <w:rFonts w:ascii="方正小标宋_GBK" w:hAnsi="方正小标宋_GBK" w:eastAsia="方正小标宋_GBK" w:cs="方正小标宋_GBK"/>
          <w:color w:val="000000"/>
          <w:sz w:val="44"/>
        </w:rPr>
        <w:t>预算项目绩效目标</w:t>
      </w:r>
    </w:p>
    <w:p>
      <w:pPr>
        <w:shd w:val="clea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3" w:name="_Toc_4_4_0000000004"/>
      <w:r>
        <w:rPr>
          <w:rFonts w:ascii="方正仿宋_GBK" w:hAnsi="方正仿宋_GBK" w:eastAsia="方正仿宋_GBK" w:cs="方正仿宋_GBK"/>
          <w:color w:val="000000"/>
          <w:sz w:val="28"/>
        </w:rPr>
        <w:t>1.汽车保险费（建设局）绩效目标表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13030322P00421010007W</w:t>
            </w:r>
          </w:p>
        </w:tc>
        <w:tc>
          <w:tcPr>
            <w:tcW w:w="1587" w:type="dxa"/>
            <w:vAlign w:val="center"/>
          </w:tcPr>
          <w:p>
            <w:pPr>
              <w:pStyle w:val="11"/>
              <w:shd w:val="clear"/>
            </w:pPr>
            <w:r>
              <w:t>项目名称</w:t>
            </w:r>
          </w:p>
        </w:tc>
        <w:tc>
          <w:tcPr>
            <w:tcW w:w="4422" w:type="dxa"/>
            <w:gridSpan w:val="3"/>
            <w:vAlign w:val="center"/>
          </w:tcPr>
          <w:p>
            <w:pPr>
              <w:pStyle w:val="10"/>
              <w:shd w:val="clear"/>
            </w:pPr>
            <w:r>
              <w:t>汽车保险费（建设局）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0.40</w:t>
            </w:r>
          </w:p>
        </w:tc>
        <w:tc>
          <w:tcPr>
            <w:tcW w:w="1587" w:type="dxa"/>
            <w:vAlign w:val="center"/>
          </w:tcPr>
          <w:p>
            <w:pPr>
              <w:pStyle w:val="11"/>
              <w:shd w:val="clear"/>
            </w:pPr>
            <w:r>
              <w:t>其中：财政    资金</w:t>
            </w:r>
          </w:p>
        </w:tc>
        <w:tc>
          <w:tcPr>
            <w:tcW w:w="1304" w:type="dxa"/>
            <w:vAlign w:val="center"/>
          </w:tcPr>
          <w:p>
            <w:pPr>
              <w:pStyle w:val="10"/>
              <w:shd w:val="clear"/>
            </w:pPr>
            <w:r>
              <w:t>0.40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用于我单位汽车保险费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shd w:val="clear" w:color="auto" w:fill="auto"/>
            <w:vAlign w:val="center"/>
          </w:tcPr>
          <w:p>
            <w:pPr>
              <w:pStyle w:val="12"/>
              <w:shd w:val="clea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shd w:val="clear"/>
                <w:lang w:val="en-US" w:eastAsia="zh-CN" w:bidi="ar-SA"/>
              </w:rPr>
              <w:t>0</w:t>
            </w:r>
            <w:r>
              <w:rPr>
                <w:rFonts w:ascii="方正书宋_GBK" w:hAnsi="方正书宋_GBK" w:eastAsia="方正书宋_GBK" w:cs="方正书宋_GBK"/>
                <w:sz w:val="21"/>
                <w:szCs w:val="24"/>
                <w:shd w:val="clear"/>
                <w:lang w:val="en-US" w:eastAsia="uk-UA" w:bidi="ar-SA"/>
              </w:rPr>
              <w:t>%</w:t>
            </w:r>
          </w:p>
        </w:tc>
        <w:tc>
          <w:tcPr>
            <w:tcW w:w="1587" w:type="dxa"/>
            <w:shd w:val="clear" w:color="auto" w:fill="auto"/>
            <w:vAlign w:val="center"/>
          </w:tcPr>
          <w:p>
            <w:pPr>
              <w:pStyle w:val="12"/>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1304" w:type="dxa"/>
            <w:shd w:val="clear" w:color="auto" w:fill="auto"/>
            <w:vAlign w:val="center"/>
          </w:tcPr>
          <w:p>
            <w:pPr>
              <w:pStyle w:val="12"/>
              <w:shd w:val="clea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w:t>
            </w:r>
            <w:r>
              <w:rPr>
                <w:rFonts w:ascii="方正书宋_GBK" w:hAnsi="方正书宋_GBK" w:eastAsia="方正书宋_GBK" w:cs="方正书宋_GBK"/>
                <w:sz w:val="21"/>
                <w:szCs w:val="24"/>
                <w:lang w:val="en-US" w:eastAsia="uk-UA" w:bidi="ar-SA"/>
              </w:rPr>
              <w:t>%</w:t>
            </w:r>
          </w:p>
        </w:tc>
        <w:tc>
          <w:tcPr>
            <w:tcW w:w="3118" w:type="dxa"/>
            <w:gridSpan w:val="2"/>
            <w:shd w:val="clear" w:color="auto" w:fill="auto"/>
            <w:vAlign w:val="center"/>
          </w:tcPr>
          <w:p>
            <w:pPr>
              <w:pStyle w:val="12"/>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rPr>
                <w:rFonts w:hint="eastAsia"/>
                <w:lang w:eastAsia="zh-CN"/>
              </w:rPr>
            </w:pPr>
            <w:r>
              <w:rPr>
                <w:rFonts w:hint="eastAsia"/>
                <w:lang w:val="en-US" w:eastAsia="zh-CN"/>
              </w:rPr>
              <w:t>1</w:t>
            </w:r>
            <w:r>
              <w:t>.保障</w:t>
            </w:r>
            <w:r>
              <w:rPr>
                <w:rFonts w:hint="eastAsia"/>
                <w:lang w:eastAsia="zh-CN"/>
              </w:rPr>
              <w:t>单位正常工作高效运转</w:t>
            </w:r>
          </w:p>
          <w:p>
            <w:pPr>
              <w:pStyle w:val="10"/>
              <w:shd w:val="clear"/>
              <w:rPr>
                <w:rFonts w:hint="eastAsia"/>
                <w:lang w:eastAsia="zh-CN"/>
              </w:rPr>
            </w:pPr>
            <w:r>
              <w:rPr>
                <w:rFonts w:hint="eastAsia"/>
                <w:lang w:val="en-US" w:eastAsia="zh-CN"/>
              </w:rPr>
              <w:t>2</w:t>
            </w:r>
            <w:r>
              <w:t>.保障单位车辆安全</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确保无故障车上路行驶</w:t>
            </w:r>
          </w:p>
        </w:tc>
        <w:tc>
          <w:tcPr>
            <w:tcW w:w="2891" w:type="dxa"/>
            <w:vAlign w:val="center"/>
          </w:tcPr>
          <w:p>
            <w:pPr>
              <w:pStyle w:val="10"/>
              <w:shd w:val="clear"/>
            </w:pPr>
            <w:r>
              <w:t>确保无故障车上路行驶</w:t>
            </w:r>
          </w:p>
        </w:tc>
        <w:tc>
          <w:tcPr>
            <w:tcW w:w="1276" w:type="dxa"/>
            <w:vAlign w:val="center"/>
          </w:tcPr>
          <w:p>
            <w:pPr>
              <w:pStyle w:val="10"/>
              <w:shd w:val="clear"/>
            </w:pPr>
            <w:r>
              <w:t>≥95%</w:t>
            </w:r>
          </w:p>
          <w:p>
            <w:pPr>
              <w:pStyle w:val="10"/>
              <w:shd w:val="clear"/>
            </w:pP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车辆安全运行率</w:t>
            </w:r>
          </w:p>
        </w:tc>
        <w:tc>
          <w:tcPr>
            <w:tcW w:w="2891" w:type="dxa"/>
            <w:vAlign w:val="center"/>
          </w:tcPr>
          <w:p>
            <w:pPr>
              <w:pStyle w:val="10"/>
              <w:shd w:val="clear"/>
            </w:pPr>
            <w:r>
              <w:t>车辆安全运行率</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车辆维修时效性</w:t>
            </w:r>
          </w:p>
        </w:tc>
        <w:tc>
          <w:tcPr>
            <w:tcW w:w="2891" w:type="dxa"/>
            <w:vAlign w:val="center"/>
          </w:tcPr>
          <w:p>
            <w:pPr>
              <w:pStyle w:val="10"/>
              <w:shd w:val="clear"/>
            </w:pPr>
            <w:r>
              <w:t>保障车辆维修时效性</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公务用车运行维护经费控制率</w:t>
            </w:r>
          </w:p>
        </w:tc>
        <w:tc>
          <w:tcPr>
            <w:tcW w:w="2891" w:type="dxa"/>
            <w:vAlign w:val="center"/>
          </w:tcPr>
          <w:p>
            <w:pPr>
              <w:pStyle w:val="10"/>
              <w:shd w:val="clear"/>
            </w:pPr>
            <w:r>
              <w:t>公务用车运行维护经费控制率</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持续保障车驾管管理</w:t>
            </w:r>
          </w:p>
        </w:tc>
        <w:tc>
          <w:tcPr>
            <w:tcW w:w="2891" w:type="dxa"/>
            <w:vAlign w:val="center"/>
          </w:tcPr>
          <w:p>
            <w:pPr>
              <w:pStyle w:val="10"/>
              <w:shd w:val="clear"/>
            </w:pPr>
            <w:r>
              <w:t>持续保障车驾管管理正常进行</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满意率</w:t>
            </w:r>
          </w:p>
        </w:tc>
        <w:tc>
          <w:tcPr>
            <w:tcW w:w="2891" w:type="dxa"/>
            <w:vAlign w:val="center"/>
          </w:tcPr>
          <w:p>
            <w:pPr>
              <w:pStyle w:val="10"/>
              <w:shd w:val="clear"/>
            </w:pPr>
            <w:r>
              <w:t>满意率</w:t>
            </w:r>
          </w:p>
        </w:tc>
        <w:tc>
          <w:tcPr>
            <w:tcW w:w="1276" w:type="dxa"/>
            <w:vAlign w:val="center"/>
          </w:tcPr>
          <w:p>
            <w:pPr>
              <w:pStyle w:val="10"/>
              <w:shd w:val="clear"/>
            </w:pPr>
            <w:r>
              <w:t>≥95%</w:t>
            </w:r>
          </w:p>
        </w:tc>
        <w:tc>
          <w:tcPr>
            <w:tcW w:w="1843" w:type="dxa"/>
            <w:vAlign w:val="center"/>
          </w:tcPr>
          <w:p>
            <w:pPr>
              <w:pStyle w:val="10"/>
              <w:shd w:val="clear"/>
              <w:rPr>
                <w:rFonts w:hint="eastAsia" w:eastAsia="方正书宋_GBK"/>
                <w:lang w:eastAsia="zh-CN"/>
              </w:rPr>
            </w:pPr>
            <w:r>
              <w:rPr>
                <w:rFonts w:hint="eastAsia"/>
                <w:shd w:val="clear"/>
                <w:lang w:eastAsia="zh-CN"/>
              </w:rPr>
              <w:t>单位人员对车辆满足需求程度的评价</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4" w:name="_Toc_4_4_0000000005"/>
      <w:r>
        <w:rPr>
          <w:rFonts w:ascii="方正仿宋_GBK" w:hAnsi="方正仿宋_GBK" w:eastAsia="方正仿宋_GBK" w:cs="方正仿宋_GBK"/>
          <w:color w:val="000000"/>
          <w:sz w:val="28"/>
        </w:rPr>
        <w:t>2.汽车保险费（人防办）绩效目标表</w:t>
      </w:r>
      <w:bookmarkEnd w:id="4"/>
    </w:p>
    <w:tbl>
      <w:tblPr>
        <w:tblStyle w:val="2"/>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13030322P00421010005M</w:t>
            </w:r>
          </w:p>
        </w:tc>
        <w:tc>
          <w:tcPr>
            <w:tcW w:w="1587" w:type="dxa"/>
            <w:vAlign w:val="center"/>
          </w:tcPr>
          <w:p>
            <w:pPr>
              <w:pStyle w:val="11"/>
              <w:shd w:val="clear"/>
            </w:pPr>
            <w:r>
              <w:t>项目名称</w:t>
            </w:r>
          </w:p>
        </w:tc>
        <w:tc>
          <w:tcPr>
            <w:tcW w:w="4423" w:type="dxa"/>
            <w:gridSpan w:val="3"/>
            <w:vAlign w:val="center"/>
          </w:tcPr>
          <w:p>
            <w:pPr>
              <w:pStyle w:val="10"/>
              <w:shd w:val="clear"/>
            </w:pPr>
            <w:r>
              <w:t>汽车保险费（人防办）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0.40</w:t>
            </w:r>
          </w:p>
        </w:tc>
        <w:tc>
          <w:tcPr>
            <w:tcW w:w="1587" w:type="dxa"/>
            <w:vAlign w:val="center"/>
          </w:tcPr>
          <w:p>
            <w:pPr>
              <w:pStyle w:val="11"/>
              <w:shd w:val="clear"/>
            </w:pPr>
            <w:r>
              <w:t>其中：财政    资金</w:t>
            </w:r>
          </w:p>
        </w:tc>
        <w:tc>
          <w:tcPr>
            <w:tcW w:w="1304" w:type="dxa"/>
            <w:vAlign w:val="center"/>
          </w:tcPr>
          <w:p>
            <w:pPr>
              <w:pStyle w:val="10"/>
              <w:shd w:val="clear"/>
            </w:pPr>
            <w:r>
              <w:t>0.40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8" w:type="dxa"/>
            <w:gridSpan w:val="6"/>
            <w:vAlign w:val="center"/>
          </w:tcPr>
          <w:p>
            <w:pPr>
              <w:pStyle w:val="10"/>
              <w:shd w:val="clear"/>
            </w:pPr>
            <w:r>
              <w:t>用于我单位汽车保险费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9"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shd w:val="clear" w:color="auto" w:fill="auto"/>
            <w:vAlign w:val="center"/>
          </w:tcPr>
          <w:p>
            <w:pPr>
              <w:pStyle w:val="12"/>
              <w:shd w:val="clear"/>
            </w:pPr>
            <w:r>
              <w:rPr>
                <w:rFonts w:hint="eastAsia"/>
                <w:lang w:val="en-US" w:eastAsia="zh-CN"/>
              </w:rPr>
              <w:t>0</w:t>
            </w:r>
            <w:r>
              <w:t>%</w:t>
            </w:r>
          </w:p>
        </w:tc>
        <w:tc>
          <w:tcPr>
            <w:tcW w:w="1587" w:type="dxa"/>
            <w:shd w:val="clear" w:color="auto" w:fill="auto"/>
            <w:vAlign w:val="center"/>
          </w:tcPr>
          <w:p>
            <w:pPr>
              <w:pStyle w:val="12"/>
              <w:shd w:val="clear"/>
            </w:pPr>
            <w:r>
              <w:t>0%</w:t>
            </w:r>
          </w:p>
        </w:tc>
        <w:tc>
          <w:tcPr>
            <w:tcW w:w="1304" w:type="dxa"/>
            <w:shd w:val="clear" w:color="auto" w:fill="auto"/>
            <w:vAlign w:val="center"/>
          </w:tcPr>
          <w:p>
            <w:pPr>
              <w:pStyle w:val="12"/>
              <w:shd w:val="clear"/>
            </w:pPr>
            <w:r>
              <w:rPr>
                <w:rFonts w:hint="eastAsia"/>
                <w:lang w:val="en-US" w:eastAsia="zh-CN"/>
              </w:rPr>
              <w:t>100</w:t>
            </w:r>
            <w:r>
              <w:t>%</w:t>
            </w:r>
          </w:p>
        </w:tc>
        <w:tc>
          <w:tcPr>
            <w:tcW w:w="3119" w:type="dxa"/>
            <w:gridSpan w:val="2"/>
            <w:shd w:val="clear" w:color="auto" w:fill="auto"/>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8" w:type="dxa"/>
            <w:gridSpan w:val="6"/>
            <w:shd w:val="clear" w:color="auto" w:fill="auto"/>
            <w:vAlign w:val="center"/>
          </w:tcPr>
          <w:p>
            <w:pPr>
              <w:pStyle w:val="10"/>
              <w:shd w:val="clear"/>
              <w:rPr>
                <w:rFonts w:hint="eastAsia"/>
                <w:shd w:val="clear"/>
                <w:lang w:eastAsia="zh-CN"/>
              </w:rPr>
            </w:pPr>
            <w:r>
              <w:rPr>
                <w:rFonts w:hint="eastAsia"/>
                <w:shd w:val="clear"/>
                <w:lang w:val="en-US" w:eastAsia="zh-CN"/>
              </w:rPr>
              <w:t>1</w:t>
            </w:r>
            <w:r>
              <w:rPr>
                <w:rFonts w:hint="eastAsia"/>
                <w:shd w:val="clear"/>
                <w:lang w:eastAsia="zh-CN"/>
              </w:rPr>
              <w:t>.保障单位正常工作高效运转</w:t>
            </w:r>
          </w:p>
          <w:p>
            <w:pPr>
              <w:pStyle w:val="10"/>
              <w:shd w:val="clear"/>
              <w:rPr>
                <w:rFonts w:hint="eastAsia"/>
                <w:shd w:val="clear"/>
                <w:lang w:eastAsia="zh-CN"/>
              </w:rPr>
            </w:pPr>
            <w:r>
              <w:rPr>
                <w:rFonts w:hint="eastAsia"/>
                <w:shd w:val="clear"/>
                <w:lang w:val="en-US" w:eastAsia="zh-CN"/>
              </w:rPr>
              <w:t>2</w:t>
            </w:r>
            <w:r>
              <w:rPr>
                <w:rFonts w:hint="eastAsia"/>
                <w:shd w:val="clear"/>
                <w:lang w:eastAsia="zh-CN"/>
              </w:rPr>
              <w:t>.保障单位车辆安全</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确保无故障车上路行驶</w:t>
            </w:r>
          </w:p>
        </w:tc>
        <w:tc>
          <w:tcPr>
            <w:tcW w:w="2891" w:type="dxa"/>
            <w:vAlign w:val="center"/>
          </w:tcPr>
          <w:p>
            <w:pPr>
              <w:pStyle w:val="10"/>
              <w:shd w:val="clear"/>
            </w:pPr>
            <w:r>
              <w:t>确保无故障车上路行驶</w:t>
            </w:r>
          </w:p>
        </w:tc>
        <w:tc>
          <w:tcPr>
            <w:tcW w:w="1276" w:type="dxa"/>
            <w:vAlign w:val="center"/>
          </w:tcPr>
          <w:p>
            <w:pPr>
              <w:pStyle w:val="10"/>
              <w:shd w:val="clear"/>
            </w:pPr>
            <w:r>
              <w:t>≥95%</w:t>
            </w:r>
          </w:p>
          <w:p>
            <w:pPr>
              <w:pStyle w:val="10"/>
              <w:shd w:val="clear"/>
            </w:pP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车辆安全运行率</w:t>
            </w:r>
          </w:p>
        </w:tc>
        <w:tc>
          <w:tcPr>
            <w:tcW w:w="2891" w:type="dxa"/>
            <w:vAlign w:val="center"/>
          </w:tcPr>
          <w:p>
            <w:pPr>
              <w:pStyle w:val="10"/>
              <w:shd w:val="clear"/>
            </w:pPr>
            <w:r>
              <w:t>车辆安全运行率</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车辆维修时效性</w:t>
            </w:r>
          </w:p>
        </w:tc>
        <w:tc>
          <w:tcPr>
            <w:tcW w:w="2891" w:type="dxa"/>
            <w:vAlign w:val="center"/>
          </w:tcPr>
          <w:p>
            <w:pPr>
              <w:pStyle w:val="10"/>
              <w:shd w:val="clear"/>
            </w:pPr>
            <w:r>
              <w:t>保障车辆维修时效性</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公务用车运行维护经费控制率</w:t>
            </w:r>
          </w:p>
        </w:tc>
        <w:tc>
          <w:tcPr>
            <w:tcW w:w="2891" w:type="dxa"/>
            <w:vAlign w:val="center"/>
          </w:tcPr>
          <w:p>
            <w:pPr>
              <w:pStyle w:val="10"/>
              <w:shd w:val="clear"/>
            </w:pPr>
            <w:r>
              <w:t>公务用车运行维护经费控制率</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持续保障车驾管管理</w:t>
            </w:r>
          </w:p>
        </w:tc>
        <w:tc>
          <w:tcPr>
            <w:tcW w:w="2891" w:type="dxa"/>
            <w:vAlign w:val="center"/>
          </w:tcPr>
          <w:p>
            <w:pPr>
              <w:pStyle w:val="10"/>
              <w:shd w:val="clear"/>
            </w:pPr>
            <w:r>
              <w:t>持续保障车驾管管理正常进行</w:t>
            </w:r>
          </w:p>
        </w:tc>
        <w:tc>
          <w:tcPr>
            <w:tcW w:w="1276" w:type="dxa"/>
            <w:vAlign w:val="center"/>
          </w:tcPr>
          <w:p>
            <w:pPr>
              <w:pStyle w:val="10"/>
              <w:shd w:val="clear"/>
            </w:pPr>
            <w: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满意率</w:t>
            </w:r>
          </w:p>
        </w:tc>
        <w:tc>
          <w:tcPr>
            <w:tcW w:w="2891" w:type="dxa"/>
            <w:vAlign w:val="center"/>
          </w:tcPr>
          <w:p>
            <w:pPr>
              <w:pStyle w:val="10"/>
              <w:shd w:val="clear"/>
            </w:pPr>
            <w:r>
              <w:t>满意率</w:t>
            </w:r>
          </w:p>
        </w:tc>
        <w:tc>
          <w:tcPr>
            <w:tcW w:w="1276" w:type="dxa"/>
            <w:vAlign w:val="center"/>
          </w:tcPr>
          <w:p>
            <w:pPr>
              <w:pStyle w:val="10"/>
              <w:shd w:val="clear"/>
            </w:pPr>
            <w:r>
              <w:t>≥95%</w:t>
            </w:r>
          </w:p>
        </w:tc>
        <w:tc>
          <w:tcPr>
            <w:tcW w:w="1843" w:type="dxa"/>
            <w:vAlign w:val="center"/>
          </w:tcPr>
          <w:p>
            <w:pPr>
              <w:pStyle w:val="10"/>
              <w:shd w:val="clear"/>
            </w:pPr>
            <w:r>
              <w:rPr>
                <w:rFonts w:hint="eastAsia"/>
                <w:shd w:val="clear"/>
                <w:lang w:eastAsia="zh-CN"/>
              </w:rPr>
              <w:t>单位人员对车辆满足需求程度的评价</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5" w:name="_Toc_4_4_0000000006"/>
      <w:r>
        <w:rPr>
          <w:rFonts w:ascii="方正仿宋_GBK" w:hAnsi="方正仿宋_GBK" w:eastAsia="方正仿宋_GBK" w:cs="方正仿宋_GBK"/>
          <w:color w:val="000000"/>
          <w:sz w:val="28"/>
        </w:rPr>
        <w:t>3.城乡建设工作经费绩效目标表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13030322P00425510009D</w:t>
            </w:r>
          </w:p>
        </w:tc>
        <w:tc>
          <w:tcPr>
            <w:tcW w:w="1587" w:type="dxa"/>
            <w:vAlign w:val="center"/>
          </w:tcPr>
          <w:p>
            <w:pPr>
              <w:pStyle w:val="11"/>
              <w:shd w:val="clear"/>
            </w:pPr>
            <w:r>
              <w:t>项目名称</w:t>
            </w:r>
          </w:p>
        </w:tc>
        <w:tc>
          <w:tcPr>
            <w:tcW w:w="4422" w:type="dxa"/>
            <w:gridSpan w:val="3"/>
            <w:vAlign w:val="center"/>
          </w:tcPr>
          <w:p>
            <w:pPr>
              <w:pStyle w:val="10"/>
              <w:shd w:val="clear"/>
            </w:pPr>
            <w:r>
              <w:t>城乡建设工作经费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20.00</w:t>
            </w:r>
          </w:p>
        </w:tc>
        <w:tc>
          <w:tcPr>
            <w:tcW w:w="1587" w:type="dxa"/>
            <w:vAlign w:val="center"/>
          </w:tcPr>
          <w:p>
            <w:pPr>
              <w:pStyle w:val="11"/>
              <w:shd w:val="clear"/>
            </w:pPr>
            <w:r>
              <w:t>其中：财政    资金</w:t>
            </w:r>
          </w:p>
        </w:tc>
        <w:tc>
          <w:tcPr>
            <w:tcW w:w="1304" w:type="dxa"/>
            <w:vAlign w:val="center"/>
          </w:tcPr>
          <w:p>
            <w:pPr>
              <w:pStyle w:val="10"/>
              <w:shd w:val="clear"/>
            </w:pPr>
            <w:r>
              <w:t>20.00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用于支付城乡建设工作相关经费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rPr>
                <w:shd w:val="clear"/>
              </w:rPr>
            </w:pPr>
            <w:r>
              <w:t>1</w:t>
            </w:r>
            <w:r>
              <w:rPr>
                <w:shd w:val="clear"/>
              </w:rPr>
              <w:t>.保障</w:t>
            </w:r>
            <w:r>
              <w:rPr>
                <w:rFonts w:hint="eastAsia"/>
                <w:shd w:val="clear"/>
                <w:lang w:eastAsia="zh-CN"/>
              </w:rPr>
              <w:t>城乡建设工作</w:t>
            </w:r>
            <w:r>
              <w:rPr>
                <w:shd w:val="clear"/>
              </w:rPr>
              <w:t>正常开展</w:t>
            </w:r>
          </w:p>
          <w:p>
            <w:pPr>
              <w:pStyle w:val="10"/>
              <w:shd w:val="clear"/>
            </w:pPr>
            <w:r>
              <w:t>2.保障单位正常运转</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项目完成情况</w:t>
            </w:r>
          </w:p>
        </w:tc>
        <w:tc>
          <w:tcPr>
            <w:tcW w:w="2891" w:type="dxa"/>
            <w:vAlign w:val="center"/>
          </w:tcPr>
          <w:p>
            <w:pPr>
              <w:pStyle w:val="10"/>
              <w:shd w:val="clear"/>
            </w:pPr>
            <w:r>
              <w:t>项目完成情况</w:t>
            </w:r>
          </w:p>
        </w:tc>
        <w:tc>
          <w:tcPr>
            <w:tcW w:w="1276" w:type="dxa"/>
            <w:vAlign w:val="center"/>
          </w:tcPr>
          <w:p>
            <w:pPr>
              <w:pStyle w:val="10"/>
              <w:shd w:val="clear"/>
              <w:rPr>
                <w:rFonts w:hint="eastAsia" w:eastAsia="方正书宋_GBK"/>
                <w:lang w:eastAsia="zh-CN"/>
              </w:rPr>
            </w:pPr>
            <w:r>
              <w:t>≥95</w:t>
            </w:r>
            <w:r>
              <w:rPr>
                <w:rFonts w:hint="eastAsia"/>
                <w:shd w:val="clear"/>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综合业务管理工作完成率</w:t>
            </w:r>
          </w:p>
        </w:tc>
        <w:tc>
          <w:tcPr>
            <w:tcW w:w="2891" w:type="dxa"/>
            <w:vAlign w:val="center"/>
          </w:tcPr>
          <w:p>
            <w:pPr>
              <w:pStyle w:val="10"/>
              <w:shd w:val="clear"/>
            </w:pPr>
            <w:r>
              <w:t>综合业务管理工作完成率</w:t>
            </w:r>
          </w:p>
        </w:tc>
        <w:tc>
          <w:tcPr>
            <w:tcW w:w="1276" w:type="dxa"/>
            <w:vAlign w:val="center"/>
          </w:tcPr>
          <w:p>
            <w:pPr>
              <w:pStyle w:val="10"/>
              <w:shd w:val="clear"/>
              <w:rPr>
                <w:rFonts w:hint="eastAsia" w:eastAsia="方正书宋_GBK"/>
                <w:lang w:eastAsia="zh-CN"/>
              </w:rPr>
            </w:pPr>
            <w:r>
              <w:rPr>
                <w:shd w:val="clear"/>
              </w:rPr>
              <w:t>≥95</w:t>
            </w:r>
            <w:r>
              <w:rPr>
                <w:rFonts w:hint="eastAsia"/>
                <w:shd w:val="clear"/>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eastAsia="方正书宋_GBK"/>
                <w:lang w:eastAsia="zh-CN"/>
              </w:rPr>
            </w:pPr>
            <w:r>
              <w:rPr>
                <w:shd w:val="clear"/>
              </w:rPr>
              <w:t>≥95</w:t>
            </w:r>
            <w:r>
              <w:rPr>
                <w:rFonts w:hint="eastAsia"/>
                <w:shd w:val="clear"/>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shd w:val="clear" w:color="auto" w:fill="auto"/>
            <w:vAlign w:val="center"/>
          </w:tcPr>
          <w:p>
            <w:pPr>
              <w:pStyle w:val="10"/>
              <w:shd w:val="clear"/>
            </w:pPr>
            <w:r>
              <w:t>不超过财政支持经费</w:t>
            </w:r>
          </w:p>
        </w:tc>
        <w:tc>
          <w:tcPr>
            <w:tcW w:w="1276" w:type="dxa"/>
            <w:shd w:val="clear" w:color="auto" w:fill="auto"/>
            <w:vAlign w:val="center"/>
          </w:tcPr>
          <w:p>
            <w:pPr>
              <w:pStyle w:val="10"/>
              <w:shd w:val="clear"/>
              <w:rPr>
                <w:rFonts w:hint="default" w:eastAsia="宋体"/>
                <w:lang w:val="en-US" w:eastAsia="zh-CN"/>
              </w:rPr>
            </w:pPr>
            <w:r>
              <w:rPr>
                <w:rFonts w:hint="eastAsia" w:ascii="宋体" w:hAnsi="宋体" w:eastAsia="宋体" w:cs="宋体"/>
                <w:shd w:val="clear"/>
              </w:rPr>
              <w:t>≦</w:t>
            </w:r>
            <w:r>
              <w:rPr>
                <w:rFonts w:hint="eastAsia" w:eastAsia="宋体"/>
                <w:shd w:val="clear"/>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rPr>
                <w:rFonts w:hint="eastAsia" w:eastAsia="方正书宋_GBK"/>
                <w:lang w:eastAsia="zh-CN"/>
              </w:rPr>
            </w:pPr>
            <w:r>
              <w:t>长期较好地满足工作需求</w:t>
            </w:r>
            <w:r>
              <w:rPr>
                <w:rFonts w:hint="eastAsia"/>
                <w:lang w:eastAsia="zh-CN"/>
              </w:rPr>
              <w:t>率</w:t>
            </w:r>
          </w:p>
        </w:tc>
        <w:tc>
          <w:tcPr>
            <w:tcW w:w="1276" w:type="dxa"/>
            <w:vAlign w:val="center"/>
          </w:tcPr>
          <w:p>
            <w:pPr>
              <w:pStyle w:val="10"/>
              <w:shd w:val="clear"/>
            </w:pPr>
            <w:r>
              <w:rPr>
                <w:shd w:val="clear"/>
              </w:rPr>
              <w:t>≥95</w:t>
            </w:r>
            <w:r>
              <w:rPr>
                <w:rFonts w:hint="eastAsia"/>
                <w:shd w:val="clear"/>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vAlign w:val="center"/>
          </w:tcPr>
          <w:p>
            <w:pPr>
              <w:pStyle w:val="10"/>
              <w:shd w:val="clear"/>
              <w:rPr>
                <w:rFonts w:hint="eastAsia" w:eastAsia="方正书宋_GBK"/>
                <w:lang w:eastAsia="zh-CN"/>
              </w:rPr>
            </w:pPr>
            <w:r>
              <w:t>≥</w:t>
            </w:r>
            <w:r>
              <w:rPr>
                <w:shd w:val="clear"/>
              </w:rPr>
              <w:t>95</w:t>
            </w:r>
            <w:r>
              <w:rPr>
                <w:rFonts w:hint="eastAsia"/>
                <w:shd w:val="clear"/>
                <w:lang w:val="en-US" w:eastAsia="zh-CN"/>
              </w:rPr>
              <w:t>%</w:t>
            </w:r>
          </w:p>
        </w:tc>
        <w:tc>
          <w:tcPr>
            <w:tcW w:w="1843" w:type="dxa"/>
            <w:vAlign w:val="center"/>
          </w:tcPr>
          <w:p>
            <w:pPr>
              <w:pStyle w:val="10"/>
              <w:shd w:val="clear"/>
              <w:rPr>
                <w:rFonts w:hint="eastAsia" w:eastAsia="方正书宋_GBK"/>
                <w:lang w:eastAsia="zh-CN"/>
              </w:rPr>
            </w:pPr>
            <w:r>
              <w:rPr>
                <w:rFonts w:hint="eastAsia"/>
                <w:shd w:val="clear"/>
                <w:lang w:eastAsia="zh-CN"/>
              </w:rPr>
              <w:t>根据单位工作人员采访调查</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6" w:name="_Toc_4_4_0000000007"/>
      <w:r>
        <w:rPr>
          <w:rFonts w:ascii="方正仿宋_GBK" w:hAnsi="方正仿宋_GBK" w:eastAsia="方正仿宋_GBK" w:cs="方正仿宋_GBK"/>
          <w:color w:val="000000"/>
          <w:sz w:val="28"/>
        </w:rPr>
        <w:t>4.短波通信网建设绩效目标表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13030322P00425510020L</w:t>
            </w:r>
          </w:p>
        </w:tc>
        <w:tc>
          <w:tcPr>
            <w:tcW w:w="1587" w:type="dxa"/>
            <w:vAlign w:val="center"/>
          </w:tcPr>
          <w:p>
            <w:pPr>
              <w:pStyle w:val="11"/>
              <w:shd w:val="clear"/>
            </w:pPr>
            <w:r>
              <w:t>项目名称</w:t>
            </w:r>
          </w:p>
        </w:tc>
        <w:tc>
          <w:tcPr>
            <w:tcW w:w="4422" w:type="dxa"/>
            <w:gridSpan w:val="3"/>
            <w:vAlign w:val="center"/>
          </w:tcPr>
          <w:p>
            <w:pPr>
              <w:pStyle w:val="10"/>
              <w:shd w:val="clear"/>
            </w:pPr>
            <w:r>
              <w:t>短波通信网建设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33.00</w:t>
            </w:r>
          </w:p>
        </w:tc>
        <w:tc>
          <w:tcPr>
            <w:tcW w:w="1587" w:type="dxa"/>
            <w:vAlign w:val="center"/>
          </w:tcPr>
          <w:p>
            <w:pPr>
              <w:pStyle w:val="11"/>
              <w:shd w:val="clear"/>
            </w:pPr>
            <w:r>
              <w:t>其中：财政    资金</w:t>
            </w:r>
          </w:p>
        </w:tc>
        <w:tc>
          <w:tcPr>
            <w:tcW w:w="1304" w:type="dxa"/>
            <w:vAlign w:val="center"/>
          </w:tcPr>
          <w:p>
            <w:pPr>
              <w:pStyle w:val="10"/>
              <w:shd w:val="clear"/>
            </w:pPr>
            <w:r>
              <w:t>33.00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用于支付短波通信网建设相关经费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1.保障短波通信网建设工作正常开展</w:t>
            </w:r>
          </w:p>
          <w:p>
            <w:pPr>
              <w:pStyle w:val="10"/>
              <w:shd w:val="clear"/>
            </w:pPr>
            <w:r>
              <w:t>2.保障短波通信网建设建设工作完成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eastAsia="方正书宋_GBK"/>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设备及时更新率</w:t>
            </w:r>
          </w:p>
        </w:tc>
        <w:tc>
          <w:tcPr>
            <w:tcW w:w="2891" w:type="dxa"/>
            <w:vAlign w:val="center"/>
          </w:tcPr>
          <w:p>
            <w:pPr>
              <w:pStyle w:val="10"/>
              <w:shd w:val="clear"/>
            </w:pPr>
            <w:r>
              <w:t>设备及时更新率</w:t>
            </w:r>
          </w:p>
        </w:tc>
        <w:tc>
          <w:tcPr>
            <w:tcW w:w="1276" w:type="dxa"/>
            <w:vAlign w:val="center"/>
          </w:tcPr>
          <w:p>
            <w:pPr>
              <w:pStyle w:val="10"/>
              <w:shd w:val="clear"/>
              <w:rPr>
                <w:rFonts w:hint="eastAsia" w:eastAsia="方正书宋_GBK"/>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eastAsia="方正书宋_GBK"/>
                <w:lang w:eastAsia="zh-CN"/>
              </w:rPr>
            </w:pPr>
            <w:r>
              <w:rPr>
                <w:rFonts w:hint="eastAsia"/>
                <w:lang w:val="en-US" w:eastAsia="zh-CN"/>
              </w:rP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rPr>
                <w:rFonts w:hint="eastAsia"/>
                <w:lang w:val="en-US" w:eastAsia="zh-CN"/>
              </w:rPr>
            </w:pPr>
            <w:r>
              <w:rPr>
                <w:rFonts w:hint="eastAsia"/>
                <w:lang w:val="en-US" w:eastAsia="zh-CN"/>
              </w:rPr>
              <w:t>不超过财政支持经费</w:t>
            </w:r>
          </w:p>
        </w:tc>
        <w:tc>
          <w:tcPr>
            <w:tcW w:w="1276" w:type="dxa"/>
            <w:vAlign w:val="center"/>
          </w:tcPr>
          <w:p>
            <w:pPr>
              <w:pStyle w:val="10"/>
              <w:shd w:val="clear"/>
              <w:rPr>
                <w:rFonts w:hint="eastAsia"/>
                <w:lang w:val="en-US" w:eastAsia="zh-CN"/>
              </w:rPr>
            </w:pPr>
            <w:r>
              <w:rPr>
                <w:rFonts w:hint="eastAsia"/>
                <w:lang w:val="en-US" w:eastAsia="zh-CN"/>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长期较好地满足工作需求</w:t>
            </w:r>
          </w:p>
        </w:tc>
        <w:tc>
          <w:tcPr>
            <w:tcW w:w="1276" w:type="dxa"/>
            <w:vAlign w:val="center"/>
          </w:tcPr>
          <w:p>
            <w:pPr>
              <w:pStyle w:val="10"/>
              <w:shd w:val="clear"/>
              <w:rPr>
                <w:rFonts w:hint="eastAsia"/>
                <w:lang w:val="en-US" w:eastAsia="zh-CN"/>
              </w:rPr>
            </w:pPr>
            <w:r>
              <w:rPr>
                <w:rFonts w:hint="eastAsia"/>
                <w:lang w:val="en-US" w:eastAsia="zh-CN"/>
              </w:rPr>
              <w:t>≥95%</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shd w:val="clear" w:color="auto" w:fill="auto"/>
            <w:vAlign w:val="center"/>
          </w:tcPr>
          <w:p>
            <w:pPr>
              <w:pStyle w:val="10"/>
              <w:shd w:val="clear"/>
              <w:rPr>
                <w:rFonts w:hint="eastAsia"/>
                <w:lang w:val="en-US" w:eastAsia="zh-CN"/>
              </w:rPr>
            </w:pPr>
            <w:r>
              <w:rPr>
                <w:rFonts w:hint="eastAsia"/>
                <w:lang w:val="en-US" w:eastAsia="zh-CN"/>
              </w:rPr>
              <w:t>≥95%</w:t>
            </w:r>
          </w:p>
        </w:tc>
        <w:tc>
          <w:tcPr>
            <w:tcW w:w="1843" w:type="dxa"/>
            <w:shd w:val="clear" w:color="auto" w:fill="auto"/>
            <w:vAlign w:val="center"/>
          </w:tcPr>
          <w:p>
            <w:pPr>
              <w:pStyle w:val="10"/>
              <w:shd w:val="clear"/>
            </w:pPr>
            <w:r>
              <w:rPr>
                <w:rFonts w:hint="eastAsia"/>
                <w:shd w:val="clear"/>
                <w:lang w:eastAsia="zh-CN"/>
              </w:rPr>
              <w:t>根</w:t>
            </w:r>
            <w:r>
              <w:rPr>
                <w:rFonts w:hint="eastAsia"/>
                <w:shd w:val="clear"/>
                <w:lang w:val="en-US" w:eastAsia="zh-CN"/>
              </w:rPr>
              <w:t>据</w:t>
            </w:r>
            <w:r>
              <w:rPr>
                <w:rFonts w:hint="eastAsia"/>
                <w:lang w:val="en-US" w:eastAsia="zh-CN"/>
              </w:rPr>
              <w:t>单位工</w:t>
            </w:r>
            <w:r>
              <w:rPr>
                <w:rFonts w:hint="eastAsia"/>
                <w:lang w:eastAsia="zh-CN"/>
              </w:rPr>
              <w:t>作人员采访调查</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7" w:name="_Toc_4_4_0000000008"/>
      <w:r>
        <w:rPr>
          <w:rFonts w:ascii="方正仿宋_GBK" w:hAnsi="方正仿宋_GBK" w:eastAsia="方正仿宋_GBK" w:cs="方正仿宋_GBK"/>
          <w:color w:val="000000"/>
          <w:sz w:val="28"/>
        </w:rPr>
        <w:t>5.供热运营资金绩效目标表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13030322P00425610056K</w:t>
            </w:r>
          </w:p>
        </w:tc>
        <w:tc>
          <w:tcPr>
            <w:tcW w:w="1587" w:type="dxa"/>
            <w:vAlign w:val="center"/>
          </w:tcPr>
          <w:p>
            <w:pPr>
              <w:pStyle w:val="11"/>
              <w:shd w:val="clear"/>
            </w:pPr>
            <w:r>
              <w:t>项目名称</w:t>
            </w:r>
          </w:p>
        </w:tc>
        <w:tc>
          <w:tcPr>
            <w:tcW w:w="4422" w:type="dxa"/>
            <w:gridSpan w:val="3"/>
            <w:vAlign w:val="center"/>
          </w:tcPr>
          <w:p>
            <w:pPr>
              <w:pStyle w:val="10"/>
              <w:shd w:val="clear"/>
            </w:pPr>
            <w:r>
              <w:t>供热运营资金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3417.00</w:t>
            </w:r>
          </w:p>
        </w:tc>
        <w:tc>
          <w:tcPr>
            <w:tcW w:w="1587" w:type="dxa"/>
            <w:vAlign w:val="center"/>
          </w:tcPr>
          <w:p>
            <w:pPr>
              <w:pStyle w:val="11"/>
              <w:shd w:val="clear"/>
            </w:pPr>
            <w:r>
              <w:t>其中：财政    资金</w:t>
            </w:r>
          </w:p>
        </w:tc>
        <w:tc>
          <w:tcPr>
            <w:tcW w:w="1304" w:type="dxa"/>
            <w:vAlign w:val="center"/>
          </w:tcPr>
          <w:p>
            <w:pPr>
              <w:pStyle w:val="10"/>
              <w:shd w:val="clear"/>
            </w:pPr>
            <w:r>
              <w:t>3417.00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用于支付供热运营资金等相关费用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numPr>
                <w:ilvl w:val="0"/>
                <w:numId w:val="1"/>
              </w:numPr>
              <w:shd w:val="clear"/>
            </w:pPr>
            <w:r>
              <w:t>保障供热工作正常开展</w:t>
            </w:r>
          </w:p>
          <w:p>
            <w:pPr>
              <w:pStyle w:val="10"/>
              <w:numPr>
                <w:ilvl w:val="0"/>
                <w:numId w:val="1"/>
              </w:numPr>
              <w:shd w:val="clear"/>
            </w:pPr>
            <w:r>
              <w:rPr>
                <w:shd w:val="clear"/>
              </w:rPr>
              <w:t>保障供热工作</w:t>
            </w:r>
            <w:r>
              <w:rPr>
                <w:rFonts w:hint="eastAsia"/>
                <w:shd w:val="clear"/>
                <w:lang w:eastAsia="zh-CN"/>
              </w:rPr>
              <w:t>顺利完成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eastAsia="方正书宋_GBK"/>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综合业务管理工作完成率</w:t>
            </w:r>
          </w:p>
        </w:tc>
        <w:tc>
          <w:tcPr>
            <w:tcW w:w="2891" w:type="dxa"/>
            <w:vAlign w:val="center"/>
          </w:tcPr>
          <w:p>
            <w:pPr>
              <w:pStyle w:val="10"/>
              <w:shd w:val="clear"/>
            </w:pPr>
            <w:r>
              <w:t>综合业务管理工作完成率</w:t>
            </w:r>
          </w:p>
        </w:tc>
        <w:tc>
          <w:tcPr>
            <w:tcW w:w="1276" w:type="dxa"/>
            <w:vAlign w:val="center"/>
          </w:tcPr>
          <w:p>
            <w:pPr>
              <w:pStyle w:val="10"/>
              <w:shd w:val="clear"/>
              <w:rPr>
                <w:rFonts w:hint="eastAsia" w:eastAsia="方正书宋_GBK"/>
                <w:lang w:eastAsia="zh-CN"/>
              </w:rPr>
            </w:pPr>
            <w:r>
              <w:t>≥</w:t>
            </w:r>
            <w:r>
              <w:rPr>
                <w:rFonts w:hint="eastAsia"/>
                <w:lang w:eastAsia="zh-CN"/>
              </w:rP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rPr>
                <w:rFonts w:hint="eastAsia"/>
                <w:lang w:eastAsia="zh-CN"/>
              </w:rPr>
            </w:pPr>
            <w:r>
              <w:rPr>
                <w:rFonts w:hint="eastAsia"/>
                <w:lang w:eastAsia="zh-CN"/>
              </w:rPr>
              <w:t>按照工作要求按时完成预定计划</w:t>
            </w:r>
          </w:p>
        </w:tc>
        <w:tc>
          <w:tcPr>
            <w:tcW w:w="1276" w:type="dxa"/>
            <w:vAlign w:val="center"/>
          </w:tcPr>
          <w:p>
            <w:pPr>
              <w:pStyle w:val="10"/>
              <w:shd w:val="clear"/>
              <w:rPr>
                <w:rFonts w:hint="eastAsia"/>
                <w:lang w:eastAsia="zh-CN"/>
              </w:rPr>
            </w:pPr>
            <w:r>
              <w:rPr>
                <w:rFonts w:hint="eastAsia"/>
                <w:lang w:eastAsia="zh-CN"/>
              </w:rP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rPr>
                <w:rFonts w:hint="eastAsia"/>
                <w:lang w:eastAsia="zh-CN"/>
              </w:rPr>
            </w:pPr>
            <w:r>
              <w:rPr>
                <w:rFonts w:hint="eastAsia"/>
                <w:lang w:eastAsia="zh-CN"/>
              </w:rPr>
              <w:t>不超过财政支持经费</w:t>
            </w:r>
          </w:p>
        </w:tc>
        <w:tc>
          <w:tcPr>
            <w:tcW w:w="1276" w:type="dxa"/>
            <w:vAlign w:val="center"/>
          </w:tcPr>
          <w:p>
            <w:pPr>
              <w:pStyle w:val="10"/>
              <w:shd w:val="clear"/>
              <w:rPr>
                <w:rFonts w:hint="eastAsia"/>
                <w:lang w:eastAsia="zh-CN"/>
              </w:rPr>
            </w:pPr>
            <w:r>
              <w:rPr>
                <w:rFonts w:hint="eastAsia"/>
                <w:lang w:eastAsia="zh-CN"/>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长期较好地满足工作需求</w:t>
            </w:r>
          </w:p>
        </w:tc>
        <w:tc>
          <w:tcPr>
            <w:tcW w:w="1276" w:type="dxa"/>
            <w:vAlign w:val="center"/>
          </w:tcPr>
          <w:p>
            <w:pPr>
              <w:pStyle w:val="10"/>
              <w:shd w:val="clear"/>
              <w:rPr>
                <w:rFonts w:hint="eastAsia"/>
                <w:lang w:eastAsia="zh-CN"/>
              </w:rPr>
            </w:pPr>
            <w:r>
              <w:rPr>
                <w:rFonts w:hint="eastAsia"/>
                <w:lang w:eastAsia="zh-CN"/>
              </w:rPr>
              <w:t>≥95</w:t>
            </w:r>
            <w:r>
              <w:rPr>
                <w:rFonts w:hint="eastAsia"/>
                <w:lang w:val="en-US" w:eastAsia="zh-CN"/>
              </w:rPr>
              <w:t>%</w:t>
            </w:r>
          </w:p>
        </w:tc>
        <w:tc>
          <w:tcPr>
            <w:tcW w:w="1843" w:type="dxa"/>
            <w:vAlign w:val="center"/>
          </w:tcPr>
          <w:p>
            <w:pPr>
              <w:pStyle w:val="10"/>
              <w:shd w:val="clear"/>
              <w:rPr>
                <w:rFonts w:hint="eastAsia"/>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受益群众满意度调查</w:t>
            </w:r>
          </w:p>
        </w:tc>
        <w:tc>
          <w:tcPr>
            <w:tcW w:w="2891" w:type="dxa"/>
            <w:vAlign w:val="center"/>
          </w:tcPr>
          <w:p>
            <w:pPr>
              <w:pStyle w:val="10"/>
              <w:shd w:val="clear"/>
            </w:pPr>
            <w:r>
              <w:t>受益群众满意度调查</w:t>
            </w:r>
          </w:p>
        </w:tc>
        <w:tc>
          <w:tcPr>
            <w:tcW w:w="1276" w:type="dxa"/>
            <w:vAlign w:val="center"/>
          </w:tcPr>
          <w:p>
            <w:pPr>
              <w:pStyle w:val="10"/>
              <w:shd w:val="clear"/>
              <w:rPr>
                <w:rFonts w:hint="eastAsia"/>
                <w:lang w:eastAsia="zh-CN"/>
              </w:rPr>
            </w:pPr>
            <w:r>
              <w:rPr>
                <w:rFonts w:hint="eastAsia"/>
                <w:lang w:eastAsia="zh-CN"/>
              </w:rPr>
              <w:t>≥95</w:t>
            </w:r>
            <w:r>
              <w:rPr>
                <w:rFonts w:hint="eastAsia"/>
                <w:lang w:val="en-US" w:eastAsia="zh-CN"/>
              </w:rPr>
              <w:t>%</w:t>
            </w:r>
          </w:p>
        </w:tc>
        <w:tc>
          <w:tcPr>
            <w:tcW w:w="1843" w:type="dxa"/>
            <w:vAlign w:val="center"/>
          </w:tcPr>
          <w:p>
            <w:pPr>
              <w:pStyle w:val="10"/>
              <w:shd w:val="clear"/>
              <w:rPr>
                <w:rFonts w:hint="eastAsia"/>
                <w:lang w:eastAsia="zh-CN"/>
              </w:rPr>
            </w:pPr>
            <w:r>
              <w:rPr>
                <w:rFonts w:hint="eastAsia"/>
                <w:lang w:eastAsia="zh-CN"/>
              </w:rPr>
              <w:t>根</w:t>
            </w:r>
            <w:r>
              <w:rPr>
                <w:rFonts w:hint="eastAsia"/>
                <w:lang w:eastAsia="zh-CN"/>
              </w:rPr>
              <w:t>据单位工作人员采访调查</w:t>
            </w:r>
          </w:p>
        </w:tc>
      </w:tr>
    </w:tbl>
    <w:p>
      <w:pPr>
        <w:shd w:val="clear"/>
        <w:sectPr>
          <w:pgSz w:w="11900" w:h="16840"/>
          <w:pgMar w:top="1984" w:right="1304" w:bottom="1134" w:left="1304" w:header="720" w:footer="720" w:gutter="0"/>
          <w:cols w:space="720" w:num="1"/>
        </w:sectPr>
      </w:pPr>
    </w:p>
    <w:p>
      <w:pPr>
        <w:shd w:val="clear"/>
        <w:jc w:val="center"/>
        <w:rPr>
          <w:color w:val="auto"/>
        </w:rPr>
      </w:pPr>
      <w:r>
        <w:rPr>
          <w:rFonts w:ascii="方正仿宋_GBK" w:hAnsi="方正仿宋_GBK" w:eastAsia="方正仿宋_GBK" w:cs="方正仿宋_GBK"/>
          <w:color w:val="auto"/>
          <w:sz w:val="28"/>
        </w:rPr>
        <w:t xml:space="preserve"> </w:t>
      </w:r>
    </w:p>
    <w:p>
      <w:pPr>
        <w:shd w:val="clear"/>
        <w:ind w:firstLine="560"/>
        <w:outlineLvl w:val="3"/>
        <w:rPr>
          <w:color w:val="auto"/>
        </w:rPr>
      </w:pPr>
      <w:bookmarkStart w:id="8" w:name="_Toc_4_4_0000000009"/>
      <w:r>
        <w:rPr>
          <w:rFonts w:ascii="方正仿宋_GBK" w:hAnsi="方正仿宋_GBK" w:eastAsia="方正仿宋_GBK" w:cs="方正仿宋_GBK"/>
          <w:color w:val="auto"/>
          <w:sz w:val="28"/>
        </w:rPr>
        <w:t>6.警报器安装及维护所需经费绩效目标表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rPr>
                <w:color w:val="auto"/>
              </w:rPr>
            </w:pPr>
            <w:r>
              <w:rPr>
                <w:color w:val="auto"/>
              </w:rP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rPr>
                <w:color w:val="auto"/>
              </w:rPr>
            </w:pPr>
            <w:r>
              <w:rPr>
                <w:color w:val="auto"/>
              </w:rPr>
              <w:t>项目编码</w:t>
            </w:r>
          </w:p>
        </w:tc>
        <w:tc>
          <w:tcPr>
            <w:tcW w:w="2608" w:type="dxa"/>
            <w:gridSpan w:val="2"/>
            <w:vAlign w:val="center"/>
          </w:tcPr>
          <w:p>
            <w:pPr>
              <w:pStyle w:val="10"/>
              <w:shd w:val="clear"/>
              <w:rPr>
                <w:color w:val="auto"/>
              </w:rPr>
            </w:pPr>
            <w:r>
              <w:rPr>
                <w:color w:val="auto"/>
              </w:rPr>
              <w:t>13030322P004255100147</w:t>
            </w:r>
          </w:p>
        </w:tc>
        <w:tc>
          <w:tcPr>
            <w:tcW w:w="1587" w:type="dxa"/>
            <w:vAlign w:val="center"/>
          </w:tcPr>
          <w:p>
            <w:pPr>
              <w:pStyle w:val="11"/>
              <w:shd w:val="clear"/>
              <w:rPr>
                <w:color w:val="auto"/>
              </w:rPr>
            </w:pPr>
            <w:r>
              <w:rPr>
                <w:color w:val="auto"/>
              </w:rPr>
              <w:t>项目名称</w:t>
            </w:r>
          </w:p>
        </w:tc>
        <w:tc>
          <w:tcPr>
            <w:tcW w:w="4422" w:type="dxa"/>
            <w:gridSpan w:val="3"/>
            <w:vAlign w:val="center"/>
          </w:tcPr>
          <w:p>
            <w:pPr>
              <w:pStyle w:val="10"/>
              <w:shd w:val="clear"/>
              <w:rPr>
                <w:color w:val="auto"/>
              </w:rPr>
            </w:pPr>
            <w:r>
              <w:rPr>
                <w:color w:val="auto"/>
              </w:rPr>
              <w:t>警报器安装及维护所需经费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rPr>
                <w:color w:val="auto"/>
              </w:rPr>
            </w:pPr>
            <w:r>
              <w:rPr>
                <w:color w:val="auto"/>
              </w:rPr>
              <w:t>预算规模及资金用途</w:t>
            </w:r>
          </w:p>
        </w:tc>
        <w:tc>
          <w:tcPr>
            <w:tcW w:w="1276" w:type="dxa"/>
            <w:vAlign w:val="center"/>
          </w:tcPr>
          <w:p>
            <w:pPr>
              <w:pStyle w:val="11"/>
              <w:shd w:val="clear"/>
              <w:rPr>
                <w:color w:val="auto"/>
              </w:rPr>
            </w:pPr>
            <w:r>
              <w:rPr>
                <w:color w:val="auto"/>
              </w:rPr>
              <w:t>预算数</w:t>
            </w:r>
          </w:p>
        </w:tc>
        <w:tc>
          <w:tcPr>
            <w:tcW w:w="1332" w:type="dxa"/>
            <w:vAlign w:val="center"/>
          </w:tcPr>
          <w:p>
            <w:pPr>
              <w:pStyle w:val="10"/>
              <w:shd w:val="clear"/>
              <w:rPr>
                <w:color w:val="auto"/>
              </w:rPr>
            </w:pPr>
            <w:r>
              <w:rPr>
                <w:color w:val="auto"/>
              </w:rPr>
              <w:t>50.00</w:t>
            </w:r>
          </w:p>
        </w:tc>
        <w:tc>
          <w:tcPr>
            <w:tcW w:w="1587" w:type="dxa"/>
            <w:vAlign w:val="center"/>
          </w:tcPr>
          <w:p>
            <w:pPr>
              <w:pStyle w:val="11"/>
              <w:shd w:val="clear"/>
              <w:rPr>
                <w:color w:val="auto"/>
              </w:rPr>
            </w:pPr>
            <w:r>
              <w:rPr>
                <w:color w:val="auto"/>
              </w:rPr>
              <w:t>其中：财政    资金</w:t>
            </w:r>
          </w:p>
        </w:tc>
        <w:tc>
          <w:tcPr>
            <w:tcW w:w="1304" w:type="dxa"/>
            <w:vAlign w:val="center"/>
          </w:tcPr>
          <w:p>
            <w:pPr>
              <w:pStyle w:val="10"/>
              <w:shd w:val="clear"/>
              <w:rPr>
                <w:color w:val="auto"/>
              </w:rPr>
            </w:pPr>
            <w:r>
              <w:rPr>
                <w:color w:val="auto"/>
              </w:rPr>
              <w:t>50.00</w:t>
            </w:r>
          </w:p>
        </w:tc>
        <w:tc>
          <w:tcPr>
            <w:tcW w:w="1276" w:type="dxa"/>
            <w:vAlign w:val="center"/>
          </w:tcPr>
          <w:p>
            <w:pPr>
              <w:pStyle w:val="11"/>
              <w:shd w:val="clear"/>
              <w:rPr>
                <w:color w:val="auto"/>
              </w:rPr>
            </w:pPr>
            <w:r>
              <w:rPr>
                <w:color w:val="auto"/>
              </w:rPr>
              <w:t>其他资金</w:t>
            </w:r>
          </w:p>
        </w:tc>
        <w:tc>
          <w:tcPr>
            <w:tcW w:w="1843" w:type="dxa"/>
            <w:vAlign w:val="center"/>
          </w:tcPr>
          <w:p>
            <w:pPr>
              <w:pStyle w:val="10"/>
              <w:shd w:val="clear"/>
              <w:rPr>
                <w:color w:val="auto"/>
              </w:rPr>
            </w:pPr>
            <w:r>
              <w:rPr>
                <w:color w:val="auto"/>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rPr>
                <w:color w:val="auto"/>
              </w:rPr>
            </w:pPr>
          </w:p>
        </w:tc>
        <w:tc>
          <w:tcPr>
            <w:tcW w:w="8617" w:type="dxa"/>
            <w:gridSpan w:val="6"/>
            <w:vAlign w:val="center"/>
          </w:tcPr>
          <w:p>
            <w:pPr>
              <w:pStyle w:val="10"/>
              <w:shd w:val="clear"/>
              <w:rPr>
                <w:color w:val="auto"/>
              </w:rPr>
            </w:pPr>
            <w:r>
              <w:rPr>
                <w:color w:val="auto"/>
              </w:rPr>
              <w:t>用于支付警报器安装及维护相关经费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rPr>
                <w:color w:val="auto"/>
              </w:rPr>
            </w:pPr>
            <w:r>
              <w:rPr>
                <w:color w:val="auto"/>
              </w:rPr>
              <w:t>资金支出计划（%）</w:t>
            </w:r>
          </w:p>
        </w:tc>
        <w:tc>
          <w:tcPr>
            <w:tcW w:w="2608" w:type="dxa"/>
            <w:gridSpan w:val="2"/>
            <w:vAlign w:val="center"/>
          </w:tcPr>
          <w:p>
            <w:pPr>
              <w:pStyle w:val="11"/>
              <w:shd w:val="clear"/>
              <w:rPr>
                <w:color w:val="auto"/>
              </w:rPr>
            </w:pPr>
            <w:r>
              <w:rPr>
                <w:color w:val="auto"/>
              </w:rPr>
              <w:t>3月底</w:t>
            </w:r>
          </w:p>
        </w:tc>
        <w:tc>
          <w:tcPr>
            <w:tcW w:w="1587" w:type="dxa"/>
            <w:vAlign w:val="center"/>
          </w:tcPr>
          <w:p>
            <w:pPr>
              <w:pStyle w:val="11"/>
              <w:shd w:val="clear"/>
              <w:rPr>
                <w:color w:val="auto"/>
              </w:rPr>
            </w:pPr>
            <w:r>
              <w:rPr>
                <w:color w:val="auto"/>
              </w:rPr>
              <w:t>6月底</w:t>
            </w:r>
          </w:p>
        </w:tc>
        <w:tc>
          <w:tcPr>
            <w:tcW w:w="1304" w:type="dxa"/>
            <w:vAlign w:val="center"/>
          </w:tcPr>
          <w:p>
            <w:pPr>
              <w:pStyle w:val="11"/>
              <w:shd w:val="clear"/>
              <w:rPr>
                <w:color w:val="auto"/>
              </w:rPr>
            </w:pPr>
            <w:r>
              <w:rPr>
                <w:color w:val="auto"/>
              </w:rPr>
              <w:t>10月底</w:t>
            </w:r>
          </w:p>
        </w:tc>
        <w:tc>
          <w:tcPr>
            <w:tcW w:w="3118" w:type="dxa"/>
            <w:gridSpan w:val="2"/>
            <w:vAlign w:val="center"/>
          </w:tcPr>
          <w:p>
            <w:pPr>
              <w:pStyle w:val="11"/>
              <w:shd w:val="clear"/>
              <w:rPr>
                <w:color w:val="auto"/>
              </w:rPr>
            </w:pPr>
            <w:r>
              <w:rPr>
                <w:color w:val="auto"/>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rPr>
                <w:color w:val="auto"/>
              </w:rPr>
            </w:pPr>
          </w:p>
        </w:tc>
        <w:tc>
          <w:tcPr>
            <w:tcW w:w="2608" w:type="dxa"/>
            <w:gridSpan w:val="2"/>
            <w:vAlign w:val="center"/>
          </w:tcPr>
          <w:p>
            <w:pPr>
              <w:pStyle w:val="12"/>
              <w:shd w:val="clear"/>
              <w:rPr>
                <w:color w:val="auto"/>
              </w:rPr>
            </w:pPr>
            <w:r>
              <w:rPr>
                <w:color w:val="auto"/>
              </w:rPr>
              <w:t>25%</w:t>
            </w:r>
          </w:p>
        </w:tc>
        <w:tc>
          <w:tcPr>
            <w:tcW w:w="1587" w:type="dxa"/>
            <w:vAlign w:val="center"/>
          </w:tcPr>
          <w:p>
            <w:pPr>
              <w:pStyle w:val="12"/>
              <w:shd w:val="clear"/>
              <w:rPr>
                <w:color w:val="auto"/>
              </w:rPr>
            </w:pPr>
            <w:r>
              <w:rPr>
                <w:color w:val="auto"/>
              </w:rPr>
              <w:t>50%</w:t>
            </w:r>
          </w:p>
        </w:tc>
        <w:tc>
          <w:tcPr>
            <w:tcW w:w="1304" w:type="dxa"/>
            <w:vAlign w:val="center"/>
          </w:tcPr>
          <w:p>
            <w:pPr>
              <w:pStyle w:val="12"/>
              <w:shd w:val="clear"/>
              <w:rPr>
                <w:color w:val="auto"/>
              </w:rPr>
            </w:pPr>
            <w:r>
              <w:rPr>
                <w:color w:val="auto"/>
              </w:rPr>
              <w:t>75%</w:t>
            </w:r>
          </w:p>
        </w:tc>
        <w:tc>
          <w:tcPr>
            <w:tcW w:w="3118" w:type="dxa"/>
            <w:gridSpan w:val="2"/>
            <w:vAlign w:val="center"/>
          </w:tcPr>
          <w:p>
            <w:pPr>
              <w:pStyle w:val="12"/>
              <w:shd w:val="clear"/>
              <w:rPr>
                <w:color w:val="auto"/>
              </w:rPr>
            </w:pPr>
            <w:r>
              <w:rPr>
                <w:color w:val="auto"/>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rPr>
                <w:color w:val="auto"/>
              </w:rPr>
            </w:pPr>
            <w:r>
              <w:rPr>
                <w:color w:val="auto"/>
              </w:rPr>
              <w:t>绩效目标</w:t>
            </w:r>
          </w:p>
        </w:tc>
        <w:tc>
          <w:tcPr>
            <w:tcW w:w="8617" w:type="dxa"/>
            <w:gridSpan w:val="6"/>
            <w:vAlign w:val="center"/>
          </w:tcPr>
          <w:p>
            <w:pPr>
              <w:pStyle w:val="10"/>
              <w:shd w:val="clear"/>
              <w:rPr>
                <w:color w:val="auto"/>
              </w:rPr>
            </w:pPr>
            <w:r>
              <w:rPr>
                <w:color w:val="auto"/>
              </w:rPr>
              <w:t>1.保障警报器安装及维护工作正常开展</w:t>
            </w:r>
          </w:p>
          <w:p>
            <w:pPr>
              <w:pStyle w:val="10"/>
              <w:shd w:val="clear"/>
              <w:rPr>
                <w:color w:val="auto"/>
              </w:rPr>
            </w:pPr>
            <w:r>
              <w:rPr>
                <w:color w:val="auto"/>
              </w:rPr>
              <w:t>2.保障警报器安装及维护工作完成</w:t>
            </w:r>
          </w:p>
        </w:tc>
      </w:tr>
    </w:tbl>
    <w:p>
      <w:pPr>
        <w:shd w:val="clear"/>
        <w:spacing w:line="2" w:lineRule="exact"/>
        <w:jc w:val="center"/>
        <w:rPr>
          <w:color w:val="auto"/>
        </w:rPr>
      </w:pPr>
      <w:r>
        <w:rPr>
          <w:rFonts w:ascii="方正书宋_GBK" w:hAnsi="方正书宋_GBK" w:eastAsia="方正书宋_GBK" w:cs="方正书宋_GBK"/>
          <w:color w:val="auto"/>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276" w:type="dxa"/>
            <w:shd w:val="clear" w:color="auto" w:fill="auto"/>
            <w:vAlign w:val="center"/>
          </w:tcPr>
          <w:p>
            <w:pPr>
              <w:pStyle w:val="11"/>
              <w:shd w:val="clear"/>
              <w:rPr>
                <w:color w:val="auto"/>
              </w:rPr>
            </w:pPr>
            <w:r>
              <w:rPr>
                <w:color w:val="auto"/>
              </w:rPr>
              <w:t>一级指标</w:t>
            </w:r>
          </w:p>
        </w:tc>
        <w:tc>
          <w:tcPr>
            <w:tcW w:w="1276" w:type="dxa"/>
            <w:shd w:val="clear" w:color="auto" w:fill="auto"/>
            <w:vAlign w:val="center"/>
          </w:tcPr>
          <w:p>
            <w:pPr>
              <w:pStyle w:val="11"/>
              <w:shd w:val="clear"/>
              <w:rPr>
                <w:color w:val="auto"/>
              </w:rPr>
            </w:pPr>
            <w:r>
              <w:rPr>
                <w:color w:val="auto"/>
              </w:rPr>
              <w:t>二级指标</w:t>
            </w:r>
          </w:p>
        </w:tc>
        <w:tc>
          <w:tcPr>
            <w:tcW w:w="1332" w:type="dxa"/>
            <w:shd w:val="clear" w:color="auto" w:fill="auto"/>
            <w:vAlign w:val="center"/>
          </w:tcPr>
          <w:p>
            <w:pPr>
              <w:pStyle w:val="11"/>
              <w:shd w:val="clear"/>
              <w:rPr>
                <w:color w:val="auto"/>
              </w:rPr>
            </w:pPr>
            <w:r>
              <w:rPr>
                <w:color w:val="auto"/>
              </w:rPr>
              <w:t>三级指标</w:t>
            </w:r>
          </w:p>
        </w:tc>
        <w:tc>
          <w:tcPr>
            <w:tcW w:w="2891" w:type="dxa"/>
            <w:shd w:val="clear" w:color="auto" w:fill="auto"/>
            <w:vAlign w:val="center"/>
          </w:tcPr>
          <w:p>
            <w:pPr>
              <w:pStyle w:val="11"/>
              <w:shd w:val="clear"/>
              <w:rPr>
                <w:color w:val="auto"/>
              </w:rPr>
            </w:pPr>
            <w:r>
              <w:rPr>
                <w:color w:val="auto"/>
              </w:rPr>
              <w:t>绩效指标描述</w:t>
            </w:r>
          </w:p>
        </w:tc>
        <w:tc>
          <w:tcPr>
            <w:tcW w:w="1276" w:type="dxa"/>
            <w:shd w:val="clear" w:color="auto" w:fill="auto"/>
            <w:vAlign w:val="center"/>
          </w:tcPr>
          <w:p>
            <w:pPr>
              <w:pStyle w:val="11"/>
              <w:shd w:val="clear"/>
              <w:rPr>
                <w:color w:val="auto"/>
              </w:rPr>
            </w:pPr>
            <w:r>
              <w:rPr>
                <w:color w:val="auto"/>
              </w:rPr>
              <w:t>指标值</w:t>
            </w:r>
          </w:p>
        </w:tc>
        <w:tc>
          <w:tcPr>
            <w:tcW w:w="1843" w:type="dxa"/>
            <w:shd w:val="clear" w:color="auto" w:fill="auto"/>
            <w:vAlign w:val="center"/>
          </w:tcPr>
          <w:p>
            <w:pPr>
              <w:pStyle w:val="11"/>
              <w:shd w:val="clear"/>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276" w:type="dxa"/>
            <w:vMerge w:val="restart"/>
            <w:shd w:val="clear" w:color="auto" w:fill="auto"/>
            <w:vAlign w:val="center"/>
          </w:tcPr>
          <w:p>
            <w:pPr>
              <w:pStyle w:val="12"/>
              <w:shd w:val="clear"/>
              <w:rPr>
                <w:color w:val="auto"/>
              </w:rPr>
            </w:pPr>
            <w:r>
              <w:rPr>
                <w:color w:val="auto"/>
              </w:rPr>
              <w:t>产出指标</w:t>
            </w:r>
          </w:p>
        </w:tc>
        <w:tc>
          <w:tcPr>
            <w:tcW w:w="1276" w:type="dxa"/>
            <w:shd w:val="clear" w:color="auto" w:fill="auto"/>
            <w:vAlign w:val="center"/>
          </w:tcPr>
          <w:p>
            <w:pPr>
              <w:pStyle w:val="10"/>
              <w:shd w:val="clear"/>
              <w:rPr>
                <w:color w:val="auto"/>
              </w:rPr>
            </w:pPr>
            <w:r>
              <w:rPr>
                <w:color w:val="auto"/>
              </w:rPr>
              <w:t>数量指标</w:t>
            </w:r>
          </w:p>
        </w:tc>
        <w:tc>
          <w:tcPr>
            <w:tcW w:w="1332" w:type="dxa"/>
            <w:shd w:val="clear" w:color="auto" w:fill="auto"/>
            <w:vAlign w:val="center"/>
          </w:tcPr>
          <w:p>
            <w:pPr>
              <w:pStyle w:val="10"/>
              <w:shd w:val="clear"/>
              <w:rPr>
                <w:color w:val="auto"/>
              </w:rPr>
            </w:pPr>
            <w:r>
              <w:rPr>
                <w:color w:val="auto"/>
              </w:rPr>
              <w:t>工作完成情况</w:t>
            </w:r>
          </w:p>
        </w:tc>
        <w:tc>
          <w:tcPr>
            <w:tcW w:w="2891" w:type="dxa"/>
            <w:shd w:val="clear" w:color="auto" w:fill="auto"/>
            <w:vAlign w:val="center"/>
          </w:tcPr>
          <w:p>
            <w:pPr>
              <w:pStyle w:val="10"/>
              <w:shd w:val="clear"/>
              <w:rPr>
                <w:color w:val="auto"/>
              </w:rPr>
            </w:pPr>
            <w:r>
              <w:rPr>
                <w:color w:val="auto"/>
              </w:rPr>
              <w:t>工作完成情况</w:t>
            </w:r>
          </w:p>
        </w:tc>
        <w:tc>
          <w:tcPr>
            <w:tcW w:w="1276" w:type="dxa"/>
            <w:shd w:val="clear" w:color="auto" w:fill="auto"/>
            <w:vAlign w:val="center"/>
          </w:tcPr>
          <w:p>
            <w:pPr>
              <w:pStyle w:val="10"/>
              <w:shd w:val="clear"/>
              <w:rPr>
                <w:rFonts w:hint="eastAsia" w:eastAsia="方正书宋_GBK"/>
                <w:color w:val="auto"/>
                <w:lang w:eastAsia="zh-CN"/>
              </w:rPr>
            </w:pPr>
            <w:r>
              <w:rPr>
                <w:color w:val="auto"/>
              </w:rPr>
              <w:t>≥9</w:t>
            </w:r>
            <w:r>
              <w:rPr>
                <w:color w:val="auto"/>
                <w:shd w:val="clear"/>
              </w:rPr>
              <w:t>5</w:t>
            </w:r>
            <w:r>
              <w:rPr>
                <w:rFonts w:hint="eastAsia"/>
                <w:color w:val="auto"/>
                <w:shd w:val="clear"/>
                <w:lang w:val="en-US" w:eastAsia="zh-CN"/>
              </w:rPr>
              <w:t>%</w:t>
            </w:r>
          </w:p>
        </w:tc>
        <w:tc>
          <w:tcPr>
            <w:tcW w:w="1843" w:type="dxa"/>
            <w:shd w:val="clear" w:color="auto" w:fill="auto"/>
            <w:vAlign w:val="center"/>
          </w:tcPr>
          <w:p>
            <w:pPr>
              <w:pStyle w:val="10"/>
              <w:shd w:val="clear"/>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276" w:type="dxa"/>
            <w:vMerge w:val="continue"/>
            <w:shd w:val="clear" w:color="auto" w:fill="auto"/>
            <w:vAlign w:val="center"/>
          </w:tcPr>
          <w:p>
            <w:pPr>
              <w:shd w:val="clear"/>
              <w:rPr>
                <w:color w:val="auto"/>
              </w:rPr>
            </w:pPr>
          </w:p>
        </w:tc>
        <w:tc>
          <w:tcPr>
            <w:tcW w:w="1276" w:type="dxa"/>
            <w:shd w:val="clear" w:color="auto" w:fill="auto"/>
            <w:vAlign w:val="center"/>
          </w:tcPr>
          <w:p>
            <w:pPr>
              <w:pStyle w:val="10"/>
              <w:shd w:val="clear"/>
              <w:rPr>
                <w:color w:val="auto"/>
              </w:rPr>
            </w:pPr>
            <w:r>
              <w:rPr>
                <w:color w:val="auto"/>
              </w:rPr>
              <w:t>质量指标</w:t>
            </w:r>
          </w:p>
        </w:tc>
        <w:tc>
          <w:tcPr>
            <w:tcW w:w="1332" w:type="dxa"/>
            <w:shd w:val="clear" w:color="auto" w:fill="auto"/>
            <w:vAlign w:val="center"/>
          </w:tcPr>
          <w:p>
            <w:pPr>
              <w:pStyle w:val="10"/>
              <w:shd w:val="clear"/>
              <w:rPr>
                <w:color w:val="auto"/>
              </w:rPr>
            </w:pPr>
            <w:r>
              <w:rPr>
                <w:color w:val="auto"/>
              </w:rPr>
              <w:t>设备及时更新率</w:t>
            </w:r>
          </w:p>
        </w:tc>
        <w:tc>
          <w:tcPr>
            <w:tcW w:w="2891" w:type="dxa"/>
            <w:shd w:val="clear" w:color="auto" w:fill="auto"/>
            <w:vAlign w:val="center"/>
          </w:tcPr>
          <w:p>
            <w:pPr>
              <w:pStyle w:val="10"/>
              <w:shd w:val="clear"/>
              <w:rPr>
                <w:color w:val="auto"/>
              </w:rPr>
            </w:pPr>
            <w:r>
              <w:rPr>
                <w:color w:val="auto"/>
              </w:rPr>
              <w:t>设备及时更新率</w:t>
            </w:r>
          </w:p>
        </w:tc>
        <w:tc>
          <w:tcPr>
            <w:tcW w:w="1276" w:type="dxa"/>
            <w:shd w:val="clear" w:color="auto" w:fill="auto"/>
            <w:vAlign w:val="center"/>
          </w:tcPr>
          <w:p>
            <w:pPr>
              <w:pStyle w:val="10"/>
              <w:shd w:val="clear"/>
              <w:rPr>
                <w:rFonts w:hint="eastAsia"/>
                <w:color w:val="auto"/>
                <w:lang w:eastAsia="zh-CN"/>
              </w:rPr>
            </w:pPr>
            <w:r>
              <w:rPr>
                <w:color w:val="auto"/>
              </w:rPr>
              <w:t>≥95</w:t>
            </w:r>
            <w:r>
              <w:rPr>
                <w:rFonts w:hint="eastAsia"/>
                <w:color w:val="auto"/>
                <w:lang w:val="en-US" w:eastAsia="zh-CN"/>
              </w:rPr>
              <w:t>%</w:t>
            </w:r>
          </w:p>
        </w:tc>
        <w:tc>
          <w:tcPr>
            <w:tcW w:w="1843" w:type="dxa"/>
            <w:shd w:val="clear" w:color="auto" w:fill="auto"/>
            <w:vAlign w:val="center"/>
          </w:tcPr>
          <w:p>
            <w:pPr>
              <w:pStyle w:val="10"/>
              <w:shd w:val="clear"/>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276" w:type="dxa"/>
            <w:vMerge w:val="continue"/>
            <w:shd w:val="clear" w:color="auto" w:fill="auto"/>
            <w:vAlign w:val="center"/>
          </w:tcPr>
          <w:p>
            <w:pPr>
              <w:shd w:val="clear"/>
              <w:rPr>
                <w:color w:val="auto"/>
              </w:rPr>
            </w:pPr>
          </w:p>
        </w:tc>
        <w:tc>
          <w:tcPr>
            <w:tcW w:w="1276" w:type="dxa"/>
            <w:shd w:val="clear" w:color="auto" w:fill="auto"/>
            <w:vAlign w:val="center"/>
          </w:tcPr>
          <w:p>
            <w:pPr>
              <w:pStyle w:val="10"/>
              <w:shd w:val="clear"/>
              <w:rPr>
                <w:color w:val="auto"/>
              </w:rPr>
            </w:pPr>
            <w:r>
              <w:rPr>
                <w:color w:val="auto"/>
              </w:rPr>
              <w:t>时效指标</w:t>
            </w:r>
          </w:p>
        </w:tc>
        <w:tc>
          <w:tcPr>
            <w:tcW w:w="1332" w:type="dxa"/>
            <w:shd w:val="clear" w:color="auto" w:fill="auto"/>
            <w:vAlign w:val="center"/>
          </w:tcPr>
          <w:p>
            <w:pPr>
              <w:pStyle w:val="10"/>
              <w:shd w:val="clear"/>
              <w:rPr>
                <w:color w:val="auto"/>
              </w:rPr>
            </w:pPr>
            <w:r>
              <w:rPr>
                <w:color w:val="auto"/>
              </w:rPr>
              <w:t>按项目计划完成工作</w:t>
            </w:r>
          </w:p>
        </w:tc>
        <w:tc>
          <w:tcPr>
            <w:tcW w:w="2891" w:type="dxa"/>
            <w:shd w:val="clear" w:color="auto" w:fill="auto"/>
            <w:vAlign w:val="center"/>
          </w:tcPr>
          <w:p>
            <w:pPr>
              <w:pStyle w:val="10"/>
              <w:shd w:val="clear"/>
              <w:rPr>
                <w:color w:val="auto"/>
              </w:rPr>
            </w:pPr>
            <w:r>
              <w:rPr>
                <w:color w:val="auto"/>
              </w:rPr>
              <w:t>按照工作要求按时完成预定计划</w:t>
            </w:r>
          </w:p>
        </w:tc>
        <w:tc>
          <w:tcPr>
            <w:tcW w:w="1276" w:type="dxa"/>
            <w:shd w:val="clear" w:color="auto" w:fill="auto"/>
            <w:vAlign w:val="center"/>
          </w:tcPr>
          <w:p>
            <w:pPr>
              <w:pStyle w:val="10"/>
              <w:shd w:val="clear"/>
              <w:rPr>
                <w:rFonts w:hint="eastAsia"/>
                <w:color w:val="auto"/>
                <w:lang w:eastAsia="zh-CN"/>
              </w:rPr>
            </w:pPr>
            <w:r>
              <w:rPr>
                <w:color w:val="auto"/>
              </w:rPr>
              <w:t>≥95</w:t>
            </w:r>
            <w:r>
              <w:rPr>
                <w:rFonts w:hint="eastAsia"/>
                <w:color w:val="auto"/>
                <w:lang w:val="en-US" w:eastAsia="zh-CN"/>
              </w:rPr>
              <w:t>%</w:t>
            </w:r>
          </w:p>
        </w:tc>
        <w:tc>
          <w:tcPr>
            <w:tcW w:w="1843" w:type="dxa"/>
            <w:shd w:val="clear" w:color="auto" w:fill="auto"/>
            <w:vAlign w:val="center"/>
          </w:tcPr>
          <w:p>
            <w:pPr>
              <w:pStyle w:val="10"/>
              <w:shd w:val="clear"/>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276" w:type="dxa"/>
            <w:vMerge w:val="continue"/>
            <w:shd w:val="clear" w:color="auto" w:fill="auto"/>
            <w:vAlign w:val="center"/>
          </w:tcPr>
          <w:p>
            <w:pPr>
              <w:shd w:val="clear"/>
              <w:rPr>
                <w:color w:val="auto"/>
              </w:rPr>
            </w:pPr>
          </w:p>
        </w:tc>
        <w:tc>
          <w:tcPr>
            <w:tcW w:w="1276" w:type="dxa"/>
            <w:shd w:val="clear" w:color="auto" w:fill="auto"/>
            <w:vAlign w:val="center"/>
          </w:tcPr>
          <w:p>
            <w:pPr>
              <w:pStyle w:val="10"/>
              <w:shd w:val="clear"/>
              <w:rPr>
                <w:color w:val="auto"/>
              </w:rPr>
            </w:pPr>
            <w:r>
              <w:rPr>
                <w:color w:val="auto"/>
              </w:rPr>
              <w:t>成本指标</w:t>
            </w:r>
          </w:p>
        </w:tc>
        <w:tc>
          <w:tcPr>
            <w:tcW w:w="1332" w:type="dxa"/>
            <w:shd w:val="clear" w:color="auto" w:fill="auto"/>
            <w:vAlign w:val="center"/>
          </w:tcPr>
          <w:p>
            <w:pPr>
              <w:pStyle w:val="10"/>
              <w:shd w:val="clear"/>
              <w:rPr>
                <w:color w:val="auto"/>
              </w:rPr>
            </w:pPr>
            <w:r>
              <w:rPr>
                <w:color w:val="auto"/>
              </w:rPr>
              <w:t>项目控制预算数</w:t>
            </w:r>
          </w:p>
        </w:tc>
        <w:tc>
          <w:tcPr>
            <w:tcW w:w="2891" w:type="dxa"/>
            <w:shd w:val="clear" w:color="auto" w:fill="auto"/>
            <w:vAlign w:val="center"/>
          </w:tcPr>
          <w:p>
            <w:pPr>
              <w:pStyle w:val="10"/>
              <w:shd w:val="clear"/>
              <w:rPr>
                <w:color w:val="auto"/>
              </w:rPr>
            </w:pPr>
            <w:r>
              <w:rPr>
                <w:color w:val="auto"/>
              </w:rPr>
              <w:t>不超过财政支持经费</w:t>
            </w:r>
          </w:p>
        </w:tc>
        <w:tc>
          <w:tcPr>
            <w:tcW w:w="1276" w:type="dxa"/>
            <w:shd w:val="clear" w:color="auto" w:fill="auto"/>
            <w:vAlign w:val="center"/>
          </w:tcPr>
          <w:p>
            <w:pPr>
              <w:pStyle w:val="10"/>
              <w:shd w:val="clear"/>
              <w:rPr>
                <w:rFonts w:hint="eastAsia"/>
                <w:color w:val="auto"/>
                <w:lang w:eastAsia="zh-CN"/>
              </w:rPr>
            </w:pPr>
            <w:r>
              <w:rPr>
                <w:rFonts w:hint="eastAsia"/>
                <w:color w:val="auto"/>
              </w:rPr>
              <w:t>≦</w:t>
            </w:r>
            <w:r>
              <w:rPr>
                <w:rFonts w:hint="eastAsia"/>
                <w:color w:val="auto"/>
                <w:lang w:val="en-US" w:eastAsia="zh-CN"/>
              </w:rPr>
              <w:t>100%</w:t>
            </w:r>
          </w:p>
        </w:tc>
        <w:tc>
          <w:tcPr>
            <w:tcW w:w="1843" w:type="dxa"/>
            <w:shd w:val="clear" w:color="auto" w:fill="auto"/>
            <w:vAlign w:val="center"/>
          </w:tcPr>
          <w:p>
            <w:pPr>
              <w:pStyle w:val="10"/>
              <w:shd w:val="clear"/>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276" w:type="dxa"/>
            <w:shd w:val="clear" w:color="auto" w:fill="auto"/>
            <w:vAlign w:val="center"/>
          </w:tcPr>
          <w:p>
            <w:pPr>
              <w:pStyle w:val="12"/>
              <w:shd w:val="clear"/>
              <w:rPr>
                <w:color w:val="auto"/>
              </w:rPr>
            </w:pPr>
            <w:r>
              <w:rPr>
                <w:color w:val="auto"/>
              </w:rPr>
              <w:t>效益指标</w:t>
            </w:r>
          </w:p>
        </w:tc>
        <w:tc>
          <w:tcPr>
            <w:tcW w:w="1276" w:type="dxa"/>
            <w:shd w:val="clear" w:color="auto" w:fill="auto"/>
            <w:vAlign w:val="center"/>
          </w:tcPr>
          <w:p>
            <w:pPr>
              <w:pStyle w:val="10"/>
              <w:shd w:val="clear"/>
              <w:rPr>
                <w:color w:val="auto"/>
              </w:rPr>
            </w:pPr>
            <w:r>
              <w:rPr>
                <w:color w:val="auto"/>
              </w:rPr>
              <w:t>可持续影响指标</w:t>
            </w:r>
          </w:p>
        </w:tc>
        <w:tc>
          <w:tcPr>
            <w:tcW w:w="1332" w:type="dxa"/>
            <w:shd w:val="clear" w:color="auto" w:fill="auto"/>
            <w:vAlign w:val="center"/>
          </w:tcPr>
          <w:p>
            <w:pPr>
              <w:pStyle w:val="10"/>
              <w:shd w:val="clear"/>
              <w:rPr>
                <w:color w:val="auto"/>
              </w:rPr>
            </w:pPr>
            <w:r>
              <w:rPr>
                <w:color w:val="auto"/>
              </w:rPr>
              <w:t>长期使用性</w:t>
            </w:r>
          </w:p>
        </w:tc>
        <w:tc>
          <w:tcPr>
            <w:tcW w:w="2891" w:type="dxa"/>
            <w:shd w:val="clear" w:color="auto" w:fill="auto"/>
            <w:vAlign w:val="center"/>
          </w:tcPr>
          <w:p>
            <w:pPr>
              <w:pStyle w:val="10"/>
              <w:shd w:val="clear"/>
              <w:rPr>
                <w:color w:val="auto"/>
              </w:rPr>
            </w:pPr>
            <w:r>
              <w:rPr>
                <w:color w:val="auto"/>
              </w:rPr>
              <w:t>长期较好地满足工作需求</w:t>
            </w:r>
          </w:p>
        </w:tc>
        <w:tc>
          <w:tcPr>
            <w:tcW w:w="1276" w:type="dxa"/>
            <w:shd w:val="clear" w:color="auto" w:fill="auto"/>
            <w:vAlign w:val="center"/>
          </w:tcPr>
          <w:p>
            <w:pPr>
              <w:pStyle w:val="10"/>
              <w:shd w:val="clear"/>
              <w:rPr>
                <w:rFonts w:hint="eastAsia"/>
                <w:color w:val="auto"/>
                <w:lang w:eastAsia="zh-CN"/>
              </w:rPr>
            </w:pPr>
            <w:r>
              <w:rPr>
                <w:color w:val="auto"/>
              </w:rPr>
              <w:t>≥95</w:t>
            </w:r>
            <w:r>
              <w:rPr>
                <w:rFonts w:hint="eastAsia"/>
                <w:color w:val="auto"/>
                <w:lang w:val="en-US" w:eastAsia="zh-CN"/>
              </w:rPr>
              <w:t>%</w:t>
            </w:r>
          </w:p>
        </w:tc>
        <w:tc>
          <w:tcPr>
            <w:tcW w:w="1843" w:type="dxa"/>
            <w:shd w:val="clear" w:color="auto" w:fill="auto"/>
            <w:vAlign w:val="center"/>
          </w:tcPr>
          <w:p>
            <w:pPr>
              <w:pStyle w:val="10"/>
              <w:shd w:val="clear"/>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276" w:type="dxa"/>
            <w:shd w:val="clear" w:color="auto" w:fill="auto"/>
            <w:vAlign w:val="center"/>
          </w:tcPr>
          <w:p>
            <w:pPr>
              <w:pStyle w:val="12"/>
              <w:shd w:val="clear"/>
              <w:rPr>
                <w:color w:val="auto"/>
              </w:rPr>
            </w:pPr>
            <w:r>
              <w:rPr>
                <w:color w:val="auto"/>
              </w:rPr>
              <w:t>满意度指标</w:t>
            </w:r>
          </w:p>
        </w:tc>
        <w:tc>
          <w:tcPr>
            <w:tcW w:w="1276" w:type="dxa"/>
            <w:shd w:val="clear" w:color="auto" w:fill="auto"/>
            <w:vAlign w:val="center"/>
          </w:tcPr>
          <w:p>
            <w:pPr>
              <w:pStyle w:val="10"/>
              <w:shd w:val="clear"/>
              <w:rPr>
                <w:color w:val="auto"/>
              </w:rPr>
            </w:pPr>
            <w:r>
              <w:rPr>
                <w:color w:val="auto"/>
              </w:rPr>
              <w:t>服务对象满意度指标</w:t>
            </w:r>
          </w:p>
        </w:tc>
        <w:tc>
          <w:tcPr>
            <w:tcW w:w="1332" w:type="dxa"/>
            <w:shd w:val="clear" w:color="auto" w:fill="auto"/>
            <w:vAlign w:val="center"/>
          </w:tcPr>
          <w:p>
            <w:pPr>
              <w:pStyle w:val="10"/>
              <w:shd w:val="clear"/>
              <w:rPr>
                <w:color w:val="auto"/>
              </w:rPr>
            </w:pPr>
            <w:r>
              <w:rPr>
                <w:color w:val="auto"/>
              </w:rPr>
              <w:t>单位工作人员满意度</w:t>
            </w:r>
          </w:p>
        </w:tc>
        <w:tc>
          <w:tcPr>
            <w:tcW w:w="2891" w:type="dxa"/>
            <w:shd w:val="clear" w:color="auto" w:fill="auto"/>
            <w:vAlign w:val="center"/>
          </w:tcPr>
          <w:p>
            <w:pPr>
              <w:pStyle w:val="10"/>
              <w:shd w:val="clear"/>
              <w:rPr>
                <w:color w:val="auto"/>
              </w:rPr>
            </w:pPr>
            <w:r>
              <w:rPr>
                <w:color w:val="auto"/>
              </w:rPr>
              <w:t>调查中单位人员对单位环境满意和比较满意的人数占调查总人数的比率</w:t>
            </w:r>
          </w:p>
        </w:tc>
        <w:tc>
          <w:tcPr>
            <w:tcW w:w="1276" w:type="dxa"/>
            <w:shd w:val="clear" w:color="auto" w:fill="auto"/>
            <w:vAlign w:val="center"/>
          </w:tcPr>
          <w:p>
            <w:pPr>
              <w:pStyle w:val="10"/>
              <w:shd w:val="clear"/>
              <w:rPr>
                <w:rFonts w:hint="eastAsia"/>
                <w:color w:val="auto"/>
                <w:lang w:eastAsia="zh-CN"/>
              </w:rPr>
            </w:pPr>
            <w:r>
              <w:rPr>
                <w:color w:val="auto"/>
              </w:rPr>
              <w:t>≥95</w:t>
            </w:r>
            <w:r>
              <w:rPr>
                <w:rFonts w:hint="eastAsia"/>
                <w:color w:val="auto"/>
                <w:lang w:val="en-US" w:eastAsia="zh-CN"/>
              </w:rPr>
              <w:t>%</w:t>
            </w:r>
          </w:p>
        </w:tc>
        <w:tc>
          <w:tcPr>
            <w:tcW w:w="1843" w:type="dxa"/>
            <w:shd w:val="clear" w:color="auto" w:fill="auto"/>
            <w:vAlign w:val="center"/>
          </w:tcPr>
          <w:p>
            <w:pPr>
              <w:pStyle w:val="10"/>
              <w:shd w:val="clear"/>
              <w:rPr>
                <w:color w:val="auto"/>
              </w:rPr>
            </w:pPr>
            <w:r>
              <w:rPr>
                <w:rFonts w:hint="eastAsia"/>
                <w:color w:val="auto"/>
                <w:lang w:eastAsia="zh-CN"/>
              </w:rPr>
              <w:t>根据单位工作人员采访调查</w:t>
            </w:r>
          </w:p>
        </w:tc>
      </w:tr>
    </w:tbl>
    <w:p>
      <w:pPr>
        <w:shd w:val="clear"/>
        <w:rPr>
          <w:color w:val="auto"/>
        </w:rP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9" w:name="_Toc_4_4_0000000010"/>
      <w:r>
        <w:rPr>
          <w:rFonts w:ascii="方正仿宋_GBK" w:hAnsi="方正仿宋_GBK" w:eastAsia="方正仿宋_GBK" w:cs="方正仿宋_GBK"/>
          <w:color w:val="000000"/>
          <w:sz w:val="28"/>
        </w:rPr>
        <w:t>7.南园新区工程拆除绩效目标表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13030322P00425510011C</w:t>
            </w:r>
          </w:p>
        </w:tc>
        <w:tc>
          <w:tcPr>
            <w:tcW w:w="1587" w:type="dxa"/>
            <w:vAlign w:val="center"/>
          </w:tcPr>
          <w:p>
            <w:pPr>
              <w:pStyle w:val="11"/>
              <w:shd w:val="clear"/>
            </w:pPr>
            <w:r>
              <w:t>项目名称</w:t>
            </w:r>
          </w:p>
        </w:tc>
        <w:tc>
          <w:tcPr>
            <w:tcW w:w="4422" w:type="dxa"/>
            <w:gridSpan w:val="3"/>
            <w:vAlign w:val="center"/>
          </w:tcPr>
          <w:p>
            <w:pPr>
              <w:pStyle w:val="10"/>
              <w:shd w:val="clear"/>
            </w:pPr>
            <w:r>
              <w:t>南园新区工程拆除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2.17</w:t>
            </w:r>
          </w:p>
        </w:tc>
        <w:tc>
          <w:tcPr>
            <w:tcW w:w="1587" w:type="dxa"/>
            <w:vAlign w:val="center"/>
          </w:tcPr>
          <w:p>
            <w:pPr>
              <w:pStyle w:val="11"/>
              <w:shd w:val="clear"/>
            </w:pPr>
            <w:r>
              <w:t>其中：财政    资金</w:t>
            </w:r>
          </w:p>
        </w:tc>
        <w:tc>
          <w:tcPr>
            <w:tcW w:w="1304" w:type="dxa"/>
            <w:vAlign w:val="center"/>
          </w:tcPr>
          <w:p>
            <w:pPr>
              <w:pStyle w:val="10"/>
              <w:shd w:val="clear"/>
            </w:pPr>
            <w:r>
              <w:t>2.17</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用于支付南园新区工程拆除相关经费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1.保障拆除工作正常开展</w:t>
            </w:r>
          </w:p>
          <w:p>
            <w:pPr>
              <w:pStyle w:val="10"/>
              <w:shd w:val="clear"/>
            </w:pPr>
            <w:r>
              <w:t>2.保障拆除工作完成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整改完成率</w:t>
            </w:r>
          </w:p>
        </w:tc>
        <w:tc>
          <w:tcPr>
            <w:tcW w:w="2891" w:type="dxa"/>
            <w:vAlign w:val="center"/>
          </w:tcPr>
          <w:p>
            <w:pPr>
              <w:pStyle w:val="10"/>
              <w:shd w:val="clear"/>
            </w:pPr>
            <w:r>
              <w:t>整改完成率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pPr>
            <w:r>
              <w:t>不超过财政支持经费</w:t>
            </w:r>
          </w:p>
        </w:tc>
        <w:tc>
          <w:tcPr>
            <w:tcW w:w="1276" w:type="dxa"/>
            <w:vAlign w:val="center"/>
          </w:tcPr>
          <w:p>
            <w:pPr>
              <w:pStyle w:val="10"/>
              <w:shd w:val="clear"/>
              <w:rPr>
                <w:rFonts w:hint="eastAsia"/>
                <w:lang w:eastAsia="zh-CN"/>
              </w:rPr>
            </w:pPr>
            <w:r>
              <w:rPr>
                <w:rFonts w:hint="eastAsia"/>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能够长期较好地满足工作需求</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rPr>
                <w:rFonts w:hint="eastAsia"/>
                <w:lang w:eastAsia="zh-CN"/>
              </w:rPr>
              <w:t>根据单位工作人员采访调查</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10" w:name="_Toc_4_4_0000000011"/>
      <w:r>
        <w:rPr>
          <w:rFonts w:ascii="方正仿宋_GBK" w:hAnsi="方正仿宋_GBK" w:eastAsia="方正仿宋_GBK" w:cs="方正仿宋_GBK"/>
          <w:color w:val="000000"/>
          <w:sz w:val="28"/>
        </w:rPr>
        <w:t>8.人防业务费绩效目标表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13030322P00425510010Q</w:t>
            </w:r>
          </w:p>
        </w:tc>
        <w:tc>
          <w:tcPr>
            <w:tcW w:w="1587" w:type="dxa"/>
            <w:vAlign w:val="center"/>
          </w:tcPr>
          <w:p>
            <w:pPr>
              <w:pStyle w:val="11"/>
              <w:shd w:val="clear"/>
            </w:pPr>
            <w:r>
              <w:t>项目名称</w:t>
            </w:r>
          </w:p>
        </w:tc>
        <w:tc>
          <w:tcPr>
            <w:tcW w:w="4422" w:type="dxa"/>
            <w:gridSpan w:val="3"/>
            <w:vAlign w:val="center"/>
          </w:tcPr>
          <w:p>
            <w:pPr>
              <w:pStyle w:val="10"/>
              <w:shd w:val="clear"/>
            </w:pPr>
            <w:r>
              <w:t>人防业务费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25.50</w:t>
            </w:r>
          </w:p>
        </w:tc>
        <w:tc>
          <w:tcPr>
            <w:tcW w:w="1587" w:type="dxa"/>
            <w:vAlign w:val="center"/>
          </w:tcPr>
          <w:p>
            <w:pPr>
              <w:pStyle w:val="11"/>
              <w:shd w:val="clear"/>
            </w:pPr>
            <w:r>
              <w:t>其中：财政    资金</w:t>
            </w:r>
          </w:p>
        </w:tc>
        <w:tc>
          <w:tcPr>
            <w:tcW w:w="1304" w:type="dxa"/>
            <w:vAlign w:val="center"/>
          </w:tcPr>
          <w:p>
            <w:pPr>
              <w:pStyle w:val="10"/>
              <w:shd w:val="clear"/>
            </w:pPr>
            <w:r>
              <w:t>25.50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用于支付人防业务相关经费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1.保障业务正常开展</w:t>
            </w:r>
          </w:p>
          <w:p>
            <w:pPr>
              <w:pStyle w:val="10"/>
              <w:shd w:val="clear"/>
            </w:pPr>
            <w:r>
              <w:t>2.保障单位正常运转</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综合业务管理工作完成率</w:t>
            </w:r>
          </w:p>
        </w:tc>
        <w:tc>
          <w:tcPr>
            <w:tcW w:w="2891" w:type="dxa"/>
            <w:vAlign w:val="center"/>
          </w:tcPr>
          <w:p>
            <w:pPr>
              <w:pStyle w:val="10"/>
              <w:shd w:val="clear"/>
            </w:pPr>
            <w:r>
              <w:t>综合业务管理工作完成率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pPr>
            <w:r>
              <w:t>不超过财政支持经费</w:t>
            </w:r>
          </w:p>
        </w:tc>
        <w:tc>
          <w:tcPr>
            <w:tcW w:w="1276" w:type="dxa"/>
            <w:vAlign w:val="center"/>
          </w:tcPr>
          <w:p>
            <w:pPr>
              <w:pStyle w:val="10"/>
              <w:shd w:val="clear"/>
              <w:rPr>
                <w:rFonts w:hint="eastAsia"/>
                <w:lang w:eastAsia="zh-CN"/>
              </w:rPr>
            </w:pPr>
            <w:r>
              <w:rPr>
                <w:rFonts w:hint="eastAsia"/>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能够长期较好地满足工作需求</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vAlign w:val="center"/>
          </w:tcPr>
          <w:p>
            <w:pPr>
              <w:pStyle w:val="10"/>
              <w:shd w:val="clear"/>
              <w:rPr>
                <w:rFonts w:hint="eastAsia"/>
                <w:lang w:val="en-US" w:eastAsia="zh-CN"/>
              </w:rPr>
            </w:pPr>
            <w:r>
              <w:t>≥95</w:t>
            </w:r>
            <w:r>
              <w:rPr>
                <w:rFonts w:hint="eastAsia"/>
                <w:lang w:val="en-US" w:eastAsia="zh-CN"/>
              </w:rPr>
              <w:t>%</w:t>
            </w:r>
          </w:p>
        </w:tc>
        <w:tc>
          <w:tcPr>
            <w:tcW w:w="1843" w:type="dxa"/>
            <w:vAlign w:val="center"/>
          </w:tcPr>
          <w:p>
            <w:pPr>
              <w:pStyle w:val="10"/>
              <w:shd w:val="clear"/>
            </w:pPr>
            <w:r>
              <w:rPr>
                <w:rFonts w:hint="eastAsia"/>
                <w:lang w:eastAsia="zh-CN"/>
              </w:rPr>
              <w:t>根据单位工作人员采访调查</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11" w:name="_Toc_4_4_0000000012"/>
      <w:r>
        <w:rPr>
          <w:rFonts w:ascii="方正仿宋_GBK" w:hAnsi="方正仿宋_GBK" w:eastAsia="方正仿宋_GBK" w:cs="方正仿宋_GBK"/>
          <w:color w:val="000000"/>
          <w:sz w:val="28"/>
        </w:rPr>
        <w:t>9.人民防空方案计划编制工作经费绩效目标表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13030322P004255100218</w:t>
            </w:r>
          </w:p>
        </w:tc>
        <w:tc>
          <w:tcPr>
            <w:tcW w:w="1587" w:type="dxa"/>
            <w:vAlign w:val="center"/>
          </w:tcPr>
          <w:p>
            <w:pPr>
              <w:pStyle w:val="11"/>
              <w:shd w:val="clear"/>
            </w:pPr>
            <w:r>
              <w:t>项目名称</w:t>
            </w:r>
          </w:p>
        </w:tc>
        <w:tc>
          <w:tcPr>
            <w:tcW w:w="4422" w:type="dxa"/>
            <w:gridSpan w:val="3"/>
            <w:vAlign w:val="center"/>
          </w:tcPr>
          <w:p>
            <w:pPr>
              <w:pStyle w:val="10"/>
              <w:shd w:val="clear"/>
            </w:pPr>
            <w:r>
              <w:t>人民防空方案计划编制工作经费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30.00</w:t>
            </w:r>
          </w:p>
        </w:tc>
        <w:tc>
          <w:tcPr>
            <w:tcW w:w="1587" w:type="dxa"/>
            <w:vAlign w:val="center"/>
          </w:tcPr>
          <w:p>
            <w:pPr>
              <w:pStyle w:val="11"/>
              <w:shd w:val="clear"/>
            </w:pPr>
            <w:r>
              <w:t>其中：财政    资金</w:t>
            </w:r>
          </w:p>
        </w:tc>
        <w:tc>
          <w:tcPr>
            <w:tcW w:w="1304" w:type="dxa"/>
            <w:vAlign w:val="center"/>
          </w:tcPr>
          <w:p>
            <w:pPr>
              <w:pStyle w:val="10"/>
              <w:shd w:val="clear"/>
            </w:pPr>
            <w:r>
              <w:t>30.00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用于支付人民防空方案计划编工作相关经费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1.保障人民防空方案计划编工作正常开展</w:t>
            </w:r>
          </w:p>
          <w:p>
            <w:pPr>
              <w:pStyle w:val="10"/>
              <w:shd w:val="clear"/>
            </w:pPr>
            <w:r>
              <w:t>2.保障人民防空方案计划编工作完成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应战应急防灾保障完成率</w:t>
            </w:r>
          </w:p>
        </w:tc>
        <w:tc>
          <w:tcPr>
            <w:tcW w:w="2891" w:type="dxa"/>
            <w:vAlign w:val="center"/>
          </w:tcPr>
          <w:p>
            <w:pPr>
              <w:pStyle w:val="10"/>
              <w:shd w:val="clear"/>
            </w:pPr>
            <w:r>
              <w:t>对上级下达的应战应急防灾保障任务及时完成情况</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pPr>
            <w:r>
              <w:t>不超过财政支持经费</w:t>
            </w:r>
          </w:p>
        </w:tc>
        <w:tc>
          <w:tcPr>
            <w:tcW w:w="1276" w:type="dxa"/>
            <w:vAlign w:val="center"/>
          </w:tcPr>
          <w:p>
            <w:pPr>
              <w:pStyle w:val="10"/>
              <w:shd w:val="clear"/>
              <w:rPr>
                <w:rFonts w:hint="eastAsia"/>
                <w:lang w:eastAsia="zh-CN"/>
              </w:rPr>
            </w:pPr>
            <w:r>
              <w:rPr>
                <w:rFonts w:hint="eastAsia"/>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能够长期较好地满足工作需求</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rPr>
                <w:rFonts w:hint="eastAsia"/>
                <w:lang w:eastAsia="zh-CN"/>
              </w:rPr>
              <w:t>根据单位工作人员采访调查</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12" w:name="_Toc_4_4_0000000013"/>
      <w:r>
        <w:rPr>
          <w:rFonts w:ascii="方正仿宋_GBK" w:hAnsi="方正仿宋_GBK" w:eastAsia="方正仿宋_GBK" w:cs="方正仿宋_GBK"/>
          <w:color w:val="000000"/>
          <w:sz w:val="28"/>
        </w:rPr>
        <w:t>10.人武部独立营院建设经费绩效目标表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13030322P00425510022U</w:t>
            </w:r>
          </w:p>
        </w:tc>
        <w:tc>
          <w:tcPr>
            <w:tcW w:w="1587" w:type="dxa"/>
            <w:vAlign w:val="center"/>
          </w:tcPr>
          <w:p>
            <w:pPr>
              <w:pStyle w:val="11"/>
              <w:shd w:val="clear"/>
            </w:pPr>
            <w:r>
              <w:t>项目名称</w:t>
            </w:r>
          </w:p>
        </w:tc>
        <w:tc>
          <w:tcPr>
            <w:tcW w:w="4422" w:type="dxa"/>
            <w:gridSpan w:val="3"/>
            <w:vAlign w:val="center"/>
          </w:tcPr>
          <w:p>
            <w:pPr>
              <w:pStyle w:val="10"/>
              <w:shd w:val="clear"/>
            </w:pPr>
            <w:r>
              <w:t>人武部独立营院建设经费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287.50</w:t>
            </w:r>
          </w:p>
        </w:tc>
        <w:tc>
          <w:tcPr>
            <w:tcW w:w="1587" w:type="dxa"/>
            <w:vAlign w:val="center"/>
          </w:tcPr>
          <w:p>
            <w:pPr>
              <w:pStyle w:val="11"/>
              <w:shd w:val="clear"/>
            </w:pPr>
            <w:r>
              <w:t>其中：财政    资金</w:t>
            </w:r>
          </w:p>
        </w:tc>
        <w:tc>
          <w:tcPr>
            <w:tcW w:w="1304" w:type="dxa"/>
            <w:vAlign w:val="center"/>
          </w:tcPr>
          <w:p>
            <w:pPr>
              <w:pStyle w:val="10"/>
              <w:shd w:val="clear"/>
            </w:pPr>
            <w:r>
              <w:t>287.50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用于支付人武部独立营院建设工作相关经费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1.保障人武部独立营院建设工作正常开展</w:t>
            </w:r>
          </w:p>
          <w:p>
            <w:pPr>
              <w:pStyle w:val="10"/>
              <w:shd w:val="clear"/>
            </w:pPr>
            <w:r>
              <w:t>2.保障人武部独立营院建设工作完成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综合业务管理工作完成率</w:t>
            </w:r>
          </w:p>
        </w:tc>
        <w:tc>
          <w:tcPr>
            <w:tcW w:w="2891" w:type="dxa"/>
            <w:vAlign w:val="center"/>
          </w:tcPr>
          <w:p>
            <w:pPr>
              <w:pStyle w:val="10"/>
              <w:shd w:val="clear"/>
            </w:pPr>
            <w:r>
              <w:t>综合业务管理工作完成率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pPr>
            <w:r>
              <w:t>不超过财政支持经费</w:t>
            </w:r>
          </w:p>
        </w:tc>
        <w:tc>
          <w:tcPr>
            <w:tcW w:w="1276" w:type="dxa"/>
            <w:vAlign w:val="center"/>
          </w:tcPr>
          <w:p>
            <w:pPr>
              <w:pStyle w:val="10"/>
              <w:shd w:val="clear"/>
              <w:rPr>
                <w:rFonts w:hint="eastAsia"/>
                <w:lang w:eastAsia="zh-CN"/>
              </w:rPr>
            </w:pPr>
            <w:r>
              <w:rPr>
                <w:rFonts w:hint="eastAsia"/>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能够长期较好地满足工作需求</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rPr>
                <w:rFonts w:hint="eastAsia"/>
                <w:lang w:eastAsia="zh-CN"/>
              </w:rPr>
              <w:t>根据单位工作人员采访调查</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13" w:name="_Toc_4_4_0000000014"/>
      <w:r>
        <w:rPr>
          <w:rFonts w:ascii="方正仿宋_GBK" w:hAnsi="方正仿宋_GBK" w:eastAsia="方正仿宋_GBK" w:cs="方正仿宋_GBK"/>
          <w:color w:val="000000"/>
          <w:sz w:val="28"/>
        </w:rPr>
        <w:t>11.小型指挥车改装、人防视频会议系统建设绩效目标表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13030322P00425510015T</w:t>
            </w:r>
          </w:p>
        </w:tc>
        <w:tc>
          <w:tcPr>
            <w:tcW w:w="1587" w:type="dxa"/>
            <w:vAlign w:val="center"/>
          </w:tcPr>
          <w:p>
            <w:pPr>
              <w:pStyle w:val="11"/>
              <w:shd w:val="clear"/>
            </w:pPr>
            <w:r>
              <w:t>项目名称</w:t>
            </w:r>
          </w:p>
        </w:tc>
        <w:tc>
          <w:tcPr>
            <w:tcW w:w="4422" w:type="dxa"/>
            <w:gridSpan w:val="3"/>
            <w:vAlign w:val="center"/>
          </w:tcPr>
          <w:p>
            <w:pPr>
              <w:pStyle w:val="10"/>
              <w:shd w:val="clear"/>
            </w:pPr>
            <w:r>
              <w:t>小型指挥车改装、人防视频会议系统建设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90.00</w:t>
            </w:r>
          </w:p>
        </w:tc>
        <w:tc>
          <w:tcPr>
            <w:tcW w:w="1587" w:type="dxa"/>
            <w:vAlign w:val="center"/>
          </w:tcPr>
          <w:p>
            <w:pPr>
              <w:pStyle w:val="11"/>
              <w:shd w:val="clear"/>
            </w:pPr>
            <w:r>
              <w:t>其中：财政    资金</w:t>
            </w:r>
          </w:p>
        </w:tc>
        <w:tc>
          <w:tcPr>
            <w:tcW w:w="1304" w:type="dxa"/>
            <w:vAlign w:val="center"/>
          </w:tcPr>
          <w:p>
            <w:pPr>
              <w:pStyle w:val="10"/>
              <w:shd w:val="clear"/>
            </w:pPr>
            <w:r>
              <w:t>90.00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用于支付小型指挥车改装、人防视频会议系统建设相关经费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1.保障小型指挥车改装、人防视频会议系统建设工作正常开展</w:t>
            </w:r>
          </w:p>
          <w:p>
            <w:pPr>
              <w:pStyle w:val="10"/>
              <w:shd w:val="clear"/>
            </w:pPr>
            <w:r>
              <w:t>2.保障小型指挥车改装、人防视频会议系统建设工作完成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工作完成情况</w:t>
            </w:r>
          </w:p>
        </w:tc>
        <w:tc>
          <w:tcPr>
            <w:tcW w:w="2891"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工作完成情况</w:t>
            </w:r>
          </w:p>
        </w:tc>
        <w:tc>
          <w:tcPr>
            <w:tcW w:w="1276" w:type="dxa"/>
            <w:vAlign w:val="center"/>
          </w:tcPr>
          <w:p>
            <w:pPr>
              <w:pStyle w:val="10"/>
              <w:shd w:val="clear"/>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≥95</w:t>
            </w:r>
            <w:r>
              <w:rPr>
                <w:rFonts w:hint="eastAsia" w:ascii="方正书宋_GBK" w:hAnsi="方正书宋_GBK" w:eastAsia="方正书宋_GBK" w:cs="方正书宋_GBK"/>
                <w:sz w:val="21"/>
                <w:szCs w:val="24"/>
                <w:lang w:val="en-US" w:eastAsia="zh-CN" w:bidi="ar-SA"/>
              </w:rPr>
              <w:t>%</w:t>
            </w:r>
          </w:p>
        </w:tc>
        <w:tc>
          <w:tcPr>
            <w:tcW w:w="1843"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rPr>
                <w:rFonts w:ascii="方正书宋_GBK" w:hAnsi="方正书宋_GBK" w:eastAsia="方正书宋_GBK" w:cs="方正书宋_GBK"/>
                <w:sz w:val="21"/>
                <w:szCs w:val="24"/>
                <w:lang w:val="en-US" w:eastAsia="uk-UA" w:bidi="ar-SA"/>
              </w:rPr>
            </w:pPr>
          </w:p>
        </w:tc>
        <w:tc>
          <w:tcPr>
            <w:tcW w:w="1276"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设备及时更新率</w:t>
            </w:r>
          </w:p>
        </w:tc>
        <w:tc>
          <w:tcPr>
            <w:tcW w:w="2891"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设备及时更新率</w:t>
            </w:r>
          </w:p>
        </w:tc>
        <w:tc>
          <w:tcPr>
            <w:tcW w:w="1276" w:type="dxa"/>
            <w:vAlign w:val="center"/>
          </w:tcPr>
          <w:p>
            <w:pPr>
              <w:pStyle w:val="10"/>
              <w:shd w:val="clear"/>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≥95</w:t>
            </w:r>
            <w:r>
              <w:rPr>
                <w:rFonts w:hint="eastAsia" w:ascii="方正书宋_GBK" w:hAnsi="方正书宋_GBK" w:eastAsia="方正书宋_GBK" w:cs="方正书宋_GBK"/>
                <w:sz w:val="21"/>
                <w:szCs w:val="24"/>
                <w:lang w:val="en-US" w:eastAsia="zh-CN" w:bidi="ar-SA"/>
              </w:rPr>
              <w:t>%</w:t>
            </w:r>
          </w:p>
        </w:tc>
        <w:tc>
          <w:tcPr>
            <w:tcW w:w="1843"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rPr>
                <w:rFonts w:ascii="方正书宋_GBK" w:hAnsi="方正书宋_GBK" w:eastAsia="方正书宋_GBK" w:cs="方正书宋_GBK"/>
                <w:sz w:val="21"/>
                <w:szCs w:val="24"/>
                <w:lang w:val="en-US" w:eastAsia="uk-UA" w:bidi="ar-SA"/>
              </w:rPr>
            </w:pPr>
          </w:p>
        </w:tc>
        <w:tc>
          <w:tcPr>
            <w:tcW w:w="1276"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按项目计划完成工作</w:t>
            </w:r>
          </w:p>
        </w:tc>
        <w:tc>
          <w:tcPr>
            <w:tcW w:w="2891"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按照工作要求按时完成预定计划</w:t>
            </w:r>
          </w:p>
        </w:tc>
        <w:tc>
          <w:tcPr>
            <w:tcW w:w="1276" w:type="dxa"/>
            <w:vAlign w:val="center"/>
          </w:tcPr>
          <w:p>
            <w:pPr>
              <w:pStyle w:val="10"/>
              <w:shd w:val="clear"/>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≥95</w:t>
            </w:r>
            <w:r>
              <w:rPr>
                <w:rFonts w:hint="eastAsia" w:ascii="方正书宋_GBK" w:hAnsi="方正书宋_GBK" w:eastAsia="方正书宋_GBK" w:cs="方正书宋_GBK"/>
                <w:sz w:val="21"/>
                <w:szCs w:val="24"/>
                <w:lang w:val="en-US" w:eastAsia="zh-CN" w:bidi="ar-SA"/>
              </w:rPr>
              <w:t>%</w:t>
            </w:r>
          </w:p>
        </w:tc>
        <w:tc>
          <w:tcPr>
            <w:tcW w:w="1843"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rPr>
                <w:rFonts w:ascii="方正书宋_GBK" w:hAnsi="方正书宋_GBK" w:eastAsia="方正书宋_GBK" w:cs="方正书宋_GBK"/>
                <w:sz w:val="21"/>
                <w:szCs w:val="24"/>
                <w:lang w:val="en-US" w:eastAsia="uk-UA" w:bidi="ar-SA"/>
              </w:rPr>
            </w:pPr>
          </w:p>
        </w:tc>
        <w:tc>
          <w:tcPr>
            <w:tcW w:w="1276"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项目控制预算数</w:t>
            </w:r>
          </w:p>
        </w:tc>
        <w:tc>
          <w:tcPr>
            <w:tcW w:w="2891"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不超过财政支持经费</w:t>
            </w:r>
          </w:p>
        </w:tc>
        <w:tc>
          <w:tcPr>
            <w:tcW w:w="1276" w:type="dxa"/>
            <w:vAlign w:val="center"/>
          </w:tcPr>
          <w:p>
            <w:pPr>
              <w:pStyle w:val="10"/>
              <w:shd w:val="clea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zh-CN" w:bidi="ar-SA"/>
              </w:rPr>
              <w:t>100%</w:t>
            </w:r>
          </w:p>
        </w:tc>
        <w:tc>
          <w:tcPr>
            <w:tcW w:w="1843"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1332"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长期使用性</w:t>
            </w:r>
          </w:p>
        </w:tc>
        <w:tc>
          <w:tcPr>
            <w:tcW w:w="2891"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能够长期较好地满足工作需求</w:t>
            </w:r>
          </w:p>
        </w:tc>
        <w:tc>
          <w:tcPr>
            <w:tcW w:w="1276" w:type="dxa"/>
            <w:vAlign w:val="center"/>
          </w:tcPr>
          <w:p>
            <w:pPr>
              <w:pStyle w:val="10"/>
              <w:shd w:val="clear"/>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≥95</w:t>
            </w:r>
            <w:r>
              <w:rPr>
                <w:rFonts w:hint="eastAsia" w:ascii="方正书宋_GBK" w:hAnsi="方正书宋_GBK" w:eastAsia="方正书宋_GBK" w:cs="方正书宋_GBK"/>
                <w:sz w:val="21"/>
                <w:szCs w:val="24"/>
                <w:lang w:val="en-US" w:eastAsia="zh-CN" w:bidi="ar-SA"/>
              </w:rPr>
              <w:t>%</w:t>
            </w:r>
          </w:p>
        </w:tc>
        <w:tc>
          <w:tcPr>
            <w:tcW w:w="1843"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单位工作人员满意度</w:t>
            </w:r>
          </w:p>
        </w:tc>
        <w:tc>
          <w:tcPr>
            <w:tcW w:w="2891" w:type="dxa"/>
            <w:vAlign w:val="center"/>
          </w:tcPr>
          <w:p>
            <w:pPr>
              <w:pStyle w:val="10"/>
              <w:shd w:val="clea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调查中单位人员对单位环境满意和比较满意的人数占调查总人数的比率</w:t>
            </w:r>
          </w:p>
        </w:tc>
        <w:tc>
          <w:tcPr>
            <w:tcW w:w="1276" w:type="dxa"/>
            <w:vAlign w:val="center"/>
          </w:tcPr>
          <w:p>
            <w:pPr>
              <w:pStyle w:val="10"/>
              <w:shd w:val="clear"/>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≥95</w:t>
            </w:r>
            <w:r>
              <w:rPr>
                <w:rFonts w:hint="eastAsia" w:ascii="方正书宋_GBK" w:hAnsi="方正书宋_GBK" w:eastAsia="方正书宋_GBK" w:cs="方正书宋_GBK"/>
                <w:sz w:val="21"/>
                <w:szCs w:val="24"/>
                <w:lang w:val="en-US" w:eastAsia="zh-CN" w:bidi="ar-SA"/>
              </w:rPr>
              <w:t>%</w:t>
            </w:r>
          </w:p>
        </w:tc>
        <w:tc>
          <w:tcPr>
            <w:tcW w:w="1843" w:type="dxa"/>
            <w:vAlign w:val="center"/>
          </w:tcPr>
          <w:p>
            <w:pPr>
              <w:pStyle w:val="10"/>
              <w:shd w:val="clea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根据单位工作人员采访调查</w:t>
            </w:r>
          </w:p>
        </w:tc>
      </w:tr>
    </w:tbl>
    <w:p>
      <w:pPr>
        <w:shd w:val="clear"/>
        <w:rPr>
          <w:rFonts w:ascii="方正书宋_GBK" w:hAnsi="方正书宋_GBK" w:eastAsia="方正书宋_GBK" w:cs="方正书宋_GBK"/>
          <w:sz w:val="21"/>
          <w:szCs w:val="24"/>
          <w:lang w:val="en-US" w:eastAsia="uk-UA" w:bidi="ar-SA"/>
        </w:rP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14" w:name="_Toc_4_4_0000000015"/>
      <w:r>
        <w:rPr>
          <w:rFonts w:ascii="方正仿宋_GBK" w:hAnsi="方正仿宋_GBK" w:eastAsia="方正仿宋_GBK" w:cs="方正仿宋_GBK"/>
          <w:color w:val="000000"/>
          <w:sz w:val="28"/>
        </w:rPr>
        <w:t>12.小型指挥车改装费绩效目标表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13030321Z8G3WHG40HM1N</w:t>
            </w:r>
          </w:p>
        </w:tc>
        <w:tc>
          <w:tcPr>
            <w:tcW w:w="1587" w:type="dxa"/>
            <w:vAlign w:val="center"/>
          </w:tcPr>
          <w:p>
            <w:pPr>
              <w:pStyle w:val="11"/>
              <w:shd w:val="clear"/>
            </w:pPr>
            <w:r>
              <w:t>项目名称</w:t>
            </w:r>
          </w:p>
        </w:tc>
        <w:tc>
          <w:tcPr>
            <w:tcW w:w="4422" w:type="dxa"/>
            <w:gridSpan w:val="3"/>
            <w:vAlign w:val="center"/>
          </w:tcPr>
          <w:p>
            <w:pPr>
              <w:pStyle w:val="10"/>
              <w:shd w:val="clear"/>
            </w:pPr>
            <w:r>
              <w:t>小型指挥车改装费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54.01</w:t>
            </w:r>
          </w:p>
        </w:tc>
        <w:tc>
          <w:tcPr>
            <w:tcW w:w="1587" w:type="dxa"/>
            <w:vAlign w:val="center"/>
          </w:tcPr>
          <w:p>
            <w:pPr>
              <w:pStyle w:val="11"/>
              <w:shd w:val="clear"/>
            </w:pPr>
            <w:r>
              <w:t>其中：财政    资金</w:t>
            </w:r>
          </w:p>
        </w:tc>
        <w:tc>
          <w:tcPr>
            <w:tcW w:w="1304" w:type="dxa"/>
            <w:vAlign w:val="center"/>
          </w:tcPr>
          <w:p>
            <w:pPr>
              <w:pStyle w:val="10"/>
              <w:shd w:val="clear"/>
            </w:pPr>
            <w:r>
              <w:t>54.01</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保障人防通信畅通，人防预警报知、指挥控制、防护救援、综合保障能力不断提高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1.提高整体应战应急防灾能力</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r>
              <w:t>产出指标</w:t>
            </w:r>
          </w:p>
        </w:tc>
        <w:tc>
          <w:tcPr>
            <w:tcW w:w="1276" w:type="dxa"/>
            <w:vAlign w:val="center"/>
          </w:tcPr>
          <w:p>
            <w:pPr>
              <w:pStyle w:val="10"/>
              <w:shd w:val="clear"/>
            </w:pPr>
            <w:r>
              <w:t>数量指标</w:t>
            </w:r>
          </w:p>
        </w:tc>
        <w:tc>
          <w:tcPr>
            <w:tcW w:w="1332" w:type="dxa"/>
            <w:vAlign w:val="center"/>
          </w:tcPr>
          <w:p>
            <w:pPr>
              <w:pStyle w:val="10"/>
              <w:shd w:val="clear"/>
            </w:pPr>
            <w:r>
              <w:t>指挥场所和疏散地域设施设备配套率</w:t>
            </w:r>
          </w:p>
        </w:tc>
        <w:tc>
          <w:tcPr>
            <w:tcW w:w="2891" w:type="dxa"/>
            <w:vAlign w:val="center"/>
          </w:tcPr>
          <w:p>
            <w:pPr>
              <w:pStyle w:val="10"/>
              <w:shd w:val="clear"/>
            </w:pPr>
            <w:r>
              <w:t>反映对市本级指挥场所和疏散地域的配套设施情况，确保指挥场所和疏散地域功能完善</w:t>
            </w:r>
          </w:p>
        </w:tc>
        <w:tc>
          <w:tcPr>
            <w:tcW w:w="1276" w:type="dxa"/>
            <w:vAlign w:val="center"/>
          </w:tcPr>
          <w:p>
            <w:pPr>
              <w:pStyle w:val="10"/>
              <w:shd w:val="clear"/>
            </w:pPr>
            <w:r>
              <w:t>≥90%</w:t>
            </w:r>
          </w:p>
        </w:tc>
        <w:tc>
          <w:tcPr>
            <w:tcW w:w="1843" w:type="dxa"/>
            <w:vAlign w:val="center"/>
          </w:tcPr>
          <w:p>
            <w:pPr>
              <w:pStyle w:val="10"/>
              <w:shd w:val="clear"/>
            </w:pPr>
            <w: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应战应急防灾保障完成率</w:t>
            </w:r>
          </w:p>
        </w:tc>
        <w:tc>
          <w:tcPr>
            <w:tcW w:w="2891" w:type="dxa"/>
            <w:vAlign w:val="center"/>
          </w:tcPr>
          <w:p>
            <w:pPr>
              <w:pStyle w:val="10"/>
              <w:shd w:val="clear"/>
            </w:pPr>
            <w:r>
              <w:t>反映对上级下达的应战应急防灾保障任务及时完成情况</w:t>
            </w:r>
          </w:p>
        </w:tc>
        <w:tc>
          <w:tcPr>
            <w:tcW w:w="1276" w:type="dxa"/>
            <w:vAlign w:val="center"/>
          </w:tcPr>
          <w:p>
            <w:pPr>
              <w:pStyle w:val="10"/>
              <w:shd w:val="clear"/>
            </w:pPr>
            <w:r>
              <w:t>≥90%</w:t>
            </w:r>
          </w:p>
        </w:tc>
        <w:tc>
          <w:tcPr>
            <w:tcW w:w="1843" w:type="dxa"/>
            <w:vAlign w:val="center"/>
          </w:tcPr>
          <w:p>
            <w:pPr>
              <w:pStyle w:val="10"/>
              <w:shd w:val="clear"/>
            </w:pPr>
            <w: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pPr>
            <w:r>
              <w:t>≥95</w:t>
            </w:r>
            <w:r>
              <w:rPr>
                <w:rFonts w:hint="eastAsia"/>
                <w:lang w:val="en-US" w:eastAsia="zh-CN"/>
              </w:rPr>
              <w:t>%</w:t>
            </w:r>
          </w:p>
        </w:tc>
        <w:tc>
          <w:tcPr>
            <w:tcW w:w="1843" w:type="dxa"/>
            <w:vAlign w:val="center"/>
          </w:tcPr>
          <w:p>
            <w:pPr>
              <w:pStyle w:val="10"/>
              <w:shd w:val="clear"/>
            </w:pPr>
            <w: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pPr>
            <w:r>
              <w:t>不超过财政支持经费</w:t>
            </w:r>
          </w:p>
        </w:tc>
        <w:tc>
          <w:tcPr>
            <w:tcW w:w="1276" w:type="dxa"/>
            <w:vAlign w:val="center"/>
          </w:tcPr>
          <w:p>
            <w:pPr>
              <w:pStyle w:val="10"/>
              <w:shd w:val="clear"/>
              <w:rPr>
                <w:rFonts w:hint="eastAsia"/>
                <w:lang w:eastAsia="zh-CN"/>
              </w:rPr>
            </w:pPr>
            <w:r>
              <w:rPr>
                <w:rFonts w:hint="eastAsia"/>
              </w:rPr>
              <w:t>≦</w:t>
            </w:r>
            <w:r>
              <w:rPr>
                <w:rFonts w:hint="eastAsia"/>
                <w:lang w:val="en-US" w:eastAsia="zh-CN"/>
              </w:rPr>
              <w:t>100%</w:t>
            </w:r>
          </w:p>
        </w:tc>
        <w:tc>
          <w:tcPr>
            <w:tcW w:w="1843" w:type="dxa"/>
            <w:vAlign w:val="center"/>
          </w:tcPr>
          <w:p>
            <w:pPr>
              <w:pStyle w:val="10"/>
              <w:shd w:val="clear"/>
            </w:pPr>
            <w: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能够长期较好地满足工作需求</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群众满意度</w:t>
            </w:r>
          </w:p>
        </w:tc>
        <w:tc>
          <w:tcPr>
            <w:tcW w:w="2891" w:type="dxa"/>
            <w:vAlign w:val="center"/>
          </w:tcPr>
          <w:p>
            <w:pPr>
              <w:pStyle w:val="10"/>
              <w:shd w:val="clear"/>
              <w:rPr>
                <w:rFonts w:hint="eastAsia" w:eastAsia="方正书宋_GBK"/>
                <w:lang w:eastAsia="zh-CN"/>
              </w:rPr>
            </w:pPr>
            <w:r>
              <w:rPr>
                <w:rFonts w:hint="eastAsia"/>
                <w:lang w:eastAsia="zh-CN"/>
              </w:rPr>
              <w:t>群众满意度</w:t>
            </w:r>
          </w:p>
        </w:tc>
        <w:tc>
          <w:tcPr>
            <w:tcW w:w="1276" w:type="dxa"/>
            <w:vAlign w:val="center"/>
          </w:tcPr>
          <w:p>
            <w:pPr>
              <w:pStyle w:val="10"/>
              <w:shd w:val="clear"/>
            </w:pPr>
            <w:r>
              <w:t>≥95%</w:t>
            </w:r>
          </w:p>
        </w:tc>
        <w:tc>
          <w:tcPr>
            <w:tcW w:w="1843" w:type="dxa"/>
            <w:vAlign w:val="center"/>
          </w:tcPr>
          <w:p>
            <w:pPr>
              <w:pStyle w:val="10"/>
              <w:shd w:val="clear"/>
              <w:rPr>
                <w:rFonts w:hint="eastAsia"/>
                <w:lang w:eastAsia="zh-CN"/>
              </w:rPr>
            </w:pPr>
            <w:r>
              <w:rPr>
                <w:rFonts w:hint="eastAsia"/>
                <w:lang w:eastAsia="zh-CN"/>
              </w:rPr>
              <w:t>调查问卷</w:t>
            </w:r>
          </w:p>
        </w:tc>
      </w:tr>
    </w:tbl>
    <w:p>
      <w:pPr>
        <w:shd w:val="clear"/>
        <w:sectPr>
          <w:pgSz w:w="11900" w:h="16840"/>
          <w:pgMar w:top="1984" w:right="1304" w:bottom="1134" w:left="1304" w:header="720" w:footer="720" w:gutter="0"/>
          <w:cols w:space="720" w:num="1"/>
        </w:sectPr>
      </w:pPr>
    </w:p>
    <w:p>
      <w:pPr>
        <w:shd w:val="clear"/>
        <w:jc w:val="center"/>
      </w:pPr>
      <w:r>
        <w:rPr>
          <w:rFonts w:ascii="方正仿宋_GBK" w:hAnsi="方正仿宋_GBK" w:eastAsia="方正仿宋_GBK" w:cs="方正仿宋_GBK"/>
          <w:color w:val="000000"/>
          <w:sz w:val="28"/>
        </w:rPr>
        <w:t xml:space="preserve"> </w:t>
      </w:r>
    </w:p>
    <w:p>
      <w:pPr>
        <w:shd w:val="clear"/>
        <w:ind w:firstLine="560"/>
        <w:outlineLvl w:val="3"/>
      </w:pPr>
      <w:bookmarkStart w:id="15" w:name="_Toc_4_4_0000000016"/>
      <w:r>
        <w:rPr>
          <w:rFonts w:ascii="方正仿宋_GBK" w:hAnsi="方正仿宋_GBK" w:eastAsia="方正仿宋_GBK" w:cs="方正仿宋_GBK"/>
          <w:color w:val="000000"/>
          <w:sz w:val="28"/>
        </w:rPr>
        <w:t>13.早期人防工程维修加固绩效目标表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shd w:val="clear"/>
            </w:pPr>
            <w:r>
              <w:t>333001住建部门住房和城乡建设局本级</w:t>
            </w:r>
          </w:p>
        </w:tc>
        <w:tc>
          <w:tcPr>
            <w:tcW w:w="1843" w:type="dxa"/>
            <w:tcBorders>
              <w:top w:val="single" w:color="FFFFFF" w:sz="6" w:space="0"/>
              <w:left w:val="single" w:color="FFFFFF" w:sz="6" w:space="0"/>
              <w:right w:val="single" w:color="FFFFFF" w:sz="6" w:space="0"/>
            </w:tcBorders>
            <w:vAlign w:val="center"/>
          </w:tcPr>
          <w:p>
            <w:pPr>
              <w:pStyle w:val="8"/>
              <w:shd w:val="clear"/>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项目编码</w:t>
            </w:r>
          </w:p>
        </w:tc>
        <w:tc>
          <w:tcPr>
            <w:tcW w:w="2608" w:type="dxa"/>
            <w:gridSpan w:val="2"/>
            <w:vAlign w:val="center"/>
          </w:tcPr>
          <w:p>
            <w:pPr>
              <w:pStyle w:val="10"/>
              <w:shd w:val="clear"/>
            </w:pPr>
            <w:r>
              <w:t>13030322P004255100120</w:t>
            </w:r>
          </w:p>
        </w:tc>
        <w:tc>
          <w:tcPr>
            <w:tcW w:w="1587" w:type="dxa"/>
            <w:vAlign w:val="center"/>
          </w:tcPr>
          <w:p>
            <w:pPr>
              <w:pStyle w:val="11"/>
              <w:shd w:val="clear"/>
            </w:pPr>
            <w:r>
              <w:t>项目名称</w:t>
            </w:r>
          </w:p>
        </w:tc>
        <w:tc>
          <w:tcPr>
            <w:tcW w:w="4422" w:type="dxa"/>
            <w:gridSpan w:val="3"/>
            <w:vAlign w:val="center"/>
          </w:tcPr>
          <w:p>
            <w:pPr>
              <w:pStyle w:val="10"/>
              <w:shd w:val="clear"/>
            </w:pPr>
            <w:r>
              <w:t>早期人防工程维修加固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预算规模及资金用途</w:t>
            </w:r>
          </w:p>
        </w:tc>
        <w:tc>
          <w:tcPr>
            <w:tcW w:w="1276" w:type="dxa"/>
            <w:vAlign w:val="center"/>
          </w:tcPr>
          <w:p>
            <w:pPr>
              <w:pStyle w:val="11"/>
              <w:shd w:val="clear"/>
            </w:pPr>
            <w:r>
              <w:t>预算数</w:t>
            </w:r>
          </w:p>
        </w:tc>
        <w:tc>
          <w:tcPr>
            <w:tcW w:w="1332" w:type="dxa"/>
            <w:vAlign w:val="center"/>
          </w:tcPr>
          <w:p>
            <w:pPr>
              <w:pStyle w:val="10"/>
              <w:shd w:val="clear"/>
            </w:pPr>
            <w:r>
              <w:t>170.00</w:t>
            </w:r>
          </w:p>
        </w:tc>
        <w:tc>
          <w:tcPr>
            <w:tcW w:w="1587" w:type="dxa"/>
            <w:vAlign w:val="center"/>
          </w:tcPr>
          <w:p>
            <w:pPr>
              <w:pStyle w:val="11"/>
              <w:shd w:val="clear"/>
            </w:pPr>
            <w:r>
              <w:t>其中：财政    资金</w:t>
            </w:r>
          </w:p>
        </w:tc>
        <w:tc>
          <w:tcPr>
            <w:tcW w:w="1304" w:type="dxa"/>
            <w:vAlign w:val="center"/>
          </w:tcPr>
          <w:p>
            <w:pPr>
              <w:pStyle w:val="10"/>
              <w:shd w:val="clear"/>
            </w:pPr>
            <w:r>
              <w:t>170.00</w:t>
            </w:r>
          </w:p>
        </w:tc>
        <w:tc>
          <w:tcPr>
            <w:tcW w:w="1276" w:type="dxa"/>
            <w:vAlign w:val="center"/>
          </w:tcPr>
          <w:p>
            <w:pPr>
              <w:pStyle w:val="11"/>
              <w:shd w:val="clear"/>
            </w:pPr>
            <w:r>
              <w:t>其他资金</w:t>
            </w:r>
          </w:p>
        </w:tc>
        <w:tc>
          <w:tcPr>
            <w:tcW w:w="1843" w:type="dxa"/>
            <w:vAlign w:val="center"/>
          </w:tcPr>
          <w:p>
            <w:pPr>
              <w:pStyle w:val="10"/>
              <w:shd w:val="clear"/>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8617" w:type="dxa"/>
            <w:gridSpan w:val="6"/>
            <w:vAlign w:val="center"/>
          </w:tcPr>
          <w:p>
            <w:pPr>
              <w:pStyle w:val="10"/>
              <w:shd w:val="clear"/>
            </w:pPr>
            <w:r>
              <w:t>用于支付早期人防工程维修加固相关经费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shd w:val="clear"/>
            </w:pPr>
            <w:r>
              <w:t>资金支出计划（%）</w:t>
            </w:r>
          </w:p>
        </w:tc>
        <w:tc>
          <w:tcPr>
            <w:tcW w:w="2608" w:type="dxa"/>
            <w:gridSpan w:val="2"/>
            <w:vAlign w:val="center"/>
          </w:tcPr>
          <w:p>
            <w:pPr>
              <w:pStyle w:val="11"/>
              <w:shd w:val="clear"/>
            </w:pPr>
            <w:r>
              <w:t>3月底</w:t>
            </w:r>
          </w:p>
        </w:tc>
        <w:tc>
          <w:tcPr>
            <w:tcW w:w="1587" w:type="dxa"/>
            <w:vAlign w:val="center"/>
          </w:tcPr>
          <w:p>
            <w:pPr>
              <w:pStyle w:val="11"/>
              <w:shd w:val="clear"/>
            </w:pPr>
            <w:r>
              <w:t>6月底</w:t>
            </w:r>
          </w:p>
        </w:tc>
        <w:tc>
          <w:tcPr>
            <w:tcW w:w="1304" w:type="dxa"/>
            <w:vAlign w:val="center"/>
          </w:tcPr>
          <w:p>
            <w:pPr>
              <w:pStyle w:val="11"/>
              <w:shd w:val="clear"/>
            </w:pPr>
            <w:r>
              <w:t>10月底</w:t>
            </w:r>
          </w:p>
        </w:tc>
        <w:tc>
          <w:tcPr>
            <w:tcW w:w="3118" w:type="dxa"/>
            <w:gridSpan w:val="2"/>
            <w:vAlign w:val="center"/>
          </w:tcPr>
          <w:p>
            <w:pPr>
              <w:pStyle w:val="11"/>
              <w:shd w:val="clear"/>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hd w:val="clear"/>
            </w:pPr>
          </w:p>
        </w:tc>
        <w:tc>
          <w:tcPr>
            <w:tcW w:w="2608" w:type="dxa"/>
            <w:gridSpan w:val="2"/>
            <w:vAlign w:val="center"/>
          </w:tcPr>
          <w:p>
            <w:pPr>
              <w:pStyle w:val="12"/>
              <w:shd w:val="clear"/>
            </w:pPr>
            <w:r>
              <w:t>25%</w:t>
            </w:r>
          </w:p>
        </w:tc>
        <w:tc>
          <w:tcPr>
            <w:tcW w:w="1587" w:type="dxa"/>
            <w:vAlign w:val="center"/>
          </w:tcPr>
          <w:p>
            <w:pPr>
              <w:pStyle w:val="12"/>
              <w:shd w:val="clear"/>
            </w:pPr>
            <w:r>
              <w:t>50%</w:t>
            </w:r>
          </w:p>
        </w:tc>
        <w:tc>
          <w:tcPr>
            <w:tcW w:w="1304" w:type="dxa"/>
            <w:vAlign w:val="center"/>
          </w:tcPr>
          <w:p>
            <w:pPr>
              <w:pStyle w:val="12"/>
              <w:shd w:val="clear"/>
            </w:pPr>
            <w:r>
              <w:t>75%</w:t>
            </w:r>
          </w:p>
        </w:tc>
        <w:tc>
          <w:tcPr>
            <w:tcW w:w="3118" w:type="dxa"/>
            <w:gridSpan w:val="2"/>
            <w:vAlign w:val="center"/>
          </w:tcPr>
          <w:p>
            <w:pPr>
              <w:pStyle w:val="12"/>
              <w:shd w:val="clea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shd w:val="clear"/>
            </w:pPr>
            <w:r>
              <w:t>绩效目标</w:t>
            </w:r>
          </w:p>
        </w:tc>
        <w:tc>
          <w:tcPr>
            <w:tcW w:w="8617" w:type="dxa"/>
            <w:gridSpan w:val="6"/>
            <w:vAlign w:val="center"/>
          </w:tcPr>
          <w:p>
            <w:pPr>
              <w:pStyle w:val="10"/>
              <w:shd w:val="clear"/>
            </w:pPr>
            <w:r>
              <w:t>1.保障早期人防工程维修加固工作正常开展</w:t>
            </w:r>
          </w:p>
          <w:p>
            <w:pPr>
              <w:pStyle w:val="10"/>
              <w:shd w:val="clear"/>
            </w:pPr>
            <w:r>
              <w:t>2.保障早期人防工程维修加固工作完成</w:t>
            </w:r>
          </w:p>
        </w:tc>
      </w:tr>
    </w:tbl>
    <w:p>
      <w:pPr>
        <w:shd w:val="clea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shd w:val="clear"/>
            </w:pPr>
            <w:r>
              <w:t>一级指标</w:t>
            </w:r>
          </w:p>
        </w:tc>
        <w:tc>
          <w:tcPr>
            <w:tcW w:w="1276" w:type="dxa"/>
            <w:vAlign w:val="center"/>
          </w:tcPr>
          <w:p>
            <w:pPr>
              <w:pStyle w:val="11"/>
              <w:shd w:val="clear"/>
            </w:pPr>
            <w:r>
              <w:t>二级指标</w:t>
            </w:r>
          </w:p>
        </w:tc>
        <w:tc>
          <w:tcPr>
            <w:tcW w:w="1332" w:type="dxa"/>
            <w:vAlign w:val="center"/>
          </w:tcPr>
          <w:p>
            <w:pPr>
              <w:pStyle w:val="11"/>
              <w:shd w:val="clear"/>
            </w:pPr>
            <w:r>
              <w:t>三级指标</w:t>
            </w:r>
          </w:p>
        </w:tc>
        <w:tc>
          <w:tcPr>
            <w:tcW w:w="2891" w:type="dxa"/>
            <w:vAlign w:val="center"/>
          </w:tcPr>
          <w:p>
            <w:pPr>
              <w:pStyle w:val="11"/>
              <w:shd w:val="clear"/>
            </w:pPr>
            <w:r>
              <w:t>绩效指标描述</w:t>
            </w:r>
          </w:p>
        </w:tc>
        <w:tc>
          <w:tcPr>
            <w:tcW w:w="1276" w:type="dxa"/>
            <w:vAlign w:val="center"/>
          </w:tcPr>
          <w:p>
            <w:pPr>
              <w:pStyle w:val="11"/>
              <w:shd w:val="clear"/>
            </w:pPr>
            <w:r>
              <w:t>指标值</w:t>
            </w:r>
          </w:p>
        </w:tc>
        <w:tc>
          <w:tcPr>
            <w:tcW w:w="1843" w:type="dxa"/>
            <w:vAlign w:val="center"/>
          </w:tcPr>
          <w:p>
            <w:pPr>
              <w:pStyle w:val="11"/>
              <w:shd w:val="clea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shd w:val="clear"/>
            </w:pPr>
            <w:bookmarkStart w:id="16" w:name="_GoBack" w:colFirst="4" w:colLast="5"/>
            <w:r>
              <w:t>产出指标</w:t>
            </w:r>
          </w:p>
        </w:tc>
        <w:tc>
          <w:tcPr>
            <w:tcW w:w="1276" w:type="dxa"/>
            <w:vAlign w:val="center"/>
          </w:tcPr>
          <w:p>
            <w:pPr>
              <w:pStyle w:val="10"/>
              <w:shd w:val="clear"/>
            </w:pPr>
            <w:r>
              <w:t>数量指标</w:t>
            </w:r>
          </w:p>
        </w:tc>
        <w:tc>
          <w:tcPr>
            <w:tcW w:w="1332" w:type="dxa"/>
            <w:vAlign w:val="center"/>
          </w:tcPr>
          <w:p>
            <w:pPr>
              <w:pStyle w:val="10"/>
              <w:shd w:val="clear"/>
            </w:pPr>
            <w:r>
              <w:t>工作完成情况</w:t>
            </w:r>
          </w:p>
        </w:tc>
        <w:tc>
          <w:tcPr>
            <w:tcW w:w="2891" w:type="dxa"/>
            <w:vAlign w:val="center"/>
          </w:tcPr>
          <w:p>
            <w:pPr>
              <w:pStyle w:val="10"/>
              <w:shd w:val="clear"/>
            </w:pPr>
            <w:r>
              <w:t>工作完成情况</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质量指标</w:t>
            </w:r>
          </w:p>
        </w:tc>
        <w:tc>
          <w:tcPr>
            <w:tcW w:w="1332" w:type="dxa"/>
            <w:vAlign w:val="center"/>
          </w:tcPr>
          <w:p>
            <w:pPr>
              <w:pStyle w:val="10"/>
              <w:shd w:val="clear"/>
            </w:pPr>
            <w:r>
              <w:t>人防工程维护率</w:t>
            </w:r>
          </w:p>
        </w:tc>
        <w:tc>
          <w:tcPr>
            <w:tcW w:w="2891" w:type="dxa"/>
            <w:vAlign w:val="center"/>
          </w:tcPr>
          <w:p>
            <w:pPr>
              <w:pStyle w:val="10"/>
              <w:shd w:val="clear"/>
            </w:pPr>
            <w:r>
              <w:t>人防工程维护率</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时效指标</w:t>
            </w:r>
          </w:p>
        </w:tc>
        <w:tc>
          <w:tcPr>
            <w:tcW w:w="1332" w:type="dxa"/>
            <w:vAlign w:val="center"/>
          </w:tcPr>
          <w:p>
            <w:pPr>
              <w:pStyle w:val="10"/>
              <w:shd w:val="clear"/>
            </w:pPr>
            <w:r>
              <w:t>按项目计划完成工作</w:t>
            </w:r>
          </w:p>
        </w:tc>
        <w:tc>
          <w:tcPr>
            <w:tcW w:w="2891" w:type="dxa"/>
            <w:vAlign w:val="center"/>
          </w:tcPr>
          <w:p>
            <w:pPr>
              <w:pStyle w:val="10"/>
              <w:shd w:val="clear"/>
            </w:pPr>
            <w:r>
              <w:t>按照工作要求按时完成预定计划</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hd w:val="clear"/>
            </w:pPr>
          </w:p>
        </w:tc>
        <w:tc>
          <w:tcPr>
            <w:tcW w:w="1276" w:type="dxa"/>
            <w:vAlign w:val="center"/>
          </w:tcPr>
          <w:p>
            <w:pPr>
              <w:pStyle w:val="10"/>
              <w:shd w:val="clear"/>
            </w:pPr>
            <w:r>
              <w:t>成本指标</w:t>
            </w:r>
          </w:p>
        </w:tc>
        <w:tc>
          <w:tcPr>
            <w:tcW w:w="1332" w:type="dxa"/>
            <w:vAlign w:val="center"/>
          </w:tcPr>
          <w:p>
            <w:pPr>
              <w:pStyle w:val="10"/>
              <w:shd w:val="clear"/>
            </w:pPr>
            <w:r>
              <w:t>项目控制预算数</w:t>
            </w:r>
          </w:p>
        </w:tc>
        <w:tc>
          <w:tcPr>
            <w:tcW w:w="2891" w:type="dxa"/>
            <w:vAlign w:val="center"/>
          </w:tcPr>
          <w:p>
            <w:pPr>
              <w:pStyle w:val="10"/>
              <w:shd w:val="clear"/>
            </w:pPr>
            <w:r>
              <w:t>不超过财政支持经费</w:t>
            </w:r>
          </w:p>
        </w:tc>
        <w:tc>
          <w:tcPr>
            <w:tcW w:w="1276" w:type="dxa"/>
            <w:vAlign w:val="center"/>
          </w:tcPr>
          <w:p>
            <w:pPr>
              <w:pStyle w:val="10"/>
              <w:shd w:val="clear"/>
              <w:rPr>
                <w:rFonts w:hint="eastAsia"/>
                <w:lang w:eastAsia="zh-CN"/>
              </w:rPr>
            </w:pPr>
            <w:r>
              <w:rPr>
                <w:rFonts w:hint="eastAsia"/>
              </w:rPr>
              <w:t>≦</w:t>
            </w:r>
            <w:r>
              <w:rPr>
                <w:rFonts w:hint="eastAsia"/>
                <w:lang w:val="en-US" w:eastAsia="zh-CN"/>
              </w:rPr>
              <w:t>100%</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效益指标</w:t>
            </w:r>
          </w:p>
        </w:tc>
        <w:tc>
          <w:tcPr>
            <w:tcW w:w="1276" w:type="dxa"/>
            <w:vAlign w:val="center"/>
          </w:tcPr>
          <w:p>
            <w:pPr>
              <w:pStyle w:val="10"/>
              <w:shd w:val="clear"/>
            </w:pPr>
            <w:r>
              <w:t>可持续影响指标</w:t>
            </w:r>
          </w:p>
        </w:tc>
        <w:tc>
          <w:tcPr>
            <w:tcW w:w="1332" w:type="dxa"/>
            <w:vAlign w:val="center"/>
          </w:tcPr>
          <w:p>
            <w:pPr>
              <w:pStyle w:val="10"/>
              <w:shd w:val="clear"/>
            </w:pPr>
            <w:r>
              <w:t>长期使用性</w:t>
            </w:r>
          </w:p>
        </w:tc>
        <w:tc>
          <w:tcPr>
            <w:tcW w:w="2891" w:type="dxa"/>
            <w:vAlign w:val="center"/>
          </w:tcPr>
          <w:p>
            <w:pPr>
              <w:pStyle w:val="10"/>
              <w:shd w:val="clear"/>
            </w:pPr>
            <w:r>
              <w:t>能够长期较好地满足工作需求</w:t>
            </w:r>
          </w:p>
        </w:tc>
        <w:tc>
          <w:tcPr>
            <w:tcW w:w="1276" w:type="dxa"/>
            <w:vAlign w:val="center"/>
          </w:tcPr>
          <w:p>
            <w:pPr>
              <w:pStyle w:val="10"/>
              <w:shd w:val="clear"/>
              <w:rPr>
                <w:rFonts w:hint="eastAsia"/>
                <w:lang w:eastAsia="zh-CN"/>
              </w:rPr>
            </w:pPr>
            <w:r>
              <w:t>≥95</w:t>
            </w:r>
            <w:r>
              <w:rPr>
                <w:rFonts w:hint="eastAsia"/>
                <w:lang w:val="en-US" w:eastAsia="zh-CN"/>
              </w:rPr>
              <w:t>%</w:t>
            </w:r>
          </w:p>
        </w:tc>
        <w:tc>
          <w:tcPr>
            <w:tcW w:w="1843" w:type="dxa"/>
            <w:vAlign w:val="center"/>
          </w:tcPr>
          <w:p>
            <w:pPr>
              <w:pStyle w:val="10"/>
              <w:shd w:val="clea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hd w:val="clear"/>
            </w:pPr>
            <w:r>
              <w:t>满意度指标</w:t>
            </w:r>
          </w:p>
        </w:tc>
        <w:tc>
          <w:tcPr>
            <w:tcW w:w="1276" w:type="dxa"/>
            <w:vAlign w:val="center"/>
          </w:tcPr>
          <w:p>
            <w:pPr>
              <w:pStyle w:val="10"/>
              <w:shd w:val="clear"/>
            </w:pPr>
            <w:r>
              <w:t>服务对象满意度指标</w:t>
            </w:r>
          </w:p>
        </w:tc>
        <w:tc>
          <w:tcPr>
            <w:tcW w:w="1332" w:type="dxa"/>
            <w:vAlign w:val="center"/>
          </w:tcPr>
          <w:p>
            <w:pPr>
              <w:pStyle w:val="10"/>
              <w:shd w:val="clear"/>
            </w:pPr>
            <w:r>
              <w:t>单位工作人员满意度</w:t>
            </w:r>
          </w:p>
        </w:tc>
        <w:tc>
          <w:tcPr>
            <w:tcW w:w="2891" w:type="dxa"/>
            <w:vAlign w:val="center"/>
          </w:tcPr>
          <w:p>
            <w:pPr>
              <w:pStyle w:val="10"/>
              <w:shd w:val="clear"/>
            </w:pPr>
            <w:r>
              <w:t>调查中单位人员对单位环境满意和比较满意的人数占调查总人数的比率</w:t>
            </w:r>
          </w:p>
        </w:tc>
        <w:tc>
          <w:tcPr>
            <w:tcW w:w="1276" w:type="dxa"/>
            <w:vAlign w:val="center"/>
          </w:tcPr>
          <w:p>
            <w:pPr>
              <w:pStyle w:val="10"/>
              <w:shd w:val="clear"/>
              <w:rPr>
                <w:rFonts w:hint="eastAsia"/>
                <w:lang w:val="en-US" w:eastAsia="zh-CN"/>
              </w:rPr>
            </w:pPr>
            <w:r>
              <w:t>≥95</w:t>
            </w:r>
            <w:r>
              <w:rPr>
                <w:rFonts w:hint="eastAsia"/>
                <w:lang w:val="en-US" w:eastAsia="zh-CN"/>
              </w:rPr>
              <w:t>%</w:t>
            </w:r>
          </w:p>
        </w:tc>
        <w:tc>
          <w:tcPr>
            <w:tcW w:w="1843" w:type="dxa"/>
            <w:vAlign w:val="center"/>
          </w:tcPr>
          <w:p>
            <w:pPr>
              <w:pStyle w:val="10"/>
              <w:shd w:val="clear"/>
              <w:rPr>
                <w:rFonts w:hint="eastAsia"/>
                <w:lang w:eastAsia="zh-CN"/>
              </w:rPr>
            </w:pPr>
            <w:r>
              <w:rPr>
                <w:rFonts w:hint="eastAsia"/>
                <w:lang w:eastAsia="zh-CN"/>
              </w:rPr>
              <w:t>根据单位工作人员采访调查</w:t>
            </w:r>
          </w:p>
        </w:tc>
      </w:tr>
      <w:bookmarkEnd w:id="16"/>
    </w:tbl>
    <w:p>
      <w:pPr>
        <w:shd w:val="clea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A8FA4"/>
    <w:multiLevelType w:val="singleLevel"/>
    <w:tmpl w:val="C23A8F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B9"/>
    <w:rsid w:val="00173BE4"/>
    <w:rsid w:val="00844001"/>
    <w:rsid w:val="00AE48B9"/>
    <w:rsid w:val="00D46E2F"/>
    <w:rsid w:val="00FE42E5"/>
    <w:rsid w:val="01E85473"/>
    <w:rsid w:val="04EB3119"/>
    <w:rsid w:val="1F8E303B"/>
    <w:rsid w:val="231F4D52"/>
    <w:rsid w:val="23381E5C"/>
    <w:rsid w:val="49083083"/>
    <w:rsid w:val="4AF35E47"/>
    <w:rsid w:val="541B2C5A"/>
    <w:rsid w:val="6AC34B14"/>
    <w:rsid w:val="7F4F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basedOn w:val="1"/>
    <w:qFormat/>
    <w:uiPriority w:val="0"/>
    <w:pPr>
      <w:jc w:val="right"/>
    </w:pPr>
    <w:rPr>
      <w:rFonts w:ascii="方正书宋_GBK" w:hAnsi="方正书宋_GBK" w:eastAsia="方正书宋_GBK" w:cs="方正书宋_GBK"/>
      <w:sz w:val="21"/>
    </w:rPr>
  </w:style>
  <w:style w:type="paragraph" w:customStyle="1" w:styleId="9">
    <w:name w:val="单元格样式5"/>
    <w:basedOn w:val="1"/>
    <w:qFormat/>
    <w:uiPriority w:val="0"/>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2022-01-18T16:23:29Z</dcterms:created>
  <dcterms:modified xsi:type="dcterms:W3CDTF">2022-01-18T08:23:29Z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2022-01-18T16:23:28Z</dcterms:created>
  <dcterms:modified xsi:type="dcterms:W3CDTF">2022-01-18T08:23:28Z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2022-01-18T16:23:27Z</dcterms:created>
  <dcterms:modified xsi:type="dcterms:W3CDTF">2022-01-18T08:23:27Z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2022-01-18T16:23:28Z</dcterms:created>
  <dcterms:modified xsi:type="dcterms:W3CDTF">2022-01-18T08:23:28Z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2022-01-18T16:23:28Z</dcterms:created>
  <dcterms:modified xsi:type="dcterms:W3CDTF">2022-01-18T08:23:28Z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2022-01-18T16:23:28Z</dcterms:created>
  <dcterms:modified xsi:type="dcterms:W3CDTF">2022-01-18T08:23:28Z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2022-01-18T16:23:27Z</dcterms:created>
  <dcterms:modified xsi:type="dcterms:W3CDTF">2022-01-18T08:23:27Z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2022-01-18T16:23:26Z</dcterms:created>
  <dcterms:modified xsi:type="dcterms:W3CDTF">2022-01-18T08:23:26Z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2022-01-18T16:23:29Z</dcterms:created>
  <dcterms:modified xsi:type="dcterms:W3CDTF">2022-01-18T08:23:29Z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2022-01-18T16:23:27Z</dcterms:created>
  <dcterms:modified xsi:type="dcterms:W3CDTF">2022-01-18T08:23:27Z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2022-01-18T16:23:27Z</dcterms:created>
  <dcterms:modified xsi:type="dcterms:W3CDTF">2022-01-18T08:23:27Z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2022-01-18T16:23:29Z</dcterms:created>
  <dcterms:modified xsi:type="dcterms:W3CDTF">2022-01-18T08:23:29Z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2022-01-18T16:23:26Z</dcterms:created>
  <dcterms:modified xsi:type="dcterms:W3CDTF">2022-01-18T08:23:26Z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2022-01-18T16:23:28Z</dcterms:created>
  <dcterms:modified xsi:type="dcterms:W3CDTF">2022-01-18T08:23:28Z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2022-01-18T16:23:27Z</dcterms:created>
  <dcterms:modified xsi:type="dcterms:W3CDTF">2022-01-18T08:23:27Z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91C4E83-17E8-4BF4-9F95-B008CA2BE6AB}">
  <ds:schemaRefs/>
</ds:datastoreItem>
</file>

<file path=customXml/itemProps11.xml><?xml version="1.0" encoding="utf-8"?>
<ds:datastoreItem xmlns:ds="http://schemas.openxmlformats.org/officeDocument/2006/customXml" ds:itemID="{DF0F5E22-2B05-4E91-A08C-55DC7D8A09DF}">
  <ds:schemaRefs/>
</ds:datastoreItem>
</file>

<file path=customXml/itemProps12.xml><?xml version="1.0" encoding="utf-8"?>
<ds:datastoreItem xmlns:ds="http://schemas.openxmlformats.org/officeDocument/2006/customXml" ds:itemID="{9BD94C61-6588-4B79-8B76-A25E22B45604}">
  <ds:schemaRefs/>
</ds:datastoreItem>
</file>

<file path=customXml/itemProps13.xml><?xml version="1.0" encoding="utf-8"?>
<ds:datastoreItem xmlns:ds="http://schemas.openxmlformats.org/officeDocument/2006/customXml" ds:itemID="{9EC95479-F434-4DEB-B6D7-AEB66D1DECAB}">
  <ds:schemaRefs/>
</ds:datastoreItem>
</file>

<file path=customXml/itemProps14.xml><?xml version="1.0" encoding="utf-8"?>
<ds:datastoreItem xmlns:ds="http://schemas.openxmlformats.org/officeDocument/2006/customXml" ds:itemID="{C8C8F798-669A-40F3-88D4-8623F92B6F73}">
  <ds:schemaRefs/>
</ds:datastoreItem>
</file>

<file path=customXml/itemProps15.xml><?xml version="1.0" encoding="utf-8"?>
<ds:datastoreItem xmlns:ds="http://schemas.openxmlformats.org/officeDocument/2006/customXml" ds:itemID="{562F6025-52B0-4AE1-901C-A358F54B0588}">
  <ds:schemaRefs/>
</ds:datastoreItem>
</file>

<file path=customXml/itemProps16.xml><?xml version="1.0" encoding="utf-8"?>
<ds:datastoreItem xmlns:ds="http://schemas.openxmlformats.org/officeDocument/2006/customXml" ds:itemID="{51F74BA7-0700-4B40-A792-AA82EC8AFBF9}">
  <ds:schemaRefs/>
</ds:datastoreItem>
</file>

<file path=customXml/itemProps17.xml><?xml version="1.0" encoding="utf-8"?>
<ds:datastoreItem xmlns:ds="http://schemas.openxmlformats.org/officeDocument/2006/customXml" ds:itemID="{C25552C0-54AD-41FE-A762-838B6CFBD608}">
  <ds:schemaRefs/>
</ds:datastoreItem>
</file>

<file path=customXml/itemProps18.xml><?xml version="1.0" encoding="utf-8"?>
<ds:datastoreItem xmlns:ds="http://schemas.openxmlformats.org/officeDocument/2006/customXml" ds:itemID="{CF7ABAB5-C2AD-49EE-A0C8-D8A6CE4BED4D}">
  <ds:schemaRefs/>
</ds:datastoreItem>
</file>

<file path=customXml/itemProps19.xml><?xml version="1.0" encoding="utf-8"?>
<ds:datastoreItem xmlns:ds="http://schemas.openxmlformats.org/officeDocument/2006/customXml" ds:itemID="{1B5DC159-6922-46C7-88D9-02B7F34ABA00}">
  <ds:schemaRefs/>
</ds:datastoreItem>
</file>

<file path=customXml/itemProps2.xml><?xml version="1.0" encoding="utf-8"?>
<ds:datastoreItem xmlns:ds="http://schemas.openxmlformats.org/officeDocument/2006/customXml" ds:itemID="{53710CE1-9F6F-4E85-8498-D0B0FB31C339}">
  <ds:schemaRefs/>
</ds:datastoreItem>
</file>

<file path=customXml/itemProps20.xml><?xml version="1.0" encoding="utf-8"?>
<ds:datastoreItem xmlns:ds="http://schemas.openxmlformats.org/officeDocument/2006/customXml" ds:itemID="{E75405FC-0089-4F37-8682-F3F70A9D0BEE}">
  <ds:schemaRefs/>
</ds:datastoreItem>
</file>

<file path=customXml/itemProps21.xml><?xml version="1.0" encoding="utf-8"?>
<ds:datastoreItem xmlns:ds="http://schemas.openxmlformats.org/officeDocument/2006/customXml" ds:itemID="{C3390FCD-D2B6-4CE2-B924-3C4BDD00C201}">
  <ds:schemaRefs/>
</ds:datastoreItem>
</file>

<file path=customXml/itemProps22.xml><?xml version="1.0" encoding="utf-8"?>
<ds:datastoreItem xmlns:ds="http://schemas.openxmlformats.org/officeDocument/2006/customXml" ds:itemID="{2CC9DE44-5152-4477-8A5F-A63769A8EF18}">
  <ds:schemaRefs/>
</ds:datastoreItem>
</file>

<file path=customXml/itemProps23.xml><?xml version="1.0" encoding="utf-8"?>
<ds:datastoreItem xmlns:ds="http://schemas.openxmlformats.org/officeDocument/2006/customXml" ds:itemID="{A7A81033-6871-4476-822B-2FE7891C79AC}">
  <ds:schemaRefs/>
</ds:datastoreItem>
</file>

<file path=customXml/itemProps24.xml><?xml version="1.0" encoding="utf-8"?>
<ds:datastoreItem xmlns:ds="http://schemas.openxmlformats.org/officeDocument/2006/customXml" ds:itemID="{BD284A6E-661C-4390-85FE-9731670EFABB}">
  <ds:schemaRefs/>
</ds:datastoreItem>
</file>

<file path=customXml/itemProps25.xml><?xml version="1.0" encoding="utf-8"?>
<ds:datastoreItem xmlns:ds="http://schemas.openxmlformats.org/officeDocument/2006/customXml" ds:itemID="{82549881-146A-4C6B-A9F0-AAF59048A06D}">
  <ds:schemaRefs/>
</ds:datastoreItem>
</file>

<file path=customXml/itemProps26.xml><?xml version="1.0" encoding="utf-8"?>
<ds:datastoreItem xmlns:ds="http://schemas.openxmlformats.org/officeDocument/2006/customXml" ds:itemID="{4AEBB95B-A8BF-4646-B89A-4F1363A7046D}">
  <ds:schemaRefs/>
</ds:datastoreItem>
</file>

<file path=customXml/itemProps27.xml><?xml version="1.0" encoding="utf-8"?>
<ds:datastoreItem xmlns:ds="http://schemas.openxmlformats.org/officeDocument/2006/customXml" ds:itemID="{2F9CC422-45D9-45E5-A47B-CBBFFEF765F7}">
  <ds:schemaRefs/>
</ds:datastoreItem>
</file>

<file path=customXml/itemProps28.xml><?xml version="1.0" encoding="utf-8"?>
<ds:datastoreItem xmlns:ds="http://schemas.openxmlformats.org/officeDocument/2006/customXml" ds:itemID="{980AC551-EC83-481A-A6DB-655C293487E5}">
  <ds:schemaRefs/>
</ds:datastoreItem>
</file>

<file path=customXml/itemProps29.xml><?xml version="1.0" encoding="utf-8"?>
<ds:datastoreItem xmlns:ds="http://schemas.openxmlformats.org/officeDocument/2006/customXml" ds:itemID="{07259E6A-EBA8-42F8-B95E-6E76B2EDD439}">
  <ds:schemaRefs/>
</ds:datastoreItem>
</file>

<file path=customXml/itemProps3.xml><?xml version="1.0" encoding="utf-8"?>
<ds:datastoreItem xmlns:ds="http://schemas.openxmlformats.org/officeDocument/2006/customXml" ds:itemID="{1895DAA2-55DC-4C02-B6FD-F4E19C65A1A5}">
  <ds:schemaRefs/>
</ds:datastoreItem>
</file>

<file path=customXml/itemProps30.xml><?xml version="1.0" encoding="utf-8"?>
<ds:datastoreItem xmlns:ds="http://schemas.openxmlformats.org/officeDocument/2006/customXml" ds:itemID="{FB4EE078-15C7-4B37-B5CE-46BFDC0CBA26}">
  <ds:schemaRefs/>
</ds:datastoreItem>
</file>

<file path=customXml/itemProps31.xml><?xml version="1.0" encoding="utf-8"?>
<ds:datastoreItem xmlns:ds="http://schemas.openxmlformats.org/officeDocument/2006/customXml" ds:itemID="{C3701D80-52DD-43A9-BE62-B7B44B2A7354}">
  <ds:schemaRefs/>
</ds:datastoreItem>
</file>

<file path=customXml/itemProps4.xml><?xml version="1.0" encoding="utf-8"?>
<ds:datastoreItem xmlns:ds="http://schemas.openxmlformats.org/officeDocument/2006/customXml" ds:itemID="{20224F34-5FA6-4DC8-B5F6-85470B4B8800}">
  <ds:schemaRefs/>
</ds:datastoreItem>
</file>

<file path=customXml/itemProps5.xml><?xml version="1.0" encoding="utf-8"?>
<ds:datastoreItem xmlns:ds="http://schemas.openxmlformats.org/officeDocument/2006/customXml" ds:itemID="{CF2AA321-515F-4676-8210-33D5C8F0A850}">
  <ds:schemaRefs/>
</ds:datastoreItem>
</file>

<file path=customXml/itemProps6.xml><?xml version="1.0" encoding="utf-8"?>
<ds:datastoreItem xmlns:ds="http://schemas.openxmlformats.org/officeDocument/2006/customXml" ds:itemID="{DA6DA589-2C77-4031-8118-BB15E25DC373}">
  <ds:schemaRefs/>
</ds:datastoreItem>
</file>

<file path=customXml/itemProps7.xml><?xml version="1.0" encoding="utf-8"?>
<ds:datastoreItem xmlns:ds="http://schemas.openxmlformats.org/officeDocument/2006/customXml" ds:itemID="{5948E73D-ACD3-46A0-B8CC-753622F9AE44}">
  <ds:schemaRefs/>
</ds:datastoreItem>
</file>

<file path=customXml/itemProps8.xml><?xml version="1.0" encoding="utf-8"?>
<ds:datastoreItem xmlns:ds="http://schemas.openxmlformats.org/officeDocument/2006/customXml" ds:itemID="{E25C0860-43A7-447D-9F87-F6E87025E3CF}">
  <ds:schemaRefs/>
</ds:datastoreItem>
</file>

<file path=customXml/itemProps9.xml><?xml version="1.0" encoding="utf-8"?>
<ds:datastoreItem xmlns:ds="http://schemas.openxmlformats.org/officeDocument/2006/customXml" ds:itemID="{4FBEE45A-F50A-4B48-B9E2-490536BF7C3F}">
  <ds:schemaRefs/>
</ds:datastoreItem>
</file>

<file path=docProps/app.xml><?xml version="1.0" encoding="utf-8"?>
<Properties xmlns="http://schemas.openxmlformats.org/officeDocument/2006/extended-properties" xmlns:vt="http://schemas.openxmlformats.org/officeDocument/2006/docPropsVTypes">
  <Template>Normal</Template>
  <Pages>26</Pages>
  <Words>2329</Words>
  <Characters>13281</Characters>
  <Lines>110</Lines>
  <Paragraphs>31</Paragraphs>
  <TotalTime>1</TotalTime>
  <ScaleCrop>false</ScaleCrop>
  <LinksUpToDate>false</LinksUpToDate>
  <CharactersWithSpaces>15579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2022-01-18T16:23:00Z</dcterms:created>
  <dc:creator>Administrator</dc:creator>
  <cp:lastModifiedBy>Administrator</cp:lastModifiedBy>
  <dcterms:modified xsi:type="dcterms:W3CDTF">2022-06-23T08:26:01Z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