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72"/>
        </w:rPr>
        <w:t>区委部门</w:t>
      </w:r>
    </w:p>
    <w:p>
      <w:pPr>
        <w:jc w:val="center"/>
      </w:pPr>
      <w:r>
        <w:rPr>
          <w:rFonts w:ascii="方正小标宋_GBK" w:hAnsi="方正小标宋_GBK" w:eastAsia="方正小标宋_GBK" w:cs="方正小标宋_GBK"/>
          <w:color w:val="000000"/>
          <w:sz w:val="72"/>
        </w:rPr>
        <w:t>2022年部门预算绩效文本</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楷体_GBK" w:hAnsi="方正楷体_GBK" w:eastAsia="方正楷体_GBK" w:cs="方正楷体_GBK"/>
          <w:b/>
          <w:color w:val="000000"/>
          <w:sz w:val="32"/>
        </w:rPr>
        <w:t>区委部门编制</w:t>
      </w: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jc w:val="center"/>
      </w:pPr>
      <w:r>
        <w:rPr>
          <w:rFonts w:ascii="方正小标宋_GBK" w:hAnsi="方正小标宋_GBK" w:eastAsia="方正小标宋_GBK" w:cs="方正小标宋_GBK"/>
          <w:color w:val="000000"/>
          <w:sz w:val="30"/>
        </w:rPr>
        <w:t>第一部分 部门整体绩效目标</w:t>
      </w:r>
    </w:p>
    <w:p>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30"/>
        </w:rPr>
        <w:t>第二部分 预算项目绩效目标</w:t>
      </w: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1.车辆保险费绩效目标表</w:t>
      </w:r>
      <w:r>
        <w:tab/>
      </w:r>
      <w:r>
        <w:fldChar w:fldCharType="begin"/>
      </w:r>
      <w:r>
        <w:instrText xml:space="preserve">PAGEREF _Toc_4_4_0000000004 \h</w:instrText>
      </w:r>
      <w:r>
        <w:fldChar w:fldCharType="separate"/>
      </w:r>
      <w:r>
        <w:t>6</w:t>
      </w:r>
      <w:r>
        <w:fldChar w:fldCharType="end"/>
      </w:r>
      <w:r>
        <w:fldChar w:fldCharType="end"/>
      </w:r>
    </w:p>
    <w:p>
      <w:pPr>
        <w:pStyle w:val="17"/>
        <w:tabs>
          <w:tab w:val="right" w:leader="dot" w:pos="9282"/>
        </w:tabs>
      </w:pPr>
      <w:r>
        <w:fldChar w:fldCharType="begin"/>
      </w:r>
      <w:r>
        <w:instrText xml:space="preserve"> HYPERLINK \l "_Toc_4_4_0000000005" </w:instrText>
      </w:r>
      <w:r>
        <w:fldChar w:fldCharType="separate"/>
      </w:r>
      <w:r>
        <w:t>2.《中共山海关区历史》第二卷出版印刷费绩效目标表</w:t>
      </w:r>
      <w:r>
        <w:tab/>
      </w:r>
      <w:r>
        <w:fldChar w:fldCharType="begin"/>
      </w:r>
      <w:r>
        <w:instrText xml:space="preserve">PAGEREF _Toc_4_4_0000000005 \h</w:instrText>
      </w:r>
      <w:r>
        <w:fldChar w:fldCharType="separate"/>
      </w:r>
      <w:r>
        <w:t>7</w:t>
      </w:r>
      <w:r>
        <w:fldChar w:fldCharType="end"/>
      </w:r>
      <w:r>
        <w:fldChar w:fldCharType="end"/>
      </w:r>
    </w:p>
    <w:p>
      <w:pPr>
        <w:pStyle w:val="17"/>
        <w:tabs>
          <w:tab w:val="right" w:leader="dot" w:pos="9282"/>
        </w:tabs>
      </w:pPr>
      <w:r>
        <w:fldChar w:fldCharType="begin"/>
      </w:r>
      <w:r>
        <w:instrText xml:space="preserve"> HYPERLINK \l "_Toc_4_4_0000000006" </w:instrText>
      </w:r>
      <w:r>
        <w:fldChar w:fldCharType="separate"/>
      </w:r>
      <w:r>
        <w:t>3.安可替代工程资金绩效目标表</w:t>
      </w:r>
      <w:r>
        <w:tab/>
      </w:r>
      <w:r>
        <w:fldChar w:fldCharType="begin"/>
      </w:r>
      <w:r>
        <w:instrText xml:space="preserve">PAGEREF _Toc_4_4_0000000006 \h</w:instrText>
      </w:r>
      <w:r>
        <w:fldChar w:fldCharType="separate"/>
      </w:r>
      <w:r>
        <w:t>8</w:t>
      </w:r>
      <w:r>
        <w:fldChar w:fldCharType="end"/>
      </w:r>
      <w:r>
        <w:fldChar w:fldCharType="end"/>
      </w:r>
    </w:p>
    <w:p>
      <w:pPr>
        <w:pStyle w:val="17"/>
        <w:tabs>
          <w:tab w:val="right" w:leader="dot" w:pos="9282"/>
        </w:tabs>
      </w:pPr>
      <w:r>
        <w:fldChar w:fldCharType="begin"/>
      </w:r>
      <w:r>
        <w:instrText xml:space="preserve"> HYPERLINK \l "_Toc_4_4_0000000007" </w:instrText>
      </w:r>
      <w:r>
        <w:fldChar w:fldCharType="separate"/>
      </w:r>
      <w:r>
        <w:t>4.保密宣传技术防范工作经费绩效目标表</w:t>
      </w:r>
      <w:r>
        <w:tab/>
      </w:r>
      <w:r>
        <w:fldChar w:fldCharType="begin"/>
      </w:r>
      <w:r>
        <w:instrText xml:space="preserve">PAGEREF _Toc_4_4_0000000007 \h</w:instrText>
      </w:r>
      <w:r>
        <w:fldChar w:fldCharType="separate"/>
      </w:r>
      <w:r>
        <w:t>9</w:t>
      </w:r>
      <w:r>
        <w:fldChar w:fldCharType="end"/>
      </w:r>
      <w:r>
        <w:fldChar w:fldCharType="end"/>
      </w:r>
    </w:p>
    <w:p>
      <w:pPr>
        <w:pStyle w:val="17"/>
        <w:tabs>
          <w:tab w:val="right" w:leader="dot" w:pos="9282"/>
        </w:tabs>
      </w:pPr>
      <w:r>
        <w:fldChar w:fldCharType="begin"/>
      </w:r>
      <w:r>
        <w:instrText xml:space="preserve"> HYPERLINK \l "_Toc_4_4_0000000008" </w:instrText>
      </w:r>
      <w:r>
        <w:fldChar w:fldCharType="separate"/>
      </w:r>
      <w:r>
        <w:t>5.电子政务内网及红机二级网配套设备维护检测费绩效目标表</w:t>
      </w:r>
      <w:r>
        <w:tab/>
      </w:r>
      <w:r>
        <w:fldChar w:fldCharType="begin"/>
      </w:r>
      <w:r>
        <w:instrText xml:space="preserve">PAGEREF _Toc_4_4_0000000008 \h</w:instrText>
      </w:r>
      <w:r>
        <w:fldChar w:fldCharType="separate"/>
      </w:r>
      <w:r>
        <w:t>10</w:t>
      </w:r>
      <w:r>
        <w:fldChar w:fldCharType="end"/>
      </w:r>
      <w:r>
        <w:fldChar w:fldCharType="end"/>
      </w:r>
    </w:p>
    <w:p>
      <w:pPr>
        <w:pStyle w:val="17"/>
        <w:tabs>
          <w:tab w:val="right" w:leader="dot" w:pos="9282"/>
        </w:tabs>
      </w:pPr>
      <w:r>
        <w:fldChar w:fldCharType="begin"/>
      </w:r>
      <w:r>
        <w:instrText xml:space="preserve"> HYPERLINK \l "_Toc_4_4_0000000009" </w:instrText>
      </w:r>
      <w:r>
        <w:fldChar w:fldCharType="separate"/>
      </w:r>
      <w:r>
        <w:t>6.会务活动承办费绩效目标表</w:t>
      </w:r>
      <w:r>
        <w:tab/>
      </w:r>
      <w:r>
        <w:fldChar w:fldCharType="begin"/>
      </w:r>
      <w:r>
        <w:instrText xml:space="preserve">PAGEREF _Toc_4_4_0000000009 \h</w:instrText>
      </w:r>
      <w:r>
        <w:fldChar w:fldCharType="separate"/>
      </w:r>
      <w:r>
        <w:t>11</w:t>
      </w:r>
      <w:r>
        <w:fldChar w:fldCharType="end"/>
      </w:r>
      <w:r>
        <w:fldChar w:fldCharType="end"/>
      </w:r>
    </w:p>
    <w:p>
      <w:pPr>
        <w:pStyle w:val="17"/>
        <w:tabs>
          <w:tab w:val="right" w:leader="dot" w:pos="9282"/>
        </w:tabs>
      </w:pPr>
      <w:r>
        <w:fldChar w:fldCharType="begin"/>
      </w:r>
      <w:r>
        <w:instrText xml:space="preserve"> HYPERLINK \l "_Toc_4_4_0000000010" </w:instrText>
      </w:r>
      <w:r>
        <w:fldChar w:fldCharType="separate"/>
      </w:r>
      <w:r>
        <w:t>7.密码通信配套设备购置维护费绩效目标表</w:t>
      </w:r>
      <w:r>
        <w:tab/>
      </w:r>
      <w:r>
        <w:fldChar w:fldCharType="begin"/>
      </w:r>
      <w:r>
        <w:instrText xml:space="preserve">PAGEREF _Toc_4_4_0000000010 \h</w:instrText>
      </w:r>
      <w:r>
        <w:fldChar w:fldCharType="separate"/>
      </w:r>
      <w:r>
        <w:t>12</w:t>
      </w:r>
      <w:r>
        <w:fldChar w:fldCharType="end"/>
      </w:r>
      <w:r>
        <w:fldChar w:fldCharType="end"/>
      </w:r>
    </w:p>
    <w:p>
      <w:pPr>
        <w:pStyle w:val="17"/>
        <w:tabs>
          <w:tab w:val="right" w:leader="dot" w:pos="9282"/>
        </w:tabs>
      </w:pPr>
      <w:r>
        <w:fldChar w:fldCharType="begin"/>
      </w:r>
      <w:r>
        <w:instrText xml:space="preserve"> HYPERLINK \l "_Toc_4_4_0000000011" </w:instrText>
      </w:r>
      <w:r>
        <w:fldChar w:fldCharType="separate"/>
      </w:r>
      <w:r>
        <w:t>8.综合保障管理费绩效目标表</w:t>
      </w:r>
      <w:r>
        <w:tab/>
      </w:r>
      <w:r>
        <w:fldChar w:fldCharType="begin"/>
      </w:r>
      <w:r>
        <w:instrText xml:space="preserve">PAGEREF _Toc_4_4_0000000011 \h</w:instrText>
      </w:r>
      <w:r>
        <w:fldChar w:fldCharType="separate"/>
      </w:r>
      <w:r>
        <w:t>13</w:t>
      </w:r>
      <w:r>
        <w:fldChar w:fldCharType="end"/>
      </w:r>
      <w:r>
        <w:fldChar w:fldCharType="end"/>
      </w:r>
    </w:p>
    <w:p>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br w:type="page"/>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r>
        <w:rPr>
          <w:rFonts w:ascii="方正小标宋_GBK" w:hAnsi="方正小标宋_GBK" w:eastAsia="方正小标宋_GBK" w:cs="方正小标宋_GBK"/>
          <w:color w:val="000000"/>
          <w:sz w:val="44"/>
        </w:rPr>
        <w:t xml:space="preserve"> </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总体绩效目标：</w:t>
      </w:r>
    </w:p>
    <w:p>
      <w:pPr>
        <w:pStyle w:val="7"/>
      </w:pPr>
      <w:r>
        <w:t>全面贯彻党的十九大精神，坚持以习近平新时代中国特色社会主义思想为指导，以“三服务”为宗旨，以“三满意”为目标，发挥区委领导左右手、参谋部和后勤部的作用，促进各项工作开展。围绕区委重大决策部署以及人民群众反映的热点、难点问题，适时开展督查、跟踪问效，推动工作落实。开展纠正“四风”工作，提升工作效能，优化营商环境。做好调查研究、综合文字、公文管理、会务服务、保障协调等各项工作，提高工作制度化、规范化水平，努力开创区委办公室工作新局面。</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分项绩效目标：</w:t>
      </w:r>
    </w:p>
    <w:p>
      <w:pPr>
        <w:pStyle w:val="8"/>
      </w:pPr>
      <w:r>
        <w:t xml:space="preserve">1、综合事务管理工作 </w:t>
      </w:r>
    </w:p>
    <w:p>
      <w:pPr>
        <w:pStyle w:val="8"/>
      </w:pPr>
      <w:r>
        <w:t>绩效目标：贯彻落实中央决策部署和省</w:t>
      </w:r>
      <w:r>
        <w:rPr>
          <w:rFonts w:hint="eastAsia"/>
          <w:lang w:eastAsia="zh-CN"/>
        </w:rPr>
        <w:t>、</w:t>
      </w:r>
      <w:bookmarkStart w:id="11" w:name="_GoBack"/>
      <w:bookmarkEnd w:id="11"/>
      <w:r>
        <w:rPr>
          <w:rFonts w:hint="eastAsia"/>
          <w:lang w:eastAsia="zh-CN"/>
        </w:rPr>
        <w:t>市</w:t>
      </w:r>
      <w:r>
        <w:t xml:space="preserve">委工作安排，做好区委日常服务工作，完成上级对区委办公室提出的各项工作要求。 </w:t>
      </w:r>
    </w:p>
    <w:p>
      <w:pPr>
        <w:pStyle w:val="8"/>
      </w:pPr>
      <w:r>
        <w:t xml:space="preserve">绩效指标：日常工作保障率100%。 </w:t>
      </w:r>
    </w:p>
    <w:p>
      <w:pPr>
        <w:pStyle w:val="8"/>
      </w:pPr>
      <w:r>
        <w:t xml:space="preserve">2、会务服务工作 </w:t>
      </w:r>
    </w:p>
    <w:p>
      <w:pPr>
        <w:pStyle w:val="8"/>
      </w:pPr>
      <w:r>
        <w:t xml:space="preserve">绩效目标：遵守服务程序和服务规范，做好会前、会中、会后的服务，让参会人员满意。 </w:t>
      </w:r>
    </w:p>
    <w:p>
      <w:pPr>
        <w:pStyle w:val="8"/>
      </w:pPr>
      <w:r>
        <w:t xml:space="preserve">绩效指标：参会人员满意度≥95%。 </w:t>
      </w:r>
    </w:p>
    <w:p>
      <w:pPr>
        <w:pStyle w:val="8"/>
      </w:pPr>
      <w:r>
        <w:t xml:space="preserve">3、国家安全工作 </w:t>
      </w:r>
    </w:p>
    <w:p>
      <w:pPr>
        <w:pStyle w:val="8"/>
      </w:pPr>
      <w:r>
        <w:t xml:space="preserve">绩效目标：贯彻落实以习近平同志为核心的党中央关于国家安全工作的决策部署。 </w:t>
      </w:r>
    </w:p>
    <w:p>
      <w:pPr>
        <w:pStyle w:val="8"/>
      </w:pPr>
      <w:r>
        <w:t xml:space="preserve">绩效指标：各项工作完成率100%。 </w:t>
      </w:r>
    </w:p>
    <w:p>
      <w:pPr>
        <w:pStyle w:val="8"/>
      </w:pPr>
      <w:r>
        <w:t xml:space="preserve">4、深化改革工作 </w:t>
      </w:r>
    </w:p>
    <w:p>
      <w:pPr>
        <w:pStyle w:val="8"/>
      </w:pPr>
      <w:r>
        <w:t xml:space="preserve">绩效目标：完成全年改革工作任务，开展改革课题研究及时反映全区改革工作特色经验。 </w:t>
      </w:r>
    </w:p>
    <w:p>
      <w:pPr>
        <w:pStyle w:val="8"/>
      </w:pPr>
      <w:r>
        <w:t>绩效指标：实际开展改革课题研究数量达到年初计划数。</w:t>
      </w:r>
    </w:p>
    <w:p>
      <w:pPr>
        <w:pStyle w:val="8"/>
      </w:pPr>
      <w:r>
        <w:t xml:space="preserve">5、公文办理、秘书工作 </w:t>
      </w:r>
    </w:p>
    <w:p>
      <w:pPr>
        <w:pStyle w:val="8"/>
      </w:pPr>
      <w:r>
        <w:t>绩效目标：完成区委日常文书的起草、审核、印制、传阅、档案资料整理和电子文档制作等工作。</w:t>
      </w:r>
    </w:p>
    <w:p>
      <w:pPr>
        <w:pStyle w:val="8"/>
      </w:pPr>
      <w:r>
        <w:t xml:space="preserve">绩效指标：工作完成准确率100%。 </w:t>
      </w:r>
    </w:p>
    <w:p>
      <w:pPr>
        <w:pStyle w:val="8"/>
      </w:pPr>
      <w:r>
        <w:t>6、督导检查工作</w:t>
      </w:r>
    </w:p>
    <w:p>
      <w:pPr>
        <w:pStyle w:val="8"/>
      </w:pPr>
      <w:r>
        <w:t xml:space="preserve">绩效目标：围绕区委重大决策部署以及人民群众反映的热点、难点问题，开展督查及跟踪问效，推动工作落实。 </w:t>
      </w:r>
    </w:p>
    <w:p>
      <w:pPr>
        <w:pStyle w:val="8"/>
      </w:pPr>
      <w:r>
        <w:t xml:space="preserve">绩效指标：督导批示件交办完成率100%；重大决策部署责任分解完成率100%。 </w:t>
      </w:r>
    </w:p>
    <w:p>
      <w:pPr>
        <w:pStyle w:val="8"/>
      </w:pPr>
      <w:r>
        <w:t xml:space="preserve">7、纠正“四风”纪律整治工作 </w:t>
      </w:r>
    </w:p>
    <w:p>
      <w:pPr>
        <w:pStyle w:val="8"/>
      </w:pPr>
      <w:r>
        <w:t xml:space="preserve">绩效目标：开展深化纠正“四风”和作风纪律专项整治工作，不断提升工作效能和优化营商环境。 </w:t>
      </w:r>
    </w:p>
    <w:p>
      <w:pPr>
        <w:pStyle w:val="8"/>
      </w:pPr>
      <w:r>
        <w:t xml:space="preserve">绩效指标：群众满意度≥95%。 </w:t>
      </w:r>
    </w:p>
    <w:p>
      <w:pPr>
        <w:pStyle w:val="8"/>
      </w:pPr>
      <w:r>
        <w:t xml:space="preserve">8、全面从严治党主体责任工作 </w:t>
      </w:r>
    </w:p>
    <w:p>
      <w:pPr>
        <w:pStyle w:val="8"/>
      </w:pPr>
      <w:r>
        <w:t>绩效目标：落实全面从严治党主体责任具体工作任务，推动指导全区各单位单位层层压实主体责任。</w:t>
      </w:r>
    </w:p>
    <w:p>
      <w:pPr>
        <w:pStyle w:val="8"/>
      </w:pPr>
      <w:r>
        <w:t xml:space="preserve">绩效指标：主体责任考核工作完成率100%。 </w:t>
      </w:r>
    </w:p>
    <w:p>
      <w:pPr>
        <w:pStyle w:val="8"/>
      </w:pPr>
      <w:r>
        <w:t xml:space="preserve">9、值班、网络信息化管理工作 </w:t>
      </w:r>
    </w:p>
    <w:p>
      <w:pPr>
        <w:pStyle w:val="8"/>
      </w:pPr>
      <w:r>
        <w:t>绩效目标：保障全区值班工作规范有序开展，保障行政中心网络平稳运行。</w:t>
      </w:r>
    </w:p>
    <w:p>
      <w:pPr>
        <w:pStyle w:val="8"/>
      </w:pPr>
      <w:r>
        <w:t xml:space="preserve">绩效指标：值班工作达标率≥95%、网络运行保障率≥95%。 </w:t>
      </w:r>
    </w:p>
    <w:p>
      <w:pPr>
        <w:pStyle w:val="8"/>
      </w:pPr>
      <w:r>
        <w:t xml:space="preserve">10、保密机要综合管理工作 </w:t>
      </w:r>
    </w:p>
    <w:p>
      <w:pPr>
        <w:pStyle w:val="8"/>
      </w:pPr>
      <w:r>
        <w:t xml:space="preserve">绩效目标：确保机要密码通信、电子政务内网、党政红机二级网运行正常。依法行使对全区党政机关保密工作的监督检查指导。 </w:t>
      </w:r>
    </w:p>
    <w:p>
      <w:pPr>
        <w:pStyle w:val="8"/>
      </w:pPr>
      <w:r>
        <w:t>绩效指标：保障密码通信安全畅通。</w:t>
      </w:r>
    </w:p>
    <w:p>
      <w:pPr>
        <w:pStyle w:val="8"/>
      </w:pPr>
      <w:r>
        <w:t>11、党史研究宣传工作</w:t>
      </w:r>
    </w:p>
    <w:p>
      <w:pPr>
        <w:pStyle w:val="8"/>
      </w:pPr>
      <w:r>
        <w:t xml:space="preserve">绩效目标：完成对山海关地方党史资料征集、编纂出版、专题研究和宣传教育工作，为区委、区政府决策提供史料依据。 </w:t>
      </w:r>
    </w:p>
    <w:p>
      <w:pPr>
        <w:pStyle w:val="8"/>
      </w:pPr>
      <w:r>
        <w:t>绩效指标：工作完成情况达到年初计划。</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本部门根据工作职责和任务，结合预算绩效管理实际情况，制定如下保障措施：</w:t>
      </w:r>
    </w:p>
    <w:p>
      <w:pPr>
        <w:pStyle w:val="9"/>
      </w:pPr>
      <w:r>
        <w:t>（一）完善制度建设</w:t>
      </w:r>
    </w:p>
    <w:p>
      <w:pPr>
        <w:pStyle w:val="9"/>
      </w:pPr>
      <w:r>
        <w:t>制定完善预算绩效管理制度、资金管理办法、工作保障制度等内控管理制度，为全年预算绩效目标的实现奠定制度基础。</w:t>
      </w:r>
    </w:p>
    <w:p>
      <w:pPr>
        <w:pStyle w:val="9"/>
      </w:pPr>
      <w:r>
        <w:t xml:space="preserve">（二）加强支出管理 </w:t>
      </w:r>
    </w:p>
    <w:p>
      <w:pPr>
        <w:pStyle w:val="9"/>
      </w:pPr>
      <w:r>
        <w:t xml:space="preserve">优化支出结构，加强预算编制的细致性和实际性。编制公用经费和项目经费的预算数，与上一年经费支出和使用情况进行对比合理预测。加强资金使用监管，提高会计人员业务水平和责任意识，定期对项目经费使用情况进行专项的监督、检查，并公布检查结果。 </w:t>
      </w:r>
    </w:p>
    <w:p>
      <w:pPr>
        <w:pStyle w:val="9"/>
      </w:pPr>
      <w:r>
        <w:t>（三）加强绩效监控</w:t>
      </w:r>
    </w:p>
    <w:p>
      <w:pPr>
        <w:pStyle w:val="9"/>
      </w:pPr>
      <w:r>
        <w:t>按要求开展绩效运行监控，从项目进度情况、绩效目标预期完成情况、项目资金构成、资金使用情况等方面明确预算执行绩效运行监控分析要点，对执行绩效目标中存在和发现问题及时采取措施纠正偏差，确保绩效目标如期保质实现。</w:t>
      </w:r>
    </w:p>
    <w:p>
      <w:pPr>
        <w:pStyle w:val="9"/>
      </w:pPr>
      <w:r>
        <w:t>（四）做好绩效自评</w:t>
      </w:r>
    </w:p>
    <w:p>
      <w:pPr>
        <w:pStyle w:val="9"/>
      </w:pPr>
      <w:r>
        <w:t>根据本部门的基本情况，做好绩效评价的组织实施，成立专门评价工作组，明确岗位职责和分工任务，制定评价指标体系，从目标设定、预算配置、预算执行、资产管理、履职效益等指标进行评价。按要求开展上年 度部门预算绩效自评和重点评价工作，对评价中发现的问题及时整改，调整优化支出结构，提高财政资金使用效益。</w:t>
      </w:r>
    </w:p>
    <w:p>
      <w:pPr>
        <w:pStyle w:val="9"/>
      </w:pPr>
      <w:r>
        <w:t xml:space="preserve">（五）规范资产管理 </w:t>
      </w:r>
    </w:p>
    <w:p>
      <w:pPr>
        <w:pStyle w:val="9"/>
      </w:pPr>
      <w:r>
        <w:t xml:space="preserve">完善财务管理制度，严格审批程序，加强固定资产登记、使用和报废处置管理，做到支出合理，物尽其用。根据单位实际情况制定资产管理制度和管理程序。对取得的资产进行验收并办理相关手续。对现有资产进行登记，完善资产管理的信息系统。定期对资产盘点并编制报告、查找盘盈盘亏原因并落实责任，对资产处置进行相关账务处理工作。 </w:t>
      </w:r>
    </w:p>
    <w:p>
      <w:pPr>
        <w:pStyle w:val="9"/>
      </w:pPr>
      <w:r>
        <w:t xml:space="preserve">（六）加强内部监督 </w:t>
      </w:r>
    </w:p>
    <w:p>
      <w:pPr>
        <w:pStyle w:val="9"/>
      </w:pPr>
      <w:r>
        <w:t xml:space="preserve">加强内部监督制度建设，对绩效运行情况、重大支出决策、资产处置事项的决策和执行进行督导，对会计资料进行内部审计，并配合做好审计、财政监督等外部监督工作，确保财政资金使用安全有效。 </w:t>
      </w:r>
    </w:p>
    <w:p>
      <w:pPr>
        <w:pStyle w:val="9"/>
      </w:pPr>
      <w:r>
        <w:t xml:space="preserve">（七）加强培训调研 </w:t>
      </w:r>
    </w:p>
    <w:p>
      <w:pPr>
        <w:pStyle w:val="9"/>
      </w:pPr>
      <w:r>
        <w:t>加强业务人员培训，不断提高本部门职工业务素质。加强交流研讨，共同研究预算绩效管理中面临的新情况、新问题，提出优化财政资金配置、提高资金使用效益的意见。强化预算绩效管理意识，促进预算绩效管理水平进一步提升。</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outlineLvl w:val="0"/>
      </w:pPr>
      <w:r>
        <w:rPr>
          <w:rFonts w:ascii="方正小标宋_GBK" w:hAnsi="方正小标宋_GBK" w:eastAsia="方正小标宋_GBK" w:cs="方正小标宋_GBK"/>
          <w:color w:val="000000"/>
          <w:sz w:val="44"/>
        </w:rPr>
        <w:t>预算项目绩效目标</w:t>
      </w:r>
    </w:p>
    <w:p>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_4_4_0000000004"/>
      <w:r>
        <w:rPr>
          <w:rFonts w:ascii="方正仿宋_GBK" w:hAnsi="方正仿宋_GBK" w:eastAsia="方正仿宋_GBK" w:cs="方正仿宋_GBK"/>
          <w:color w:val="000000"/>
          <w:sz w:val="28"/>
        </w:rPr>
        <w:t>1.车辆保险费绩效目标表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201001区委部门中共秦皇岛市山海关区委办公室本级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13030322P00397010003D</w:t>
            </w:r>
          </w:p>
        </w:tc>
        <w:tc>
          <w:tcPr>
            <w:tcW w:w="1587" w:type="dxa"/>
            <w:vAlign w:val="center"/>
          </w:tcPr>
          <w:p>
            <w:pPr>
              <w:pStyle w:val="13"/>
            </w:pPr>
            <w:r>
              <w:t>项目名称</w:t>
            </w:r>
          </w:p>
        </w:tc>
        <w:tc>
          <w:tcPr>
            <w:tcW w:w="4422" w:type="dxa"/>
            <w:gridSpan w:val="3"/>
            <w:vAlign w:val="center"/>
          </w:tcPr>
          <w:p>
            <w:pPr>
              <w:pStyle w:val="12"/>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3.20</w:t>
            </w:r>
          </w:p>
        </w:tc>
        <w:tc>
          <w:tcPr>
            <w:tcW w:w="1587" w:type="dxa"/>
            <w:vAlign w:val="center"/>
          </w:tcPr>
          <w:p>
            <w:pPr>
              <w:pStyle w:val="13"/>
            </w:pPr>
            <w:r>
              <w:t>其中：财政    资金</w:t>
            </w:r>
          </w:p>
        </w:tc>
        <w:tc>
          <w:tcPr>
            <w:tcW w:w="1304" w:type="dxa"/>
            <w:vAlign w:val="center"/>
          </w:tcPr>
          <w:p>
            <w:pPr>
              <w:pStyle w:val="12"/>
            </w:pPr>
            <w:r>
              <w:t>3.20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30%</w:t>
            </w:r>
          </w:p>
        </w:tc>
        <w:tc>
          <w:tcPr>
            <w:tcW w:w="1587" w:type="dxa"/>
            <w:vAlign w:val="center"/>
          </w:tcPr>
          <w:p>
            <w:pPr>
              <w:pStyle w:val="14"/>
            </w:pPr>
            <w:r>
              <w:t>60%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1.保障车辆合法运行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缴纳车辆保险数量</w:t>
            </w:r>
          </w:p>
        </w:tc>
        <w:tc>
          <w:tcPr>
            <w:tcW w:w="2891" w:type="dxa"/>
            <w:vAlign w:val="center"/>
          </w:tcPr>
          <w:p>
            <w:pPr>
              <w:pStyle w:val="12"/>
            </w:pPr>
            <w:r>
              <w:t>缴纳车辆保险数量</w:t>
            </w:r>
          </w:p>
        </w:tc>
        <w:tc>
          <w:tcPr>
            <w:tcW w:w="1276" w:type="dxa"/>
            <w:vAlign w:val="center"/>
          </w:tcPr>
          <w:p>
            <w:pPr>
              <w:pStyle w:val="12"/>
            </w:pPr>
            <w:r>
              <w:t>8辆</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车辆正常运行率</w:t>
            </w:r>
          </w:p>
        </w:tc>
        <w:tc>
          <w:tcPr>
            <w:tcW w:w="2891" w:type="dxa"/>
            <w:vAlign w:val="center"/>
          </w:tcPr>
          <w:p>
            <w:pPr>
              <w:pStyle w:val="12"/>
            </w:pPr>
            <w:r>
              <w:t>车辆正常运行率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2.《中共山海关区历史》第二卷出版印刷费绩效目标表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201001区委部门中共秦皇岛市山海关区委办公室本级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13030322P003998100012</w:t>
            </w:r>
          </w:p>
        </w:tc>
        <w:tc>
          <w:tcPr>
            <w:tcW w:w="1587" w:type="dxa"/>
            <w:vAlign w:val="center"/>
          </w:tcPr>
          <w:p>
            <w:pPr>
              <w:pStyle w:val="13"/>
            </w:pPr>
            <w:r>
              <w:t>项目名称</w:t>
            </w:r>
          </w:p>
        </w:tc>
        <w:tc>
          <w:tcPr>
            <w:tcW w:w="4422" w:type="dxa"/>
            <w:gridSpan w:val="3"/>
            <w:vAlign w:val="center"/>
          </w:tcPr>
          <w:p>
            <w:pPr>
              <w:pStyle w:val="12"/>
            </w:pPr>
            <w:r>
              <w:t>《中共山海关区历史》第二卷出版印刷费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304" w:type="dxa"/>
            <w:vAlign w:val="center"/>
          </w:tcPr>
          <w:p>
            <w:pPr>
              <w:pStyle w:val="12"/>
            </w:pPr>
            <w:r>
              <w:t>5.00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《中共山海关区历史》第二卷出版印刷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100%</w:t>
            </w:r>
          </w:p>
        </w:tc>
        <w:tc>
          <w:tcPr>
            <w:tcW w:w="1587" w:type="dxa"/>
            <w:vAlign w:val="center"/>
          </w:tcPr>
          <w:p>
            <w:pPr>
              <w:pStyle w:val="14"/>
            </w:pPr>
            <w:r>
              <w:t>100%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1.完成《中共山海关区历史》第二卷出版印刷。</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印刷数量</w:t>
            </w:r>
          </w:p>
        </w:tc>
        <w:tc>
          <w:tcPr>
            <w:tcW w:w="2891" w:type="dxa"/>
            <w:vAlign w:val="center"/>
          </w:tcPr>
          <w:p>
            <w:pPr>
              <w:pStyle w:val="12"/>
            </w:pPr>
            <w:r>
              <w:t>出版印刷册数</w:t>
            </w:r>
          </w:p>
        </w:tc>
        <w:tc>
          <w:tcPr>
            <w:tcW w:w="1276" w:type="dxa"/>
            <w:vAlign w:val="center"/>
          </w:tcPr>
          <w:p>
            <w:pPr>
              <w:pStyle w:val="12"/>
            </w:pPr>
            <w:r>
              <w:t>≥1000册</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出版质量要求</w:t>
            </w:r>
          </w:p>
        </w:tc>
        <w:tc>
          <w:tcPr>
            <w:tcW w:w="2891" w:type="dxa"/>
            <w:vAlign w:val="center"/>
          </w:tcPr>
          <w:p>
            <w:pPr>
              <w:pStyle w:val="12"/>
            </w:pPr>
            <w:r>
              <w:t>出版质量要求</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群众知晓率</w:t>
            </w:r>
          </w:p>
        </w:tc>
        <w:tc>
          <w:tcPr>
            <w:tcW w:w="2891" w:type="dxa"/>
            <w:vAlign w:val="center"/>
          </w:tcPr>
          <w:p>
            <w:pPr>
              <w:pStyle w:val="12"/>
            </w:pPr>
            <w:r>
              <w:t>知晓人员占调查人员的比率</w:t>
            </w:r>
          </w:p>
        </w:tc>
        <w:tc>
          <w:tcPr>
            <w:tcW w:w="1276" w:type="dxa"/>
            <w:vAlign w:val="center"/>
          </w:tcPr>
          <w:p>
            <w:pPr>
              <w:pStyle w:val="12"/>
            </w:pPr>
            <w:r>
              <w:t>≥90%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发挥党史资政育人作用</w:t>
            </w:r>
          </w:p>
        </w:tc>
        <w:tc>
          <w:tcPr>
            <w:tcW w:w="2891" w:type="dxa"/>
            <w:vAlign w:val="center"/>
          </w:tcPr>
          <w:p>
            <w:pPr>
              <w:pStyle w:val="12"/>
            </w:pPr>
            <w:r>
              <w:t>为党的建设提供历史借鉴</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3.安可替代工程资金绩效目标表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201001区委部门中共秦皇岛市山海关区委办公室本级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13030322P00399910001P</w:t>
            </w:r>
          </w:p>
        </w:tc>
        <w:tc>
          <w:tcPr>
            <w:tcW w:w="1587" w:type="dxa"/>
            <w:vAlign w:val="center"/>
          </w:tcPr>
          <w:p>
            <w:pPr>
              <w:pStyle w:val="13"/>
            </w:pPr>
            <w:r>
              <w:t>项目名称</w:t>
            </w:r>
          </w:p>
        </w:tc>
        <w:tc>
          <w:tcPr>
            <w:tcW w:w="4422" w:type="dxa"/>
            <w:gridSpan w:val="3"/>
            <w:vAlign w:val="center"/>
          </w:tcPr>
          <w:p>
            <w:pPr>
              <w:pStyle w:val="12"/>
            </w:pPr>
            <w:r>
              <w:t>安可替代工程资金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w:t>
            </w:r>
          </w:p>
        </w:tc>
        <w:tc>
          <w:tcPr>
            <w:tcW w:w="1587" w:type="dxa"/>
            <w:vAlign w:val="center"/>
          </w:tcPr>
          <w:p>
            <w:pPr>
              <w:pStyle w:val="13"/>
            </w:pPr>
            <w:r>
              <w:t>其中：财政    资金</w:t>
            </w:r>
          </w:p>
        </w:tc>
        <w:tc>
          <w:tcPr>
            <w:tcW w:w="1304" w:type="dxa"/>
            <w:vAlign w:val="center"/>
          </w:tcPr>
          <w:p>
            <w:pPr>
              <w:pStyle w:val="12"/>
            </w:pPr>
            <w:r>
              <w:t>7.00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安可替代工程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100%</w:t>
            </w:r>
          </w:p>
        </w:tc>
        <w:tc>
          <w:tcPr>
            <w:tcW w:w="1587" w:type="dxa"/>
            <w:vAlign w:val="center"/>
          </w:tcPr>
          <w:p>
            <w:pPr>
              <w:pStyle w:val="14"/>
            </w:pPr>
            <w:r>
              <w:t>100%</w:t>
            </w:r>
          </w:p>
        </w:tc>
        <w:tc>
          <w:tcPr>
            <w:tcW w:w="1304" w:type="dxa"/>
            <w:vAlign w:val="center"/>
          </w:tcPr>
          <w:p>
            <w:pPr>
              <w:pStyle w:val="14"/>
            </w:pPr>
            <w:r>
              <w:t>100%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1.完成安可替代工程任务。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4.保密宣传技术防范工作经费绩效目标表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201001区委部门中共秦皇岛市山海关区委办公室本级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13030322P003995100011</w:t>
            </w:r>
          </w:p>
        </w:tc>
        <w:tc>
          <w:tcPr>
            <w:tcW w:w="1587" w:type="dxa"/>
            <w:vAlign w:val="center"/>
          </w:tcPr>
          <w:p>
            <w:pPr>
              <w:pStyle w:val="13"/>
            </w:pPr>
            <w:r>
              <w:t>项目名称</w:t>
            </w:r>
          </w:p>
        </w:tc>
        <w:tc>
          <w:tcPr>
            <w:tcW w:w="4422" w:type="dxa"/>
            <w:gridSpan w:val="3"/>
            <w:vAlign w:val="center"/>
          </w:tcPr>
          <w:p>
            <w:pPr>
              <w:pStyle w:val="12"/>
            </w:pPr>
            <w:r>
              <w:t>保密宣传技术防范工作经费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11.50</w:t>
            </w:r>
          </w:p>
        </w:tc>
        <w:tc>
          <w:tcPr>
            <w:tcW w:w="1587" w:type="dxa"/>
            <w:vAlign w:val="center"/>
          </w:tcPr>
          <w:p>
            <w:pPr>
              <w:pStyle w:val="13"/>
            </w:pPr>
            <w:r>
              <w:t>其中：财政    资金</w:t>
            </w:r>
          </w:p>
        </w:tc>
        <w:tc>
          <w:tcPr>
            <w:tcW w:w="1304" w:type="dxa"/>
            <w:vAlign w:val="center"/>
          </w:tcPr>
          <w:p>
            <w:pPr>
              <w:pStyle w:val="12"/>
            </w:pPr>
            <w:r>
              <w:t>11.50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保密宣传与技术防范。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60%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1.保障业务正常开展。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≥90%</w:t>
            </w:r>
          </w:p>
        </w:tc>
        <w:tc>
          <w:tcPr>
            <w:tcW w:w="1843" w:type="dxa"/>
            <w:vAlign w:val="center"/>
          </w:tcPr>
          <w:p>
            <w:pPr>
              <w:pStyle w:val="12"/>
            </w:pPr>
            <w:r>
              <w:t>涉密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5.电子政务内网及红机二级网配套设备维护检测费绩效目标表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201001区委部门中共秦皇岛市山海关区委办公室本级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13030322P00399410001B</w:t>
            </w:r>
          </w:p>
        </w:tc>
        <w:tc>
          <w:tcPr>
            <w:tcW w:w="1587" w:type="dxa"/>
            <w:vAlign w:val="center"/>
          </w:tcPr>
          <w:p>
            <w:pPr>
              <w:pStyle w:val="13"/>
            </w:pPr>
            <w:r>
              <w:t>项目名称</w:t>
            </w:r>
          </w:p>
        </w:tc>
        <w:tc>
          <w:tcPr>
            <w:tcW w:w="4422" w:type="dxa"/>
            <w:gridSpan w:val="3"/>
            <w:vAlign w:val="center"/>
          </w:tcPr>
          <w:p>
            <w:pPr>
              <w:pStyle w:val="12"/>
            </w:pPr>
            <w:r>
              <w:t>电子政务内网及红机二级网配套设备维护检测费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6.12</w:t>
            </w:r>
          </w:p>
        </w:tc>
        <w:tc>
          <w:tcPr>
            <w:tcW w:w="1587" w:type="dxa"/>
            <w:vAlign w:val="center"/>
          </w:tcPr>
          <w:p>
            <w:pPr>
              <w:pStyle w:val="13"/>
            </w:pPr>
            <w:r>
              <w:t>其中：财政    资金</w:t>
            </w:r>
          </w:p>
        </w:tc>
        <w:tc>
          <w:tcPr>
            <w:tcW w:w="1304" w:type="dxa"/>
            <w:vAlign w:val="center"/>
          </w:tcPr>
          <w:p>
            <w:pPr>
              <w:pStyle w:val="12"/>
            </w:pPr>
            <w:r>
              <w:t>6.12</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电子政务内网及红机二级网配套设备维护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1.保障业务正常开展，单位正常运转。</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6.会务活动承办费绩效目标表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201001区委部门中共秦皇岛市山海关区委办公室本级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13030322P004267100013</w:t>
            </w:r>
          </w:p>
        </w:tc>
        <w:tc>
          <w:tcPr>
            <w:tcW w:w="1587" w:type="dxa"/>
            <w:vAlign w:val="center"/>
          </w:tcPr>
          <w:p>
            <w:pPr>
              <w:pStyle w:val="13"/>
            </w:pPr>
            <w:r>
              <w:t>项目名称</w:t>
            </w:r>
          </w:p>
        </w:tc>
        <w:tc>
          <w:tcPr>
            <w:tcW w:w="4422" w:type="dxa"/>
            <w:gridSpan w:val="3"/>
            <w:vAlign w:val="center"/>
          </w:tcPr>
          <w:p>
            <w:pPr>
              <w:pStyle w:val="12"/>
            </w:pPr>
            <w:r>
              <w:t>会务活动承办费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304" w:type="dxa"/>
            <w:vAlign w:val="center"/>
          </w:tcPr>
          <w:p>
            <w:pPr>
              <w:pStyle w:val="12"/>
            </w:pPr>
            <w:r>
              <w:t>20.00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会务活动承办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90%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1.保障大型会议、各种公务活动、公务接待顺利举办。</w:t>
            </w:r>
          </w:p>
          <w:p>
            <w:pPr>
              <w:pStyle w:val="12"/>
            </w:pP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举办活动场次</w:t>
            </w:r>
          </w:p>
        </w:tc>
        <w:tc>
          <w:tcPr>
            <w:tcW w:w="2891" w:type="dxa"/>
            <w:vAlign w:val="center"/>
          </w:tcPr>
          <w:p>
            <w:pPr>
              <w:pStyle w:val="12"/>
            </w:pPr>
            <w:r>
              <w:t>举办活动场次</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活动顺利举办</w:t>
            </w:r>
          </w:p>
        </w:tc>
        <w:tc>
          <w:tcPr>
            <w:tcW w:w="2891" w:type="dxa"/>
            <w:vAlign w:val="center"/>
          </w:tcPr>
          <w:p>
            <w:pPr>
              <w:pStyle w:val="12"/>
            </w:pPr>
            <w:r>
              <w:t>活动顺利举办率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对经济发展的促进作用</w:t>
            </w:r>
          </w:p>
        </w:tc>
        <w:tc>
          <w:tcPr>
            <w:tcW w:w="2891" w:type="dxa"/>
            <w:vAlign w:val="center"/>
          </w:tcPr>
          <w:p>
            <w:pPr>
              <w:pStyle w:val="12"/>
            </w:pPr>
            <w:r>
              <w:t>对经济发展的促进作用</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执行相关标准，降低成本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持续发展作用力</w:t>
            </w:r>
          </w:p>
        </w:tc>
        <w:tc>
          <w:tcPr>
            <w:tcW w:w="2891" w:type="dxa"/>
            <w:vAlign w:val="center"/>
          </w:tcPr>
          <w:p>
            <w:pPr>
              <w:pStyle w:val="12"/>
            </w:pPr>
            <w:r>
              <w:t>持续发展作用力</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服务对象满意和较满意的人数占总人数的比率</w:t>
            </w:r>
          </w:p>
        </w:tc>
        <w:tc>
          <w:tcPr>
            <w:tcW w:w="1276" w:type="dxa"/>
            <w:vAlign w:val="center"/>
          </w:tcPr>
          <w:p>
            <w:pPr>
              <w:pStyle w:val="12"/>
            </w:pPr>
            <w:r>
              <w:t>≥95%</w:t>
            </w:r>
          </w:p>
        </w:tc>
        <w:tc>
          <w:tcPr>
            <w:tcW w:w="1843" w:type="dxa"/>
            <w:vAlign w:val="center"/>
          </w:tcPr>
          <w:p>
            <w:pPr>
              <w:pStyle w:val="12"/>
            </w:pPr>
            <w:r>
              <w:t>年度工作计划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7.密码通信配套设备购置维护费绩效目标表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201001区委部门中共秦皇岛市山海关区委办公室本级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13030322P00399310001M</w:t>
            </w:r>
          </w:p>
        </w:tc>
        <w:tc>
          <w:tcPr>
            <w:tcW w:w="1587" w:type="dxa"/>
            <w:vAlign w:val="center"/>
          </w:tcPr>
          <w:p>
            <w:pPr>
              <w:pStyle w:val="13"/>
            </w:pPr>
            <w:r>
              <w:t>项目名称</w:t>
            </w:r>
          </w:p>
        </w:tc>
        <w:tc>
          <w:tcPr>
            <w:tcW w:w="4422" w:type="dxa"/>
            <w:gridSpan w:val="3"/>
            <w:vAlign w:val="center"/>
          </w:tcPr>
          <w:p>
            <w:pPr>
              <w:pStyle w:val="12"/>
            </w:pPr>
            <w:r>
              <w:t>密码通信配套设备购置维护费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7.48</w:t>
            </w:r>
          </w:p>
        </w:tc>
        <w:tc>
          <w:tcPr>
            <w:tcW w:w="1587" w:type="dxa"/>
            <w:vAlign w:val="center"/>
          </w:tcPr>
          <w:p>
            <w:pPr>
              <w:pStyle w:val="13"/>
            </w:pPr>
            <w:r>
              <w:t>其中：财政    资金</w:t>
            </w:r>
          </w:p>
        </w:tc>
        <w:tc>
          <w:tcPr>
            <w:tcW w:w="1304" w:type="dxa"/>
            <w:vAlign w:val="center"/>
          </w:tcPr>
          <w:p>
            <w:pPr>
              <w:pStyle w:val="12"/>
            </w:pPr>
            <w:r>
              <w:t>7.48</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密码通信配套设备购置维护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50%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1.保障业务正常开展，单位正常运转。</w:t>
            </w:r>
          </w:p>
          <w:p>
            <w:pPr>
              <w:pStyle w:val="12"/>
            </w:pP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涉密</w:t>
            </w:r>
          </w:p>
        </w:tc>
        <w:tc>
          <w:tcPr>
            <w:tcW w:w="2891" w:type="dxa"/>
            <w:vAlign w:val="center"/>
          </w:tcPr>
          <w:p>
            <w:pPr>
              <w:pStyle w:val="12"/>
            </w:pPr>
            <w:r>
              <w:t>涉密</w:t>
            </w:r>
          </w:p>
        </w:tc>
        <w:tc>
          <w:tcPr>
            <w:tcW w:w="1276" w:type="dxa"/>
            <w:vAlign w:val="center"/>
          </w:tcPr>
          <w:p>
            <w:pPr>
              <w:pStyle w:val="12"/>
            </w:pPr>
            <w:r>
              <w:t>≥95%</w:t>
            </w:r>
          </w:p>
        </w:tc>
        <w:tc>
          <w:tcPr>
            <w:tcW w:w="1843" w:type="dxa"/>
            <w:vAlign w:val="center"/>
          </w:tcPr>
          <w:p>
            <w:pPr>
              <w:pStyle w:val="12"/>
            </w:pPr>
            <w:r>
              <w:t>涉密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8.综合保障管理费绩效目标表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1"/>
            </w:pPr>
            <w:r>
              <w:t>201001区委部门中共秦皇岛市山海关区委办公室本级</w:t>
            </w:r>
          </w:p>
        </w:tc>
        <w:tc>
          <w:tcPr>
            <w:tcW w:w="1843"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2608" w:type="dxa"/>
            <w:gridSpan w:val="2"/>
            <w:vAlign w:val="center"/>
          </w:tcPr>
          <w:p>
            <w:pPr>
              <w:pStyle w:val="12"/>
            </w:pPr>
            <w:r>
              <w:t>13030322P00426810001Q</w:t>
            </w:r>
          </w:p>
        </w:tc>
        <w:tc>
          <w:tcPr>
            <w:tcW w:w="1587" w:type="dxa"/>
            <w:vAlign w:val="center"/>
          </w:tcPr>
          <w:p>
            <w:pPr>
              <w:pStyle w:val="13"/>
            </w:pPr>
            <w:r>
              <w:t>项目名称</w:t>
            </w:r>
          </w:p>
        </w:tc>
        <w:tc>
          <w:tcPr>
            <w:tcW w:w="4422" w:type="dxa"/>
            <w:gridSpan w:val="3"/>
            <w:vAlign w:val="center"/>
          </w:tcPr>
          <w:p>
            <w:pPr>
              <w:pStyle w:val="12"/>
            </w:pPr>
            <w:r>
              <w:t>综合保障管理费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w:t>
            </w:r>
          </w:p>
        </w:tc>
        <w:tc>
          <w:tcPr>
            <w:tcW w:w="1587" w:type="dxa"/>
            <w:vAlign w:val="center"/>
          </w:tcPr>
          <w:p>
            <w:pPr>
              <w:pStyle w:val="13"/>
            </w:pPr>
            <w:r>
              <w:t>其中：财政    资金</w:t>
            </w:r>
          </w:p>
        </w:tc>
        <w:tc>
          <w:tcPr>
            <w:tcW w:w="1304" w:type="dxa"/>
            <w:vAlign w:val="center"/>
          </w:tcPr>
          <w:p>
            <w:pPr>
              <w:pStyle w:val="12"/>
            </w:pPr>
            <w:r>
              <w:t>70.00</w:t>
            </w:r>
          </w:p>
        </w:tc>
        <w:tc>
          <w:tcPr>
            <w:tcW w:w="1276" w:type="dxa"/>
            <w:vAlign w:val="center"/>
          </w:tcPr>
          <w:p>
            <w:pPr>
              <w:pStyle w:val="13"/>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综合保障管理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2608" w:type="dxa"/>
            <w:gridSpan w:val="2"/>
            <w:vAlign w:val="center"/>
          </w:tcPr>
          <w:p>
            <w:pPr>
              <w:pStyle w:val="13"/>
            </w:pPr>
            <w:r>
              <w:t>3月底</w:t>
            </w:r>
          </w:p>
        </w:tc>
        <w:tc>
          <w:tcPr>
            <w:tcW w:w="1587" w:type="dxa"/>
            <w:vAlign w:val="center"/>
          </w:tcPr>
          <w:p>
            <w:pPr>
              <w:pStyle w:val="13"/>
            </w:pPr>
            <w:r>
              <w:t>6月底</w:t>
            </w:r>
          </w:p>
        </w:tc>
        <w:tc>
          <w:tcPr>
            <w:tcW w:w="1304" w:type="dxa"/>
            <w:vAlign w:val="center"/>
          </w:tcPr>
          <w:p>
            <w:pPr>
              <w:pStyle w:val="13"/>
            </w:pPr>
            <w:r>
              <w:t>10月底</w:t>
            </w:r>
          </w:p>
        </w:tc>
        <w:tc>
          <w:tcPr>
            <w:tcW w:w="3118"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4"/>
            </w:pPr>
            <w:r>
              <w:t>25%</w:t>
            </w:r>
          </w:p>
        </w:tc>
        <w:tc>
          <w:tcPr>
            <w:tcW w:w="1587" w:type="dxa"/>
            <w:vAlign w:val="center"/>
          </w:tcPr>
          <w:p>
            <w:pPr>
              <w:pStyle w:val="14"/>
            </w:pPr>
            <w:r>
              <w:t>60%</w:t>
            </w:r>
          </w:p>
        </w:tc>
        <w:tc>
          <w:tcPr>
            <w:tcW w:w="1304" w:type="dxa"/>
            <w:vAlign w:val="center"/>
          </w:tcPr>
          <w:p>
            <w:pPr>
              <w:pStyle w:val="14"/>
            </w:pPr>
            <w:r>
              <w:t>80%</w:t>
            </w:r>
          </w:p>
        </w:tc>
        <w:tc>
          <w:tcPr>
            <w:tcW w:w="3118"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617" w:type="dxa"/>
            <w:gridSpan w:val="6"/>
            <w:vAlign w:val="center"/>
          </w:tcPr>
          <w:p>
            <w:pPr>
              <w:pStyle w:val="12"/>
            </w:pPr>
            <w:r>
              <w:t>1.保障单位正常运转。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2891" w:type="dxa"/>
            <w:vAlign w:val="center"/>
          </w:tcPr>
          <w:p>
            <w:pPr>
              <w:pStyle w:val="13"/>
            </w:pPr>
            <w:r>
              <w:t>绩效指标描述</w:t>
            </w:r>
          </w:p>
        </w:tc>
        <w:tc>
          <w:tcPr>
            <w:tcW w:w="1276" w:type="dxa"/>
            <w:vAlign w:val="center"/>
          </w:tcPr>
          <w:p>
            <w:pPr>
              <w:pStyle w:val="13"/>
            </w:pPr>
            <w:r>
              <w:t>指标值</w:t>
            </w:r>
          </w:p>
        </w:tc>
        <w:tc>
          <w:tcPr>
            <w:tcW w:w="1843"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支付经费人数</w:t>
            </w:r>
          </w:p>
        </w:tc>
        <w:tc>
          <w:tcPr>
            <w:tcW w:w="2891" w:type="dxa"/>
            <w:vAlign w:val="center"/>
          </w:tcPr>
          <w:p>
            <w:pPr>
              <w:pStyle w:val="12"/>
            </w:pPr>
            <w:r>
              <w:t>支付经费人数</w:t>
            </w:r>
          </w:p>
        </w:tc>
        <w:tc>
          <w:tcPr>
            <w:tcW w:w="1276" w:type="dxa"/>
            <w:vAlign w:val="center"/>
          </w:tcPr>
          <w:p>
            <w:pPr>
              <w:pStyle w:val="12"/>
            </w:pPr>
            <w:r>
              <w:t>36人</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办公设备正常运行率</w:t>
            </w:r>
          </w:p>
        </w:tc>
        <w:tc>
          <w:tcPr>
            <w:tcW w:w="2891" w:type="dxa"/>
            <w:vAlign w:val="center"/>
          </w:tcPr>
          <w:p>
            <w:pPr>
              <w:pStyle w:val="12"/>
            </w:pPr>
            <w:r>
              <w:t>办公设备正常运行率</w:t>
            </w:r>
          </w:p>
        </w:tc>
        <w:tc>
          <w:tcPr>
            <w:tcW w:w="1276" w:type="dxa"/>
            <w:vAlign w:val="center"/>
          </w:tcPr>
          <w:p>
            <w:pPr>
              <w:pStyle w:val="12"/>
            </w:pPr>
            <w:r>
              <w:t>≥95%</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按项目计划完成工作</w:t>
            </w:r>
          </w:p>
        </w:tc>
        <w:tc>
          <w:tcPr>
            <w:tcW w:w="2891" w:type="dxa"/>
            <w:vAlign w:val="center"/>
          </w:tcPr>
          <w:p>
            <w:pPr>
              <w:pStyle w:val="12"/>
            </w:pPr>
            <w:r>
              <w:t>按照工作要求按时完成预定计划</w:t>
            </w:r>
          </w:p>
        </w:tc>
        <w:tc>
          <w:tcPr>
            <w:tcW w:w="1276" w:type="dxa"/>
            <w:vAlign w:val="center"/>
          </w:tcPr>
          <w:p>
            <w:pPr>
              <w:pStyle w:val="12"/>
            </w:pPr>
            <w:r>
              <w:t>100%</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项目控制预算数</w:t>
            </w:r>
          </w:p>
        </w:tc>
        <w:tc>
          <w:tcPr>
            <w:tcW w:w="2891" w:type="dxa"/>
            <w:vAlign w:val="center"/>
          </w:tcPr>
          <w:p>
            <w:pPr>
              <w:pStyle w:val="12"/>
            </w:pPr>
            <w:r>
              <w:t>不超过财政支持经费</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提高工作效率</w:t>
            </w:r>
          </w:p>
        </w:tc>
        <w:tc>
          <w:tcPr>
            <w:tcW w:w="2891" w:type="dxa"/>
            <w:vAlign w:val="center"/>
          </w:tcPr>
          <w:p>
            <w:pPr>
              <w:pStyle w:val="12"/>
            </w:pPr>
            <w:r>
              <w:t>是否能提高工作效率</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节约成本</w:t>
            </w:r>
          </w:p>
        </w:tc>
        <w:tc>
          <w:tcPr>
            <w:tcW w:w="2891" w:type="dxa"/>
            <w:vAlign w:val="center"/>
          </w:tcPr>
          <w:p>
            <w:pPr>
              <w:pStyle w:val="12"/>
            </w:pPr>
            <w:r>
              <w:t>降低能耗，实现绿色办公</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长期使用性</w:t>
            </w:r>
          </w:p>
        </w:tc>
        <w:tc>
          <w:tcPr>
            <w:tcW w:w="2891" w:type="dxa"/>
            <w:vAlign w:val="center"/>
          </w:tcPr>
          <w:p>
            <w:pPr>
              <w:pStyle w:val="12"/>
            </w:pPr>
            <w:r>
              <w:t>能够长期较好地满足工作需求</w:t>
            </w:r>
          </w:p>
        </w:tc>
        <w:tc>
          <w:tcPr>
            <w:tcW w:w="1276" w:type="dxa"/>
            <w:vAlign w:val="center"/>
          </w:tcPr>
          <w:p>
            <w:pPr>
              <w:pStyle w:val="12"/>
            </w:pPr>
            <w:r>
              <w:t>是/否</w:t>
            </w:r>
          </w:p>
        </w:tc>
        <w:tc>
          <w:tcPr>
            <w:tcW w:w="1843"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单位工作人员满意度</w:t>
            </w:r>
          </w:p>
        </w:tc>
        <w:tc>
          <w:tcPr>
            <w:tcW w:w="2891" w:type="dxa"/>
            <w:vAlign w:val="center"/>
          </w:tcPr>
          <w:p>
            <w:pPr>
              <w:pStyle w:val="12"/>
            </w:pPr>
            <w:r>
              <w:t>调查中单位人员对单位环境满意和较满意的人数占调查总人数的比率</w:t>
            </w:r>
          </w:p>
        </w:tc>
        <w:tc>
          <w:tcPr>
            <w:tcW w:w="1276" w:type="dxa"/>
            <w:vAlign w:val="center"/>
          </w:tcPr>
          <w:p>
            <w:pPr>
              <w:pStyle w:val="12"/>
            </w:pPr>
            <w:r>
              <w:t>≥95%</w:t>
            </w:r>
          </w:p>
        </w:tc>
        <w:tc>
          <w:tcPr>
            <w:tcW w:w="1843" w:type="dxa"/>
            <w:vAlign w:val="center"/>
          </w:tcPr>
          <w:p>
            <w:pPr>
              <w:pStyle w:val="12"/>
            </w:pPr>
            <w: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panose1 w:val="02000000000000000000"/>
    <w:charset w:val="86"/>
    <w:family w:val="roman"/>
    <w:pitch w:val="default"/>
    <w:sig w:usb0="00000001" w:usb1="0800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0572C"/>
    <w:rsid w:val="003013E7"/>
    <w:rsid w:val="0040572C"/>
    <w:rsid w:val="4370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2022-01-18T15:53:24Z</dcterms:created>
  <dcterms:modified xsi:type="dcterms:W3CDTF">2022-01-18T07:53:24Z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2022-01-18T15:53:22Z</dcterms:created>
  <dcterms:modified xsi:type="dcterms:W3CDTF">2022-01-18T07:53:22Z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2022-01-18T15:53:24Z</dcterms:created>
  <dcterms:modified xsi:type="dcterms:W3CDTF">2022-01-18T07:53:24Z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2022-01-18T15:53:23Z</dcterms:created>
  <dcterms:modified xsi:type="dcterms:W3CDTF">2022-01-18T07:53:23Z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2022-01-18T15:53:22Z</dcterms:created>
  <dcterms:modified xsi:type="dcterms:W3CDTF">2022-01-18T07:53:22Z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2022-01-18T15:53:24Z</dcterms:created>
  <dcterms:modified xsi:type="dcterms:W3CDTF">2022-01-18T07:53:23Z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2022-01-18T15:53:22Z</dcterms:created>
  <dcterms:modified xsi:type="dcterms:W3CDTF">2022-01-18T07:53:22Z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2022-01-18T15:53:24Z</dcterms:created>
  <dcterms:modified xsi:type="dcterms:W3CDTF">2022-01-18T07:53:24Z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2022-01-18T15:53:22Z</dcterms:created>
  <dcterms:modified xsi:type="dcterms:W3CDTF">2022-01-18T07:53:22Z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2022-01-18T15:53:23Z</dcterms:created>
  <dcterms:modified xsi:type="dcterms:W3CDTF">2022-01-18T07:53:23Z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9B683E5-5A8E-4D4C-859F-E2E0EF58FB9A}">
  <ds:schemaRefs/>
</ds:datastoreItem>
</file>

<file path=customXml/itemProps11.xml><?xml version="1.0" encoding="utf-8"?>
<ds:datastoreItem xmlns:ds="http://schemas.openxmlformats.org/officeDocument/2006/customXml" ds:itemID="{861CE1A6-D7F2-428F-ABA3-25F56AE87B82}">
  <ds:schemaRefs/>
</ds:datastoreItem>
</file>

<file path=customXml/itemProps12.xml><?xml version="1.0" encoding="utf-8"?>
<ds:datastoreItem xmlns:ds="http://schemas.openxmlformats.org/officeDocument/2006/customXml" ds:itemID="{B53C9DC6-FE9B-45CB-8FEA-DD9190901B23}">
  <ds:schemaRefs/>
</ds:datastoreItem>
</file>

<file path=customXml/itemProps13.xml><?xml version="1.0" encoding="utf-8"?>
<ds:datastoreItem xmlns:ds="http://schemas.openxmlformats.org/officeDocument/2006/customXml" ds:itemID="{84E5A6ED-7386-43FE-8FE1-D0BC139E8C11}">
  <ds:schemaRefs/>
</ds:datastoreItem>
</file>

<file path=customXml/itemProps14.xml><?xml version="1.0" encoding="utf-8"?>
<ds:datastoreItem xmlns:ds="http://schemas.openxmlformats.org/officeDocument/2006/customXml" ds:itemID="{98DE5A5D-713A-4F27-A6CA-7DF19CDF3AC9}">
  <ds:schemaRefs/>
</ds:datastoreItem>
</file>

<file path=customXml/itemProps15.xml><?xml version="1.0" encoding="utf-8"?>
<ds:datastoreItem xmlns:ds="http://schemas.openxmlformats.org/officeDocument/2006/customXml" ds:itemID="{8CD28057-E400-4A42-A117-5362061F4006}">
  <ds:schemaRefs/>
</ds:datastoreItem>
</file>

<file path=customXml/itemProps16.xml><?xml version="1.0" encoding="utf-8"?>
<ds:datastoreItem xmlns:ds="http://schemas.openxmlformats.org/officeDocument/2006/customXml" ds:itemID="{ABDC10F2-B20D-46E9-B5A0-6873468397E3}">
  <ds:schemaRefs/>
</ds:datastoreItem>
</file>

<file path=customXml/itemProps17.xml><?xml version="1.0" encoding="utf-8"?>
<ds:datastoreItem xmlns:ds="http://schemas.openxmlformats.org/officeDocument/2006/customXml" ds:itemID="{881A1B5C-4F75-4AD8-8711-138F1D0F543B}">
  <ds:schemaRefs/>
</ds:datastoreItem>
</file>

<file path=customXml/itemProps18.xml><?xml version="1.0" encoding="utf-8"?>
<ds:datastoreItem xmlns:ds="http://schemas.openxmlformats.org/officeDocument/2006/customXml" ds:itemID="{7DEB8810-10FF-4F7B-9CBF-6A72C1C24D43}">
  <ds:schemaRefs/>
</ds:datastoreItem>
</file>

<file path=customXml/itemProps19.xml><?xml version="1.0" encoding="utf-8"?>
<ds:datastoreItem xmlns:ds="http://schemas.openxmlformats.org/officeDocument/2006/customXml" ds:itemID="{84CF8900-140D-4F2D-BEE4-7A56690683BD}">
  <ds:schemaRefs/>
</ds:datastoreItem>
</file>

<file path=customXml/itemProps2.xml><?xml version="1.0" encoding="utf-8"?>
<ds:datastoreItem xmlns:ds="http://schemas.openxmlformats.org/officeDocument/2006/customXml" ds:itemID="{ED74E03A-069B-4916-9845-F9C30303B12C}">
  <ds:schemaRefs/>
</ds:datastoreItem>
</file>

<file path=customXml/itemProps20.xml><?xml version="1.0" encoding="utf-8"?>
<ds:datastoreItem xmlns:ds="http://schemas.openxmlformats.org/officeDocument/2006/customXml" ds:itemID="{544B4634-D563-4103-A6E8-212169AE7E61}">
  <ds:schemaRefs/>
</ds:datastoreItem>
</file>

<file path=customXml/itemProps21.xml><?xml version="1.0" encoding="utf-8"?>
<ds:datastoreItem xmlns:ds="http://schemas.openxmlformats.org/officeDocument/2006/customXml" ds:itemID="{187C53EA-0B2E-436C-8AFE-7A454AC99A60}">
  <ds:schemaRefs/>
</ds:datastoreItem>
</file>

<file path=customXml/itemProps3.xml><?xml version="1.0" encoding="utf-8"?>
<ds:datastoreItem xmlns:ds="http://schemas.openxmlformats.org/officeDocument/2006/customXml" ds:itemID="{21AD15F5-75E4-4478-939A-D3A7A60DB788}">
  <ds:schemaRefs/>
</ds:datastoreItem>
</file>

<file path=customXml/itemProps4.xml><?xml version="1.0" encoding="utf-8"?>
<ds:datastoreItem xmlns:ds="http://schemas.openxmlformats.org/officeDocument/2006/customXml" ds:itemID="{90E5F3B1-2930-4EB7-9A76-CC2070A8519F}">
  <ds:schemaRefs/>
</ds:datastoreItem>
</file>

<file path=customXml/itemProps5.xml><?xml version="1.0" encoding="utf-8"?>
<ds:datastoreItem xmlns:ds="http://schemas.openxmlformats.org/officeDocument/2006/customXml" ds:itemID="{86ACBFFC-33D9-4891-93FA-FAB0EEBDB33B}">
  <ds:schemaRefs/>
</ds:datastoreItem>
</file>

<file path=customXml/itemProps6.xml><?xml version="1.0" encoding="utf-8"?>
<ds:datastoreItem xmlns:ds="http://schemas.openxmlformats.org/officeDocument/2006/customXml" ds:itemID="{2AEEDC8D-C4A6-4E41-9A86-F34086AEA7CF}">
  <ds:schemaRefs/>
</ds:datastoreItem>
</file>

<file path=customXml/itemProps7.xml><?xml version="1.0" encoding="utf-8"?>
<ds:datastoreItem xmlns:ds="http://schemas.openxmlformats.org/officeDocument/2006/customXml" ds:itemID="{E2E31F8B-A592-43A2-8C6A-F50ACBB8D63D}">
  <ds:schemaRefs/>
</ds:datastoreItem>
</file>

<file path=customXml/itemProps8.xml><?xml version="1.0" encoding="utf-8"?>
<ds:datastoreItem xmlns:ds="http://schemas.openxmlformats.org/officeDocument/2006/customXml" ds:itemID="{34EDFE88-6AE2-477E-8D82-7F446F0379BD}">
  <ds:schemaRefs/>
</ds:datastoreItem>
</file>

<file path=customXml/itemProps9.xml><?xml version="1.0" encoding="utf-8"?>
<ds:datastoreItem xmlns:ds="http://schemas.openxmlformats.org/officeDocument/2006/customXml" ds:itemID="{77B7B1F9-6381-470A-A56D-FCF2B135D42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1157</Words>
  <Characters>6600</Characters>
  <Lines>55</Lines>
  <Paragraphs>15</Paragraphs>
  <TotalTime>0</TotalTime>
  <ScaleCrop>false</ScaleCrop>
  <LinksUpToDate>false</LinksUpToDate>
  <CharactersWithSpaces>7742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2022-02-11T08:20:00Z</dcterms:created>
  <dc:creator>Administrator</dc:creator>
  <cp:lastModifiedBy>Administrator</cp:lastModifiedBy>
  <dcterms:modified xsi:type="dcterms:W3CDTF">2022-02-17T02:48:35Z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